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22"/>
          <w:szCs w:val="22"/>
          <w:color w:val="auto"/>
        </w:rPr>
        <w:t>UNITED STATES SECURITIES AND EXCHANGE COMMISSION</w:t>
      </w:r>
    </w:p>
    <w:p>
      <w:pPr>
        <w:spacing w:after="0" w:line="9" w:lineRule="exact"/>
        <w:rPr>
          <w:sz w:val="24"/>
          <w:szCs w:val="24"/>
          <w:color w:val="auto"/>
        </w:rPr>
      </w:pPr>
    </w:p>
    <w:p>
      <w:pPr>
        <w:jc w:val="center"/>
        <w:ind w:right="100"/>
        <w:spacing w:after="0"/>
        <w:rPr>
          <w:sz w:val="20"/>
          <w:szCs w:val="20"/>
          <w:color w:val="auto"/>
        </w:rPr>
      </w:pPr>
      <w:r>
        <w:rPr>
          <w:rFonts w:ascii="Arial" w:cs="Arial" w:eastAsia="Arial" w:hAnsi="Arial"/>
          <w:sz w:val="18"/>
          <w:szCs w:val="18"/>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82550</wp:posOffset>
            </wp:positionH>
            <wp:positionV relativeFrom="paragraph">
              <wp:posOffset>169545</wp:posOffset>
            </wp:positionV>
            <wp:extent cx="710057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00570" cy="8890"/>
                    </a:xfrm>
                    <a:prstGeom prst="rect">
                      <a:avLst/>
                    </a:prstGeom>
                    <a:noFill/>
                  </pic:spPr>
                </pic:pic>
              </a:graphicData>
            </a:graphic>
          </wp:anchor>
        </w:drawing>
      </w:r>
    </w:p>
    <w:p>
      <w:pPr>
        <w:spacing w:after="0" w:line="257" w:lineRule="exact"/>
        <w:rPr>
          <w:sz w:val="24"/>
          <w:szCs w:val="24"/>
          <w:color w:val="auto"/>
        </w:rPr>
      </w:pPr>
    </w:p>
    <w:p>
      <w:pPr>
        <w:jc w:val="center"/>
        <w:ind w:right="-19"/>
        <w:spacing w:after="0"/>
        <w:rPr>
          <w:sz w:val="20"/>
          <w:szCs w:val="20"/>
          <w:color w:val="auto"/>
        </w:rPr>
      </w:pPr>
      <w:r>
        <w:rPr>
          <w:rFonts w:ascii="Arial" w:cs="Arial" w:eastAsia="Arial" w:hAnsi="Arial"/>
          <w:sz w:val="25"/>
          <w:szCs w:val="25"/>
          <w:b w:val="1"/>
          <w:bCs w:val="1"/>
          <w:color w:val="auto"/>
        </w:rPr>
        <w:t>FORM 10-K</w:t>
      </w:r>
    </w:p>
    <w:p>
      <w:pPr>
        <w:spacing w:after="0" w:line="93" w:lineRule="exact"/>
        <w:rPr>
          <w:sz w:val="24"/>
          <w:szCs w:val="24"/>
          <w:color w:val="auto"/>
        </w:rPr>
      </w:pPr>
    </w:p>
    <w:p>
      <w:pPr>
        <w:ind w:left="1300"/>
        <w:spacing w:after="0"/>
        <w:rPr>
          <w:sz w:val="20"/>
          <w:szCs w:val="20"/>
          <w:color w:val="auto"/>
        </w:rPr>
      </w:pPr>
      <w:r>
        <w:rPr>
          <w:rFonts w:ascii="Arial" w:cs="Arial" w:eastAsia="Arial" w:hAnsi="Arial"/>
          <w:sz w:val="18"/>
          <w:szCs w:val="18"/>
          <w:color w:val="auto"/>
        </w:rPr>
        <w:t>ANNUAL REPORT PURSUANT TO SECTION 13 OR 15(d) OF THE SECURITIES EXCHANGE ACT OF 1934</w:t>
      </w:r>
    </w:p>
    <w:p>
      <w:pPr>
        <w:spacing w:after="0" w:line="41" w:lineRule="exact"/>
        <w:rPr>
          <w:sz w:val="24"/>
          <w:szCs w:val="24"/>
          <w:color w:val="auto"/>
        </w:rPr>
      </w:pPr>
    </w:p>
    <w:p>
      <w:pPr>
        <w:ind w:left="3520"/>
        <w:spacing w:after="0"/>
        <w:rPr>
          <w:sz w:val="20"/>
          <w:szCs w:val="20"/>
          <w:color w:val="auto"/>
        </w:rPr>
      </w:pPr>
      <w:r>
        <w:rPr>
          <w:rFonts w:ascii="Arial" w:cs="Arial" w:eastAsia="Arial" w:hAnsi="Arial"/>
          <w:sz w:val="18"/>
          <w:szCs w:val="18"/>
          <w:b w:val="1"/>
          <w:bCs w:val="1"/>
          <w:color w:val="auto"/>
        </w:rPr>
        <w:t>FOR THE FISCAL YEAR ENDED December 31, 2017</w:t>
      </w:r>
    </w:p>
    <w:p>
      <w:pPr>
        <w:spacing w:after="0" w:line="58"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Commission file number 1-6714</w:t>
      </w:r>
    </w:p>
    <w:p>
      <w:pPr>
        <w:spacing w:after="0" w:line="10" w:lineRule="exact"/>
        <w:rPr>
          <w:sz w:val="24"/>
          <w:szCs w:val="24"/>
          <w:color w:val="auto"/>
        </w:rPr>
      </w:pPr>
    </w:p>
    <w:p>
      <w:pPr>
        <w:jc w:val="center"/>
        <w:ind w:right="-19"/>
        <w:spacing w:after="0"/>
        <w:rPr>
          <w:sz w:val="20"/>
          <w:szCs w:val="20"/>
          <w:color w:val="auto"/>
        </w:rPr>
      </w:pPr>
      <w:r>
        <w:rPr>
          <w:rFonts w:ascii="Arial" w:cs="Arial" w:eastAsia="Arial" w:hAnsi="Arial"/>
          <w:sz w:val="25"/>
          <w:szCs w:val="25"/>
          <w:b w:val="1"/>
          <w:bCs w:val="1"/>
          <w:color w:val="auto"/>
        </w:rPr>
        <w:t>Graham Holdings Company</w:t>
      </w:r>
    </w:p>
    <w:p>
      <w:pPr>
        <w:spacing w:after="0" w:line="66" w:lineRule="exact"/>
        <w:rPr>
          <w:sz w:val="24"/>
          <w:szCs w:val="24"/>
          <w:color w:val="auto"/>
        </w:rPr>
      </w:pPr>
    </w:p>
    <w:p>
      <w:pPr>
        <w:jc w:val="center"/>
        <w:ind w:right="-19"/>
        <w:spacing w:after="0"/>
        <w:rPr>
          <w:sz w:val="20"/>
          <w:szCs w:val="20"/>
          <w:color w:val="auto"/>
        </w:rPr>
      </w:pPr>
      <w:r>
        <w:rPr>
          <w:rFonts w:ascii="Arial" w:cs="Arial" w:eastAsia="Arial" w:hAnsi="Arial"/>
          <w:sz w:val="16"/>
          <w:szCs w:val="16"/>
          <w:color w:val="auto"/>
        </w:rPr>
        <w:t>(Exact name of registrant as specified in its charter)</w:t>
      </w:r>
    </w:p>
    <w:p>
      <w:pPr>
        <w:spacing w:after="0" w:line="164" w:lineRule="exact"/>
        <w:rPr>
          <w:sz w:val="24"/>
          <w:szCs w:val="24"/>
          <w:color w:val="auto"/>
        </w:rPr>
      </w:pPr>
    </w:p>
    <w:tbl>
      <w:tblPr>
        <w:tblLayout w:type="fixed"/>
        <w:tblInd w:w="800" w:type="dxa"/>
        <w:tblCellMar>
          <w:top w:w="0" w:type="dxa"/>
          <w:left w:w="0" w:type="dxa"/>
          <w:bottom w:w="0" w:type="dxa"/>
          <w:right w:w="0" w:type="dxa"/>
        </w:tblCellMar>
      </w:tblPr>
      <w:tr>
        <w:trPr>
          <w:trHeight w:val="217"/>
        </w:trPr>
        <w:tc>
          <w:tcPr>
            <w:tcW w:w="5400" w:type="dxa"/>
            <w:vAlign w:val="bottom"/>
          </w:tcPr>
          <w:p>
            <w:pPr>
              <w:jc w:val="center"/>
              <w:ind w:right="1154"/>
              <w:spacing w:after="0"/>
              <w:rPr>
                <w:sz w:val="20"/>
                <w:szCs w:val="20"/>
                <w:color w:val="auto"/>
              </w:rPr>
            </w:pPr>
            <w:r>
              <w:rPr>
                <w:rFonts w:ascii="Arial" w:cs="Arial" w:eastAsia="Arial" w:hAnsi="Arial"/>
                <w:sz w:val="18"/>
                <w:szCs w:val="18"/>
                <w:color w:val="auto"/>
                <w:w w:val="99"/>
              </w:rPr>
              <w:t>Delaware</w:t>
            </w:r>
          </w:p>
        </w:tc>
        <w:tc>
          <w:tcPr>
            <w:tcW w:w="3720" w:type="dxa"/>
            <w:vAlign w:val="bottom"/>
          </w:tcPr>
          <w:p>
            <w:pPr>
              <w:jc w:val="right"/>
              <w:ind w:right="694"/>
              <w:spacing w:after="0"/>
              <w:rPr>
                <w:sz w:val="20"/>
                <w:szCs w:val="20"/>
                <w:color w:val="auto"/>
              </w:rPr>
            </w:pPr>
            <w:r>
              <w:rPr>
                <w:rFonts w:ascii="Arial" w:cs="Arial" w:eastAsia="Arial" w:hAnsi="Arial"/>
                <w:sz w:val="18"/>
                <w:szCs w:val="18"/>
                <w:color w:val="auto"/>
              </w:rPr>
              <w:t>53-0182885</w:t>
            </w:r>
          </w:p>
        </w:tc>
      </w:tr>
      <w:tr>
        <w:trPr>
          <w:trHeight w:val="251"/>
        </w:trPr>
        <w:tc>
          <w:tcPr>
            <w:tcW w:w="5400" w:type="dxa"/>
            <w:vAlign w:val="bottom"/>
          </w:tcPr>
          <w:p>
            <w:pPr>
              <w:jc w:val="center"/>
              <w:ind w:right="1134"/>
              <w:spacing w:after="0"/>
              <w:rPr>
                <w:sz w:val="20"/>
                <w:szCs w:val="20"/>
                <w:color w:val="auto"/>
              </w:rPr>
            </w:pPr>
            <w:r>
              <w:rPr>
                <w:rFonts w:ascii="Arial" w:cs="Arial" w:eastAsia="Arial" w:hAnsi="Arial"/>
                <w:sz w:val="16"/>
                <w:szCs w:val="16"/>
                <w:color w:val="auto"/>
              </w:rPr>
              <w:t>(State or other jurisdiction of incorporation or organization)</w:t>
            </w:r>
          </w:p>
        </w:tc>
        <w:tc>
          <w:tcPr>
            <w:tcW w:w="3720" w:type="dxa"/>
            <w:vAlign w:val="bottom"/>
          </w:tcPr>
          <w:p>
            <w:pPr>
              <w:jc w:val="center"/>
              <w:ind w:left="1134"/>
              <w:spacing w:after="0"/>
              <w:rPr>
                <w:sz w:val="20"/>
                <w:szCs w:val="20"/>
                <w:color w:val="auto"/>
              </w:rPr>
            </w:pPr>
            <w:r>
              <w:rPr>
                <w:rFonts w:ascii="Arial" w:cs="Arial" w:eastAsia="Arial" w:hAnsi="Arial"/>
                <w:sz w:val="16"/>
                <w:szCs w:val="16"/>
                <w:color w:val="auto"/>
              </w:rPr>
              <w:t>(I.R.S. Employer Identification No.)</w:t>
            </w:r>
          </w:p>
        </w:tc>
      </w:tr>
      <w:tr>
        <w:trPr>
          <w:trHeight w:val="398"/>
        </w:trPr>
        <w:tc>
          <w:tcPr>
            <w:tcW w:w="5400" w:type="dxa"/>
            <w:vAlign w:val="bottom"/>
          </w:tcPr>
          <w:p>
            <w:pPr>
              <w:jc w:val="center"/>
              <w:ind w:right="1154"/>
              <w:spacing w:after="0"/>
              <w:rPr>
                <w:sz w:val="20"/>
                <w:szCs w:val="20"/>
                <w:color w:val="auto"/>
              </w:rPr>
            </w:pPr>
            <w:r>
              <w:rPr>
                <w:rFonts w:ascii="Arial" w:cs="Arial" w:eastAsia="Arial" w:hAnsi="Arial"/>
                <w:sz w:val="18"/>
                <w:szCs w:val="18"/>
                <w:color w:val="auto"/>
                <w:w w:val="99"/>
              </w:rPr>
              <w:t>1300 North 17th Street, Arlington, Virginia</w:t>
            </w:r>
          </w:p>
        </w:tc>
        <w:tc>
          <w:tcPr>
            <w:tcW w:w="3720" w:type="dxa"/>
            <w:vAlign w:val="bottom"/>
          </w:tcPr>
          <w:p>
            <w:pPr>
              <w:jc w:val="right"/>
              <w:ind w:right="914"/>
              <w:spacing w:after="0"/>
              <w:rPr>
                <w:sz w:val="20"/>
                <w:szCs w:val="20"/>
                <w:color w:val="auto"/>
              </w:rPr>
            </w:pPr>
            <w:r>
              <w:rPr>
                <w:rFonts w:ascii="Arial" w:cs="Arial" w:eastAsia="Arial" w:hAnsi="Arial"/>
                <w:sz w:val="18"/>
                <w:szCs w:val="18"/>
                <w:color w:val="auto"/>
              </w:rPr>
              <w:t>22209</w:t>
            </w:r>
          </w:p>
        </w:tc>
      </w:tr>
      <w:tr>
        <w:trPr>
          <w:trHeight w:val="251"/>
        </w:trPr>
        <w:tc>
          <w:tcPr>
            <w:tcW w:w="5400" w:type="dxa"/>
            <w:vAlign w:val="bottom"/>
          </w:tcPr>
          <w:p>
            <w:pPr>
              <w:jc w:val="center"/>
              <w:ind w:right="1134"/>
              <w:spacing w:after="0"/>
              <w:rPr>
                <w:sz w:val="20"/>
                <w:szCs w:val="20"/>
                <w:color w:val="auto"/>
              </w:rPr>
            </w:pPr>
            <w:r>
              <w:rPr>
                <w:rFonts w:ascii="Arial" w:cs="Arial" w:eastAsia="Arial" w:hAnsi="Arial"/>
                <w:sz w:val="16"/>
                <w:szCs w:val="16"/>
                <w:color w:val="auto"/>
              </w:rPr>
              <w:t>(Address of principal executive offices)</w:t>
            </w:r>
          </w:p>
        </w:tc>
        <w:tc>
          <w:tcPr>
            <w:tcW w:w="3720" w:type="dxa"/>
            <w:vAlign w:val="bottom"/>
          </w:tcPr>
          <w:p>
            <w:pPr>
              <w:jc w:val="center"/>
              <w:ind w:left="1114"/>
              <w:spacing w:after="0"/>
              <w:rPr>
                <w:sz w:val="20"/>
                <w:szCs w:val="20"/>
                <w:color w:val="auto"/>
              </w:rPr>
            </w:pPr>
            <w:r>
              <w:rPr>
                <w:rFonts w:ascii="Arial" w:cs="Arial" w:eastAsia="Arial" w:hAnsi="Arial"/>
                <w:sz w:val="16"/>
                <w:szCs w:val="16"/>
                <w:color w:val="auto"/>
              </w:rPr>
              <w:t>(Zip Code)</w:t>
            </w:r>
          </w:p>
        </w:tc>
      </w:tr>
    </w:tbl>
    <w:p>
      <w:pPr>
        <w:spacing w:after="0" w:line="35" w:lineRule="exact"/>
        <w:rPr>
          <w:sz w:val="24"/>
          <w:szCs w:val="24"/>
          <w:color w:val="auto"/>
        </w:rPr>
      </w:pPr>
    </w:p>
    <w:p>
      <w:pPr>
        <w:jc w:val="center"/>
        <w:ind w:right="-19"/>
        <w:spacing w:after="0"/>
        <w:rPr>
          <w:sz w:val="20"/>
          <w:szCs w:val="20"/>
          <w:color w:val="auto"/>
        </w:rPr>
      </w:pPr>
      <w:r>
        <w:rPr>
          <w:rFonts w:ascii="Arial" w:cs="Arial" w:eastAsia="Arial" w:hAnsi="Arial"/>
          <w:sz w:val="16"/>
          <w:szCs w:val="16"/>
          <w:color w:val="auto"/>
        </w:rPr>
        <w:t>Registrant’s Telephone Number, Including Area Code: (703) 345-6300</w:t>
      </w:r>
    </w:p>
    <w:p>
      <w:pPr>
        <w:spacing w:after="0" w:line="5" w:lineRule="exact"/>
        <w:rPr>
          <w:sz w:val="24"/>
          <w:szCs w:val="24"/>
          <w:color w:val="auto"/>
        </w:rPr>
      </w:pPr>
    </w:p>
    <w:p>
      <w:pPr>
        <w:jc w:val="center"/>
        <w:ind w:right="-19"/>
        <w:spacing w:after="0"/>
        <w:rPr>
          <w:sz w:val="20"/>
          <w:szCs w:val="20"/>
          <w:color w:val="auto"/>
        </w:rPr>
      </w:pPr>
      <w:r>
        <w:rPr>
          <w:rFonts w:ascii="Arial" w:cs="Arial" w:eastAsia="Arial" w:hAnsi="Arial"/>
          <w:sz w:val="16"/>
          <w:szCs w:val="16"/>
          <w:color w:val="auto"/>
        </w:rPr>
        <w:t>Securities Registered Pursuant to Section 12(b) of the Act:</w:t>
      </w:r>
    </w:p>
    <w:p>
      <w:pPr>
        <w:spacing w:after="0" w:line="178" w:lineRule="exact"/>
        <w:rPr>
          <w:sz w:val="24"/>
          <w:szCs w:val="24"/>
          <w:color w:val="auto"/>
        </w:rPr>
      </w:pPr>
    </w:p>
    <w:tbl>
      <w:tblPr>
        <w:tblLayout w:type="fixed"/>
        <w:tblInd w:w="120" w:type="dxa"/>
        <w:tblCellMar>
          <w:top w:w="0" w:type="dxa"/>
          <w:left w:w="0" w:type="dxa"/>
          <w:bottom w:w="0" w:type="dxa"/>
          <w:right w:w="0" w:type="dxa"/>
        </w:tblCellMar>
      </w:tblPr>
      <w:tr>
        <w:trPr>
          <w:trHeight w:val="224"/>
        </w:trPr>
        <w:tc>
          <w:tcPr>
            <w:tcW w:w="550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9"/>
              </w:rPr>
              <w:t>Title of each class</w:t>
            </w:r>
          </w:p>
        </w:tc>
        <w:tc>
          <w:tcPr>
            <w:tcW w:w="440" w:type="dxa"/>
            <w:vAlign w:val="bottom"/>
          </w:tcPr>
          <w:p>
            <w:pPr>
              <w:spacing w:after="0"/>
              <w:rPr>
                <w:sz w:val="19"/>
                <w:szCs w:val="19"/>
                <w:color w:val="auto"/>
              </w:rPr>
            </w:pPr>
          </w:p>
        </w:tc>
        <w:tc>
          <w:tcPr>
            <w:tcW w:w="526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9"/>
              </w:rPr>
              <w:t>Name of each exchange on which registered</w:t>
            </w:r>
          </w:p>
        </w:tc>
      </w:tr>
      <w:tr>
        <w:trPr>
          <w:trHeight w:val="229"/>
        </w:trPr>
        <w:tc>
          <w:tcPr>
            <w:tcW w:w="5940" w:type="dxa"/>
            <w:vAlign w:val="bottom"/>
            <w:gridSpan w:val="2"/>
          </w:tcPr>
          <w:p>
            <w:pPr>
              <w:jc w:val="center"/>
              <w:ind w:right="440"/>
              <w:spacing w:after="0"/>
              <w:rPr>
                <w:sz w:val="20"/>
                <w:szCs w:val="20"/>
                <w:color w:val="auto"/>
              </w:rPr>
            </w:pPr>
            <w:r>
              <w:rPr>
                <w:rFonts w:ascii="Arial" w:cs="Arial" w:eastAsia="Arial" w:hAnsi="Arial"/>
                <w:sz w:val="18"/>
                <w:szCs w:val="18"/>
                <w:color w:val="auto"/>
                <w:w w:val="99"/>
              </w:rPr>
              <w:t>Class B Common Stock, par value</w:t>
            </w:r>
          </w:p>
        </w:tc>
        <w:tc>
          <w:tcPr>
            <w:tcW w:w="5260" w:type="dxa"/>
            <w:vAlign w:val="bottom"/>
          </w:tcPr>
          <w:p>
            <w:pPr>
              <w:jc w:val="center"/>
              <w:spacing w:after="0"/>
              <w:rPr>
                <w:sz w:val="20"/>
                <w:szCs w:val="20"/>
                <w:color w:val="auto"/>
              </w:rPr>
            </w:pPr>
            <w:r>
              <w:rPr>
                <w:rFonts w:ascii="Arial" w:cs="Arial" w:eastAsia="Arial" w:hAnsi="Arial"/>
                <w:sz w:val="18"/>
                <w:szCs w:val="18"/>
                <w:color w:val="auto"/>
                <w:w w:val="99"/>
              </w:rPr>
              <w:t>New York Stock Exchange</w:t>
            </w:r>
          </w:p>
        </w:tc>
      </w:tr>
      <w:tr>
        <w:trPr>
          <w:trHeight w:val="217"/>
        </w:trPr>
        <w:tc>
          <w:tcPr>
            <w:tcW w:w="5940" w:type="dxa"/>
            <w:vAlign w:val="bottom"/>
            <w:gridSpan w:val="2"/>
          </w:tcPr>
          <w:p>
            <w:pPr>
              <w:jc w:val="center"/>
              <w:ind w:right="440"/>
              <w:spacing w:after="0"/>
              <w:rPr>
                <w:sz w:val="20"/>
                <w:szCs w:val="20"/>
                <w:color w:val="auto"/>
              </w:rPr>
            </w:pPr>
            <w:r>
              <w:rPr>
                <w:rFonts w:ascii="Arial" w:cs="Arial" w:eastAsia="Arial" w:hAnsi="Arial"/>
                <w:sz w:val="18"/>
                <w:szCs w:val="18"/>
                <w:color w:val="auto"/>
                <w:w w:val="99"/>
              </w:rPr>
              <w:t>$1.00 per share</w:t>
            </w:r>
          </w:p>
        </w:tc>
        <w:tc>
          <w:tcPr>
            <w:tcW w:w="5260" w:type="dxa"/>
            <w:vAlign w:val="bottom"/>
          </w:tcPr>
          <w:p>
            <w:pPr>
              <w:spacing w:after="0"/>
              <w:rPr>
                <w:sz w:val="18"/>
                <w:szCs w:val="18"/>
                <w:color w:val="auto"/>
              </w:rPr>
            </w:pPr>
          </w:p>
        </w:tc>
      </w:tr>
    </w:tbl>
    <w:p>
      <w:pPr>
        <w:spacing w:after="0" w:line="34" w:lineRule="exact"/>
        <w:rPr>
          <w:sz w:val="24"/>
          <w:szCs w:val="24"/>
          <w:color w:val="auto"/>
        </w:rPr>
      </w:pPr>
    </w:p>
    <w:p>
      <w:pPr>
        <w:ind w:right="1020"/>
        <w:spacing w:after="0" w:line="283" w:lineRule="exact"/>
        <w:rPr>
          <w:sz w:val="20"/>
          <w:szCs w:val="20"/>
          <w:color w:val="auto"/>
        </w:rPr>
      </w:pPr>
      <w:r>
        <w:rPr>
          <w:rFonts w:ascii="Arial" w:cs="Arial" w:eastAsia="Arial" w:hAnsi="Arial"/>
          <w:sz w:val="18"/>
          <w:szCs w:val="18"/>
          <w:color w:val="auto"/>
        </w:rPr>
        <w:t xml:space="preserve">Indicate by check mark if the registrant is a well-known seasoned issuer, as defined in Rule 405 of the Securities Act.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r>
        <w:rPr>
          <w:rFonts w:ascii="Arial" w:cs="Arial" w:eastAsia="Arial" w:hAnsi="Arial"/>
          <w:sz w:val="18"/>
          <w:szCs w:val="18"/>
          <w:color w:val="auto"/>
        </w:rPr>
        <w:t xml:space="preserve"> Indicate by check mark if the registrant is not required to file reports pursuant to Section 13 or 15(d) of the Act.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48" w:lineRule="exact"/>
        <w:rPr>
          <w:sz w:val="24"/>
          <w:szCs w:val="24"/>
          <w:color w:val="auto"/>
        </w:rPr>
      </w:pPr>
    </w:p>
    <w:p>
      <w:pPr>
        <w:ind w:right="80"/>
        <w:spacing w:after="0" w:line="223"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48" w:lineRule="exact"/>
        <w:rPr>
          <w:sz w:val="24"/>
          <w:szCs w:val="24"/>
          <w:color w:val="auto"/>
        </w:rPr>
      </w:pPr>
    </w:p>
    <w:p>
      <w:pPr>
        <w:ind w:right="60"/>
        <w:spacing w:after="0" w:line="223" w:lineRule="exact"/>
        <w:rPr>
          <w:sz w:val="20"/>
          <w:szCs w:val="20"/>
          <w:color w:val="auto"/>
        </w:rPr>
      </w:pPr>
      <w:r>
        <w:rPr>
          <w:rFonts w:ascii="Arial" w:cs="Arial" w:eastAsia="Arial" w:hAnsi="Arial"/>
          <w:sz w:val="18"/>
          <w:szCs w:val="18"/>
          <w:color w:val="auto"/>
        </w:rPr>
        <w:t xml:space="preserve">Indicate by check mark whether the registrant has submitted electronically and posted on its corporate Website, if any, every Interactive Data File required to be submitted and posted pursuant to Rule 405 of Regulation S-T (§232.405 of this chapter) during the preceding 12 months (or for such shorter period that the registrant was required to submit and post such files).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48" w:lineRule="exact"/>
        <w:rPr>
          <w:sz w:val="24"/>
          <w:szCs w:val="24"/>
          <w:color w:val="auto"/>
        </w:rPr>
      </w:pPr>
    </w:p>
    <w:p>
      <w:pPr>
        <w:ind w:right="180"/>
        <w:spacing w:after="0" w:line="223" w:lineRule="exact"/>
        <w:rPr>
          <w:sz w:val="20"/>
          <w:szCs w:val="20"/>
          <w:color w:val="auto"/>
        </w:rPr>
      </w:pPr>
      <w:r>
        <w:rPr>
          <w:rFonts w:ascii="Arial" w:cs="Arial" w:eastAsia="Arial" w:hAnsi="Arial"/>
          <w:sz w:val="18"/>
          <w:szCs w:val="18"/>
          <w:color w:val="auto"/>
        </w:rPr>
        <w:t xml:space="preserve">Indicate by check mark if disclosure of delinquent filers pursuant to Item 405 of Regulation S-K (§229.405 of this chapter) is not contained herein, and will not be contained, to the best of registrant’s knowledge, in definitive proxy or information statements incorporated by reference in Part III of this Form 10-K or any amendment to this Form 10-K. </w:t>
      </w:r>
      <w:r>
        <w:rPr>
          <w:rFonts w:ascii="MS PGothic" w:cs="MS PGothic" w:eastAsia="MS PGothic" w:hAnsi="MS PGothic"/>
          <w:sz w:val="18"/>
          <w:szCs w:val="18"/>
          <w:color w:val="auto"/>
        </w:rPr>
        <w:t>☒</w:t>
      </w:r>
    </w:p>
    <w:p>
      <w:pPr>
        <w:spacing w:after="0" w:line="35" w:lineRule="exact"/>
        <w:rPr>
          <w:sz w:val="24"/>
          <w:szCs w:val="24"/>
          <w:color w:val="auto"/>
        </w:rPr>
      </w:pPr>
    </w:p>
    <w:p>
      <w:pPr>
        <w:ind w:right="200"/>
        <w:spacing w:after="0" w:line="229"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153" w:lineRule="exact"/>
        <w:rPr>
          <w:sz w:val="24"/>
          <w:szCs w:val="24"/>
          <w:color w:val="auto"/>
        </w:rPr>
      </w:pPr>
    </w:p>
    <w:tbl>
      <w:tblPr>
        <w:tblLayout w:type="fixed"/>
        <w:tblInd w:w="260" w:type="dxa"/>
        <w:tblCellMar>
          <w:top w:w="0" w:type="dxa"/>
          <w:left w:w="0" w:type="dxa"/>
          <w:bottom w:w="0" w:type="dxa"/>
          <w:right w:w="0" w:type="dxa"/>
        </w:tblCellMar>
      </w:tblPr>
      <w:tr>
        <w:trPr>
          <w:trHeight w:val="189"/>
        </w:trPr>
        <w:tc>
          <w:tcPr>
            <w:tcW w:w="1500" w:type="dxa"/>
            <w:vAlign w:val="bottom"/>
          </w:tcPr>
          <w:p>
            <w:pPr>
              <w:jc w:val="center"/>
              <w:ind w:right="119"/>
              <w:spacing w:after="0"/>
              <w:rPr>
                <w:sz w:val="20"/>
                <w:szCs w:val="20"/>
                <w:color w:val="auto"/>
              </w:rPr>
            </w:pPr>
            <w:r>
              <w:rPr>
                <w:rFonts w:ascii="Arial" w:cs="Arial" w:eastAsia="Arial" w:hAnsi="Arial"/>
                <w:sz w:val="16"/>
                <w:szCs w:val="16"/>
                <w:color w:val="auto"/>
              </w:rPr>
              <w:t>Large accelerated</w:t>
            </w:r>
          </w:p>
        </w:tc>
        <w:tc>
          <w:tcPr>
            <w:tcW w:w="660" w:type="dxa"/>
            <w:vAlign w:val="bottom"/>
            <w:vMerge w:val="restart"/>
          </w:tcPr>
          <w:p>
            <w:pPr>
              <w:ind w:left="200"/>
              <w:spacing w:after="0" w:line="181" w:lineRule="exact"/>
              <w:rPr>
                <w:sz w:val="20"/>
                <w:szCs w:val="20"/>
                <w:color w:val="auto"/>
              </w:rPr>
            </w:pPr>
            <w:r>
              <w:rPr>
                <w:rFonts w:ascii="MS PGothic" w:cs="MS PGothic" w:eastAsia="MS PGothic" w:hAnsi="MS PGothic"/>
                <w:sz w:val="18"/>
                <w:szCs w:val="18"/>
                <w:color w:val="auto"/>
              </w:rPr>
              <w:t>☒</w:t>
            </w:r>
          </w:p>
        </w:tc>
        <w:tc>
          <w:tcPr>
            <w:tcW w:w="1480" w:type="dxa"/>
            <w:vAlign w:val="bottom"/>
          </w:tcPr>
          <w:p>
            <w:pPr>
              <w:jc w:val="center"/>
              <w:spacing w:after="0"/>
              <w:rPr>
                <w:sz w:val="20"/>
                <w:szCs w:val="20"/>
                <w:color w:val="auto"/>
              </w:rPr>
            </w:pPr>
            <w:r>
              <w:rPr>
                <w:rFonts w:ascii="Arial" w:cs="Arial" w:eastAsia="Arial" w:hAnsi="Arial"/>
                <w:sz w:val="16"/>
                <w:szCs w:val="16"/>
                <w:color w:val="auto"/>
                <w:w w:val="99"/>
              </w:rPr>
              <w:t>Accelerated</w:t>
            </w:r>
          </w:p>
        </w:tc>
        <w:tc>
          <w:tcPr>
            <w:tcW w:w="680" w:type="dxa"/>
            <w:vAlign w:val="bottom"/>
            <w:vMerge w:val="restart"/>
          </w:tcPr>
          <w:p>
            <w:pPr>
              <w:ind w:left="300"/>
              <w:spacing w:after="0" w:line="181" w:lineRule="exact"/>
              <w:rPr>
                <w:sz w:val="20"/>
                <w:szCs w:val="20"/>
                <w:color w:val="auto"/>
              </w:rPr>
            </w:pPr>
            <w:r>
              <w:rPr>
                <w:rFonts w:ascii="MS PGothic" w:cs="MS PGothic" w:eastAsia="MS PGothic" w:hAnsi="MS PGothic"/>
                <w:sz w:val="18"/>
                <w:szCs w:val="18"/>
                <w:color w:val="auto"/>
              </w:rPr>
              <w:t>☐</w:t>
            </w:r>
          </w:p>
        </w:tc>
        <w:tc>
          <w:tcPr>
            <w:tcW w:w="1640" w:type="dxa"/>
            <w:vAlign w:val="bottom"/>
          </w:tcPr>
          <w:p>
            <w:pPr>
              <w:jc w:val="center"/>
              <w:spacing w:after="0"/>
              <w:rPr>
                <w:sz w:val="20"/>
                <w:szCs w:val="20"/>
                <w:color w:val="auto"/>
              </w:rPr>
            </w:pPr>
            <w:r>
              <w:rPr>
                <w:rFonts w:ascii="Arial" w:cs="Arial" w:eastAsia="Arial" w:hAnsi="Arial"/>
                <w:sz w:val="16"/>
                <w:szCs w:val="16"/>
                <w:color w:val="auto"/>
              </w:rPr>
              <w:t>Non-accelerated</w:t>
            </w:r>
          </w:p>
        </w:tc>
        <w:tc>
          <w:tcPr>
            <w:tcW w:w="580" w:type="dxa"/>
            <w:vAlign w:val="bottom"/>
            <w:vMerge w:val="restart"/>
          </w:tcPr>
          <w:p>
            <w:pPr>
              <w:ind w:left="200"/>
              <w:spacing w:after="0" w:line="181" w:lineRule="exact"/>
              <w:rPr>
                <w:sz w:val="20"/>
                <w:szCs w:val="20"/>
                <w:color w:val="auto"/>
              </w:rPr>
            </w:pPr>
            <w:r>
              <w:rPr>
                <w:rFonts w:ascii="MS PGothic" w:cs="MS PGothic" w:eastAsia="MS PGothic" w:hAnsi="MS PGothic"/>
                <w:sz w:val="18"/>
                <w:szCs w:val="18"/>
                <w:color w:val="auto"/>
              </w:rPr>
              <w:t>☐</w:t>
            </w:r>
          </w:p>
        </w:tc>
        <w:tc>
          <w:tcPr>
            <w:tcW w:w="1660" w:type="dxa"/>
            <w:vAlign w:val="bottom"/>
          </w:tcPr>
          <w:p>
            <w:pPr>
              <w:jc w:val="center"/>
              <w:spacing w:after="0"/>
              <w:rPr>
                <w:sz w:val="20"/>
                <w:szCs w:val="20"/>
                <w:color w:val="auto"/>
              </w:rPr>
            </w:pPr>
            <w:r>
              <w:rPr>
                <w:rFonts w:ascii="Arial" w:cs="Arial" w:eastAsia="Arial" w:hAnsi="Arial"/>
                <w:sz w:val="16"/>
                <w:szCs w:val="16"/>
                <w:color w:val="auto"/>
              </w:rPr>
              <w:t>Smaller reporting</w:t>
            </w:r>
          </w:p>
        </w:tc>
        <w:tc>
          <w:tcPr>
            <w:tcW w:w="580" w:type="dxa"/>
            <w:vAlign w:val="bottom"/>
            <w:vMerge w:val="restart"/>
          </w:tcPr>
          <w:p>
            <w:pPr>
              <w:ind w:left="200"/>
              <w:spacing w:after="0" w:line="181" w:lineRule="exact"/>
              <w:rPr>
                <w:sz w:val="20"/>
                <w:szCs w:val="20"/>
                <w:color w:val="auto"/>
              </w:rPr>
            </w:pPr>
            <w:r>
              <w:rPr>
                <w:rFonts w:ascii="MS PGothic" w:cs="MS PGothic" w:eastAsia="MS PGothic" w:hAnsi="MS PGothic"/>
                <w:sz w:val="18"/>
                <w:szCs w:val="18"/>
                <w:color w:val="auto"/>
              </w:rPr>
              <w:t>☐</w:t>
            </w:r>
          </w:p>
        </w:tc>
        <w:tc>
          <w:tcPr>
            <w:tcW w:w="1640" w:type="dxa"/>
            <w:vAlign w:val="bottom"/>
          </w:tcPr>
          <w:p>
            <w:pPr>
              <w:jc w:val="center"/>
              <w:spacing w:after="0"/>
              <w:rPr>
                <w:sz w:val="20"/>
                <w:szCs w:val="20"/>
                <w:color w:val="auto"/>
              </w:rPr>
            </w:pPr>
            <w:r>
              <w:rPr>
                <w:rFonts w:ascii="Arial" w:cs="Arial" w:eastAsia="Arial" w:hAnsi="Arial"/>
                <w:sz w:val="16"/>
                <w:szCs w:val="16"/>
                <w:color w:val="auto"/>
              </w:rPr>
              <w:t>Emerging growth</w:t>
            </w:r>
          </w:p>
        </w:tc>
        <w:tc>
          <w:tcPr>
            <w:tcW w:w="360" w:type="dxa"/>
            <w:vAlign w:val="bottom"/>
            <w:vMerge w:val="restart"/>
          </w:tcPr>
          <w:p>
            <w:pPr>
              <w:ind w:left="200"/>
              <w:spacing w:after="0" w:line="181" w:lineRule="exact"/>
              <w:rPr>
                <w:sz w:val="20"/>
                <w:szCs w:val="20"/>
                <w:color w:val="auto"/>
              </w:rPr>
            </w:pPr>
            <w:r>
              <w:rPr>
                <w:rFonts w:ascii="MS PGothic" w:cs="MS PGothic" w:eastAsia="MS PGothic" w:hAnsi="MS PGothic"/>
                <w:sz w:val="18"/>
                <w:szCs w:val="18"/>
                <w:color w:val="auto"/>
                <w:w w:val="77"/>
              </w:rPr>
              <w:t>☐</w:t>
            </w:r>
          </w:p>
        </w:tc>
        <w:tc>
          <w:tcPr>
            <w:tcW w:w="0" w:type="dxa"/>
            <w:vAlign w:val="bottom"/>
          </w:tcPr>
          <w:p>
            <w:pPr>
              <w:spacing w:after="0"/>
              <w:rPr>
                <w:sz w:val="1"/>
                <w:szCs w:val="1"/>
                <w:color w:val="auto"/>
              </w:rPr>
            </w:pPr>
          </w:p>
        </w:tc>
      </w:tr>
      <w:tr>
        <w:trPr>
          <w:trHeight w:val="207"/>
        </w:trPr>
        <w:tc>
          <w:tcPr>
            <w:tcW w:w="1500" w:type="dxa"/>
            <w:vAlign w:val="bottom"/>
          </w:tcPr>
          <w:p>
            <w:pPr>
              <w:jc w:val="center"/>
              <w:ind w:right="119"/>
              <w:spacing w:after="0"/>
              <w:rPr>
                <w:sz w:val="20"/>
                <w:szCs w:val="20"/>
                <w:color w:val="auto"/>
              </w:rPr>
            </w:pPr>
            <w:r>
              <w:rPr>
                <w:rFonts w:ascii="Arial" w:cs="Arial" w:eastAsia="Arial" w:hAnsi="Arial"/>
                <w:sz w:val="16"/>
                <w:szCs w:val="16"/>
                <w:color w:val="auto"/>
              </w:rPr>
              <w:t>filer</w:t>
            </w:r>
          </w:p>
        </w:tc>
        <w:tc>
          <w:tcPr>
            <w:tcW w:w="660" w:type="dxa"/>
            <w:vAlign w:val="bottom"/>
            <w:vMerge w:val="continue"/>
          </w:tcPr>
          <w:p>
            <w:pPr>
              <w:spacing w:after="0"/>
              <w:rPr>
                <w:sz w:val="18"/>
                <w:szCs w:val="18"/>
                <w:color w:val="auto"/>
              </w:rPr>
            </w:pPr>
          </w:p>
        </w:tc>
        <w:tc>
          <w:tcPr>
            <w:tcW w:w="1480" w:type="dxa"/>
            <w:vAlign w:val="bottom"/>
          </w:tcPr>
          <w:p>
            <w:pPr>
              <w:jc w:val="center"/>
              <w:spacing w:after="0"/>
              <w:rPr>
                <w:sz w:val="20"/>
                <w:szCs w:val="20"/>
                <w:color w:val="auto"/>
              </w:rPr>
            </w:pPr>
            <w:r>
              <w:rPr>
                <w:rFonts w:ascii="Arial" w:cs="Arial" w:eastAsia="Arial" w:hAnsi="Arial"/>
                <w:sz w:val="16"/>
                <w:szCs w:val="16"/>
                <w:color w:val="auto"/>
              </w:rPr>
              <w:t>filer</w:t>
            </w:r>
          </w:p>
        </w:tc>
        <w:tc>
          <w:tcPr>
            <w:tcW w:w="680" w:type="dxa"/>
            <w:vAlign w:val="bottom"/>
            <w:vMerge w:val="continue"/>
          </w:tcPr>
          <w:p>
            <w:pPr>
              <w:spacing w:after="0"/>
              <w:rPr>
                <w:sz w:val="18"/>
                <w:szCs w:val="18"/>
                <w:color w:val="auto"/>
              </w:rPr>
            </w:pPr>
          </w:p>
        </w:tc>
        <w:tc>
          <w:tcPr>
            <w:tcW w:w="1640" w:type="dxa"/>
            <w:vAlign w:val="bottom"/>
          </w:tcPr>
          <w:p>
            <w:pPr>
              <w:jc w:val="center"/>
              <w:spacing w:after="0"/>
              <w:rPr>
                <w:sz w:val="20"/>
                <w:szCs w:val="20"/>
                <w:color w:val="auto"/>
              </w:rPr>
            </w:pPr>
            <w:r>
              <w:rPr>
                <w:rFonts w:ascii="Arial" w:cs="Arial" w:eastAsia="Arial" w:hAnsi="Arial"/>
                <w:sz w:val="16"/>
                <w:szCs w:val="16"/>
                <w:color w:val="auto"/>
              </w:rPr>
              <w:t>filer</w:t>
            </w:r>
          </w:p>
        </w:tc>
        <w:tc>
          <w:tcPr>
            <w:tcW w:w="580" w:type="dxa"/>
            <w:vAlign w:val="bottom"/>
            <w:vMerge w:val="continue"/>
          </w:tcPr>
          <w:p>
            <w:pPr>
              <w:spacing w:after="0"/>
              <w:rPr>
                <w:sz w:val="18"/>
                <w:szCs w:val="18"/>
                <w:color w:val="auto"/>
              </w:rPr>
            </w:pPr>
          </w:p>
        </w:tc>
        <w:tc>
          <w:tcPr>
            <w:tcW w:w="1660" w:type="dxa"/>
            <w:vAlign w:val="bottom"/>
          </w:tcPr>
          <w:p>
            <w:pPr>
              <w:jc w:val="center"/>
              <w:spacing w:after="0"/>
              <w:rPr>
                <w:sz w:val="20"/>
                <w:szCs w:val="20"/>
                <w:color w:val="auto"/>
              </w:rPr>
            </w:pPr>
            <w:r>
              <w:rPr>
                <w:rFonts w:ascii="Arial" w:cs="Arial" w:eastAsia="Arial" w:hAnsi="Arial"/>
                <w:sz w:val="16"/>
                <w:szCs w:val="16"/>
                <w:color w:val="auto"/>
              </w:rPr>
              <w:t>company</w:t>
            </w:r>
          </w:p>
        </w:tc>
        <w:tc>
          <w:tcPr>
            <w:tcW w:w="580" w:type="dxa"/>
            <w:vAlign w:val="bottom"/>
            <w:vMerge w:val="continue"/>
          </w:tcPr>
          <w:p>
            <w:pPr>
              <w:spacing w:after="0"/>
              <w:rPr>
                <w:sz w:val="18"/>
                <w:szCs w:val="18"/>
                <w:color w:val="auto"/>
              </w:rPr>
            </w:pPr>
          </w:p>
        </w:tc>
        <w:tc>
          <w:tcPr>
            <w:tcW w:w="1640" w:type="dxa"/>
            <w:vAlign w:val="bottom"/>
          </w:tcPr>
          <w:p>
            <w:pPr>
              <w:jc w:val="center"/>
              <w:spacing w:after="0"/>
              <w:rPr>
                <w:sz w:val="20"/>
                <w:szCs w:val="20"/>
                <w:color w:val="auto"/>
              </w:rPr>
            </w:pPr>
            <w:r>
              <w:rPr>
                <w:rFonts w:ascii="Arial" w:cs="Arial" w:eastAsia="Arial" w:hAnsi="Arial"/>
                <w:sz w:val="16"/>
                <w:szCs w:val="16"/>
                <w:color w:val="auto"/>
              </w:rPr>
              <w:t>company</w:t>
            </w:r>
          </w:p>
        </w:tc>
        <w:tc>
          <w:tcPr>
            <w:tcW w:w="36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bl>
    <w:p>
      <w:pPr>
        <w:spacing w:after="0" w:line="60" w:lineRule="exact"/>
        <w:rPr>
          <w:sz w:val="24"/>
          <w:szCs w:val="24"/>
          <w:color w:val="auto"/>
        </w:rPr>
      </w:pPr>
    </w:p>
    <w:p>
      <w:pPr>
        <w:spacing w:after="0" w:line="226"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83"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Indicate by check mark whether the registrant is a shell company (as defined in Rule 12b-2 of the Act).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190" w:lineRule="exact"/>
        <w:rPr>
          <w:sz w:val="24"/>
          <w:szCs w:val="24"/>
          <w:color w:val="auto"/>
        </w:rPr>
      </w:pPr>
    </w:p>
    <w:p>
      <w:pPr>
        <w:ind w:right="920"/>
        <w:spacing w:after="0" w:line="235" w:lineRule="auto"/>
        <w:rPr>
          <w:sz w:val="20"/>
          <w:szCs w:val="20"/>
          <w:color w:val="auto"/>
        </w:rPr>
      </w:pPr>
      <w:r>
        <w:rPr>
          <w:rFonts w:ascii="Arial" w:cs="Arial" w:eastAsia="Arial" w:hAnsi="Arial"/>
          <w:sz w:val="18"/>
          <w:szCs w:val="18"/>
          <w:color w:val="auto"/>
        </w:rPr>
        <w:t>Aggregate market value of the registrant’s common equity held by non-affiliates on June 30, 2017, based on the closing price for the Company’s Class B Common Stock on the New York Stock Exchange on such date: approximately $2,670,000,000.</w:t>
      </w:r>
    </w:p>
    <w:p>
      <w:pPr>
        <w:spacing w:after="0" w:line="94" w:lineRule="exact"/>
        <w:rPr>
          <w:sz w:val="24"/>
          <w:szCs w:val="24"/>
          <w:color w:val="auto"/>
        </w:rPr>
      </w:pPr>
    </w:p>
    <w:p>
      <w:pPr>
        <w:spacing w:after="0"/>
        <w:rPr>
          <w:sz w:val="20"/>
          <w:szCs w:val="20"/>
          <w:color w:val="auto"/>
        </w:rPr>
      </w:pPr>
      <w:r>
        <w:rPr>
          <w:rFonts w:ascii="Arial" w:cs="Arial" w:eastAsia="Arial" w:hAnsi="Arial"/>
          <w:sz w:val="18"/>
          <w:szCs w:val="18"/>
          <w:color w:val="auto"/>
        </w:rPr>
        <w:t>Shares of common stock outstanding at February 16, 2018:</w:t>
      </w:r>
    </w:p>
    <w:p>
      <w:pPr>
        <w:spacing w:after="0" w:line="171"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Class A Common Stock – 964,001 shares</w:t>
      </w:r>
    </w:p>
    <w:p>
      <w:pPr>
        <w:spacing w:after="0" w:line="9"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Class B Common Stock – 4,539,102 shares</w:t>
      </w:r>
    </w:p>
    <w:p>
      <w:pPr>
        <w:spacing w:after="0" w:line="117"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Documents partially incorporated by reference:</w:t>
      </w:r>
    </w:p>
    <w:p>
      <w:pPr>
        <w:spacing w:after="0" w:line="63" w:lineRule="exact"/>
        <w:rPr>
          <w:sz w:val="24"/>
          <w:szCs w:val="24"/>
          <w:color w:val="auto"/>
        </w:rPr>
      </w:pPr>
    </w:p>
    <w:p>
      <w:pPr>
        <w:jc w:val="both"/>
        <w:ind w:left="2340" w:right="2380" w:firstLine="54"/>
        <w:spacing w:after="0" w:line="291" w:lineRule="auto"/>
        <w:rPr>
          <w:sz w:val="20"/>
          <w:szCs w:val="20"/>
          <w:color w:val="auto"/>
        </w:rPr>
      </w:pPr>
      <w:r>
        <w:rPr>
          <w:rFonts w:ascii="Arial" w:cs="Arial" w:eastAsia="Arial" w:hAnsi="Arial"/>
          <w:sz w:val="17"/>
          <w:szCs w:val="17"/>
          <w:color w:val="auto"/>
        </w:rPr>
        <w:t>Definitive Proxy Statement for the registrant’s 2018 Annual Meeting of Stockholders (incorporated in Part III to the extent provided in Items 10, 11, 12, 13 and 14 hereof).</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82550</wp:posOffset>
            </wp:positionH>
            <wp:positionV relativeFrom="paragraph">
              <wp:posOffset>137160</wp:posOffset>
            </wp:positionV>
            <wp:extent cx="710057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00570" cy="8890"/>
                    </a:xfrm>
                    <a:prstGeom prst="rect">
                      <a:avLst/>
                    </a:prstGeom>
                    <a:noFill/>
                  </pic:spPr>
                </pic:pic>
              </a:graphicData>
            </a:graphic>
          </wp:anchor>
        </w:drawing>
      </w:r>
    </w:p>
    <w:p>
      <w:pPr>
        <w:sectPr>
          <w:pgSz w:w="11900" w:h="16838" w:orient="portrait"/>
          <w:cols w:equalWidth="0" w:num="1">
            <w:col w:w="11420"/>
          </w:cols>
          <w:pgMar w:left="240" w:top="876" w:right="239" w:bottom="1440" w:gutter="0" w:footer="0" w:header="0"/>
        </w:sectPr>
      </w:pPr>
    </w:p>
    <w:bookmarkStart w:id="1" w:name="page2"/>
    <w:bookmarkEnd w:id="1"/>
    <w:p>
      <w:pPr>
        <w:jc w:val="center"/>
        <w:ind w:left="980"/>
        <w:spacing w:after="0"/>
        <w:rPr>
          <w:sz w:val="20"/>
          <w:szCs w:val="20"/>
          <w:color w:val="auto"/>
        </w:rPr>
      </w:pPr>
      <w:r>
        <w:rPr>
          <w:rFonts w:ascii="Arial" w:cs="Arial" w:eastAsia="Arial" w:hAnsi="Arial"/>
          <w:sz w:val="18"/>
          <w:szCs w:val="18"/>
          <w:color w:val="auto"/>
        </w:rPr>
        <w:t>GRAHAM HOLDINGS COMPANY 2017 FORM 10-K</w:t>
      </w:r>
    </w:p>
    <w:p>
      <w:pPr>
        <w:spacing w:after="0" w:line="200" w:lineRule="exact"/>
        <w:rPr>
          <w:sz w:val="20"/>
          <w:szCs w:val="20"/>
          <w:color w:val="auto"/>
        </w:rPr>
      </w:pPr>
    </w:p>
    <w:p>
      <w:pPr>
        <w:spacing w:after="0" w:line="225" w:lineRule="exact"/>
        <w:rPr>
          <w:sz w:val="20"/>
          <w:szCs w:val="20"/>
          <w:color w:val="auto"/>
        </w:rPr>
      </w:pPr>
    </w:p>
    <w:p>
      <w:pPr>
        <w:spacing w:after="0"/>
        <w:tabs>
          <w:tab w:leader="none" w:pos="1020" w:val="left"/>
        </w:tabs>
        <w:rPr>
          <w:sz w:val="20"/>
          <w:szCs w:val="20"/>
          <w:color w:val="auto"/>
        </w:rPr>
      </w:pPr>
      <w:r>
        <w:rPr>
          <w:rFonts w:ascii="Arial" w:cs="Arial" w:eastAsia="Arial" w:hAnsi="Arial"/>
          <w:sz w:val="15"/>
          <w:szCs w:val="15"/>
          <w:color w:val="auto"/>
        </w:rPr>
        <w:t>Item 1.</w:t>
      </w:r>
      <w:r>
        <w:rPr>
          <w:sz w:val="20"/>
          <w:szCs w:val="20"/>
          <w:color w:val="auto"/>
        </w:rPr>
        <w:tab/>
      </w:r>
      <w:r>
        <w:rPr>
          <w:rFonts w:ascii="Arial" w:cs="Arial" w:eastAsia="Arial" w:hAnsi="Arial"/>
          <w:sz w:val="15"/>
          <w:szCs w:val="15"/>
          <w:color w:val="auto"/>
        </w:rPr>
        <w:t>Business</w:t>
      </w:r>
    </w:p>
    <w:p>
      <w:pPr>
        <w:spacing w:after="0" w:line="98" w:lineRule="exact"/>
        <w:rPr>
          <w:sz w:val="20"/>
          <w:szCs w:val="20"/>
          <w:color w:val="auto"/>
        </w:rPr>
      </w:pPr>
    </w:p>
    <w:p>
      <w:pPr>
        <w:ind w:left="1040"/>
        <w:spacing w:after="0"/>
        <w:rPr>
          <w:sz w:val="20"/>
          <w:szCs w:val="20"/>
          <w:color w:val="auto"/>
        </w:rPr>
      </w:pPr>
      <w:r>
        <w:rPr>
          <w:rFonts w:ascii="Arial" w:cs="Arial" w:eastAsia="Arial" w:hAnsi="Arial"/>
          <w:sz w:val="15"/>
          <w:szCs w:val="15"/>
          <w:color w:val="auto"/>
        </w:rPr>
        <w:t>Education</w:t>
      </w:r>
    </w:p>
    <w:p>
      <w:pPr>
        <w:spacing w:after="0" w:line="98" w:lineRule="exact"/>
        <w:rPr>
          <w:sz w:val="20"/>
          <w:szCs w:val="20"/>
          <w:color w:val="auto"/>
        </w:rPr>
      </w:pPr>
    </w:p>
    <w:p>
      <w:pPr>
        <w:ind w:left="1040"/>
        <w:spacing w:after="0"/>
        <w:rPr>
          <w:sz w:val="20"/>
          <w:szCs w:val="20"/>
          <w:color w:val="auto"/>
        </w:rPr>
      </w:pPr>
      <w:r>
        <w:rPr>
          <w:rFonts w:ascii="Arial" w:cs="Arial" w:eastAsia="Arial" w:hAnsi="Arial"/>
          <w:sz w:val="15"/>
          <w:szCs w:val="15"/>
          <w:color w:val="auto"/>
        </w:rPr>
        <w:t>Television Broadcasting</w:t>
      </w:r>
    </w:p>
    <w:p>
      <w:pPr>
        <w:spacing w:after="0" w:line="98" w:lineRule="exact"/>
        <w:rPr>
          <w:sz w:val="20"/>
          <w:szCs w:val="20"/>
          <w:color w:val="auto"/>
        </w:rPr>
      </w:pPr>
    </w:p>
    <w:p>
      <w:pPr>
        <w:ind w:left="1040"/>
        <w:spacing w:after="0"/>
        <w:rPr>
          <w:sz w:val="20"/>
          <w:szCs w:val="20"/>
          <w:color w:val="auto"/>
        </w:rPr>
      </w:pPr>
      <w:r>
        <w:rPr>
          <w:rFonts w:ascii="Arial" w:cs="Arial" w:eastAsia="Arial" w:hAnsi="Arial"/>
          <w:sz w:val="15"/>
          <w:szCs w:val="15"/>
          <w:color w:val="auto"/>
        </w:rPr>
        <w:t>Other Activities</w:t>
      </w:r>
    </w:p>
    <w:p>
      <w:pPr>
        <w:spacing w:after="0" w:line="98" w:lineRule="exact"/>
        <w:rPr>
          <w:sz w:val="20"/>
          <w:szCs w:val="20"/>
          <w:color w:val="auto"/>
        </w:rPr>
      </w:pPr>
    </w:p>
    <w:p>
      <w:pPr>
        <w:ind w:left="1040"/>
        <w:spacing w:after="0"/>
        <w:rPr>
          <w:sz w:val="20"/>
          <w:szCs w:val="20"/>
          <w:color w:val="auto"/>
        </w:rPr>
      </w:pPr>
      <w:r>
        <w:rPr>
          <w:rFonts w:ascii="Arial" w:cs="Arial" w:eastAsia="Arial" w:hAnsi="Arial"/>
          <w:sz w:val="15"/>
          <w:szCs w:val="15"/>
          <w:color w:val="auto"/>
        </w:rPr>
        <w:t>Competition</w:t>
      </w:r>
    </w:p>
    <w:p>
      <w:pPr>
        <w:spacing w:after="0" w:line="98" w:lineRule="exact"/>
        <w:rPr>
          <w:sz w:val="20"/>
          <w:szCs w:val="20"/>
          <w:color w:val="auto"/>
        </w:rPr>
      </w:pPr>
    </w:p>
    <w:p>
      <w:pPr>
        <w:ind w:left="1040"/>
        <w:spacing w:after="0"/>
        <w:rPr>
          <w:sz w:val="20"/>
          <w:szCs w:val="20"/>
          <w:color w:val="auto"/>
        </w:rPr>
      </w:pPr>
      <w:r>
        <w:rPr>
          <w:rFonts w:ascii="Arial" w:cs="Arial" w:eastAsia="Arial" w:hAnsi="Arial"/>
          <w:sz w:val="15"/>
          <w:szCs w:val="15"/>
          <w:color w:val="auto"/>
        </w:rPr>
        <w:t>Executive Officers</w:t>
      </w:r>
    </w:p>
    <w:p>
      <w:pPr>
        <w:spacing w:after="0" w:line="98" w:lineRule="exact"/>
        <w:rPr>
          <w:sz w:val="20"/>
          <w:szCs w:val="20"/>
          <w:color w:val="auto"/>
        </w:rPr>
      </w:pPr>
    </w:p>
    <w:p>
      <w:pPr>
        <w:ind w:left="1040"/>
        <w:spacing w:after="0"/>
        <w:rPr>
          <w:sz w:val="20"/>
          <w:szCs w:val="20"/>
          <w:color w:val="auto"/>
        </w:rPr>
      </w:pPr>
      <w:r>
        <w:rPr>
          <w:rFonts w:ascii="Arial" w:cs="Arial" w:eastAsia="Arial" w:hAnsi="Arial"/>
          <w:sz w:val="15"/>
          <w:szCs w:val="15"/>
          <w:color w:val="auto"/>
        </w:rPr>
        <w:t>Employees</w:t>
      </w:r>
    </w:p>
    <w:p>
      <w:pPr>
        <w:spacing w:after="0" w:line="98" w:lineRule="exact"/>
        <w:rPr>
          <w:sz w:val="20"/>
          <w:szCs w:val="20"/>
          <w:color w:val="auto"/>
        </w:rPr>
      </w:pPr>
    </w:p>
    <w:p>
      <w:pPr>
        <w:ind w:left="1040"/>
        <w:spacing w:after="0"/>
        <w:rPr>
          <w:sz w:val="20"/>
          <w:szCs w:val="20"/>
          <w:color w:val="auto"/>
        </w:rPr>
      </w:pPr>
      <w:r>
        <w:rPr>
          <w:rFonts w:ascii="Arial" w:cs="Arial" w:eastAsia="Arial" w:hAnsi="Arial"/>
          <w:sz w:val="15"/>
          <w:szCs w:val="15"/>
          <w:color w:val="auto"/>
        </w:rPr>
        <w:t>Forward-Looking Statements</w:t>
      </w:r>
    </w:p>
    <w:p>
      <w:pPr>
        <w:spacing w:after="0" w:line="98" w:lineRule="exact"/>
        <w:rPr>
          <w:sz w:val="20"/>
          <w:szCs w:val="20"/>
          <w:color w:val="auto"/>
        </w:rPr>
      </w:pPr>
    </w:p>
    <w:p>
      <w:pPr>
        <w:ind w:left="1040"/>
        <w:spacing w:after="0"/>
        <w:rPr>
          <w:sz w:val="20"/>
          <w:szCs w:val="20"/>
          <w:color w:val="auto"/>
        </w:rPr>
      </w:pPr>
      <w:r>
        <w:rPr>
          <w:rFonts w:ascii="Arial" w:cs="Arial" w:eastAsia="Arial" w:hAnsi="Arial"/>
          <w:sz w:val="15"/>
          <w:szCs w:val="15"/>
          <w:color w:val="auto"/>
        </w:rPr>
        <w:t>Available Information</w:t>
      </w:r>
    </w:p>
    <w:p>
      <w:pPr>
        <w:spacing w:after="0" w:line="98" w:lineRule="exact"/>
        <w:rPr>
          <w:sz w:val="20"/>
          <w:szCs w:val="20"/>
          <w:color w:val="auto"/>
        </w:rPr>
      </w:pPr>
    </w:p>
    <w:p>
      <w:pPr>
        <w:spacing w:after="0"/>
        <w:tabs>
          <w:tab w:leader="none" w:pos="1020" w:val="left"/>
        </w:tabs>
        <w:rPr>
          <w:sz w:val="20"/>
          <w:szCs w:val="20"/>
          <w:color w:val="auto"/>
        </w:rPr>
      </w:pPr>
      <w:r>
        <w:rPr>
          <w:rFonts w:ascii="Arial" w:cs="Arial" w:eastAsia="Arial" w:hAnsi="Arial"/>
          <w:sz w:val="15"/>
          <w:szCs w:val="15"/>
          <w:color w:val="auto"/>
        </w:rPr>
        <w:t>Item 1A.</w:t>
      </w:r>
      <w:r>
        <w:rPr>
          <w:sz w:val="20"/>
          <w:szCs w:val="20"/>
          <w:color w:val="auto"/>
        </w:rPr>
        <w:tab/>
      </w:r>
      <w:r>
        <w:rPr>
          <w:rFonts w:ascii="Arial" w:cs="Arial" w:eastAsia="Arial" w:hAnsi="Arial"/>
          <w:sz w:val="15"/>
          <w:szCs w:val="15"/>
          <w:color w:val="auto"/>
        </w:rPr>
        <w:t>Risk Factors</w:t>
      </w:r>
    </w:p>
    <w:p>
      <w:pPr>
        <w:spacing w:after="0" w:line="98" w:lineRule="exact"/>
        <w:rPr>
          <w:sz w:val="20"/>
          <w:szCs w:val="20"/>
          <w:color w:val="auto"/>
        </w:rPr>
      </w:pPr>
    </w:p>
    <w:p>
      <w:pPr>
        <w:spacing w:after="0"/>
        <w:tabs>
          <w:tab w:leader="none" w:pos="1020" w:val="left"/>
        </w:tabs>
        <w:rPr>
          <w:sz w:val="20"/>
          <w:szCs w:val="20"/>
          <w:color w:val="auto"/>
        </w:rPr>
      </w:pPr>
      <w:r>
        <w:rPr>
          <w:rFonts w:ascii="Arial" w:cs="Arial" w:eastAsia="Arial" w:hAnsi="Arial"/>
          <w:sz w:val="15"/>
          <w:szCs w:val="15"/>
          <w:color w:val="auto"/>
        </w:rPr>
        <w:t>Item 1B.</w:t>
      </w:r>
      <w:r>
        <w:rPr>
          <w:sz w:val="20"/>
          <w:szCs w:val="20"/>
          <w:color w:val="auto"/>
        </w:rPr>
        <w:tab/>
      </w:r>
      <w:r>
        <w:rPr>
          <w:rFonts w:ascii="Arial" w:cs="Arial" w:eastAsia="Arial" w:hAnsi="Arial"/>
          <w:sz w:val="15"/>
          <w:szCs w:val="15"/>
          <w:color w:val="auto"/>
        </w:rPr>
        <w:t>Unresolved Staff Comments</w:t>
      </w:r>
    </w:p>
    <w:p>
      <w:pPr>
        <w:spacing w:after="0" w:line="98" w:lineRule="exact"/>
        <w:rPr>
          <w:sz w:val="20"/>
          <w:szCs w:val="20"/>
          <w:color w:val="auto"/>
        </w:rPr>
      </w:pPr>
    </w:p>
    <w:p>
      <w:pPr>
        <w:spacing w:after="0"/>
        <w:tabs>
          <w:tab w:leader="none" w:pos="1020" w:val="left"/>
        </w:tabs>
        <w:rPr>
          <w:sz w:val="20"/>
          <w:szCs w:val="20"/>
          <w:color w:val="auto"/>
        </w:rPr>
      </w:pPr>
      <w:r>
        <w:rPr>
          <w:rFonts w:ascii="Arial" w:cs="Arial" w:eastAsia="Arial" w:hAnsi="Arial"/>
          <w:sz w:val="15"/>
          <w:szCs w:val="15"/>
          <w:color w:val="auto"/>
        </w:rPr>
        <w:t>Item 2.</w:t>
      </w:r>
      <w:r>
        <w:rPr>
          <w:sz w:val="20"/>
          <w:szCs w:val="20"/>
          <w:color w:val="auto"/>
        </w:rPr>
        <w:tab/>
      </w:r>
      <w:r>
        <w:rPr>
          <w:rFonts w:ascii="Arial" w:cs="Arial" w:eastAsia="Arial" w:hAnsi="Arial"/>
          <w:sz w:val="15"/>
          <w:szCs w:val="15"/>
          <w:color w:val="auto"/>
        </w:rPr>
        <w:t>Properties</w:t>
      </w:r>
    </w:p>
    <w:p>
      <w:pPr>
        <w:spacing w:after="0" w:line="98" w:lineRule="exact"/>
        <w:rPr>
          <w:sz w:val="20"/>
          <w:szCs w:val="20"/>
          <w:color w:val="auto"/>
        </w:rPr>
      </w:pPr>
    </w:p>
    <w:p>
      <w:pPr>
        <w:spacing w:after="0"/>
        <w:tabs>
          <w:tab w:leader="none" w:pos="1020" w:val="left"/>
        </w:tabs>
        <w:rPr>
          <w:sz w:val="20"/>
          <w:szCs w:val="20"/>
          <w:color w:val="auto"/>
        </w:rPr>
      </w:pPr>
      <w:r>
        <w:rPr>
          <w:rFonts w:ascii="Arial" w:cs="Arial" w:eastAsia="Arial" w:hAnsi="Arial"/>
          <w:sz w:val="15"/>
          <w:szCs w:val="15"/>
          <w:color w:val="auto"/>
        </w:rPr>
        <w:t>Item 3.</w:t>
      </w:r>
      <w:r>
        <w:rPr>
          <w:sz w:val="20"/>
          <w:szCs w:val="20"/>
          <w:color w:val="auto"/>
        </w:rPr>
        <w:tab/>
      </w:r>
      <w:r>
        <w:rPr>
          <w:rFonts w:ascii="Arial" w:cs="Arial" w:eastAsia="Arial" w:hAnsi="Arial"/>
          <w:sz w:val="15"/>
          <w:szCs w:val="15"/>
          <w:color w:val="auto"/>
        </w:rPr>
        <w:t>Legal Proceedings</w:t>
      </w:r>
    </w:p>
    <w:p>
      <w:pPr>
        <w:spacing w:after="0" w:line="98" w:lineRule="exact"/>
        <w:rPr>
          <w:sz w:val="20"/>
          <w:szCs w:val="20"/>
          <w:color w:val="auto"/>
        </w:rPr>
      </w:pPr>
    </w:p>
    <w:p>
      <w:pPr>
        <w:spacing w:after="0"/>
        <w:tabs>
          <w:tab w:leader="none" w:pos="1020" w:val="left"/>
        </w:tabs>
        <w:rPr>
          <w:sz w:val="20"/>
          <w:szCs w:val="20"/>
          <w:color w:val="auto"/>
        </w:rPr>
      </w:pPr>
      <w:r>
        <w:rPr>
          <w:rFonts w:ascii="Arial" w:cs="Arial" w:eastAsia="Arial" w:hAnsi="Arial"/>
          <w:sz w:val="15"/>
          <w:szCs w:val="15"/>
          <w:color w:val="auto"/>
        </w:rPr>
        <w:t>Item 4.</w:t>
      </w:r>
      <w:r>
        <w:rPr>
          <w:sz w:val="20"/>
          <w:szCs w:val="20"/>
          <w:color w:val="auto"/>
        </w:rPr>
        <w:tab/>
      </w:r>
      <w:r>
        <w:rPr>
          <w:rFonts w:ascii="Arial" w:cs="Arial" w:eastAsia="Arial" w:hAnsi="Arial"/>
          <w:sz w:val="15"/>
          <w:szCs w:val="15"/>
          <w:color w:val="auto"/>
        </w:rPr>
        <w:t>Mine Safety Disclosures</w:t>
      </w:r>
    </w:p>
    <w:p>
      <w:pPr>
        <w:spacing w:after="0" w:line="98" w:lineRule="exact"/>
        <w:rPr>
          <w:sz w:val="20"/>
          <w:szCs w:val="20"/>
          <w:color w:val="auto"/>
        </w:rPr>
      </w:pPr>
    </w:p>
    <w:p>
      <w:pPr>
        <w:spacing w:after="0"/>
        <w:tabs>
          <w:tab w:leader="none" w:pos="1020" w:val="left"/>
        </w:tabs>
        <w:rPr>
          <w:sz w:val="20"/>
          <w:szCs w:val="20"/>
          <w:color w:val="auto"/>
        </w:rPr>
      </w:pPr>
      <w:r>
        <w:rPr>
          <w:rFonts w:ascii="Arial" w:cs="Arial" w:eastAsia="Arial" w:hAnsi="Arial"/>
          <w:sz w:val="15"/>
          <w:szCs w:val="15"/>
          <w:color w:val="auto"/>
        </w:rPr>
        <w:t>Item 5.</w:t>
      </w:r>
      <w:r>
        <w:rPr>
          <w:sz w:val="20"/>
          <w:szCs w:val="20"/>
          <w:color w:val="auto"/>
        </w:rPr>
        <w:tab/>
      </w:r>
      <w:r>
        <w:rPr>
          <w:rFonts w:ascii="Arial" w:cs="Arial" w:eastAsia="Arial" w:hAnsi="Arial"/>
          <w:sz w:val="15"/>
          <w:szCs w:val="15"/>
          <w:color w:val="auto"/>
        </w:rPr>
        <w:t>Market for the Registrant’s Common Equity, Related Stockholder Matters and Issuer Purchases of Equity Securities</w:t>
      </w:r>
    </w:p>
    <w:p>
      <w:pPr>
        <w:spacing w:after="0" w:line="98" w:lineRule="exact"/>
        <w:rPr>
          <w:sz w:val="20"/>
          <w:szCs w:val="20"/>
          <w:color w:val="auto"/>
        </w:rPr>
      </w:pPr>
    </w:p>
    <w:p>
      <w:pPr>
        <w:spacing w:after="0"/>
        <w:tabs>
          <w:tab w:leader="none" w:pos="1020" w:val="left"/>
        </w:tabs>
        <w:rPr>
          <w:sz w:val="20"/>
          <w:szCs w:val="20"/>
          <w:color w:val="auto"/>
        </w:rPr>
      </w:pPr>
      <w:r>
        <w:rPr>
          <w:rFonts w:ascii="Arial" w:cs="Arial" w:eastAsia="Arial" w:hAnsi="Arial"/>
          <w:sz w:val="15"/>
          <w:szCs w:val="15"/>
          <w:color w:val="auto"/>
        </w:rPr>
        <w:t>Item 6.</w:t>
      </w:r>
      <w:r>
        <w:rPr>
          <w:sz w:val="20"/>
          <w:szCs w:val="20"/>
          <w:color w:val="auto"/>
        </w:rPr>
        <w:tab/>
      </w:r>
      <w:r>
        <w:rPr>
          <w:rFonts w:ascii="Arial" w:cs="Arial" w:eastAsia="Arial" w:hAnsi="Arial"/>
          <w:sz w:val="15"/>
          <w:szCs w:val="15"/>
          <w:color w:val="auto"/>
        </w:rPr>
        <w:t>Selected Financial Data</w:t>
      </w:r>
    </w:p>
    <w:p>
      <w:pPr>
        <w:spacing w:after="0" w:line="98" w:lineRule="exact"/>
        <w:rPr>
          <w:sz w:val="20"/>
          <w:szCs w:val="20"/>
          <w:color w:val="auto"/>
        </w:rPr>
      </w:pPr>
    </w:p>
    <w:p>
      <w:pPr>
        <w:spacing w:after="0"/>
        <w:tabs>
          <w:tab w:leader="none" w:pos="1020" w:val="left"/>
        </w:tabs>
        <w:rPr>
          <w:sz w:val="20"/>
          <w:szCs w:val="20"/>
          <w:color w:val="auto"/>
        </w:rPr>
      </w:pPr>
      <w:r>
        <w:rPr>
          <w:rFonts w:ascii="Arial" w:cs="Arial" w:eastAsia="Arial" w:hAnsi="Arial"/>
          <w:sz w:val="15"/>
          <w:szCs w:val="15"/>
          <w:color w:val="auto"/>
        </w:rPr>
        <w:t>Item 7.</w:t>
      </w:r>
      <w:r>
        <w:rPr>
          <w:sz w:val="20"/>
          <w:szCs w:val="20"/>
          <w:color w:val="auto"/>
        </w:rPr>
        <w:tab/>
      </w:r>
      <w:r>
        <w:rPr>
          <w:rFonts w:ascii="Arial" w:cs="Arial" w:eastAsia="Arial" w:hAnsi="Arial"/>
          <w:sz w:val="15"/>
          <w:szCs w:val="15"/>
          <w:color w:val="auto"/>
        </w:rPr>
        <w:t>Management’s Discussion and Analysis of Financial Condition and Results of Operations</w:t>
      </w:r>
    </w:p>
    <w:p>
      <w:pPr>
        <w:spacing w:after="0" w:line="98" w:lineRule="exact"/>
        <w:rPr>
          <w:sz w:val="20"/>
          <w:szCs w:val="20"/>
          <w:color w:val="auto"/>
        </w:rPr>
      </w:pPr>
    </w:p>
    <w:p>
      <w:pPr>
        <w:spacing w:after="0"/>
        <w:tabs>
          <w:tab w:leader="none" w:pos="1020" w:val="left"/>
        </w:tabs>
        <w:rPr>
          <w:sz w:val="20"/>
          <w:szCs w:val="20"/>
          <w:color w:val="auto"/>
        </w:rPr>
      </w:pPr>
      <w:r>
        <w:rPr>
          <w:rFonts w:ascii="Arial" w:cs="Arial" w:eastAsia="Arial" w:hAnsi="Arial"/>
          <w:sz w:val="15"/>
          <w:szCs w:val="15"/>
          <w:color w:val="auto"/>
        </w:rPr>
        <w:t>Item 7A.</w:t>
      </w:r>
      <w:r>
        <w:rPr>
          <w:sz w:val="20"/>
          <w:szCs w:val="20"/>
          <w:color w:val="auto"/>
        </w:rPr>
        <w:tab/>
      </w:r>
      <w:r>
        <w:rPr>
          <w:rFonts w:ascii="Arial" w:cs="Arial" w:eastAsia="Arial" w:hAnsi="Arial"/>
          <w:sz w:val="15"/>
          <w:szCs w:val="15"/>
          <w:color w:val="auto"/>
        </w:rPr>
        <w:t>Quantitative and Qualitative Disclosures About Market Risk</w:t>
      </w:r>
    </w:p>
    <w:p>
      <w:pPr>
        <w:spacing w:after="0" w:line="98" w:lineRule="exact"/>
        <w:rPr>
          <w:sz w:val="20"/>
          <w:szCs w:val="20"/>
          <w:color w:val="auto"/>
        </w:rPr>
      </w:pPr>
    </w:p>
    <w:p>
      <w:pPr>
        <w:spacing w:after="0"/>
        <w:tabs>
          <w:tab w:leader="none" w:pos="1020" w:val="left"/>
        </w:tabs>
        <w:rPr>
          <w:sz w:val="20"/>
          <w:szCs w:val="20"/>
          <w:color w:val="auto"/>
        </w:rPr>
      </w:pPr>
      <w:r>
        <w:rPr>
          <w:rFonts w:ascii="Arial" w:cs="Arial" w:eastAsia="Arial" w:hAnsi="Arial"/>
          <w:sz w:val="15"/>
          <w:szCs w:val="15"/>
          <w:color w:val="auto"/>
        </w:rPr>
        <w:t>Item 8.</w:t>
      </w:r>
      <w:r>
        <w:rPr>
          <w:sz w:val="20"/>
          <w:szCs w:val="20"/>
          <w:color w:val="auto"/>
        </w:rPr>
        <w:tab/>
      </w:r>
      <w:r>
        <w:rPr>
          <w:rFonts w:ascii="Arial" w:cs="Arial" w:eastAsia="Arial" w:hAnsi="Arial"/>
          <w:sz w:val="15"/>
          <w:szCs w:val="15"/>
          <w:color w:val="auto"/>
        </w:rPr>
        <w:t>Financial Statements and Supplementary Data</w:t>
      </w:r>
    </w:p>
    <w:p>
      <w:pPr>
        <w:spacing w:after="0" w:line="98" w:lineRule="exact"/>
        <w:rPr>
          <w:sz w:val="20"/>
          <w:szCs w:val="20"/>
          <w:color w:val="auto"/>
        </w:rPr>
      </w:pPr>
    </w:p>
    <w:p>
      <w:pPr>
        <w:spacing w:after="0"/>
        <w:tabs>
          <w:tab w:leader="none" w:pos="1020" w:val="left"/>
        </w:tabs>
        <w:rPr>
          <w:sz w:val="20"/>
          <w:szCs w:val="20"/>
          <w:color w:val="auto"/>
        </w:rPr>
      </w:pPr>
      <w:r>
        <w:rPr>
          <w:rFonts w:ascii="Arial" w:cs="Arial" w:eastAsia="Arial" w:hAnsi="Arial"/>
          <w:sz w:val="15"/>
          <w:szCs w:val="15"/>
          <w:color w:val="auto"/>
        </w:rPr>
        <w:t>Item 9.</w:t>
      </w:r>
      <w:r>
        <w:rPr>
          <w:sz w:val="20"/>
          <w:szCs w:val="20"/>
          <w:color w:val="auto"/>
        </w:rPr>
        <w:tab/>
      </w:r>
      <w:r>
        <w:rPr>
          <w:rFonts w:ascii="Arial" w:cs="Arial" w:eastAsia="Arial" w:hAnsi="Arial"/>
          <w:sz w:val="15"/>
          <w:szCs w:val="15"/>
          <w:color w:val="auto"/>
        </w:rPr>
        <w:t>Changes in and Disagreements With Accountants on Accounting and Financial Disclosure</w:t>
      </w:r>
    </w:p>
    <w:p>
      <w:pPr>
        <w:spacing w:after="0" w:line="98" w:lineRule="exact"/>
        <w:rPr>
          <w:sz w:val="20"/>
          <w:szCs w:val="20"/>
          <w:color w:val="auto"/>
        </w:rPr>
      </w:pPr>
    </w:p>
    <w:p>
      <w:pPr>
        <w:spacing w:after="0"/>
        <w:tabs>
          <w:tab w:leader="none" w:pos="1020" w:val="left"/>
        </w:tabs>
        <w:rPr>
          <w:sz w:val="20"/>
          <w:szCs w:val="20"/>
          <w:color w:val="auto"/>
        </w:rPr>
      </w:pPr>
      <w:r>
        <w:rPr>
          <w:rFonts w:ascii="Arial" w:cs="Arial" w:eastAsia="Arial" w:hAnsi="Arial"/>
          <w:sz w:val="15"/>
          <w:szCs w:val="15"/>
          <w:color w:val="auto"/>
        </w:rPr>
        <w:t>Item 9A.</w:t>
      </w:r>
      <w:r>
        <w:rPr>
          <w:sz w:val="20"/>
          <w:szCs w:val="20"/>
          <w:color w:val="auto"/>
        </w:rPr>
        <w:tab/>
      </w:r>
      <w:r>
        <w:rPr>
          <w:rFonts w:ascii="Arial" w:cs="Arial" w:eastAsia="Arial" w:hAnsi="Arial"/>
          <w:sz w:val="15"/>
          <w:szCs w:val="15"/>
          <w:color w:val="auto"/>
        </w:rPr>
        <w:t>Controls and Procedures</w:t>
      </w:r>
    </w:p>
    <w:p>
      <w:pPr>
        <w:spacing w:after="0" w:line="98" w:lineRule="exact"/>
        <w:rPr>
          <w:sz w:val="20"/>
          <w:szCs w:val="20"/>
          <w:color w:val="auto"/>
        </w:rPr>
      </w:pPr>
    </w:p>
    <w:p>
      <w:pPr>
        <w:spacing w:after="0"/>
        <w:tabs>
          <w:tab w:leader="none" w:pos="1020" w:val="left"/>
        </w:tabs>
        <w:rPr>
          <w:sz w:val="20"/>
          <w:szCs w:val="20"/>
          <w:color w:val="auto"/>
        </w:rPr>
      </w:pPr>
      <w:r>
        <w:rPr>
          <w:rFonts w:ascii="Arial" w:cs="Arial" w:eastAsia="Arial" w:hAnsi="Arial"/>
          <w:sz w:val="15"/>
          <w:szCs w:val="15"/>
          <w:color w:val="auto"/>
        </w:rPr>
        <w:t>Item 9B.</w:t>
      </w:r>
      <w:r>
        <w:rPr>
          <w:sz w:val="20"/>
          <w:szCs w:val="20"/>
          <w:color w:val="auto"/>
        </w:rPr>
        <w:tab/>
      </w:r>
      <w:r>
        <w:rPr>
          <w:rFonts w:ascii="Arial" w:cs="Arial" w:eastAsia="Arial" w:hAnsi="Arial"/>
          <w:sz w:val="15"/>
          <w:szCs w:val="15"/>
          <w:color w:val="auto"/>
        </w:rPr>
        <w:t>Other Information</w:t>
      </w:r>
    </w:p>
    <w:p>
      <w:pPr>
        <w:spacing w:after="0" w:line="98" w:lineRule="exact"/>
        <w:rPr>
          <w:sz w:val="20"/>
          <w:szCs w:val="20"/>
          <w:color w:val="auto"/>
        </w:rPr>
      </w:pPr>
    </w:p>
    <w:p>
      <w:pPr>
        <w:spacing w:after="0"/>
        <w:tabs>
          <w:tab w:leader="none" w:pos="1020" w:val="left"/>
        </w:tabs>
        <w:rPr>
          <w:sz w:val="20"/>
          <w:szCs w:val="20"/>
          <w:color w:val="auto"/>
        </w:rPr>
      </w:pPr>
      <w:r>
        <w:rPr>
          <w:rFonts w:ascii="Arial" w:cs="Arial" w:eastAsia="Arial" w:hAnsi="Arial"/>
          <w:sz w:val="15"/>
          <w:szCs w:val="15"/>
          <w:color w:val="auto"/>
        </w:rPr>
        <w:t>Item 10.</w:t>
      </w:r>
      <w:r>
        <w:rPr>
          <w:sz w:val="20"/>
          <w:szCs w:val="20"/>
          <w:color w:val="auto"/>
        </w:rPr>
        <w:tab/>
      </w:r>
      <w:r>
        <w:rPr>
          <w:rFonts w:ascii="Arial" w:cs="Arial" w:eastAsia="Arial" w:hAnsi="Arial"/>
          <w:sz w:val="15"/>
          <w:szCs w:val="15"/>
          <w:color w:val="auto"/>
        </w:rPr>
        <w:t>Directors, Executive Officers and Corporate Governance</w:t>
      </w:r>
    </w:p>
    <w:p>
      <w:pPr>
        <w:spacing w:after="0" w:line="98" w:lineRule="exact"/>
        <w:rPr>
          <w:sz w:val="20"/>
          <w:szCs w:val="20"/>
          <w:color w:val="auto"/>
        </w:rPr>
      </w:pPr>
    </w:p>
    <w:p>
      <w:pPr>
        <w:spacing w:after="0"/>
        <w:tabs>
          <w:tab w:leader="none" w:pos="1020" w:val="left"/>
        </w:tabs>
        <w:rPr>
          <w:sz w:val="20"/>
          <w:szCs w:val="20"/>
          <w:color w:val="auto"/>
        </w:rPr>
      </w:pPr>
      <w:r>
        <w:rPr>
          <w:rFonts w:ascii="Arial" w:cs="Arial" w:eastAsia="Arial" w:hAnsi="Arial"/>
          <w:sz w:val="15"/>
          <w:szCs w:val="15"/>
          <w:color w:val="auto"/>
        </w:rPr>
        <w:t>Item 11.</w:t>
      </w:r>
      <w:r>
        <w:rPr>
          <w:sz w:val="20"/>
          <w:szCs w:val="20"/>
          <w:color w:val="auto"/>
        </w:rPr>
        <w:tab/>
      </w:r>
      <w:r>
        <w:rPr>
          <w:rFonts w:ascii="Arial" w:cs="Arial" w:eastAsia="Arial" w:hAnsi="Arial"/>
          <w:sz w:val="15"/>
          <w:szCs w:val="15"/>
          <w:color w:val="auto"/>
        </w:rPr>
        <w:t>Executive Compensation</w:t>
      </w:r>
    </w:p>
    <w:p>
      <w:pPr>
        <w:spacing w:after="0" w:line="98" w:lineRule="exact"/>
        <w:rPr>
          <w:sz w:val="20"/>
          <w:szCs w:val="20"/>
          <w:color w:val="auto"/>
        </w:rPr>
      </w:pPr>
    </w:p>
    <w:p>
      <w:pPr>
        <w:spacing w:after="0"/>
        <w:tabs>
          <w:tab w:leader="none" w:pos="1020" w:val="left"/>
        </w:tabs>
        <w:rPr>
          <w:sz w:val="20"/>
          <w:szCs w:val="20"/>
          <w:color w:val="auto"/>
        </w:rPr>
      </w:pPr>
      <w:r>
        <w:rPr>
          <w:rFonts w:ascii="Arial" w:cs="Arial" w:eastAsia="Arial" w:hAnsi="Arial"/>
          <w:sz w:val="15"/>
          <w:szCs w:val="15"/>
          <w:color w:val="auto"/>
        </w:rPr>
        <w:t>Item 12.</w:t>
      </w:r>
      <w:r>
        <w:rPr>
          <w:sz w:val="20"/>
          <w:szCs w:val="20"/>
          <w:color w:val="auto"/>
        </w:rPr>
        <w:tab/>
      </w:r>
      <w:r>
        <w:rPr>
          <w:rFonts w:ascii="Arial" w:cs="Arial" w:eastAsia="Arial" w:hAnsi="Arial"/>
          <w:sz w:val="15"/>
          <w:szCs w:val="15"/>
          <w:color w:val="auto"/>
        </w:rPr>
        <w:t>Security Ownership of Certain Beneficial Owners and Management and Related Stockholder Matters</w:t>
      </w:r>
    </w:p>
    <w:p>
      <w:pPr>
        <w:spacing w:after="0" w:line="98" w:lineRule="exact"/>
        <w:rPr>
          <w:sz w:val="20"/>
          <w:szCs w:val="20"/>
          <w:color w:val="auto"/>
        </w:rPr>
      </w:pPr>
    </w:p>
    <w:p>
      <w:pPr>
        <w:spacing w:after="0"/>
        <w:tabs>
          <w:tab w:leader="none" w:pos="1020" w:val="left"/>
        </w:tabs>
        <w:rPr>
          <w:sz w:val="20"/>
          <w:szCs w:val="20"/>
          <w:color w:val="auto"/>
        </w:rPr>
      </w:pPr>
      <w:r>
        <w:rPr>
          <w:rFonts w:ascii="Arial" w:cs="Arial" w:eastAsia="Arial" w:hAnsi="Arial"/>
          <w:sz w:val="15"/>
          <w:szCs w:val="15"/>
          <w:color w:val="auto"/>
        </w:rPr>
        <w:t>Item 13.</w:t>
      </w:r>
      <w:r>
        <w:rPr>
          <w:sz w:val="20"/>
          <w:szCs w:val="20"/>
          <w:color w:val="auto"/>
        </w:rPr>
        <w:tab/>
      </w:r>
      <w:r>
        <w:rPr>
          <w:rFonts w:ascii="Arial" w:cs="Arial" w:eastAsia="Arial" w:hAnsi="Arial"/>
          <w:sz w:val="15"/>
          <w:szCs w:val="15"/>
          <w:color w:val="auto"/>
        </w:rPr>
        <w:t>Certain Relationships and Related Transactions, and Director Independence</w:t>
      </w:r>
    </w:p>
    <w:p>
      <w:pPr>
        <w:spacing w:after="0" w:line="98" w:lineRule="exact"/>
        <w:rPr>
          <w:sz w:val="20"/>
          <w:szCs w:val="20"/>
          <w:color w:val="auto"/>
        </w:rPr>
      </w:pPr>
    </w:p>
    <w:p>
      <w:pPr>
        <w:spacing w:after="0"/>
        <w:tabs>
          <w:tab w:leader="none" w:pos="1020" w:val="left"/>
        </w:tabs>
        <w:rPr>
          <w:sz w:val="20"/>
          <w:szCs w:val="20"/>
          <w:color w:val="auto"/>
        </w:rPr>
      </w:pPr>
      <w:r>
        <w:rPr>
          <w:rFonts w:ascii="Arial" w:cs="Arial" w:eastAsia="Arial" w:hAnsi="Arial"/>
          <w:sz w:val="15"/>
          <w:szCs w:val="15"/>
          <w:color w:val="auto"/>
        </w:rPr>
        <w:t>Item 14.</w:t>
      </w:r>
      <w:r>
        <w:rPr>
          <w:sz w:val="20"/>
          <w:szCs w:val="20"/>
          <w:color w:val="auto"/>
        </w:rPr>
        <w:tab/>
      </w:r>
      <w:r>
        <w:rPr>
          <w:rFonts w:ascii="Arial" w:cs="Arial" w:eastAsia="Arial" w:hAnsi="Arial"/>
          <w:sz w:val="15"/>
          <w:szCs w:val="15"/>
          <w:color w:val="auto"/>
        </w:rPr>
        <w:t>Principal Accounting Fees and Services</w:t>
      </w:r>
    </w:p>
    <w:p>
      <w:pPr>
        <w:spacing w:after="0" w:line="98" w:lineRule="exact"/>
        <w:rPr>
          <w:sz w:val="20"/>
          <w:szCs w:val="20"/>
          <w:color w:val="auto"/>
        </w:rPr>
      </w:pPr>
    </w:p>
    <w:p>
      <w:pPr>
        <w:spacing w:after="0"/>
        <w:tabs>
          <w:tab w:leader="none" w:pos="1020" w:val="left"/>
        </w:tabs>
        <w:rPr>
          <w:sz w:val="20"/>
          <w:szCs w:val="20"/>
          <w:color w:val="auto"/>
        </w:rPr>
      </w:pPr>
      <w:r>
        <w:rPr>
          <w:rFonts w:ascii="Arial" w:cs="Arial" w:eastAsia="Arial" w:hAnsi="Arial"/>
          <w:sz w:val="15"/>
          <w:szCs w:val="15"/>
          <w:color w:val="auto"/>
        </w:rPr>
        <w:t>Item 15.</w:t>
      </w:r>
      <w:r>
        <w:rPr>
          <w:sz w:val="20"/>
          <w:szCs w:val="20"/>
          <w:color w:val="auto"/>
        </w:rPr>
        <w:tab/>
      </w:r>
      <w:r>
        <w:rPr>
          <w:rFonts w:ascii="Arial" w:cs="Arial" w:eastAsia="Arial" w:hAnsi="Arial"/>
          <w:sz w:val="15"/>
          <w:szCs w:val="15"/>
          <w:color w:val="auto"/>
        </w:rPr>
        <w:t>Exhibits, Financial Statement Schedules</w:t>
      </w:r>
    </w:p>
    <w:p>
      <w:pPr>
        <w:spacing w:after="0" w:line="98" w:lineRule="exact"/>
        <w:rPr>
          <w:sz w:val="20"/>
          <w:szCs w:val="20"/>
          <w:color w:val="auto"/>
        </w:rPr>
      </w:pPr>
    </w:p>
    <w:p>
      <w:pPr>
        <w:spacing w:after="0"/>
        <w:tabs>
          <w:tab w:leader="none" w:pos="1020" w:val="left"/>
        </w:tabs>
        <w:rPr>
          <w:sz w:val="20"/>
          <w:szCs w:val="20"/>
          <w:color w:val="auto"/>
        </w:rPr>
      </w:pPr>
      <w:r>
        <w:rPr>
          <w:rFonts w:ascii="Arial" w:cs="Arial" w:eastAsia="Arial" w:hAnsi="Arial"/>
          <w:sz w:val="15"/>
          <w:szCs w:val="15"/>
          <w:color w:val="auto"/>
        </w:rPr>
        <w:t>Item 16.</w:t>
      </w:r>
      <w:r>
        <w:rPr>
          <w:sz w:val="20"/>
          <w:szCs w:val="20"/>
          <w:color w:val="auto"/>
        </w:rPr>
        <w:tab/>
      </w:r>
      <w:r>
        <w:rPr>
          <w:rFonts w:ascii="Arial" w:cs="Arial" w:eastAsia="Arial" w:hAnsi="Arial"/>
          <w:sz w:val="15"/>
          <w:szCs w:val="15"/>
          <w:color w:val="auto"/>
        </w:rPr>
        <w:t>Form 10-K Summary</w:t>
      </w:r>
    </w:p>
    <w:p>
      <w:pPr>
        <w:spacing w:after="0" w:line="98" w:lineRule="exact"/>
        <w:rPr>
          <w:sz w:val="20"/>
          <w:szCs w:val="20"/>
          <w:color w:val="auto"/>
        </w:rPr>
      </w:pPr>
    </w:p>
    <w:p>
      <w:pPr>
        <w:spacing w:after="0"/>
        <w:rPr>
          <w:sz w:val="20"/>
          <w:szCs w:val="20"/>
          <w:color w:val="auto"/>
        </w:rPr>
      </w:pPr>
      <w:r>
        <w:rPr>
          <w:rFonts w:ascii="Arial" w:cs="Arial" w:eastAsia="Arial" w:hAnsi="Arial"/>
          <w:sz w:val="15"/>
          <w:szCs w:val="15"/>
          <w:color w:val="auto"/>
        </w:rPr>
        <w:t>INDEX TO EXHIBITS</w:t>
      </w:r>
    </w:p>
    <w:p>
      <w:pPr>
        <w:spacing w:after="0" w:line="44" w:lineRule="exact"/>
        <w:rPr>
          <w:sz w:val="20"/>
          <w:szCs w:val="20"/>
          <w:color w:val="auto"/>
        </w:rPr>
      </w:pPr>
    </w:p>
    <w:p>
      <w:pPr>
        <w:spacing w:after="0"/>
        <w:rPr>
          <w:sz w:val="20"/>
          <w:szCs w:val="20"/>
          <w:color w:val="auto"/>
        </w:rPr>
      </w:pPr>
      <w:r>
        <w:rPr>
          <w:rFonts w:ascii="Arial" w:cs="Arial" w:eastAsia="Arial" w:hAnsi="Arial"/>
          <w:sz w:val="15"/>
          <w:szCs w:val="15"/>
          <w:color w:val="auto"/>
        </w:rPr>
        <w:t>SIGNATURES</w:t>
      </w:r>
    </w:p>
    <w:p>
      <w:pPr>
        <w:spacing w:after="0" w:line="44" w:lineRule="exact"/>
        <w:rPr>
          <w:sz w:val="20"/>
          <w:szCs w:val="20"/>
          <w:color w:val="auto"/>
        </w:rPr>
      </w:pPr>
    </w:p>
    <w:p>
      <w:pPr>
        <w:spacing w:after="0"/>
        <w:rPr>
          <w:sz w:val="20"/>
          <w:szCs w:val="20"/>
          <w:color w:val="auto"/>
        </w:rPr>
      </w:pPr>
      <w:r>
        <w:rPr>
          <w:rFonts w:ascii="Arial" w:cs="Arial" w:eastAsia="Arial" w:hAnsi="Arial"/>
          <w:sz w:val="15"/>
          <w:szCs w:val="15"/>
          <w:color w:val="auto"/>
        </w:rPr>
        <w:t>INDEX TO FINANCIAL INFORMATION</w:t>
      </w:r>
    </w:p>
    <w:p>
      <w:pPr>
        <w:spacing w:after="0" w:line="44" w:lineRule="exact"/>
        <w:rPr>
          <w:sz w:val="20"/>
          <w:szCs w:val="20"/>
          <w:color w:val="auto"/>
        </w:rPr>
      </w:pPr>
    </w:p>
    <w:p>
      <w:pPr>
        <w:ind w:left="140"/>
        <w:spacing w:after="0"/>
        <w:rPr>
          <w:sz w:val="20"/>
          <w:szCs w:val="20"/>
          <w:color w:val="auto"/>
        </w:rPr>
      </w:pPr>
      <w:r>
        <w:rPr>
          <w:rFonts w:ascii="Arial" w:cs="Arial" w:eastAsia="Arial" w:hAnsi="Arial"/>
          <w:sz w:val="15"/>
          <w:szCs w:val="15"/>
          <w:color w:val="auto"/>
        </w:rPr>
        <w:t>Management’s Discussion and Analysis of Results of Operations and Financial Condition (Unaudited)</w:t>
      </w:r>
    </w:p>
    <w:p>
      <w:pPr>
        <w:spacing w:after="0" w:line="44" w:lineRule="exact"/>
        <w:rPr>
          <w:sz w:val="20"/>
          <w:szCs w:val="20"/>
          <w:color w:val="auto"/>
        </w:rPr>
      </w:pPr>
    </w:p>
    <w:p>
      <w:pPr>
        <w:ind w:left="140"/>
        <w:spacing w:after="0"/>
        <w:rPr>
          <w:sz w:val="20"/>
          <w:szCs w:val="20"/>
          <w:color w:val="auto"/>
        </w:rPr>
      </w:pPr>
      <w:r>
        <w:rPr>
          <w:rFonts w:ascii="Arial" w:cs="Arial" w:eastAsia="Arial" w:hAnsi="Arial"/>
          <w:sz w:val="15"/>
          <w:szCs w:val="15"/>
          <w:color w:val="auto"/>
        </w:rPr>
        <w:t>Financial Statements:</w:t>
      </w:r>
    </w:p>
    <w:p>
      <w:pPr>
        <w:spacing w:after="0" w:line="44" w:lineRule="exact"/>
        <w:rPr>
          <w:sz w:val="20"/>
          <w:szCs w:val="20"/>
          <w:color w:val="auto"/>
        </w:rPr>
      </w:pPr>
    </w:p>
    <w:p>
      <w:pPr>
        <w:ind w:left="240"/>
        <w:spacing w:after="0"/>
        <w:rPr>
          <w:sz w:val="20"/>
          <w:szCs w:val="20"/>
          <w:color w:val="auto"/>
        </w:rPr>
      </w:pPr>
      <w:r>
        <w:rPr>
          <w:rFonts w:ascii="Arial" w:cs="Arial" w:eastAsia="Arial" w:hAnsi="Arial"/>
          <w:sz w:val="15"/>
          <w:szCs w:val="15"/>
          <w:color w:val="auto"/>
        </w:rPr>
        <w:t>Report of Independent Registered Public Accounting Firm</w:t>
      </w:r>
    </w:p>
    <w:p>
      <w:pPr>
        <w:spacing w:after="0" w:line="44" w:lineRule="exact"/>
        <w:rPr>
          <w:sz w:val="20"/>
          <w:szCs w:val="20"/>
          <w:color w:val="auto"/>
        </w:rPr>
      </w:pPr>
    </w:p>
    <w:p>
      <w:pPr>
        <w:ind w:left="240"/>
        <w:spacing w:after="0"/>
        <w:rPr>
          <w:sz w:val="20"/>
          <w:szCs w:val="20"/>
          <w:color w:val="auto"/>
        </w:rPr>
      </w:pPr>
      <w:r>
        <w:rPr>
          <w:rFonts w:ascii="Arial" w:cs="Arial" w:eastAsia="Arial" w:hAnsi="Arial"/>
          <w:sz w:val="15"/>
          <w:szCs w:val="15"/>
          <w:color w:val="auto"/>
        </w:rPr>
        <w:t>Consolidated Statements of Operations for the Three Years Ended December 31, 2017</w:t>
      </w:r>
    </w:p>
    <w:p>
      <w:pPr>
        <w:spacing w:after="0" w:line="44" w:lineRule="exact"/>
        <w:rPr>
          <w:sz w:val="20"/>
          <w:szCs w:val="20"/>
          <w:color w:val="auto"/>
        </w:rPr>
      </w:pPr>
    </w:p>
    <w:p>
      <w:pPr>
        <w:ind w:left="240" w:right="2920"/>
        <w:spacing w:after="0" w:line="300" w:lineRule="auto"/>
        <w:rPr>
          <w:sz w:val="20"/>
          <w:szCs w:val="20"/>
          <w:color w:val="auto"/>
        </w:rPr>
      </w:pPr>
      <w:r>
        <w:rPr>
          <w:rFonts w:ascii="Arial" w:cs="Arial" w:eastAsia="Arial" w:hAnsi="Arial"/>
          <w:sz w:val="15"/>
          <w:szCs w:val="15"/>
          <w:color w:val="auto"/>
        </w:rPr>
        <w:t>Consolidated Statements of Comprehensive Income (Loss) for the Three Years Ended December 31, 2017 Consolidated Balance Sheets at December 31, 2017 and 2016</w:t>
      </w:r>
    </w:p>
    <w:p>
      <w:pPr>
        <w:spacing w:after="0" w:line="1" w:lineRule="exact"/>
        <w:rPr>
          <w:sz w:val="20"/>
          <w:szCs w:val="20"/>
          <w:color w:val="auto"/>
        </w:rPr>
      </w:pPr>
    </w:p>
    <w:p>
      <w:pPr>
        <w:ind w:left="240"/>
        <w:spacing w:after="0"/>
        <w:rPr>
          <w:sz w:val="20"/>
          <w:szCs w:val="20"/>
          <w:color w:val="auto"/>
        </w:rPr>
      </w:pPr>
      <w:r>
        <w:rPr>
          <w:rFonts w:ascii="Arial" w:cs="Arial" w:eastAsia="Arial" w:hAnsi="Arial"/>
          <w:sz w:val="15"/>
          <w:szCs w:val="15"/>
          <w:color w:val="auto"/>
        </w:rPr>
        <w:t>Consolidated Statements of Cash Flows for the Three Years Ended December 31, 2017</w:t>
      </w:r>
    </w:p>
    <w:p>
      <w:pPr>
        <w:spacing w:after="0" w:line="44" w:lineRule="exact"/>
        <w:rPr>
          <w:sz w:val="20"/>
          <w:szCs w:val="20"/>
          <w:color w:val="auto"/>
        </w:rPr>
      </w:pPr>
    </w:p>
    <w:p>
      <w:pPr>
        <w:ind w:left="240" w:right="2140"/>
        <w:spacing w:after="0" w:line="300" w:lineRule="auto"/>
        <w:rPr>
          <w:sz w:val="20"/>
          <w:szCs w:val="20"/>
          <w:color w:val="auto"/>
        </w:rPr>
      </w:pPr>
      <w:r>
        <w:rPr>
          <w:rFonts w:ascii="Arial" w:cs="Arial" w:eastAsia="Arial" w:hAnsi="Arial"/>
          <w:sz w:val="15"/>
          <w:szCs w:val="15"/>
          <w:color w:val="auto"/>
        </w:rPr>
        <w:t>Consolidated Statements of Changes in Common Stockholders’ Equity for the Three Years Ended December 31, 2017 Notes to Consolidated Financial Statements</w:t>
      </w:r>
    </w:p>
    <w:p>
      <w:pPr>
        <w:spacing w:after="0" w:line="1" w:lineRule="exact"/>
        <w:rPr>
          <w:sz w:val="20"/>
          <w:szCs w:val="20"/>
          <w:color w:val="auto"/>
        </w:rPr>
      </w:pPr>
    </w:p>
    <w:p>
      <w:pPr>
        <w:ind w:left="140"/>
        <w:spacing w:after="0"/>
        <w:rPr>
          <w:sz w:val="20"/>
          <w:szCs w:val="20"/>
          <w:color w:val="auto"/>
        </w:rPr>
      </w:pPr>
      <w:r>
        <w:rPr>
          <w:rFonts w:ascii="Arial" w:cs="Arial" w:eastAsia="Arial" w:hAnsi="Arial"/>
          <w:sz w:val="15"/>
          <w:szCs w:val="15"/>
          <w:color w:val="auto"/>
        </w:rPr>
        <w:t>Five-Year Summary of Selected Historical Financial Data (Unaudited)</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right"/>
        <w:spacing w:after="0"/>
        <w:rPr>
          <w:rFonts w:ascii="Arial" w:cs="Arial" w:eastAsia="Arial" w:hAnsi="Arial"/>
          <w:sz w:val="15"/>
          <w:szCs w:val="15"/>
          <w:u w:val="single" w:color="auto"/>
          <w:color w:val="0000EE"/>
        </w:rPr>
      </w:pPr>
      <w:hyperlink w:anchor="page3">
        <w:r>
          <w:rPr>
            <w:rFonts w:ascii="Arial" w:cs="Arial" w:eastAsia="Arial" w:hAnsi="Arial"/>
            <w:sz w:val="15"/>
            <w:szCs w:val="15"/>
            <w:u w:val="single" w:color="auto"/>
            <w:color w:val="0000EE"/>
          </w:rPr>
          <w:t>1</w:t>
        </w:r>
      </w:hyperlink>
    </w:p>
    <w:p>
      <w:pPr>
        <w:spacing w:after="0" w:line="98" w:lineRule="exact"/>
        <w:rPr>
          <w:sz w:val="20"/>
          <w:szCs w:val="20"/>
          <w:color w:val="auto"/>
        </w:rPr>
      </w:pPr>
    </w:p>
    <w:p>
      <w:pPr>
        <w:jc w:val="right"/>
        <w:spacing w:after="0"/>
        <w:rPr>
          <w:rFonts w:ascii="Arial" w:cs="Arial" w:eastAsia="Arial" w:hAnsi="Arial"/>
          <w:sz w:val="15"/>
          <w:szCs w:val="15"/>
          <w:u w:val="single" w:color="auto"/>
          <w:color w:val="0000EE"/>
        </w:rPr>
      </w:pPr>
      <w:hyperlink w:anchor="page3">
        <w:r>
          <w:rPr>
            <w:rFonts w:ascii="Arial" w:cs="Arial" w:eastAsia="Arial" w:hAnsi="Arial"/>
            <w:sz w:val="15"/>
            <w:szCs w:val="15"/>
            <w:u w:val="single" w:color="auto"/>
            <w:color w:val="0000EE"/>
          </w:rPr>
          <w:t>1</w:t>
        </w:r>
      </w:hyperlink>
    </w:p>
    <w:p>
      <w:pPr>
        <w:spacing w:after="0" w:line="98" w:lineRule="exact"/>
        <w:rPr>
          <w:sz w:val="20"/>
          <w:szCs w:val="20"/>
          <w:color w:val="auto"/>
        </w:rPr>
      </w:pPr>
    </w:p>
    <w:p>
      <w:pPr>
        <w:jc w:val="right"/>
        <w:spacing w:after="0"/>
        <w:rPr>
          <w:rFonts w:ascii="Arial" w:cs="Arial" w:eastAsia="Arial" w:hAnsi="Arial"/>
          <w:sz w:val="15"/>
          <w:szCs w:val="15"/>
          <w:u w:val="single" w:color="auto"/>
          <w:color w:val="0000EE"/>
        </w:rPr>
      </w:pPr>
      <w:hyperlink w:anchor="page18">
        <w:r>
          <w:rPr>
            <w:rFonts w:ascii="Arial" w:cs="Arial" w:eastAsia="Arial" w:hAnsi="Arial"/>
            <w:sz w:val="15"/>
            <w:szCs w:val="15"/>
            <w:u w:val="single" w:color="auto"/>
            <w:color w:val="0000EE"/>
          </w:rPr>
          <w:t>16</w:t>
        </w:r>
      </w:hyperlink>
    </w:p>
    <w:p>
      <w:pPr>
        <w:spacing w:after="0" w:line="98" w:lineRule="exact"/>
        <w:rPr>
          <w:sz w:val="20"/>
          <w:szCs w:val="20"/>
          <w:color w:val="auto"/>
        </w:rPr>
      </w:pPr>
    </w:p>
    <w:p>
      <w:pPr>
        <w:jc w:val="right"/>
        <w:spacing w:after="0"/>
        <w:rPr>
          <w:rFonts w:ascii="Arial" w:cs="Arial" w:eastAsia="Arial" w:hAnsi="Arial"/>
          <w:sz w:val="15"/>
          <w:szCs w:val="15"/>
          <w:u w:val="single" w:color="auto"/>
          <w:color w:val="0000EE"/>
        </w:rPr>
      </w:pPr>
      <w:hyperlink w:anchor="page21">
        <w:r>
          <w:rPr>
            <w:rFonts w:ascii="Arial" w:cs="Arial" w:eastAsia="Arial" w:hAnsi="Arial"/>
            <w:sz w:val="15"/>
            <w:szCs w:val="15"/>
            <w:u w:val="single" w:color="auto"/>
            <w:color w:val="0000EE"/>
          </w:rPr>
          <w:t>19</w:t>
        </w:r>
      </w:hyperlink>
    </w:p>
    <w:p>
      <w:pPr>
        <w:spacing w:after="0" w:line="98" w:lineRule="exact"/>
        <w:rPr>
          <w:sz w:val="20"/>
          <w:szCs w:val="20"/>
          <w:color w:val="auto"/>
        </w:rPr>
      </w:pPr>
    </w:p>
    <w:p>
      <w:pPr>
        <w:jc w:val="right"/>
        <w:spacing w:after="0"/>
        <w:rPr>
          <w:rFonts w:ascii="Arial" w:cs="Arial" w:eastAsia="Arial" w:hAnsi="Arial"/>
          <w:sz w:val="15"/>
          <w:szCs w:val="15"/>
          <w:u w:val="single" w:color="auto"/>
          <w:color w:val="0000EE"/>
        </w:rPr>
      </w:pPr>
      <w:hyperlink w:anchor="page22">
        <w:r>
          <w:rPr>
            <w:rFonts w:ascii="Arial" w:cs="Arial" w:eastAsia="Arial" w:hAnsi="Arial"/>
            <w:sz w:val="15"/>
            <w:szCs w:val="15"/>
            <w:u w:val="single" w:color="auto"/>
            <w:color w:val="0000EE"/>
          </w:rPr>
          <w:t>20</w:t>
        </w:r>
      </w:hyperlink>
    </w:p>
    <w:p>
      <w:pPr>
        <w:spacing w:after="0" w:line="98" w:lineRule="exact"/>
        <w:rPr>
          <w:sz w:val="20"/>
          <w:szCs w:val="20"/>
          <w:color w:val="auto"/>
        </w:rPr>
      </w:pPr>
    </w:p>
    <w:p>
      <w:pPr>
        <w:jc w:val="right"/>
        <w:spacing w:after="0"/>
        <w:rPr>
          <w:rFonts w:ascii="Arial" w:cs="Arial" w:eastAsia="Arial" w:hAnsi="Arial"/>
          <w:sz w:val="15"/>
          <w:szCs w:val="15"/>
          <w:u w:val="single" w:color="auto"/>
          <w:color w:val="0000EE"/>
        </w:rPr>
      </w:pPr>
      <w:hyperlink w:anchor="page23">
        <w:r>
          <w:rPr>
            <w:rFonts w:ascii="Arial" w:cs="Arial" w:eastAsia="Arial" w:hAnsi="Arial"/>
            <w:sz w:val="15"/>
            <w:szCs w:val="15"/>
            <w:u w:val="single" w:color="auto"/>
            <w:color w:val="0000EE"/>
          </w:rPr>
          <w:t>21</w:t>
        </w:r>
      </w:hyperlink>
    </w:p>
    <w:p>
      <w:pPr>
        <w:spacing w:after="0" w:line="98" w:lineRule="exact"/>
        <w:rPr>
          <w:sz w:val="20"/>
          <w:szCs w:val="20"/>
          <w:color w:val="auto"/>
        </w:rPr>
      </w:pPr>
    </w:p>
    <w:p>
      <w:pPr>
        <w:jc w:val="right"/>
        <w:spacing w:after="0"/>
        <w:rPr>
          <w:rFonts w:ascii="Arial" w:cs="Arial" w:eastAsia="Arial" w:hAnsi="Arial"/>
          <w:sz w:val="15"/>
          <w:szCs w:val="15"/>
          <w:u w:val="single" w:color="auto"/>
          <w:color w:val="0000EE"/>
        </w:rPr>
      </w:pPr>
      <w:hyperlink w:anchor="page23">
        <w:r>
          <w:rPr>
            <w:rFonts w:ascii="Arial" w:cs="Arial" w:eastAsia="Arial" w:hAnsi="Arial"/>
            <w:sz w:val="15"/>
            <w:szCs w:val="15"/>
            <w:u w:val="single" w:color="auto"/>
            <w:color w:val="0000EE"/>
          </w:rPr>
          <w:t>21</w:t>
        </w:r>
      </w:hyperlink>
    </w:p>
    <w:p>
      <w:pPr>
        <w:spacing w:after="0" w:line="98" w:lineRule="exact"/>
        <w:rPr>
          <w:sz w:val="20"/>
          <w:szCs w:val="20"/>
          <w:color w:val="auto"/>
        </w:rPr>
      </w:pPr>
    </w:p>
    <w:p>
      <w:pPr>
        <w:jc w:val="right"/>
        <w:spacing w:after="0"/>
        <w:rPr>
          <w:rFonts w:ascii="Arial" w:cs="Arial" w:eastAsia="Arial" w:hAnsi="Arial"/>
          <w:sz w:val="15"/>
          <w:szCs w:val="15"/>
          <w:u w:val="single" w:color="auto"/>
          <w:color w:val="0000EE"/>
        </w:rPr>
      </w:pPr>
      <w:hyperlink w:anchor="page24">
        <w:r>
          <w:rPr>
            <w:rFonts w:ascii="Arial" w:cs="Arial" w:eastAsia="Arial" w:hAnsi="Arial"/>
            <w:sz w:val="15"/>
            <w:szCs w:val="15"/>
            <w:u w:val="single" w:color="auto"/>
            <w:color w:val="0000EE"/>
          </w:rPr>
          <w:t>22</w:t>
        </w:r>
      </w:hyperlink>
    </w:p>
    <w:p>
      <w:pPr>
        <w:spacing w:after="0" w:line="98" w:lineRule="exact"/>
        <w:rPr>
          <w:sz w:val="20"/>
          <w:szCs w:val="20"/>
          <w:color w:val="auto"/>
        </w:rPr>
      </w:pPr>
    </w:p>
    <w:p>
      <w:pPr>
        <w:jc w:val="right"/>
        <w:spacing w:after="0"/>
        <w:rPr>
          <w:rFonts w:ascii="Arial" w:cs="Arial" w:eastAsia="Arial" w:hAnsi="Arial"/>
          <w:sz w:val="15"/>
          <w:szCs w:val="15"/>
          <w:u w:val="single" w:color="auto"/>
          <w:color w:val="0000EE"/>
        </w:rPr>
      </w:pPr>
      <w:hyperlink w:anchor="page24">
        <w:r>
          <w:rPr>
            <w:rFonts w:ascii="Arial" w:cs="Arial" w:eastAsia="Arial" w:hAnsi="Arial"/>
            <w:sz w:val="15"/>
            <w:szCs w:val="15"/>
            <w:u w:val="single" w:color="auto"/>
            <w:color w:val="0000EE"/>
          </w:rPr>
          <w:t>22</w:t>
        </w:r>
      </w:hyperlink>
    </w:p>
    <w:p>
      <w:pPr>
        <w:spacing w:after="0" w:line="98" w:lineRule="exact"/>
        <w:rPr>
          <w:sz w:val="20"/>
          <w:szCs w:val="20"/>
          <w:color w:val="auto"/>
        </w:rPr>
      </w:pPr>
    </w:p>
    <w:p>
      <w:pPr>
        <w:jc w:val="right"/>
        <w:spacing w:after="0"/>
        <w:rPr>
          <w:rFonts w:ascii="Arial" w:cs="Arial" w:eastAsia="Arial" w:hAnsi="Arial"/>
          <w:sz w:val="15"/>
          <w:szCs w:val="15"/>
          <w:u w:val="single" w:color="auto"/>
          <w:color w:val="0000EE"/>
        </w:rPr>
      </w:pPr>
      <w:hyperlink w:anchor="page24">
        <w:r>
          <w:rPr>
            <w:rFonts w:ascii="Arial" w:cs="Arial" w:eastAsia="Arial" w:hAnsi="Arial"/>
            <w:sz w:val="15"/>
            <w:szCs w:val="15"/>
            <w:u w:val="single" w:color="auto"/>
            <w:color w:val="0000EE"/>
          </w:rPr>
          <w:t>22</w:t>
        </w:r>
      </w:hyperlink>
    </w:p>
    <w:p>
      <w:pPr>
        <w:spacing w:after="0" w:line="98" w:lineRule="exact"/>
        <w:rPr>
          <w:sz w:val="20"/>
          <w:szCs w:val="20"/>
          <w:color w:val="auto"/>
        </w:rPr>
      </w:pPr>
    </w:p>
    <w:p>
      <w:pPr>
        <w:jc w:val="right"/>
        <w:spacing w:after="0"/>
        <w:rPr>
          <w:rFonts w:ascii="Arial" w:cs="Arial" w:eastAsia="Arial" w:hAnsi="Arial"/>
          <w:sz w:val="15"/>
          <w:szCs w:val="15"/>
          <w:u w:val="single" w:color="auto"/>
          <w:color w:val="0000EE"/>
        </w:rPr>
      </w:pPr>
      <w:hyperlink w:anchor="page36">
        <w:r>
          <w:rPr>
            <w:rFonts w:ascii="Arial" w:cs="Arial" w:eastAsia="Arial" w:hAnsi="Arial"/>
            <w:sz w:val="15"/>
            <w:szCs w:val="15"/>
            <w:u w:val="single" w:color="auto"/>
            <w:color w:val="0000EE"/>
          </w:rPr>
          <w:t>34</w:t>
        </w:r>
      </w:hyperlink>
    </w:p>
    <w:p>
      <w:pPr>
        <w:spacing w:after="0" w:line="98" w:lineRule="exact"/>
        <w:rPr>
          <w:sz w:val="20"/>
          <w:szCs w:val="20"/>
          <w:color w:val="auto"/>
        </w:rPr>
      </w:pPr>
    </w:p>
    <w:p>
      <w:pPr>
        <w:jc w:val="right"/>
        <w:spacing w:after="0"/>
        <w:rPr>
          <w:rFonts w:ascii="Arial" w:cs="Arial" w:eastAsia="Arial" w:hAnsi="Arial"/>
          <w:sz w:val="15"/>
          <w:szCs w:val="15"/>
          <w:u w:val="single" w:color="auto"/>
          <w:color w:val="0000EE"/>
        </w:rPr>
      </w:pPr>
      <w:hyperlink w:anchor="page36">
        <w:r>
          <w:rPr>
            <w:rFonts w:ascii="Arial" w:cs="Arial" w:eastAsia="Arial" w:hAnsi="Arial"/>
            <w:sz w:val="15"/>
            <w:szCs w:val="15"/>
            <w:u w:val="single" w:color="auto"/>
            <w:color w:val="0000EE"/>
          </w:rPr>
          <w:t>34</w:t>
        </w:r>
      </w:hyperlink>
    </w:p>
    <w:p>
      <w:pPr>
        <w:spacing w:after="0" w:line="98" w:lineRule="exact"/>
        <w:rPr>
          <w:sz w:val="20"/>
          <w:szCs w:val="20"/>
          <w:color w:val="auto"/>
        </w:rPr>
      </w:pPr>
    </w:p>
    <w:p>
      <w:pPr>
        <w:jc w:val="right"/>
        <w:spacing w:after="0"/>
        <w:rPr>
          <w:rFonts w:ascii="Arial" w:cs="Arial" w:eastAsia="Arial" w:hAnsi="Arial"/>
          <w:sz w:val="15"/>
          <w:szCs w:val="15"/>
          <w:u w:val="single" w:color="auto"/>
          <w:color w:val="0000EE"/>
        </w:rPr>
      </w:pPr>
      <w:hyperlink w:anchor="page38">
        <w:r>
          <w:rPr>
            <w:rFonts w:ascii="Arial" w:cs="Arial" w:eastAsia="Arial" w:hAnsi="Arial"/>
            <w:sz w:val="15"/>
            <w:szCs w:val="15"/>
            <w:u w:val="single" w:color="auto"/>
            <w:color w:val="0000EE"/>
          </w:rPr>
          <w:t>36</w:t>
        </w:r>
      </w:hyperlink>
    </w:p>
    <w:p>
      <w:pPr>
        <w:spacing w:after="0" w:line="98" w:lineRule="exact"/>
        <w:rPr>
          <w:sz w:val="20"/>
          <w:szCs w:val="20"/>
          <w:color w:val="auto"/>
        </w:rPr>
      </w:pPr>
    </w:p>
    <w:p>
      <w:pPr>
        <w:jc w:val="right"/>
        <w:spacing w:after="0"/>
        <w:rPr>
          <w:rFonts w:ascii="Arial" w:cs="Arial" w:eastAsia="Arial" w:hAnsi="Arial"/>
          <w:sz w:val="15"/>
          <w:szCs w:val="15"/>
          <w:u w:val="single" w:color="auto"/>
          <w:color w:val="0000EE"/>
        </w:rPr>
      </w:pPr>
      <w:hyperlink w:anchor="page40">
        <w:r>
          <w:rPr>
            <w:rFonts w:ascii="Arial" w:cs="Arial" w:eastAsia="Arial" w:hAnsi="Arial"/>
            <w:sz w:val="15"/>
            <w:szCs w:val="15"/>
            <w:u w:val="single" w:color="auto"/>
            <w:color w:val="0000EE"/>
          </w:rPr>
          <w:t>38</w:t>
        </w:r>
      </w:hyperlink>
    </w:p>
    <w:p>
      <w:pPr>
        <w:spacing w:after="0" w:line="98" w:lineRule="exact"/>
        <w:rPr>
          <w:sz w:val="20"/>
          <w:szCs w:val="20"/>
          <w:color w:val="auto"/>
        </w:rPr>
      </w:pPr>
    </w:p>
    <w:p>
      <w:pPr>
        <w:jc w:val="right"/>
        <w:spacing w:after="0"/>
        <w:rPr>
          <w:rFonts w:ascii="Arial" w:cs="Arial" w:eastAsia="Arial" w:hAnsi="Arial"/>
          <w:sz w:val="15"/>
          <w:szCs w:val="15"/>
          <w:u w:val="single" w:color="auto"/>
          <w:color w:val="0000EE"/>
        </w:rPr>
      </w:pPr>
      <w:hyperlink w:anchor="page40">
        <w:r>
          <w:rPr>
            <w:rFonts w:ascii="Arial" w:cs="Arial" w:eastAsia="Arial" w:hAnsi="Arial"/>
            <w:sz w:val="15"/>
            <w:szCs w:val="15"/>
            <w:u w:val="single" w:color="auto"/>
            <w:color w:val="0000EE"/>
          </w:rPr>
          <w:t>38</w:t>
        </w:r>
      </w:hyperlink>
    </w:p>
    <w:p>
      <w:pPr>
        <w:spacing w:after="0" w:line="98" w:lineRule="exact"/>
        <w:rPr>
          <w:sz w:val="20"/>
          <w:szCs w:val="20"/>
          <w:color w:val="auto"/>
        </w:rPr>
      </w:pPr>
    </w:p>
    <w:p>
      <w:pPr>
        <w:jc w:val="right"/>
        <w:spacing w:after="0"/>
        <w:rPr>
          <w:rFonts w:ascii="Arial" w:cs="Arial" w:eastAsia="Arial" w:hAnsi="Arial"/>
          <w:sz w:val="15"/>
          <w:szCs w:val="15"/>
          <w:u w:val="single" w:color="auto"/>
          <w:color w:val="0000EE"/>
        </w:rPr>
      </w:pPr>
      <w:hyperlink w:anchor="page42">
        <w:r>
          <w:rPr>
            <w:rFonts w:ascii="Arial" w:cs="Arial" w:eastAsia="Arial" w:hAnsi="Arial"/>
            <w:sz w:val="15"/>
            <w:szCs w:val="15"/>
            <w:u w:val="single" w:color="auto"/>
            <w:color w:val="0000EE"/>
          </w:rPr>
          <w:t>40</w:t>
        </w:r>
      </w:hyperlink>
    </w:p>
    <w:p>
      <w:pPr>
        <w:spacing w:after="0" w:line="98" w:lineRule="exact"/>
        <w:rPr>
          <w:sz w:val="20"/>
          <w:szCs w:val="20"/>
          <w:color w:val="auto"/>
        </w:rPr>
      </w:pPr>
    </w:p>
    <w:p>
      <w:pPr>
        <w:jc w:val="right"/>
        <w:spacing w:after="0"/>
        <w:rPr>
          <w:rFonts w:ascii="Arial" w:cs="Arial" w:eastAsia="Arial" w:hAnsi="Arial"/>
          <w:sz w:val="15"/>
          <w:szCs w:val="15"/>
          <w:u w:val="single" w:color="auto"/>
          <w:color w:val="0000EE"/>
        </w:rPr>
      </w:pPr>
      <w:hyperlink w:anchor="page42">
        <w:r>
          <w:rPr>
            <w:rFonts w:ascii="Arial" w:cs="Arial" w:eastAsia="Arial" w:hAnsi="Arial"/>
            <w:sz w:val="15"/>
            <w:szCs w:val="15"/>
            <w:u w:val="single" w:color="auto"/>
            <w:color w:val="0000EE"/>
          </w:rPr>
          <w:t>40</w:t>
        </w:r>
      </w:hyperlink>
    </w:p>
    <w:p>
      <w:pPr>
        <w:spacing w:after="0" w:line="98" w:lineRule="exact"/>
        <w:rPr>
          <w:sz w:val="20"/>
          <w:szCs w:val="20"/>
          <w:color w:val="auto"/>
        </w:rPr>
      </w:pPr>
    </w:p>
    <w:p>
      <w:pPr>
        <w:jc w:val="right"/>
        <w:spacing w:after="0"/>
        <w:rPr>
          <w:rFonts w:ascii="Arial" w:cs="Arial" w:eastAsia="Arial" w:hAnsi="Arial"/>
          <w:sz w:val="15"/>
          <w:szCs w:val="15"/>
          <w:u w:val="single" w:color="auto"/>
          <w:color w:val="0000EE"/>
        </w:rPr>
      </w:pPr>
      <w:hyperlink w:anchor="page42">
        <w:r>
          <w:rPr>
            <w:rFonts w:ascii="Arial" w:cs="Arial" w:eastAsia="Arial" w:hAnsi="Arial"/>
            <w:sz w:val="15"/>
            <w:szCs w:val="15"/>
            <w:u w:val="single" w:color="auto"/>
            <w:color w:val="0000EE"/>
          </w:rPr>
          <w:t>40</w:t>
        </w:r>
      </w:hyperlink>
    </w:p>
    <w:p>
      <w:pPr>
        <w:spacing w:after="0" w:line="98" w:lineRule="exact"/>
        <w:rPr>
          <w:sz w:val="20"/>
          <w:szCs w:val="20"/>
          <w:color w:val="auto"/>
        </w:rPr>
      </w:pPr>
    </w:p>
    <w:p>
      <w:pPr>
        <w:jc w:val="right"/>
        <w:spacing w:after="0"/>
        <w:rPr>
          <w:rFonts w:ascii="Arial" w:cs="Arial" w:eastAsia="Arial" w:hAnsi="Arial"/>
          <w:sz w:val="15"/>
          <w:szCs w:val="15"/>
          <w:u w:val="single" w:color="auto"/>
          <w:color w:val="0000EE"/>
        </w:rPr>
      </w:pPr>
      <w:hyperlink w:anchor="page43">
        <w:r>
          <w:rPr>
            <w:rFonts w:ascii="Arial" w:cs="Arial" w:eastAsia="Arial" w:hAnsi="Arial"/>
            <w:sz w:val="15"/>
            <w:szCs w:val="15"/>
            <w:u w:val="single" w:color="auto"/>
            <w:color w:val="0000EE"/>
          </w:rPr>
          <w:t>41</w:t>
        </w:r>
      </w:hyperlink>
    </w:p>
    <w:p>
      <w:pPr>
        <w:spacing w:after="0" w:line="98" w:lineRule="exact"/>
        <w:rPr>
          <w:sz w:val="20"/>
          <w:szCs w:val="20"/>
          <w:color w:val="auto"/>
        </w:rPr>
      </w:pPr>
    </w:p>
    <w:p>
      <w:pPr>
        <w:jc w:val="right"/>
        <w:spacing w:after="0"/>
        <w:rPr>
          <w:rFonts w:ascii="Arial" w:cs="Arial" w:eastAsia="Arial" w:hAnsi="Arial"/>
          <w:sz w:val="15"/>
          <w:szCs w:val="15"/>
          <w:u w:val="single" w:color="auto"/>
          <w:color w:val="0000EE"/>
        </w:rPr>
      </w:pPr>
      <w:hyperlink w:anchor="page43">
        <w:r>
          <w:rPr>
            <w:rFonts w:ascii="Arial" w:cs="Arial" w:eastAsia="Arial" w:hAnsi="Arial"/>
            <w:sz w:val="15"/>
            <w:szCs w:val="15"/>
            <w:u w:val="single" w:color="auto"/>
            <w:color w:val="0000EE"/>
          </w:rPr>
          <w:t>41</w:t>
        </w:r>
      </w:hyperlink>
    </w:p>
    <w:p>
      <w:pPr>
        <w:spacing w:after="0" w:line="98" w:lineRule="exact"/>
        <w:rPr>
          <w:sz w:val="20"/>
          <w:szCs w:val="20"/>
          <w:color w:val="auto"/>
        </w:rPr>
      </w:pPr>
    </w:p>
    <w:p>
      <w:pPr>
        <w:jc w:val="right"/>
        <w:spacing w:after="0"/>
        <w:rPr>
          <w:rFonts w:ascii="Arial" w:cs="Arial" w:eastAsia="Arial" w:hAnsi="Arial"/>
          <w:sz w:val="15"/>
          <w:szCs w:val="15"/>
          <w:u w:val="single" w:color="auto"/>
          <w:color w:val="0000EE"/>
        </w:rPr>
      </w:pPr>
      <w:hyperlink w:anchor="page43">
        <w:r>
          <w:rPr>
            <w:rFonts w:ascii="Arial" w:cs="Arial" w:eastAsia="Arial" w:hAnsi="Arial"/>
            <w:sz w:val="15"/>
            <w:szCs w:val="15"/>
            <w:u w:val="single" w:color="auto"/>
            <w:color w:val="0000EE"/>
          </w:rPr>
          <w:t>41</w:t>
        </w:r>
      </w:hyperlink>
    </w:p>
    <w:p>
      <w:pPr>
        <w:spacing w:after="0" w:line="98" w:lineRule="exact"/>
        <w:rPr>
          <w:sz w:val="20"/>
          <w:szCs w:val="20"/>
          <w:color w:val="auto"/>
        </w:rPr>
      </w:pPr>
    </w:p>
    <w:p>
      <w:pPr>
        <w:jc w:val="right"/>
        <w:spacing w:after="0"/>
        <w:rPr>
          <w:rFonts w:ascii="Arial" w:cs="Arial" w:eastAsia="Arial" w:hAnsi="Arial"/>
          <w:sz w:val="15"/>
          <w:szCs w:val="15"/>
          <w:u w:val="single" w:color="auto"/>
          <w:color w:val="0000EE"/>
        </w:rPr>
      </w:pPr>
      <w:hyperlink w:anchor="page44">
        <w:r>
          <w:rPr>
            <w:rFonts w:ascii="Arial" w:cs="Arial" w:eastAsia="Arial" w:hAnsi="Arial"/>
            <w:sz w:val="15"/>
            <w:szCs w:val="15"/>
            <w:u w:val="single" w:color="auto"/>
            <w:color w:val="0000EE"/>
          </w:rPr>
          <w:t>42</w:t>
        </w:r>
      </w:hyperlink>
    </w:p>
    <w:p>
      <w:pPr>
        <w:spacing w:after="0" w:line="98" w:lineRule="exact"/>
        <w:rPr>
          <w:sz w:val="20"/>
          <w:szCs w:val="20"/>
          <w:color w:val="auto"/>
        </w:rPr>
      </w:pPr>
    </w:p>
    <w:p>
      <w:pPr>
        <w:jc w:val="right"/>
        <w:spacing w:after="0"/>
        <w:rPr>
          <w:rFonts w:ascii="Arial" w:cs="Arial" w:eastAsia="Arial" w:hAnsi="Arial"/>
          <w:sz w:val="15"/>
          <w:szCs w:val="15"/>
          <w:u w:val="single" w:color="auto"/>
          <w:color w:val="0000EE"/>
        </w:rPr>
      </w:pPr>
      <w:hyperlink w:anchor="page44">
        <w:r>
          <w:rPr>
            <w:rFonts w:ascii="Arial" w:cs="Arial" w:eastAsia="Arial" w:hAnsi="Arial"/>
            <w:sz w:val="15"/>
            <w:szCs w:val="15"/>
            <w:u w:val="single" w:color="auto"/>
            <w:color w:val="0000EE"/>
          </w:rPr>
          <w:t>42</w:t>
        </w:r>
      </w:hyperlink>
    </w:p>
    <w:p>
      <w:pPr>
        <w:spacing w:after="0" w:line="98" w:lineRule="exact"/>
        <w:rPr>
          <w:sz w:val="20"/>
          <w:szCs w:val="20"/>
          <w:color w:val="auto"/>
        </w:rPr>
      </w:pPr>
    </w:p>
    <w:p>
      <w:pPr>
        <w:jc w:val="right"/>
        <w:spacing w:after="0"/>
        <w:rPr>
          <w:rFonts w:ascii="Arial" w:cs="Arial" w:eastAsia="Arial" w:hAnsi="Arial"/>
          <w:sz w:val="15"/>
          <w:szCs w:val="15"/>
          <w:u w:val="single" w:color="auto"/>
          <w:color w:val="0000EE"/>
        </w:rPr>
      </w:pPr>
      <w:hyperlink w:anchor="page45">
        <w:r>
          <w:rPr>
            <w:rFonts w:ascii="Arial" w:cs="Arial" w:eastAsia="Arial" w:hAnsi="Arial"/>
            <w:sz w:val="15"/>
            <w:szCs w:val="15"/>
            <w:u w:val="single" w:color="auto"/>
            <w:color w:val="0000EE"/>
          </w:rPr>
          <w:t>43</w:t>
        </w:r>
      </w:hyperlink>
    </w:p>
    <w:p>
      <w:pPr>
        <w:spacing w:after="0" w:line="98" w:lineRule="exact"/>
        <w:rPr>
          <w:sz w:val="20"/>
          <w:szCs w:val="20"/>
          <w:color w:val="auto"/>
        </w:rPr>
      </w:pPr>
    </w:p>
    <w:p>
      <w:pPr>
        <w:jc w:val="right"/>
        <w:spacing w:after="0"/>
        <w:rPr>
          <w:rFonts w:ascii="Arial" w:cs="Arial" w:eastAsia="Arial" w:hAnsi="Arial"/>
          <w:sz w:val="15"/>
          <w:szCs w:val="15"/>
          <w:u w:val="single" w:color="auto"/>
          <w:color w:val="0000EE"/>
        </w:rPr>
      </w:pPr>
      <w:hyperlink w:anchor="page45">
        <w:r>
          <w:rPr>
            <w:rFonts w:ascii="Arial" w:cs="Arial" w:eastAsia="Arial" w:hAnsi="Arial"/>
            <w:sz w:val="15"/>
            <w:szCs w:val="15"/>
            <w:u w:val="single" w:color="auto"/>
            <w:color w:val="0000EE"/>
          </w:rPr>
          <w:t>43</w:t>
        </w:r>
      </w:hyperlink>
    </w:p>
    <w:p>
      <w:pPr>
        <w:spacing w:after="0" w:line="98" w:lineRule="exact"/>
        <w:rPr>
          <w:sz w:val="20"/>
          <w:szCs w:val="20"/>
          <w:color w:val="auto"/>
        </w:rPr>
      </w:pPr>
    </w:p>
    <w:p>
      <w:pPr>
        <w:jc w:val="right"/>
        <w:spacing w:after="0"/>
        <w:rPr>
          <w:rFonts w:ascii="Arial" w:cs="Arial" w:eastAsia="Arial" w:hAnsi="Arial"/>
          <w:sz w:val="15"/>
          <w:szCs w:val="15"/>
          <w:u w:val="single" w:color="auto"/>
          <w:color w:val="0000EE"/>
        </w:rPr>
      </w:pPr>
      <w:hyperlink w:anchor="page45">
        <w:r>
          <w:rPr>
            <w:rFonts w:ascii="Arial" w:cs="Arial" w:eastAsia="Arial" w:hAnsi="Arial"/>
            <w:sz w:val="15"/>
            <w:szCs w:val="15"/>
            <w:u w:val="single" w:color="auto"/>
            <w:color w:val="0000EE"/>
          </w:rPr>
          <w:t>43</w:t>
        </w:r>
      </w:hyperlink>
    </w:p>
    <w:p>
      <w:pPr>
        <w:spacing w:after="0" w:line="98" w:lineRule="exact"/>
        <w:rPr>
          <w:sz w:val="20"/>
          <w:szCs w:val="20"/>
          <w:color w:val="auto"/>
        </w:rPr>
      </w:pPr>
    </w:p>
    <w:p>
      <w:pPr>
        <w:jc w:val="right"/>
        <w:spacing w:after="0"/>
        <w:rPr>
          <w:rFonts w:ascii="Arial" w:cs="Arial" w:eastAsia="Arial" w:hAnsi="Arial"/>
          <w:sz w:val="15"/>
          <w:szCs w:val="15"/>
          <w:u w:val="single" w:color="auto"/>
          <w:color w:val="0000EE"/>
        </w:rPr>
      </w:pPr>
      <w:hyperlink w:anchor="page45">
        <w:r>
          <w:rPr>
            <w:rFonts w:ascii="Arial" w:cs="Arial" w:eastAsia="Arial" w:hAnsi="Arial"/>
            <w:sz w:val="15"/>
            <w:szCs w:val="15"/>
            <w:u w:val="single" w:color="auto"/>
            <w:color w:val="0000EE"/>
          </w:rPr>
          <w:t>43</w:t>
        </w:r>
      </w:hyperlink>
    </w:p>
    <w:p>
      <w:pPr>
        <w:spacing w:after="0" w:line="98" w:lineRule="exact"/>
        <w:rPr>
          <w:sz w:val="20"/>
          <w:szCs w:val="20"/>
          <w:color w:val="auto"/>
        </w:rPr>
      </w:pPr>
    </w:p>
    <w:p>
      <w:pPr>
        <w:jc w:val="right"/>
        <w:spacing w:after="0"/>
        <w:rPr>
          <w:rFonts w:ascii="Arial" w:cs="Arial" w:eastAsia="Arial" w:hAnsi="Arial"/>
          <w:sz w:val="15"/>
          <w:szCs w:val="15"/>
          <w:u w:val="single" w:color="auto"/>
          <w:color w:val="0000EE"/>
        </w:rPr>
      </w:pPr>
      <w:hyperlink w:anchor="page45">
        <w:r>
          <w:rPr>
            <w:rFonts w:ascii="Arial" w:cs="Arial" w:eastAsia="Arial" w:hAnsi="Arial"/>
            <w:sz w:val="15"/>
            <w:szCs w:val="15"/>
            <w:u w:val="single" w:color="auto"/>
            <w:color w:val="0000EE"/>
          </w:rPr>
          <w:t>43</w:t>
        </w:r>
      </w:hyperlink>
    </w:p>
    <w:p>
      <w:pPr>
        <w:spacing w:after="0" w:line="98" w:lineRule="exact"/>
        <w:rPr>
          <w:sz w:val="20"/>
          <w:szCs w:val="20"/>
          <w:color w:val="auto"/>
        </w:rPr>
      </w:pPr>
    </w:p>
    <w:p>
      <w:pPr>
        <w:jc w:val="right"/>
        <w:spacing w:after="0"/>
        <w:rPr>
          <w:rFonts w:ascii="Arial" w:cs="Arial" w:eastAsia="Arial" w:hAnsi="Arial"/>
          <w:sz w:val="15"/>
          <w:szCs w:val="15"/>
          <w:u w:val="single" w:color="auto"/>
          <w:color w:val="0000EE"/>
        </w:rPr>
      </w:pPr>
      <w:hyperlink w:anchor="page45">
        <w:r>
          <w:rPr>
            <w:rFonts w:ascii="Arial" w:cs="Arial" w:eastAsia="Arial" w:hAnsi="Arial"/>
            <w:sz w:val="15"/>
            <w:szCs w:val="15"/>
            <w:u w:val="single" w:color="auto"/>
            <w:color w:val="0000EE"/>
          </w:rPr>
          <w:t>43</w:t>
        </w:r>
      </w:hyperlink>
    </w:p>
    <w:p>
      <w:pPr>
        <w:spacing w:after="0" w:line="44" w:lineRule="exact"/>
        <w:rPr>
          <w:sz w:val="20"/>
          <w:szCs w:val="20"/>
          <w:color w:val="auto"/>
        </w:rPr>
      </w:pPr>
    </w:p>
    <w:p>
      <w:pPr>
        <w:jc w:val="right"/>
        <w:spacing w:after="0"/>
        <w:rPr>
          <w:rFonts w:ascii="Arial" w:cs="Arial" w:eastAsia="Arial" w:hAnsi="Arial"/>
          <w:sz w:val="15"/>
          <w:szCs w:val="15"/>
          <w:u w:val="single" w:color="auto"/>
          <w:color w:val="0000EE"/>
        </w:rPr>
      </w:pPr>
      <w:hyperlink w:anchor="page46">
        <w:r>
          <w:rPr>
            <w:rFonts w:ascii="Arial" w:cs="Arial" w:eastAsia="Arial" w:hAnsi="Arial"/>
            <w:sz w:val="15"/>
            <w:szCs w:val="15"/>
            <w:u w:val="single" w:color="auto"/>
            <w:color w:val="0000EE"/>
          </w:rPr>
          <w:t>44</w:t>
        </w:r>
      </w:hyperlink>
    </w:p>
    <w:p>
      <w:pPr>
        <w:spacing w:after="0" w:line="44" w:lineRule="exact"/>
        <w:rPr>
          <w:sz w:val="20"/>
          <w:szCs w:val="20"/>
          <w:color w:val="auto"/>
        </w:rPr>
      </w:pPr>
    </w:p>
    <w:p>
      <w:pPr>
        <w:jc w:val="right"/>
        <w:spacing w:after="0"/>
        <w:rPr>
          <w:rFonts w:ascii="Arial" w:cs="Arial" w:eastAsia="Arial" w:hAnsi="Arial"/>
          <w:sz w:val="15"/>
          <w:szCs w:val="15"/>
          <w:u w:val="single" w:color="auto"/>
          <w:color w:val="0000EE"/>
        </w:rPr>
      </w:pPr>
      <w:hyperlink w:anchor="page48">
        <w:r>
          <w:rPr>
            <w:rFonts w:ascii="Arial" w:cs="Arial" w:eastAsia="Arial" w:hAnsi="Arial"/>
            <w:sz w:val="15"/>
            <w:szCs w:val="15"/>
            <w:u w:val="single" w:color="auto"/>
            <w:color w:val="0000EE"/>
          </w:rPr>
          <w:t>46</w:t>
        </w:r>
      </w:hyperlink>
    </w:p>
    <w:p>
      <w:pPr>
        <w:spacing w:after="0" w:line="44" w:lineRule="exact"/>
        <w:rPr>
          <w:sz w:val="20"/>
          <w:szCs w:val="20"/>
          <w:color w:val="auto"/>
        </w:rPr>
      </w:pPr>
    </w:p>
    <w:p>
      <w:pPr>
        <w:jc w:val="right"/>
        <w:spacing w:after="0"/>
        <w:rPr>
          <w:rFonts w:ascii="Arial" w:cs="Arial" w:eastAsia="Arial" w:hAnsi="Arial"/>
          <w:sz w:val="15"/>
          <w:szCs w:val="15"/>
          <w:u w:val="single" w:color="auto"/>
          <w:color w:val="0000EE"/>
        </w:rPr>
      </w:pPr>
      <w:hyperlink w:anchor="page49">
        <w:r>
          <w:rPr>
            <w:rFonts w:ascii="Arial" w:cs="Arial" w:eastAsia="Arial" w:hAnsi="Arial"/>
            <w:sz w:val="15"/>
            <w:szCs w:val="15"/>
            <w:u w:val="single" w:color="auto"/>
            <w:color w:val="0000EE"/>
          </w:rPr>
          <w:t>47</w:t>
        </w:r>
      </w:hyperlink>
    </w:p>
    <w:p>
      <w:pPr>
        <w:spacing w:after="0" w:line="44" w:lineRule="exact"/>
        <w:rPr>
          <w:sz w:val="20"/>
          <w:szCs w:val="20"/>
          <w:color w:val="auto"/>
        </w:rPr>
      </w:pPr>
    </w:p>
    <w:p>
      <w:pPr>
        <w:jc w:val="right"/>
        <w:spacing w:after="0"/>
        <w:rPr>
          <w:rFonts w:ascii="Arial" w:cs="Arial" w:eastAsia="Arial" w:hAnsi="Arial"/>
          <w:sz w:val="15"/>
          <w:szCs w:val="15"/>
          <w:u w:val="single" w:color="auto"/>
          <w:color w:val="0000EE"/>
        </w:rPr>
      </w:pPr>
      <w:hyperlink w:anchor="page50">
        <w:r>
          <w:rPr>
            <w:rFonts w:ascii="Arial" w:cs="Arial" w:eastAsia="Arial" w:hAnsi="Arial"/>
            <w:sz w:val="15"/>
            <w:szCs w:val="15"/>
            <w:u w:val="single" w:color="auto"/>
            <w:color w:val="0000EE"/>
          </w:rPr>
          <w:t>48</w:t>
        </w:r>
      </w:hyperlink>
    </w:p>
    <w:p>
      <w:pPr>
        <w:spacing w:after="0" w:line="260" w:lineRule="exact"/>
        <w:rPr>
          <w:sz w:val="20"/>
          <w:szCs w:val="20"/>
          <w:color w:val="auto"/>
        </w:rPr>
      </w:pPr>
    </w:p>
    <w:p>
      <w:pPr>
        <w:jc w:val="right"/>
        <w:spacing w:after="0"/>
        <w:rPr>
          <w:rFonts w:ascii="Arial" w:cs="Arial" w:eastAsia="Arial" w:hAnsi="Arial"/>
          <w:sz w:val="15"/>
          <w:szCs w:val="15"/>
          <w:u w:val="single" w:color="auto"/>
          <w:color w:val="0000EE"/>
        </w:rPr>
      </w:pPr>
      <w:hyperlink w:anchor="page71">
        <w:r>
          <w:rPr>
            <w:rFonts w:ascii="Arial" w:cs="Arial" w:eastAsia="Arial" w:hAnsi="Arial"/>
            <w:sz w:val="15"/>
            <w:szCs w:val="15"/>
            <w:u w:val="single" w:color="auto"/>
            <w:color w:val="0000EE"/>
          </w:rPr>
          <w:t>69</w:t>
        </w:r>
      </w:hyperlink>
    </w:p>
    <w:p>
      <w:pPr>
        <w:spacing w:after="0" w:line="44" w:lineRule="exact"/>
        <w:rPr>
          <w:sz w:val="20"/>
          <w:szCs w:val="20"/>
          <w:color w:val="auto"/>
        </w:rPr>
      </w:pPr>
    </w:p>
    <w:p>
      <w:pPr>
        <w:jc w:val="right"/>
        <w:spacing w:after="0"/>
        <w:rPr>
          <w:rFonts w:ascii="Arial" w:cs="Arial" w:eastAsia="Arial" w:hAnsi="Arial"/>
          <w:sz w:val="15"/>
          <w:szCs w:val="15"/>
          <w:u w:val="single" w:color="auto"/>
          <w:color w:val="0000EE"/>
        </w:rPr>
      </w:pPr>
      <w:hyperlink w:anchor="page73">
        <w:r>
          <w:rPr>
            <w:rFonts w:ascii="Arial" w:cs="Arial" w:eastAsia="Arial" w:hAnsi="Arial"/>
            <w:sz w:val="15"/>
            <w:szCs w:val="15"/>
            <w:u w:val="single" w:color="auto"/>
            <w:color w:val="0000EE"/>
          </w:rPr>
          <w:t>71</w:t>
        </w:r>
      </w:hyperlink>
    </w:p>
    <w:p>
      <w:pPr>
        <w:spacing w:after="0" w:line="44" w:lineRule="exact"/>
        <w:rPr>
          <w:sz w:val="20"/>
          <w:szCs w:val="20"/>
          <w:color w:val="auto"/>
        </w:rPr>
      </w:pPr>
    </w:p>
    <w:p>
      <w:pPr>
        <w:jc w:val="right"/>
        <w:spacing w:after="0"/>
        <w:rPr>
          <w:rFonts w:ascii="Arial" w:cs="Arial" w:eastAsia="Arial" w:hAnsi="Arial"/>
          <w:sz w:val="15"/>
          <w:szCs w:val="15"/>
          <w:u w:val="single" w:color="auto"/>
          <w:color w:val="0000EE"/>
        </w:rPr>
      </w:pPr>
      <w:hyperlink w:anchor="page74">
        <w:r>
          <w:rPr>
            <w:rFonts w:ascii="Arial" w:cs="Arial" w:eastAsia="Arial" w:hAnsi="Arial"/>
            <w:sz w:val="15"/>
            <w:szCs w:val="15"/>
            <w:u w:val="single" w:color="auto"/>
            <w:color w:val="0000EE"/>
          </w:rPr>
          <w:t>72</w:t>
        </w:r>
      </w:hyperlink>
    </w:p>
    <w:p>
      <w:pPr>
        <w:spacing w:after="0" w:line="44" w:lineRule="exact"/>
        <w:rPr>
          <w:sz w:val="20"/>
          <w:szCs w:val="20"/>
          <w:color w:val="auto"/>
        </w:rPr>
      </w:pPr>
    </w:p>
    <w:p>
      <w:pPr>
        <w:jc w:val="right"/>
        <w:spacing w:after="0"/>
        <w:rPr>
          <w:rFonts w:ascii="Arial" w:cs="Arial" w:eastAsia="Arial" w:hAnsi="Arial"/>
          <w:sz w:val="15"/>
          <w:szCs w:val="15"/>
          <w:u w:val="single" w:color="auto"/>
          <w:color w:val="0000EE"/>
        </w:rPr>
      </w:pPr>
      <w:hyperlink w:anchor="page75">
        <w:r>
          <w:rPr>
            <w:rFonts w:ascii="Arial" w:cs="Arial" w:eastAsia="Arial" w:hAnsi="Arial"/>
            <w:sz w:val="15"/>
            <w:szCs w:val="15"/>
            <w:u w:val="single" w:color="auto"/>
            <w:color w:val="0000EE"/>
          </w:rPr>
          <w:t>73</w:t>
        </w:r>
      </w:hyperlink>
    </w:p>
    <w:p>
      <w:pPr>
        <w:spacing w:after="0" w:line="44" w:lineRule="exact"/>
        <w:rPr>
          <w:sz w:val="20"/>
          <w:szCs w:val="20"/>
          <w:color w:val="auto"/>
        </w:rPr>
      </w:pPr>
    </w:p>
    <w:p>
      <w:pPr>
        <w:jc w:val="right"/>
        <w:spacing w:after="0"/>
        <w:rPr>
          <w:rFonts w:ascii="Arial" w:cs="Arial" w:eastAsia="Arial" w:hAnsi="Arial"/>
          <w:sz w:val="15"/>
          <w:szCs w:val="15"/>
          <w:u w:val="single" w:color="auto"/>
          <w:color w:val="0000EE"/>
        </w:rPr>
      </w:pPr>
      <w:hyperlink w:anchor="page76">
        <w:r>
          <w:rPr>
            <w:rFonts w:ascii="Arial" w:cs="Arial" w:eastAsia="Arial" w:hAnsi="Arial"/>
            <w:sz w:val="15"/>
            <w:szCs w:val="15"/>
            <w:u w:val="single" w:color="auto"/>
            <w:color w:val="0000EE"/>
          </w:rPr>
          <w:t>74</w:t>
        </w:r>
      </w:hyperlink>
    </w:p>
    <w:p>
      <w:pPr>
        <w:spacing w:after="0" w:line="44" w:lineRule="exact"/>
        <w:rPr>
          <w:sz w:val="20"/>
          <w:szCs w:val="20"/>
          <w:color w:val="auto"/>
        </w:rPr>
      </w:pPr>
    </w:p>
    <w:p>
      <w:pPr>
        <w:jc w:val="right"/>
        <w:spacing w:after="0"/>
        <w:rPr>
          <w:rFonts w:ascii="Arial" w:cs="Arial" w:eastAsia="Arial" w:hAnsi="Arial"/>
          <w:sz w:val="15"/>
          <w:szCs w:val="15"/>
          <w:u w:val="single" w:color="auto"/>
          <w:color w:val="0000EE"/>
        </w:rPr>
      </w:pPr>
      <w:hyperlink w:anchor="page78">
        <w:r>
          <w:rPr>
            <w:rFonts w:ascii="Arial" w:cs="Arial" w:eastAsia="Arial" w:hAnsi="Arial"/>
            <w:sz w:val="15"/>
            <w:szCs w:val="15"/>
            <w:u w:val="single" w:color="auto"/>
            <w:color w:val="0000EE"/>
          </w:rPr>
          <w:t>75</w:t>
        </w:r>
      </w:hyperlink>
    </w:p>
    <w:p>
      <w:pPr>
        <w:spacing w:after="0" w:line="44" w:lineRule="exact"/>
        <w:rPr>
          <w:sz w:val="20"/>
          <w:szCs w:val="20"/>
          <w:color w:val="auto"/>
        </w:rPr>
      </w:pPr>
    </w:p>
    <w:p>
      <w:pPr>
        <w:jc w:val="right"/>
        <w:spacing w:after="0"/>
        <w:rPr>
          <w:rFonts w:ascii="Arial" w:cs="Arial" w:eastAsia="Arial" w:hAnsi="Arial"/>
          <w:sz w:val="15"/>
          <w:szCs w:val="15"/>
          <w:u w:val="single" w:color="auto"/>
          <w:color w:val="0000EE"/>
        </w:rPr>
      </w:pPr>
      <w:hyperlink w:anchor="page79">
        <w:r>
          <w:rPr>
            <w:rFonts w:ascii="Arial" w:cs="Arial" w:eastAsia="Arial" w:hAnsi="Arial"/>
            <w:sz w:val="15"/>
            <w:szCs w:val="15"/>
            <w:u w:val="single" w:color="auto"/>
            <w:color w:val="0000EE"/>
          </w:rPr>
          <w:t>76</w:t>
        </w:r>
      </w:hyperlink>
    </w:p>
    <w:p>
      <w:pPr>
        <w:spacing w:after="0" w:line="44" w:lineRule="exact"/>
        <w:rPr>
          <w:sz w:val="20"/>
          <w:szCs w:val="20"/>
          <w:color w:val="auto"/>
        </w:rPr>
      </w:pPr>
    </w:p>
    <w:p>
      <w:pPr>
        <w:jc w:val="right"/>
        <w:spacing w:after="0"/>
        <w:rPr>
          <w:rFonts w:ascii="Arial" w:cs="Arial" w:eastAsia="Arial" w:hAnsi="Arial"/>
          <w:sz w:val="15"/>
          <w:szCs w:val="15"/>
          <w:u w:val="single" w:color="auto"/>
          <w:color w:val="0000EE"/>
        </w:rPr>
      </w:pPr>
      <w:hyperlink w:anchor="page129">
        <w:r>
          <w:rPr>
            <w:rFonts w:ascii="Arial" w:cs="Arial" w:eastAsia="Arial" w:hAnsi="Arial"/>
            <w:sz w:val="15"/>
            <w:szCs w:val="15"/>
            <w:u w:val="single" w:color="auto"/>
            <w:color w:val="0000EE"/>
          </w:rPr>
          <w:t>124</w:t>
        </w:r>
      </w:hyperlink>
    </w:p>
    <w:p>
      <w:pPr>
        <w:sectPr>
          <w:pgSz w:w="11900" w:h="16838" w:orient="portrait"/>
          <w:cols w:equalWidth="0" w:num="2">
            <w:col w:w="10380" w:space="720"/>
            <w:col w:w="260"/>
          </w:cols>
          <w:pgMar w:left="280" w:top="760" w:right="259" w:bottom="1440" w:gutter="0" w:footer="0" w:header="0"/>
        </w:sectPr>
      </w:pPr>
    </w:p>
    <w:bookmarkStart w:id="2" w:name="page3"/>
    <w:bookmarkEnd w:id="2"/>
    <w:p>
      <w:pPr>
        <w:jc w:val="center"/>
        <w:spacing w:after="0"/>
        <w:rPr>
          <w:sz w:val="20"/>
          <w:szCs w:val="20"/>
          <w:color w:val="auto"/>
        </w:rPr>
      </w:pPr>
      <w:r>
        <w:rPr>
          <w:rFonts w:ascii="Arial" w:cs="Arial" w:eastAsia="Arial" w:hAnsi="Arial"/>
          <w:sz w:val="18"/>
          <w:szCs w:val="18"/>
          <w:b w:val="1"/>
          <w:bCs w:val="1"/>
          <w:color w:val="auto"/>
        </w:rPr>
        <w:t>PART I</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Business.</w:t>
      </w:r>
    </w:p>
    <w:p>
      <w:pPr>
        <w:spacing w:after="0" w:line="166" w:lineRule="exact"/>
        <w:rPr>
          <w:sz w:val="20"/>
          <w:szCs w:val="20"/>
          <w:color w:val="auto"/>
        </w:rPr>
      </w:pPr>
    </w:p>
    <w:p>
      <w:pPr>
        <w:ind w:right="20"/>
        <w:spacing w:after="0" w:line="224" w:lineRule="auto"/>
        <w:rPr>
          <w:sz w:val="20"/>
          <w:szCs w:val="20"/>
          <w:color w:val="auto"/>
        </w:rPr>
      </w:pPr>
      <w:r>
        <w:rPr>
          <w:rFonts w:ascii="Arial" w:cs="Arial" w:eastAsia="Arial" w:hAnsi="Arial"/>
          <w:sz w:val="18"/>
          <w:szCs w:val="18"/>
          <w:color w:val="auto"/>
        </w:rPr>
        <w:t>Graham Holdings Company (the Company) is a diversified education and media company whose operations include educational services, television broadcasting, online print and local TV news, home health and hospice care and manufacturing. The Company’s Kaplan subsidiary provides a wide variety of educational services, both domestically and outside the United States. The Company’s media operations comprise the ownership and operation of television broadcasting (through the ownership and operation of seven television broadcast stations), plus Slate and Foreign Policy magazines and Panoply, a podcast network. The Company also owns home health and hospice providers, four industrial companies and Social Code LLC, a marketing solutions provider.</w:t>
      </w:r>
    </w:p>
    <w:p>
      <w:pPr>
        <w:spacing w:after="0" w:line="137" w:lineRule="exact"/>
        <w:rPr>
          <w:sz w:val="20"/>
          <w:szCs w:val="20"/>
          <w:color w:val="auto"/>
        </w:rPr>
      </w:pPr>
    </w:p>
    <w:p>
      <w:pPr>
        <w:ind w:right="20"/>
        <w:spacing w:after="0" w:line="227" w:lineRule="auto"/>
        <w:rPr>
          <w:sz w:val="20"/>
          <w:szCs w:val="20"/>
          <w:color w:val="auto"/>
        </w:rPr>
      </w:pPr>
      <w:r>
        <w:rPr>
          <w:rFonts w:ascii="Arial" w:cs="Arial" w:eastAsia="Arial" w:hAnsi="Arial"/>
          <w:sz w:val="18"/>
          <w:szCs w:val="18"/>
          <w:color w:val="auto"/>
        </w:rPr>
        <w:t>Financial information concerning the principal segments of the Company’s business for the past three fiscal years is contained in Note 20 to the Company’s Consolidated Financial Statements appearing elsewhere in this Annual Report on Form 10-K. Revenues for each segment are shown in Note 20 gross of intersegment sales. Consolidated revenues are reported net of intersegment sales, which did not exceed 0.1% of consolidated operating revenues.</w:t>
      </w:r>
    </w:p>
    <w:p>
      <w:pPr>
        <w:spacing w:after="0" w:line="135" w:lineRule="exact"/>
        <w:rPr>
          <w:sz w:val="20"/>
          <w:szCs w:val="20"/>
          <w:color w:val="auto"/>
        </w:rPr>
      </w:pPr>
    </w:p>
    <w:p>
      <w:pPr>
        <w:ind w:right="500"/>
        <w:spacing w:after="0" w:line="227" w:lineRule="auto"/>
        <w:rPr>
          <w:sz w:val="20"/>
          <w:szCs w:val="20"/>
          <w:color w:val="auto"/>
        </w:rPr>
      </w:pPr>
      <w:r>
        <w:rPr>
          <w:rFonts w:ascii="Arial" w:cs="Arial" w:eastAsia="Arial" w:hAnsi="Arial"/>
          <w:sz w:val="18"/>
          <w:szCs w:val="18"/>
          <w:color w:val="auto"/>
        </w:rPr>
        <w:t>The Company’s operations in geographic areas outside the U.S. consist primarily of Kaplan’s non-U.S. operations. During the fiscal years 2017, 2016 and 2015, these operations accounted for approximately 25%, 25% and 26%, respectively, of the Company’s consolidated revenues, and the identifiable assets attributable to non-U.S. operations represented approximately 21% and 20% of the Company’s consolidated assets at December 31, 2017 and 2016, respectively.</w:t>
      </w:r>
    </w:p>
    <w:p>
      <w:pPr>
        <w:spacing w:after="0" w:line="11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Education</w:t>
      </w:r>
    </w:p>
    <w:p>
      <w:pPr>
        <w:spacing w:after="0" w:line="166" w:lineRule="exact"/>
        <w:rPr>
          <w:sz w:val="20"/>
          <w:szCs w:val="20"/>
          <w:color w:val="auto"/>
        </w:rPr>
      </w:pPr>
    </w:p>
    <w:p>
      <w:pPr>
        <w:ind w:right="120"/>
        <w:spacing w:after="0" w:line="227" w:lineRule="auto"/>
        <w:rPr>
          <w:sz w:val="20"/>
          <w:szCs w:val="20"/>
          <w:color w:val="auto"/>
        </w:rPr>
      </w:pPr>
      <w:r>
        <w:rPr>
          <w:rFonts w:ascii="Arial" w:cs="Arial" w:eastAsia="Arial" w:hAnsi="Arial"/>
          <w:sz w:val="18"/>
          <w:szCs w:val="18"/>
          <w:color w:val="auto"/>
        </w:rPr>
        <w:t>Kaplan, Inc. (Kaplan), a subsidiary of the Company, provides an extensive range of education and related services worldwide for students and professionals. Kaplan conducts its operations through three segments: Kaplan Higher Education, Kaplan Test Preparation and Kaplan International. In addition, the results of the Kaplan Corporate segment include investment activities, identifying and investing in high-growth-potential education technology companies.</w:t>
      </w:r>
    </w:p>
    <w:p>
      <w:pPr>
        <w:spacing w:after="0" w:line="135"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presents revenues for each of Kaplan’s segments:</w:t>
      </w:r>
    </w:p>
    <w:p>
      <w:pPr>
        <w:spacing w:after="0" w:line="199"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744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2740" w:type="dxa"/>
            <w:vAlign w:val="bottom"/>
            <w:tcBorders>
              <w:bottom w:val="single" w:sz="8" w:color="auto"/>
            </w:tcBorders>
            <w:gridSpan w:val="4"/>
          </w:tcPr>
          <w:p>
            <w:pPr>
              <w:jc w:val="right"/>
              <w:ind w:right="59"/>
              <w:spacing w:after="0"/>
              <w:rPr>
                <w:sz w:val="20"/>
                <w:szCs w:val="20"/>
                <w:color w:val="auto"/>
              </w:rPr>
            </w:pPr>
            <w:r>
              <w:rPr>
                <w:rFonts w:ascii="Arial" w:cs="Arial" w:eastAsia="Arial" w:hAnsi="Arial"/>
                <w:sz w:val="14"/>
                <w:szCs w:val="14"/>
                <w:b w:val="1"/>
                <w:bCs w:val="1"/>
                <w:color w:val="auto"/>
              </w:rPr>
              <w:t>Year Ended December 31</w:t>
            </w:r>
          </w:p>
        </w:tc>
        <w:tc>
          <w:tcPr>
            <w:tcW w:w="980" w:type="dxa"/>
            <w:vAlign w:val="bottom"/>
            <w:tcBorders>
              <w:bottom w:val="single" w:sz="8" w:color="auto"/>
            </w:tcBorders>
          </w:tcPr>
          <w:p>
            <w:pPr>
              <w:spacing w:after="0"/>
              <w:rPr>
                <w:sz w:val="17"/>
                <w:szCs w:val="17"/>
                <w:color w:val="auto"/>
              </w:rPr>
            </w:pPr>
          </w:p>
        </w:tc>
      </w:tr>
      <w:tr>
        <w:trPr>
          <w:trHeight w:val="264"/>
        </w:trPr>
        <w:tc>
          <w:tcPr>
            <w:tcW w:w="744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(in thousands)</w:t>
            </w:r>
          </w:p>
        </w:tc>
        <w:tc>
          <w:tcPr>
            <w:tcW w:w="26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ind w:right="442"/>
              <w:spacing w:after="0"/>
              <w:rPr>
                <w:sz w:val="20"/>
                <w:szCs w:val="20"/>
                <w:color w:val="auto"/>
              </w:rPr>
            </w:pPr>
            <w:r>
              <w:rPr>
                <w:rFonts w:ascii="Arial" w:cs="Arial" w:eastAsia="Arial" w:hAnsi="Arial"/>
                <w:sz w:val="14"/>
                <w:szCs w:val="14"/>
                <w:b w:val="1"/>
                <w:bCs w:val="1"/>
                <w:color w:val="auto"/>
              </w:rPr>
              <w:t>2017</w:t>
            </w:r>
          </w:p>
        </w:tc>
        <w:tc>
          <w:tcPr>
            <w:tcW w:w="34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ind w:right="440"/>
              <w:spacing w:after="0"/>
              <w:rPr>
                <w:sz w:val="20"/>
                <w:szCs w:val="20"/>
                <w:color w:val="auto"/>
              </w:rPr>
            </w:pPr>
            <w:r>
              <w:rPr>
                <w:rFonts w:ascii="Arial" w:cs="Arial" w:eastAsia="Arial" w:hAnsi="Arial"/>
                <w:sz w:val="14"/>
                <w:szCs w:val="14"/>
                <w:color w:val="auto"/>
              </w:rPr>
              <w:t>2016</w:t>
            </w:r>
          </w:p>
        </w:tc>
        <w:tc>
          <w:tcPr>
            <w:tcW w:w="34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ind w:right="380"/>
              <w:spacing w:after="0"/>
              <w:rPr>
                <w:sz w:val="20"/>
                <w:szCs w:val="20"/>
                <w:color w:val="auto"/>
              </w:rPr>
            </w:pPr>
            <w:r>
              <w:rPr>
                <w:rFonts w:ascii="Arial" w:cs="Arial" w:eastAsia="Arial" w:hAnsi="Arial"/>
                <w:sz w:val="14"/>
                <w:szCs w:val="14"/>
                <w:color w:val="auto"/>
              </w:rPr>
              <w:t>2015</w:t>
            </w:r>
          </w:p>
        </w:tc>
      </w:tr>
      <w:tr>
        <w:trPr>
          <w:trHeight w:val="250"/>
        </w:trPr>
        <w:tc>
          <w:tcPr>
            <w:tcW w:w="7440" w:type="dxa"/>
            <w:vAlign w:val="bottom"/>
          </w:tcPr>
          <w:p>
            <w:pPr>
              <w:ind w:left="40"/>
              <w:spacing w:after="0"/>
              <w:rPr>
                <w:sz w:val="20"/>
                <w:szCs w:val="20"/>
                <w:color w:val="auto"/>
              </w:rPr>
            </w:pPr>
            <w:r>
              <w:rPr>
                <w:rFonts w:ascii="Arial" w:cs="Arial" w:eastAsia="Arial" w:hAnsi="Arial"/>
                <w:sz w:val="16"/>
                <w:szCs w:val="16"/>
                <w:color w:val="auto"/>
              </w:rPr>
              <w:t>Kaplan Higher Education</w:t>
            </w:r>
          </w:p>
        </w:tc>
        <w:tc>
          <w:tcPr>
            <w:tcW w:w="260" w:type="dxa"/>
            <w:vAlign w:val="bottom"/>
          </w:tcPr>
          <w:p>
            <w:pPr>
              <w:jc w:val="right"/>
              <w:ind w:right="59"/>
              <w:spacing w:after="0"/>
              <w:rPr>
                <w:sz w:val="20"/>
                <w:szCs w:val="20"/>
                <w:color w:val="auto"/>
              </w:rPr>
            </w:pPr>
            <w:r>
              <w:rPr>
                <w:rFonts w:ascii="Arial" w:cs="Arial" w:eastAsia="Arial" w:hAnsi="Arial"/>
                <w:sz w:val="16"/>
                <w:szCs w:val="16"/>
                <w:b w:val="1"/>
                <w:bCs w:val="1"/>
                <w:color w:val="auto"/>
              </w:rPr>
              <w:t>$</w:t>
            </w:r>
          </w:p>
        </w:tc>
        <w:tc>
          <w:tcPr>
            <w:tcW w:w="1040" w:type="dxa"/>
            <w:vAlign w:val="bottom"/>
          </w:tcPr>
          <w:p>
            <w:pPr>
              <w:jc w:val="right"/>
              <w:ind w:right="82"/>
              <w:spacing w:after="0"/>
              <w:rPr>
                <w:sz w:val="20"/>
                <w:szCs w:val="20"/>
                <w:color w:val="auto"/>
              </w:rPr>
            </w:pPr>
            <w:r>
              <w:rPr>
                <w:rFonts w:ascii="Arial" w:cs="Arial" w:eastAsia="Arial" w:hAnsi="Arial"/>
                <w:sz w:val="16"/>
                <w:szCs w:val="16"/>
                <w:b w:val="1"/>
                <w:bCs w:val="1"/>
                <w:color w:val="auto"/>
              </w:rPr>
              <w:t>547,264</w:t>
            </w:r>
          </w:p>
        </w:tc>
        <w:tc>
          <w:tcPr>
            <w:tcW w:w="34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1020" w:type="dxa"/>
            <w:vAlign w:val="bottom"/>
          </w:tcPr>
          <w:p>
            <w:pPr>
              <w:jc w:val="right"/>
              <w:ind w:right="80"/>
              <w:spacing w:after="0"/>
              <w:rPr>
                <w:sz w:val="20"/>
                <w:szCs w:val="20"/>
                <w:color w:val="auto"/>
              </w:rPr>
            </w:pPr>
            <w:r>
              <w:rPr>
                <w:rFonts w:ascii="Arial" w:cs="Arial" w:eastAsia="Arial" w:hAnsi="Arial"/>
                <w:sz w:val="16"/>
                <w:szCs w:val="16"/>
                <w:color w:val="auto"/>
              </w:rPr>
              <w:t>617,047</w:t>
            </w:r>
          </w:p>
        </w:tc>
        <w:tc>
          <w:tcPr>
            <w:tcW w:w="34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980" w:type="dxa"/>
            <w:vAlign w:val="bottom"/>
          </w:tcPr>
          <w:p>
            <w:pPr>
              <w:jc w:val="right"/>
              <w:ind w:right="20"/>
              <w:spacing w:after="0"/>
              <w:rPr>
                <w:sz w:val="20"/>
                <w:szCs w:val="20"/>
                <w:color w:val="auto"/>
              </w:rPr>
            </w:pPr>
            <w:r>
              <w:rPr>
                <w:rFonts w:ascii="Arial" w:cs="Arial" w:eastAsia="Arial" w:hAnsi="Arial"/>
                <w:sz w:val="16"/>
                <w:szCs w:val="16"/>
                <w:color w:val="auto"/>
              </w:rPr>
              <w:t>849,625</w:t>
            </w:r>
          </w:p>
        </w:tc>
      </w:tr>
      <w:tr>
        <w:trPr>
          <w:trHeight w:val="270"/>
        </w:trPr>
        <w:tc>
          <w:tcPr>
            <w:tcW w:w="7440" w:type="dxa"/>
            <w:vAlign w:val="bottom"/>
          </w:tcPr>
          <w:p>
            <w:pPr>
              <w:ind w:left="40"/>
              <w:spacing w:after="0"/>
              <w:rPr>
                <w:sz w:val="20"/>
                <w:szCs w:val="20"/>
                <w:color w:val="auto"/>
              </w:rPr>
            </w:pPr>
            <w:r>
              <w:rPr>
                <w:rFonts w:ascii="Arial" w:cs="Arial" w:eastAsia="Arial" w:hAnsi="Arial"/>
                <w:sz w:val="16"/>
                <w:szCs w:val="16"/>
                <w:color w:val="auto"/>
              </w:rPr>
              <w:t>Kaplan Test Preparation</w:t>
            </w:r>
          </w:p>
        </w:tc>
        <w:tc>
          <w:tcPr>
            <w:tcW w:w="260" w:type="dxa"/>
            <w:vAlign w:val="bottom"/>
          </w:tcPr>
          <w:p>
            <w:pPr>
              <w:spacing w:after="0"/>
              <w:rPr>
                <w:sz w:val="23"/>
                <w:szCs w:val="23"/>
                <w:color w:val="auto"/>
              </w:rPr>
            </w:pPr>
          </w:p>
        </w:tc>
        <w:tc>
          <w:tcPr>
            <w:tcW w:w="1040" w:type="dxa"/>
            <w:vAlign w:val="bottom"/>
          </w:tcPr>
          <w:p>
            <w:pPr>
              <w:jc w:val="right"/>
              <w:ind w:right="82"/>
              <w:spacing w:after="0"/>
              <w:rPr>
                <w:sz w:val="20"/>
                <w:szCs w:val="20"/>
                <w:color w:val="auto"/>
              </w:rPr>
            </w:pPr>
            <w:r>
              <w:rPr>
                <w:rFonts w:ascii="Arial" w:cs="Arial" w:eastAsia="Arial" w:hAnsi="Arial"/>
                <w:sz w:val="16"/>
                <w:szCs w:val="16"/>
                <w:b w:val="1"/>
                <w:bCs w:val="1"/>
                <w:color w:val="auto"/>
              </w:rPr>
              <w:t>273,298</w:t>
            </w:r>
          </w:p>
        </w:tc>
        <w:tc>
          <w:tcPr>
            <w:tcW w:w="340" w:type="dxa"/>
            <w:vAlign w:val="bottom"/>
          </w:tcPr>
          <w:p>
            <w:pPr>
              <w:spacing w:after="0"/>
              <w:rPr>
                <w:sz w:val="23"/>
                <w:szCs w:val="23"/>
                <w:color w:val="auto"/>
              </w:rPr>
            </w:pPr>
          </w:p>
        </w:tc>
        <w:tc>
          <w:tcPr>
            <w:tcW w:w="1020" w:type="dxa"/>
            <w:vAlign w:val="bottom"/>
          </w:tcPr>
          <w:p>
            <w:pPr>
              <w:jc w:val="right"/>
              <w:ind w:right="80"/>
              <w:spacing w:after="0"/>
              <w:rPr>
                <w:sz w:val="20"/>
                <w:szCs w:val="20"/>
                <w:color w:val="auto"/>
              </w:rPr>
            </w:pPr>
            <w:r>
              <w:rPr>
                <w:rFonts w:ascii="Arial" w:cs="Arial" w:eastAsia="Arial" w:hAnsi="Arial"/>
                <w:sz w:val="16"/>
                <w:szCs w:val="16"/>
                <w:color w:val="auto"/>
              </w:rPr>
              <w:t>286,556</w:t>
            </w:r>
          </w:p>
        </w:tc>
        <w:tc>
          <w:tcPr>
            <w:tcW w:w="340" w:type="dxa"/>
            <w:vAlign w:val="bottom"/>
          </w:tcPr>
          <w:p>
            <w:pPr>
              <w:spacing w:after="0"/>
              <w:rPr>
                <w:sz w:val="23"/>
                <w:szCs w:val="23"/>
                <w:color w:val="auto"/>
              </w:rPr>
            </w:pPr>
          </w:p>
        </w:tc>
        <w:tc>
          <w:tcPr>
            <w:tcW w:w="980" w:type="dxa"/>
            <w:vAlign w:val="bottom"/>
          </w:tcPr>
          <w:p>
            <w:pPr>
              <w:jc w:val="right"/>
              <w:ind w:right="20"/>
              <w:spacing w:after="0"/>
              <w:rPr>
                <w:sz w:val="20"/>
                <w:szCs w:val="20"/>
                <w:color w:val="auto"/>
              </w:rPr>
            </w:pPr>
            <w:r>
              <w:rPr>
                <w:rFonts w:ascii="Arial" w:cs="Arial" w:eastAsia="Arial" w:hAnsi="Arial"/>
                <w:sz w:val="16"/>
                <w:szCs w:val="16"/>
                <w:color w:val="auto"/>
              </w:rPr>
              <w:t>301,607</w:t>
            </w:r>
          </w:p>
        </w:tc>
      </w:tr>
      <w:tr>
        <w:trPr>
          <w:trHeight w:val="270"/>
        </w:trPr>
        <w:tc>
          <w:tcPr>
            <w:tcW w:w="7440" w:type="dxa"/>
            <w:vAlign w:val="bottom"/>
          </w:tcPr>
          <w:p>
            <w:pPr>
              <w:ind w:left="40"/>
              <w:spacing w:after="0"/>
              <w:rPr>
                <w:sz w:val="20"/>
                <w:szCs w:val="20"/>
                <w:color w:val="auto"/>
              </w:rPr>
            </w:pPr>
            <w:r>
              <w:rPr>
                <w:rFonts w:ascii="Arial" w:cs="Arial" w:eastAsia="Arial" w:hAnsi="Arial"/>
                <w:sz w:val="16"/>
                <w:szCs w:val="16"/>
                <w:color w:val="auto"/>
              </w:rPr>
              <w:t>Kaplan International</w:t>
            </w:r>
          </w:p>
        </w:tc>
        <w:tc>
          <w:tcPr>
            <w:tcW w:w="260" w:type="dxa"/>
            <w:vAlign w:val="bottom"/>
          </w:tcPr>
          <w:p>
            <w:pPr>
              <w:spacing w:after="0"/>
              <w:rPr>
                <w:sz w:val="23"/>
                <w:szCs w:val="23"/>
                <w:color w:val="auto"/>
              </w:rPr>
            </w:pPr>
          </w:p>
        </w:tc>
        <w:tc>
          <w:tcPr>
            <w:tcW w:w="1040" w:type="dxa"/>
            <w:vAlign w:val="bottom"/>
          </w:tcPr>
          <w:p>
            <w:pPr>
              <w:jc w:val="right"/>
              <w:ind w:right="82"/>
              <w:spacing w:after="0"/>
              <w:rPr>
                <w:sz w:val="20"/>
                <w:szCs w:val="20"/>
                <w:color w:val="auto"/>
              </w:rPr>
            </w:pPr>
            <w:r>
              <w:rPr>
                <w:rFonts w:ascii="Arial" w:cs="Arial" w:eastAsia="Arial" w:hAnsi="Arial"/>
                <w:sz w:val="16"/>
                <w:szCs w:val="16"/>
                <w:b w:val="1"/>
                <w:bCs w:val="1"/>
                <w:color w:val="auto"/>
              </w:rPr>
              <w:t>697,999</w:t>
            </w:r>
          </w:p>
        </w:tc>
        <w:tc>
          <w:tcPr>
            <w:tcW w:w="340" w:type="dxa"/>
            <w:vAlign w:val="bottom"/>
          </w:tcPr>
          <w:p>
            <w:pPr>
              <w:spacing w:after="0"/>
              <w:rPr>
                <w:sz w:val="23"/>
                <w:szCs w:val="23"/>
                <w:color w:val="auto"/>
              </w:rPr>
            </w:pPr>
          </w:p>
        </w:tc>
        <w:tc>
          <w:tcPr>
            <w:tcW w:w="1020" w:type="dxa"/>
            <w:vAlign w:val="bottom"/>
          </w:tcPr>
          <w:p>
            <w:pPr>
              <w:jc w:val="right"/>
              <w:ind w:right="80"/>
              <w:spacing w:after="0"/>
              <w:rPr>
                <w:sz w:val="20"/>
                <w:szCs w:val="20"/>
                <w:color w:val="auto"/>
              </w:rPr>
            </w:pPr>
            <w:r>
              <w:rPr>
                <w:rFonts w:ascii="Arial" w:cs="Arial" w:eastAsia="Arial" w:hAnsi="Arial"/>
                <w:sz w:val="16"/>
                <w:szCs w:val="16"/>
                <w:color w:val="auto"/>
              </w:rPr>
              <w:t>696,362</w:t>
            </w:r>
          </w:p>
        </w:tc>
        <w:tc>
          <w:tcPr>
            <w:tcW w:w="340" w:type="dxa"/>
            <w:vAlign w:val="bottom"/>
          </w:tcPr>
          <w:p>
            <w:pPr>
              <w:spacing w:after="0"/>
              <w:rPr>
                <w:sz w:val="23"/>
                <w:szCs w:val="23"/>
                <w:color w:val="auto"/>
              </w:rPr>
            </w:pPr>
          </w:p>
        </w:tc>
        <w:tc>
          <w:tcPr>
            <w:tcW w:w="980" w:type="dxa"/>
            <w:vAlign w:val="bottom"/>
          </w:tcPr>
          <w:p>
            <w:pPr>
              <w:jc w:val="right"/>
              <w:ind w:right="20"/>
              <w:spacing w:after="0"/>
              <w:rPr>
                <w:sz w:val="20"/>
                <w:szCs w:val="20"/>
                <w:color w:val="auto"/>
              </w:rPr>
            </w:pPr>
            <w:r>
              <w:rPr>
                <w:rFonts w:ascii="Arial" w:cs="Arial" w:eastAsia="Arial" w:hAnsi="Arial"/>
                <w:sz w:val="16"/>
                <w:szCs w:val="16"/>
                <w:color w:val="auto"/>
              </w:rPr>
              <w:t>770,273</w:t>
            </w:r>
          </w:p>
        </w:tc>
      </w:tr>
      <w:tr>
        <w:trPr>
          <w:trHeight w:val="283"/>
        </w:trPr>
        <w:tc>
          <w:tcPr>
            <w:tcW w:w="7440" w:type="dxa"/>
            <w:vAlign w:val="bottom"/>
          </w:tcPr>
          <w:p>
            <w:pPr>
              <w:ind w:left="40"/>
              <w:spacing w:after="0"/>
              <w:rPr>
                <w:sz w:val="20"/>
                <w:szCs w:val="20"/>
                <w:color w:val="auto"/>
              </w:rPr>
            </w:pPr>
            <w:r>
              <w:rPr>
                <w:rFonts w:ascii="Arial" w:cs="Arial" w:eastAsia="Arial" w:hAnsi="Arial"/>
                <w:sz w:val="16"/>
                <w:szCs w:val="16"/>
                <w:color w:val="auto"/>
              </w:rPr>
              <w:t>Kaplan Corporate and Intersegment Eliminations</w:t>
            </w:r>
          </w:p>
        </w:tc>
        <w:tc>
          <w:tcPr>
            <w:tcW w:w="26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jc w:val="right"/>
              <w:ind w:right="22"/>
              <w:spacing w:after="0"/>
              <w:rPr>
                <w:sz w:val="20"/>
                <w:szCs w:val="20"/>
                <w:color w:val="auto"/>
              </w:rPr>
            </w:pPr>
            <w:r>
              <w:rPr>
                <w:rFonts w:ascii="Arial" w:cs="Arial" w:eastAsia="Arial" w:hAnsi="Arial"/>
                <w:sz w:val="16"/>
                <w:szCs w:val="16"/>
                <w:b w:val="1"/>
                <w:bCs w:val="1"/>
                <w:color w:val="auto"/>
              </w:rPr>
              <w:t>(1,785)</w:t>
            </w:r>
          </w:p>
        </w:tc>
        <w:tc>
          <w:tcPr>
            <w:tcW w:w="34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(1,504)</w:t>
            </w:r>
          </w:p>
        </w:tc>
        <w:tc>
          <w:tcPr>
            <w:tcW w:w="34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6,016</w:t>
            </w:r>
          </w:p>
        </w:tc>
      </w:tr>
      <w:tr>
        <w:trPr>
          <w:trHeight w:val="267"/>
        </w:trPr>
        <w:tc>
          <w:tcPr>
            <w:tcW w:w="7440" w:type="dxa"/>
            <w:vAlign w:val="bottom"/>
          </w:tcPr>
          <w:p>
            <w:pPr>
              <w:ind w:left="280"/>
              <w:spacing w:after="0"/>
              <w:rPr>
                <w:sz w:val="20"/>
                <w:szCs w:val="20"/>
                <w:color w:val="auto"/>
              </w:rPr>
            </w:pPr>
            <w:r>
              <w:rPr>
                <w:rFonts w:ascii="Arial" w:cs="Arial" w:eastAsia="Arial" w:hAnsi="Arial"/>
                <w:sz w:val="16"/>
                <w:szCs w:val="16"/>
                <w:color w:val="auto"/>
              </w:rPr>
              <w:t>Total Kaplan Revenue</w:t>
            </w:r>
          </w:p>
        </w:tc>
        <w:tc>
          <w:tcPr>
            <w:tcW w:w="26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b w:val="1"/>
                <w:bCs w:val="1"/>
                <w:color w:val="auto"/>
              </w:rPr>
              <w:t>$</w:t>
            </w:r>
          </w:p>
        </w:tc>
        <w:tc>
          <w:tcPr>
            <w:tcW w:w="1040" w:type="dxa"/>
            <w:vAlign w:val="bottom"/>
            <w:tcBorders>
              <w:bottom w:val="single" w:sz="8" w:color="auto"/>
            </w:tcBorders>
          </w:tcPr>
          <w:p>
            <w:pPr>
              <w:jc w:val="right"/>
              <w:ind w:right="82"/>
              <w:spacing w:after="0"/>
              <w:rPr>
                <w:sz w:val="20"/>
                <w:szCs w:val="20"/>
                <w:color w:val="auto"/>
              </w:rPr>
            </w:pPr>
            <w:r>
              <w:rPr>
                <w:rFonts w:ascii="Arial" w:cs="Arial" w:eastAsia="Arial" w:hAnsi="Arial"/>
                <w:sz w:val="16"/>
                <w:szCs w:val="16"/>
                <w:b w:val="1"/>
                <w:bCs w:val="1"/>
                <w:color w:val="auto"/>
              </w:rPr>
              <w:t>1,516,776</w:t>
            </w:r>
          </w:p>
        </w:tc>
        <w:tc>
          <w:tcPr>
            <w:tcW w:w="34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w:t>
            </w:r>
          </w:p>
        </w:tc>
        <w:tc>
          <w:tcPr>
            <w:tcW w:w="1020" w:type="dxa"/>
            <w:vAlign w:val="bottom"/>
            <w:tcBorders>
              <w:bottom w:val="single" w:sz="8" w:color="auto"/>
            </w:tcBorders>
          </w:tcPr>
          <w:p>
            <w:pPr>
              <w:jc w:val="right"/>
              <w:ind w:right="80"/>
              <w:spacing w:after="0"/>
              <w:rPr>
                <w:sz w:val="20"/>
                <w:szCs w:val="20"/>
                <w:color w:val="auto"/>
              </w:rPr>
            </w:pPr>
            <w:r>
              <w:rPr>
                <w:rFonts w:ascii="Arial" w:cs="Arial" w:eastAsia="Arial" w:hAnsi="Arial"/>
                <w:sz w:val="16"/>
                <w:szCs w:val="16"/>
                <w:color w:val="auto"/>
              </w:rPr>
              <w:t>1,598,461</w:t>
            </w:r>
          </w:p>
        </w:tc>
        <w:tc>
          <w:tcPr>
            <w:tcW w:w="34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w:t>
            </w:r>
          </w:p>
        </w:tc>
        <w:tc>
          <w:tcPr>
            <w:tcW w:w="98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1,927,521</w:t>
            </w:r>
          </w:p>
        </w:tc>
      </w:tr>
      <w:tr>
        <w:trPr>
          <w:trHeight w:val="20"/>
        </w:trPr>
        <w:tc>
          <w:tcPr>
            <w:tcW w:w="74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r>
    </w:tbl>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Kaplan Higher Education</w:t>
      </w:r>
    </w:p>
    <w:p>
      <w:pPr>
        <w:spacing w:after="0" w:line="166" w:lineRule="exact"/>
        <w:rPr>
          <w:sz w:val="20"/>
          <w:szCs w:val="20"/>
          <w:color w:val="auto"/>
        </w:rPr>
      </w:pPr>
    </w:p>
    <w:p>
      <w:pPr>
        <w:ind w:right="540"/>
        <w:spacing w:after="0" w:line="235" w:lineRule="auto"/>
        <w:rPr>
          <w:sz w:val="20"/>
          <w:szCs w:val="20"/>
          <w:color w:val="auto"/>
        </w:rPr>
      </w:pPr>
      <w:r>
        <w:rPr>
          <w:rFonts w:ascii="Arial" w:cs="Arial" w:eastAsia="Arial" w:hAnsi="Arial"/>
          <w:sz w:val="18"/>
          <w:szCs w:val="18"/>
          <w:color w:val="auto"/>
        </w:rPr>
        <w:t>Kaplan Higher Education (KHE) currently consists of Kaplan University (KU). KU provides a wide array of certificate, diploma and degree programs designed to meet the needs of students seeking to advance their education and career goals.</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Potential Transaction</w:t>
      </w:r>
    </w:p>
    <w:p>
      <w:pPr>
        <w:spacing w:after="0" w:line="166" w:lineRule="exact"/>
        <w:rPr>
          <w:sz w:val="20"/>
          <w:szCs w:val="20"/>
          <w:color w:val="auto"/>
        </w:rPr>
      </w:pPr>
    </w:p>
    <w:p>
      <w:pPr>
        <w:ind w:right="100"/>
        <w:spacing w:after="0" w:line="222" w:lineRule="auto"/>
        <w:rPr>
          <w:sz w:val="20"/>
          <w:szCs w:val="20"/>
          <w:color w:val="auto"/>
        </w:rPr>
      </w:pPr>
      <w:r>
        <w:rPr>
          <w:rFonts w:ascii="Arial" w:cs="Arial" w:eastAsia="Arial" w:hAnsi="Arial"/>
          <w:sz w:val="18"/>
          <w:szCs w:val="18"/>
          <w:color w:val="auto"/>
        </w:rPr>
        <w:t>On April 27, 2017, certain Kaplan subsidiaries entered into a Contribution and Transfer Agreement (Transfer Agreement) to contribute the institutional assets and operations of KU to a new, non-profit, public-benefit corporation affiliated with Purdue University (Purdue) in exchange for a Transition and Operations Support Agreement (TOSA), to provide key non-academic operations support to the new university. The new university will operate almost exclusively online as a new Indiana public university affiliated with Purdue under the name Purdue University Global. As part of the transfer to the new university, KU will transfer students, academic personnel, faculty and operations, property leases for KU’s campuses and learning centers, Kaplan-owned academic curricula and content related to KU courses. The operations support activities that Kaplan will provide to the new university will include technology support, help-desk functions, human resources support for transferred faculty and employees, admissions support, financial aid administration, marketing and advertising, back-office business functions, certain test preparation and domestic and international student recruiting services.</w:t>
      </w:r>
    </w:p>
    <w:p>
      <w:pPr>
        <w:spacing w:after="0" w:line="141" w:lineRule="exact"/>
        <w:rPr>
          <w:sz w:val="20"/>
          <w:szCs w:val="20"/>
          <w:color w:val="auto"/>
        </w:rPr>
      </w:pPr>
    </w:p>
    <w:p>
      <w:pPr>
        <w:ind w:right="140"/>
        <w:spacing w:after="0" w:line="227" w:lineRule="auto"/>
        <w:rPr>
          <w:sz w:val="20"/>
          <w:szCs w:val="20"/>
          <w:color w:val="auto"/>
        </w:rPr>
      </w:pPr>
      <w:r>
        <w:rPr>
          <w:rFonts w:ascii="Arial" w:cs="Arial" w:eastAsia="Arial" w:hAnsi="Arial"/>
          <w:sz w:val="18"/>
          <w:szCs w:val="18"/>
          <w:color w:val="auto"/>
        </w:rPr>
        <w:t>The proposed transfer of KU does not include any of the assets of the KU School of Professional and Continuing Education, which provides professional training and exam preparation for professional certifications and licensures, nor does it include the transfer of other Kaplan businesses such as Kaplan Test Preparation and Kaplan International. Those entities, programs and business lines will remain part of Kaplan. Kaplan will receive nominal cash consideration upon transfer of the institutional assets.</w:t>
      </w:r>
    </w:p>
    <w:p>
      <w:pPr>
        <w:spacing w:after="0" w:line="200" w:lineRule="exact"/>
        <w:rPr>
          <w:sz w:val="20"/>
          <w:szCs w:val="20"/>
          <w:color w:val="auto"/>
        </w:rPr>
      </w:pPr>
    </w:p>
    <w:p>
      <w:pPr>
        <w:spacing w:after="0" w:line="3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420"/>
          </w:cols>
          <w:pgMar w:left="240" w:top="738" w:right="239" w:bottom="1440" w:gutter="0" w:footer="0" w:header="0"/>
        </w:sectPr>
      </w:pPr>
    </w:p>
    <w:bookmarkStart w:id="3" w:name="page4"/>
    <w:bookmarkEnd w:id="3"/>
    <w:p>
      <w:pPr>
        <w:ind w:right="120"/>
        <w:spacing w:after="0" w:line="222" w:lineRule="auto"/>
        <w:rPr>
          <w:sz w:val="20"/>
          <w:szCs w:val="20"/>
          <w:color w:val="auto"/>
        </w:rPr>
      </w:pPr>
      <w:r>
        <w:rPr>
          <w:rFonts w:ascii="Arial" w:cs="Arial" w:eastAsia="Arial" w:hAnsi="Arial"/>
          <w:sz w:val="18"/>
          <w:szCs w:val="18"/>
          <w:color w:val="auto"/>
        </w:rPr>
        <w:t>Pursuant to the TOSA, Kaplan is not entitled to receive any reimbursement of costs incurred in providing support functions, or any fee, unless and until the new university has first covered all of its operating costs. In addition, during each of the new university’s first five years, prior to any payment to Kaplan, the new university is entitled to a priority payment of $10 million per year beyond costs, which will be paid out of the new university’s revenue. To the extent the new university’s revenue is insufficient to pay the $ 10 million per year priority payment, Kaplan is required to advance an amount to the new university to cover such insufficiency. In addition, if the new university achieves cost savings in its budgeted operating costs, then the new university may be entitled to a payment equal to 20 percent of such savings (Efficiency Payment). To the extent that there are sufficient revenues to pay the Efficiency Payment, pay the priority payment and to reimburse the new university for its direct expenses, Kaplan will receive reimbursement for Kaplan’s costs of providing the support activities in addition to a fee equal to 12.5 percent of the new university’s revenue.</w:t>
      </w:r>
    </w:p>
    <w:p>
      <w:pPr>
        <w:spacing w:after="0" w:line="141" w:lineRule="exact"/>
        <w:rPr>
          <w:sz w:val="20"/>
          <w:szCs w:val="20"/>
          <w:color w:val="auto"/>
        </w:rPr>
      </w:pPr>
    </w:p>
    <w:p>
      <w:pPr>
        <w:ind w:right="80"/>
        <w:spacing w:after="0" w:line="223" w:lineRule="auto"/>
        <w:rPr>
          <w:sz w:val="20"/>
          <w:szCs w:val="20"/>
          <w:color w:val="auto"/>
        </w:rPr>
      </w:pPr>
      <w:r>
        <w:rPr>
          <w:rFonts w:ascii="Arial" w:cs="Arial" w:eastAsia="Arial" w:hAnsi="Arial"/>
          <w:sz w:val="18"/>
          <w:szCs w:val="18"/>
          <w:color w:val="auto"/>
        </w:rPr>
        <w:t>The TOSA has a 30-year initial term, which will automatically renew for five-year periods unless terminated. After the sixth year, the new university has the right to terminate the agreement upon payment of a termination fee equal to 1.25 times the new university’s revenue for the preceding 12-month period (Buy-out Fee), which payment would be made pursuant to a 10-year note, and at the new university’s election, it may receive for no additional consideration certain assets used by Kaplan to provide the support activities pursuant to the TOSA. At the end of the 30-year term, if the new university does not renew the TOSA, the new university would be obligated to make a final payment of six times the fees paid or payable during the preceding 12-month period, which payment would be made pursuant to a 10-year note, and at the new university’s election, it may receive for no additional consideration certain assets used by Kaplan to provide the support activities pursuant to the TOSA.</w:t>
      </w:r>
    </w:p>
    <w:p>
      <w:pPr>
        <w:spacing w:after="0" w:line="136" w:lineRule="exact"/>
        <w:rPr>
          <w:sz w:val="20"/>
          <w:szCs w:val="20"/>
          <w:color w:val="auto"/>
        </w:rPr>
      </w:pPr>
    </w:p>
    <w:p>
      <w:pPr>
        <w:ind w:right="200"/>
        <w:spacing w:after="0" w:line="224" w:lineRule="auto"/>
        <w:rPr>
          <w:sz w:val="20"/>
          <w:szCs w:val="20"/>
          <w:color w:val="auto"/>
        </w:rPr>
      </w:pPr>
      <w:r>
        <w:rPr>
          <w:rFonts w:ascii="Arial" w:cs="Arial" w:eastAsia="Arial" w:hAnsi="Arial"/>
          <w:sz w:val="18"/>
          <w:szCs w:val="18"/>
          <w:color w:val="auto"/>
        </w:rPr>
        <w:t>Either party may terminate the TOSA at any time if the new university generates (i) $25 million in cash operating losses for three consecutive years or (ii) aggregate cash operating losses greater than $ 75 million at any point during the initial term. Operating loss is defined as the amount of revenue the new university generates minus the sum of (1) the new university’s and Kaplan’s respective costs in performing academic and support functions and (2) the $10 million priority payment to the new university in each of the first five years. Upon termination for any reason, the new university would retain the assets that Kaplan contributed pursuant to the Transfer Agreement. Each party also has certain termination rights in connection with a material default or material breach of the TOSA by the other party.</w:t>
      </w:r>
    </w:p>
    <w:p>
      <w:pPr>
        <w:spacing w:after="0" w:line="137" w:lineRule="exact"/>
        <w:rPr>
          <w:sz w:val="20"/>
          <w:szCs w:val="20"/>
          <w:color w:val="auto"/>
        </w:rPr>
      </w:pPr>
    </w:p>
    <w:p>
      <w:pPr>
        <w:ind w:right="60"/>
        <w:spacing w:after="0" w:line="235" w:lineRule="auto"/>
        <w:rPr>
          <w:sz w:val="20"/>
          <w:szCs w:val="20"/>
          <w:color w:val="auto"/>
        </w:rPr>
      </w:pPr>
      <w:r>
        <w:rPr>
          <w:rFonts w:ascii="Arial" w:cs="Arial" w:eastAsia="Arial" w:hAnsi="Arial"/>
          <w:sz w:val="18"/>
          <w:szCs w:val="18"/>
          <w:color w:val="auto"/>
        </w:rPr>
        <w:t>Under the agreement, Kaplan will indemnify Purdue for pre-closing liabilities of KU. The terms of the TOSA, including the fee structure, may be changed by agreement prior to closing.</w:t>
      </w:r>
    </w:p>
    <w:p>
      <w:pPr>
        <w:spacing w:after="0" w:line="135" w:lineRule="exact"/>
        <w:rPr>
          <w:sz w:val="20"/>
          <w:szCs w:val="20"/>
          <w:color w:val="auto"/>
        </w:rPr>
      </w:pPr>
    </w:p>
    <w:p>
      <w:pPr>
        <w:ind w:right="20"/>
        <w:spacing w:after="0" w:line="222" w:lineRule="auto"/>
        <w:rPr>
          <w:sz w:val="20"/>
          <w:szCs w:val="20"/>
          <w:color w:val="auto"/>
        </w:rPr>
      </w:pPr>
      <w:r>
        <w:rPr>
          <w:rFonts w:ascii="Arial" w:cs="Arial" w:eastAsia="Arial" w:hAnsi="Arial"/>
          <w:sz w:val="18"/>
          <w:szCs w:val="18"/>
          <w:color w:val="auto"/>
        </w:rPr>
        <w:t>The proposed transfer of KU is subject to various closing conditions, including, among others, regulatory approvals from the U.S. Department of Education (ED), the Indiana Commission for Higher Education (ICHE) and the Higher Learning Commission (HLC), which is the regional accreditor approved by the U.S. Secretary of Education of both Purdue and KU, as well as certain other state educational agencies and accreditors of programs. ICHE approved the transaction on August 10, 2017, and confirmed that the new university will be considered by the state of Indiana to be a public postsecondary institution. HLC has indicated that it will review the application at its board meeting in late February 2018 after a full staff and peer review. The parties also submitted a pre-acquisition application to the ED seeking approval for the change of control of KU. On September 13, 2017, the ED responded to the pre-acquisition application stating that as of such date it did not see any impediment to approval of the transaction subject to certain conditions, the details of which remain subject to change, on which its ultimate approval relies.The parties expect to be able to comply with all required conditions, but this may result in changes to the TOSA, including changes to the fee structure. The parties anticipate approval of this transaction by the end of the first quarter of 2018; however, there can be no assurance that the transaction will be consummated on the terms described above or at all, or that the required approvals will be obtained.</w:t>
      </w:r>
    </w:p>
    <w:p>
      <w:pPr>
        <w:spacing w:after="0" w:line="136" w:lineRule="exact"/>
        <w:rPr>
          <w:sz w:val="20"/>
          <w:szCs w:val="20"/>
          <w:color w:val="auto"/>
        </w:rPr>
      </w:pPr>
    </w:p>
    <w:p>
      <w:pPr>
        <w:spacing w:after="0" w:line="221" w:lineRule="auto"/>
        <w:rPr>
          <w:sz w:val="20"/>
          <w:szCs w:val="20"/>
          <w:color w:val="auto"/>
        </w:rPr>
      </w:pPr>
      <w:r>
        <w:rPr>
          <w:rFonts w:ascii="Arial" w:cs="Arial" w:eastAsia="Arial" w:hAnsi="Arial"/>
          <w:sz w:val="18"/>
          <w:szCs w:val="18"/>
          <w:color w:val="auto"/>
        </w:rPr>
        <w:t>If the proposed transfer of KU is consummated, Kaplan will no longer own or operate KU or any other institution participating in student financial aid programs that have been created under Title IV of the U.S. Federal Higher Education Act of 1965, as amended (Higher Education Act). Consequently, Kaplan would no longer be responsible for operating KU. However, pursuant to the TOSA, Kaplan would be performing functions that fall within the ED definition of a third-party servicer and would, therefore, assume certain regulatory responsibilities that require approval by the ED. The ED requires that contracts between institutions and third-party servicers include agreements by the third-party servicer to: (1) comply with all statutory and regulatory provisions applicable to Title IV of the Higher Education Act; (2) refer to the ED Office of the Inspector General for investigation any information indicating reasonable cause to believe the institution might have engaged in fraud or other criminal misconduct in connection with the administration of Title IV; (3) be jointly and severally liable with the institution to the Secretary of the ED for any violation by the servicer of a statutory or regulatory provision applicable to Title IV; (4) confirm student eligibility prior to disbursement and calculate and return unearned Title IV funds if disbursing funds; and (5) return records and funds to the institution upon terminating the contract or ceasing to provide services. The third- party servicer arrangement between Kaplan and the new university would also be subject to information security requirements established by the Federal Trade Commission as well as all aspects of the Family Educational Rights and Privacy Act. As a third-party servicer, Kaplan may be required to undergo an annual compliance audit of its</w:t>
      </w:r>
    </w:p>
    <w:p>
      <w:pPr>
        <w:spacing w:after="0" w:line="200" w:lineRule="exact"/>
        <w:rPr>
          <w:sz w:val="20"/>
          <w:szCs w:val="20"/>
          <w:color w:val="auto"/>
        </w:rPr>
      </w:pPr>
    </w:p>
    <w:p>
      <w:pPr>
        <w:spacing w:after="0" w:line="30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00"/>
          </w:cols>
          <w:pgMar w:left="240" w:top="746" w:right="259" w:bottom="1440" w:gutter="0" w:footer="0" w:header="0"/>
        </w:sectPr>
      </w:pPr>
    </w:p>
    <w:bookmarkStart w:id="4" w:name="page5"/>
    <w:bookmarkEnd w:id="4"/>
    <w:p>
      <w:pPr>
        <w:ind w:right="220"/>
        <w:spacing w:after="0" w:line="225" w:lineRule="auto"/>
        <w:rPr>
          <w:sz w:val="20"/>
          <w:szCs w:val="20"/>
          <w:color w:val="auto"/>
        </w:rPr>
      </w:pPr>
      <w:r>
        <w:rPr>
          <w:rFonts w:ascii="Arial" w:cs="Arial" w:eastAsia="Arial" w:hAnsi="Arial"/>
          <w:sz w:val="18"/>
          <w:szCs w:val="18"/>
          <w:color w:val="auto"/>
        </w:rPr>
        <w:t>administration of the Title IV functions or services that it performs, although this audit requirement may not apply if Kaplan only contracts with the new university and the attestation engagement of the new university covers every aspect of Kaplan’s administration of the Title IV programs. The ED would continue to have oversight authority over Kaplan as a third-party servicer, including the ability to initiate program reviews or audits at its discretion and to impose sanctions on Kaplan, including, but not limited to, terminating Kaplan’s authority to act as a third-party servicer for the new university or any other Title IV participating institution.</w:t>
      </w:r>
    </w:p>
    <w:p>
      <w:pPr>
        <w:spacing w:after="0" w:line="137" w:lineRule="exact"/>
        <w:rPr>
          <w:sz w:val="20"/>
          <w:szCs w:val="20"/>
          <w:color w:val="auto"/>
        </w:rPr>
      </w:pPr>
    </w:p>
    <w:p>
      <w:pPr>
        <w:ind w:right="540"/>
        <w:spacing w:after="0" w:line="227" w:lineRule="auto"/>
        <w:rPr>
          <w:sz w:val="20"/>
          <w:szCs w:val="20"/>
          <w:color w:val="auto"/>
        </w:rPr>
      </w:pPr>
      <w:r>
        <w:rPr>
          <w:rFonts w:ascii="Arial" w:cs="Arial" w:eastAsia="Arial" w:hAnsi="Arial"/>
          <w:sz w:val="18"/>
          <w:szCs w:val="18"/>
          <w:color w:val="auto"/>
        </w:rPr>
        <w:t>If the proposed transfer of KU is not consummated, KU will continue to be operated by the Company and will exist in the same regulatory environment applicable to for-profit postsecondary institutions. See Item 1A. Risk Factors, including The Proposed Transfer of Kaplan University Is Subject to Receipt of Regulatory Approvals That, If Not Obtained, Could Delay or Prevent Consummation of the Proposed Transaction and Could Disrupt the Business of Kaplan University During the Pendency of the Transaction.</w:t>
      </w:r>
    </w:p>
    <w:p>
      <w:pPr>
        <w:spacing w:after="0" w:line="113" w:lineRule="exact"/>
        <w:rPr>
          <w:sz w:val="20"/>
          <w:szCs w:val="20"/>
          <w:color w:val="auto"/>
        </w:rPr>
      </w:pPr>
    </w:p>
    <w:p>
      <w:pPr>
        <w:ind w:right="240"/>
        <w:spacing w:after="0" w:line="233" w:lineRule="auto"/>
        <w:rPr>
          <w:sz w:val="20"/>
          <w:szCs w:val="20"/>
          <w:color w:val="auto"/>
        </w:rPr>
      </w:pPr>
      <w:r>
        <w:rPr>
          <w:rFonts w:ascii="Arial" w:cs="Arial" w:eastAsia="Arial" w:hAnsi="Arial"/>
          <w:sz w:val="18"/>
          <w:szCs w:val="18"/>
          <w:b w:val="1"/>
          <w:bCs w:val="1"/>
          <w:i w:val="1"/>
          <w:iCs w:val="1"/>
          <w:color w:val="auto"/>
        </w:rPr>
        <w:t xml:space="preserve">Kaplan University. </w:t>
      </w:r>
      <w:r>
        <w:rPr>
          <w:rFonts w:ascii="Arial" w:cs="Arial" w:eastAsia="Arial" w:hAnsi="Arial"/>
          <w:sz w:val="18"/>
          <w:szCs w:val="18"/>
          <w:color w:val="auto"/>
        </w:rPr>
        <w:t>KU specializes in online education, is accredited by the HLC and holds other programmatic accreditations. Most of KU’s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programs are offered online, while some are offered in a traditional classroom format at 14 locations in Iowa, Indiana, Maine, Maryland, Missouri, Nebraska and Wisconsin. KU also includes Concord Law School (Concord), a fully online law school. At year-end 2017, KU had approximately 28,718 students enrolled, including those conditionally admitted in a trial period.</w:t>
      </w:r>
    </w:p>
    <w:p>
      <w:pPr>
        <w:spacing w:after="0" w:line="137" w:lineRule="exact"/>
        <w:rPr>
          <w:sz w:val="20"/>
          <w:szCs w:val="20"/>
          <w:color w:val="auto"/>
        </w:rPr>
      </w:pPr>
    </w:p>
    <w:p>
      <w:pPr>
        <w:ind w:right="40"/>
        <w:spacing w:after="0" w:line="222" w:lineRule="auto"/>
        <w:rPr>
          <w:sz w:val="20"/>
          <w:szCs w:val="20"/>
          <w:color w:val="auto"/>
        </w:rPr>
      </w:pPr>
      <w:r>
        <w:rPr>
          <w:rFonts w:ascii="Arial" w:cs="Arial" w:eastAsia="Arial" w:hAnsi="Arial"/>
          <w:sz w:val="18"/>
          <w:szCs w:val="18"/>
          <w:color w:val="auto"/>
        </w:rPr>
        <w:t>Also currently part of KU is the School of Professional and Continuing Education (PACE). PACE offers a wide range of education solutions to assist professionals in advancing their careers by obtaining professional licenses, designations and certifications. This includes solutions for insurance, securities, mortgage and appraisal licensing exams and for advanced designations, such as CFA</w:t>
      </w:r>
      <w:r>
        <w:rPr>
          <w:rFonts w:ascii="Arial" w:cs="Arial" w:eastAsia="Arial" w:hAnsi="Arial"/>
          <w:sz w:val="10"/>
          <w:szCs w:val="10"/>
          <w:color w:val="auto"/>
        </w:rPr>
        <w:t>®</w:t>
      </w:r>
      <w:r>
        <w:rPr>
          <w:rFonts w:ascii="Arial" w:cs="Arial" w:eastAsia="Arial" w:hAnsi="Arial"/>
          <w:sz w:val="18"/>
          <w:szCs w:val="18"/>
          <w:color w:val="auto"/>
        </w:rPr>
        <w:t xml:space="preserve"> and CPA exams. PACE serves approximately 3,587 business-to-business clients, including 157 Fortune 500 companies. In 2017, more than 491,000 students used PACE’s exam preparation offerings. In the fourth quarter of 2017, PACE entered into an agreement to acquire the College for Financial Planning (CFFP). CFFP offers financial education and training to individuals through comprehensive programs of study that lead to licensing or certification, graduate-level study and education for professionals pursuing the Certified Financial Planner (CFP) designation. The acquisition is intended to complement existing CFP education offerings and will add new professional designations and degrees to the PACE portfolio. CFFP is a separately accredited institution by the HLC. The acquisition is subject to regulatory approval from the HLC, which is not expected before June 2018.</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Program Offerings and Enrollment</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color w:val="auto"/>
        </w:rPr>
        <w:t>KU offers certificate and degree programs in a variety of subject areas. Among them are the following:</w:t>
      </w:r>
    </w:p>
    <w:p>
      <w:pPr>
        <w:spacing w:after="0" w:line="307"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140" w:type="dxa"/>
            <w:vAlign w:val="bottom"/>
          </w:tcPr>
          <w:p>
            <w:pPr>
              <w:spacing w:after="0"/>
              <w:rPr>
                <w:sz w:val="17"/>
                <w:szCs w:val="17"/>
                <w:color w:val="auto"/>
              </w:rPr>
            </w:pPr>
          </w:p>
        </w:tc>
        <w:tc>
          <w:tcPr>
            <w:tcW w:w="2560" w:type="dxa"/>
            <w:vAlign w:val="bottom"/>
          </w:tcPr>
          <w:p>
            <w:pPr>
              <w:ind w:left="880"/>
              <w:spacing w:after="0"/>
              <w:rPr>
                <w:sz w:val="20"/>
                <w:szCs w:val="20"/>
                <w:color w:val="auto"/>
              </w:rPr>
            </w:pPr>
            <w:r>
              <w:rPr>
                <w:rFonts w:ascii="Arial" w:cs="Arial" w:eastAsia="Arial" w:hAnsi="Arial"/>
                <w:sz w:val="14"/>
                <w:szCs w:val="14"/>
                <w:b w:val="1"/>
                <w:bCs w:val="1"/>
                <w:color w:val="auto"/>
              </w:rPr>
              <w:t>Certificates</w:t>
            </w:r>
          </w:p>
        </w:tc>
        <w:tc>
          <w:tcPr>
            <w:tcW w:w="260" w:type="dxa"/>
            <w:vAlign w:val="bottom"/>
          </w:tcPr>
          <w:p>
            <w:pPr>
              <w:spacing w:after="0"/>
              <w:rPr>
                <w:sz w:val="17"/>
                <w:szCs w:val="17"/>
                <w:color w:val="auto"/>
              </w:rPr>
            </w:pPr>
          </w:p>
        </w:tc>
        <w:tc>
          <w:tcPr>
            <w:tcW w:w="2560" w:type="dxa"/>
            <w:vAlign w:val="bottom"/>
          </w:tcPr>
          <w:p>
            <w:pPr>
              <w:ind w:left="560"/>
              <w:spacing w:after="0"/>
              <w:rPr>
                <w:sz w:val="20"/>
                <w:szCs w:val="20"/>
                <w:color w:val="auto"/>
              </w:rPr>
            </w:pPr>
            <w:r>
              <w:rPr>
                <w:rFonts w:ascii="Arial" w:cs="Arial" w:eastAsia="Arial" w:hAnsi="Arial"/>
                <w:sz w:val="14"/>
                <w:szCs w:val="14"/>
                <w:b w:val="1"/>
                <w:bCs w:val="1"/>
                <w:color w:val="auto"/>
              </w:rPr>
              <w:t>Associate’s Degrees</w:t>
            </w:r>
          </w:p>
        </w:tc>
        <w:tc>
          <w:tcPr>
            <w:tcW w:w="240" w:type="dxa"/>
            <w:vAlign w:val="bottom"/>
          </w:tcPr>
          <w:p>
            <w:pPr>
              <w:spacing w:after="0"/>
              <w:rPr>
                <w:sz w:val="17"/>
                <w:szCs w:val="17"/>
                <w:color w:val="auto"/>
              </w:rPr>
            </w:pPr>
          </w:p>
        </w:tc>
        <w:tc>
          <w:tcPr>
            <w:tcW w:w="2500" w:type="dxa"/>
            <w:vAlign w:val="bottom"/>
            <w:gridSpan w:val="2"/>
          </w:tcPr>
          <w:p>
            <w:pPr>
              <w:ind w:left="600"/>
              <w:spacing w:after="0"/>
              <w:rPr>
                <w:sz w:val="20"/>
                <w:szCs w:val="20"/>
                <w:color w:val="auto"/>
              </w:rPr>
            </w:pPr>
            <w:r>
              <w:rPr>
                <w:rFonts w:ascii="Arial" w:cs="Arial" w:eastAsia="Arial" w:hAnsi="Arial"/>
                <w:sz w:val="14"/>
                <w:szCs w:val="14"/>
                <w:b w:val="1"/>
                <w:bCs w:val="1"/>
                <w:color w:val="auto"/>
              </w:rPr>
              <w:t>Bachelor’s Degrees</w:t>
            </w:r>
          </w:p>
        </w:tc>
        <w:tc>
          <w:tcPr>
            <w:tcW w:w="280" w:type="dxa"/>
            <w:vAlign w:val="bottom"/>
          </w:tcPr>
          <w:p>
            <w:pPr>
              <w:spacing w:after="0"/>
              <w:rPr>
                <w:sz w:val="17"/>
                <w:szCs w:val="17"/>
                <w:color w:val="auto"/>
              </w:rPr>
            </w:pPr>
          </w:p>
        </w:tc>
        <w:tc>
          <w:tcPr>
            <w:tcW w:w="2880" w:type="dxa"/>
            <w:vAlign w:val="bottom"/>
            <w:gridSpan w:val="4"/>
          </w:tcPr>
          <w:p>
            <w:pPr>
              <w:ind w:left="100"/>
              <w:spacing w:after="0"/>
              <w:rPr>
                <w:sz w:val="20"/>
                <w:szCs w:val="20"/>
                <w:color w:val="auto"/>
              </w:rPr>
            </w:pPr>
            <w:r>
              <w:rPr>
                <w:rFonts w:ascii="Arial" w:cs="Arial" w:eastAsia="Arial" w:hAnsi="Arial"/>
                <w:sz w:val="14"/>
                <w:szCs w:val="14"/>
                <w:b w:val="1"/>
                <w:bCs w:val="1"/>
                <w:color w:val="auto"/>
              </w:rPr>
              <w:t>Master’s and Professional Degrees</w:t>
            </w:r>
          </w:p>
        </w:tc>
        <w:tc>
          <w:tcPr>
            <w:tcW w:w="0" w:type="dxa"/>
            <w:vAlign w:val="bottom"/>
          </w:tcPr>
          <w:p>
            <w:pPr>
              <w:spacing w:after="0"/>
              <w:rPr>
                <w:sz w:val="1"/>
                <w:szCs w:val="1"/>
                <w:color w:val="auto"/>
              </w:rPr>
            </w:pPr>
          </w:p>
        </w:tc>
      </w:tr>
      <w:tr>
        <w:trPr>
          <w:trHeight w:val="204"/>
        </w:trPr>
        <w:tc>
          <w:tcPr>
            <w:tcW w:w="2700" w:type="dxa"/>
            <w:vAlign w:val="bottom"/>
            <w:tcBorders>
              <w:top w:val="single" w:sz="8" w:color="auto"/>
            </w:tcBorders>
            <w:gridSpan w:val="2"/>
            <w:vMerge w:val="restart"/>
          </w:tcPr>
          <w:p>
            <w:pPr>
              <w:ind w:left="40"/>
              <w:spacing w:after="0"/>
              <w:rPr>
                <w:sz w:val="20"/>
                <w:szCs w:val="20"/>
                <w:color w:val="auto"/>
              </w:rPr>
            </w:pPr>
            <w:r>
              <w:rPr>
                <w:rFonts w:ascii="Arial" w:cs="Arial" w:eastAsia="Arial" w:hAnsi="Arial"/>
                <w:sz w:val="14"/>
                <w:szCs w:val="14"/>
                <w:color w:val="auto"/>
              </w:rPr>
              <w:t>•  Social and Behavioral Sciences</w:t>
            </w:r>
          </w:p>
        </w:tc>
        <w:tc>
          <w:tcPr>
            <w:tcW w:w="260" w:type="dxa"/>
            <w:vAlign w:val="bottom"/>
            <w:tcBorders>
              <w:top w:val="single" w:sz="8" w:color="auto"/>
            </w:tcBorders>
          </w:tcPr>
          <w:p>
            <w:pPr>
              <w:ind w:left="140"/>
              <w:spacing w:after="0"/>
              <w:rPr>
                <w:sz w:val="20"/>
                <w:szCs w:val="20"/>
                <w:color w:val="auto"/>
              </w:rPr>
            </w:pPr>
            <w:r>
              <w:rPr>
                <w:rFonts w:ascii="Arial" w:cs="Arial" w:eastAsia="Arial" w:hAnsi="Arial"/>
                <w:sz w:val="14"/>
                <w:szCs w:val="14"/>
                <w:color w:val="auto"/>
              </w:rPr>
              <w:t>•</w:t>
            </w:r>
          </w:p>
        </w:tc>
        <w:tc>
          <w:tcPr>
            <w:tcW w:w="2560" w:type="dxa"/>
            <w:vAlign w:val="bottom"/>
            <w:tcBorders>
              <w:top w:val="single" w:sz="8" w:color="auto"/>
            </w:tcBorders>
          </w:tcPr>
          <w:p>
            <w:pPr>
              <w:ind w:left="60"/>
              <w:spacing w:after="0"/>
              <w:rPr>
                <w:sz w:val="20"/>
                <w:szCs w:val="20"/>
                <w:color w:val="auto"/>
              </w:rPr>
            </w:pPr>
            <w:r>
              <w:rPr>
                <w:rFonts w:ascii="Arial" w:cs="Arial" w:eastAsia="Arial" w:hAnsi="Arial"/>
                <w:sz w:val="14"/>
                <w:szCs w:val="14"/>
                <w:color w:val="auto"/>
              </w:rPr>
              <w:t>Social and Behavioral Sciences</w:t>
            </w:r>
          </w:p>
        </w:tc>
        <w:tc>
          <w:tcPr>
            <w:tcW w:w="240" w:type="dxa"/>
            <w:vAlign w:val="bottom"/>
            <w:tcBorders>
              <w:top w:val="single" w:sz="8" w:color="auto"/>
            </w:tcBorders>
          </w:tcPr>
          <w:p>
            <w:pPr>
              <w:ind w:left="140"/>
              <w:spacing w:after="0"/>
              <w:rPr>
                <w:sz w:val="20"/>
                <w:szCs w:val="20"/>
                <w:color w:val="auto"/>
              </w:rPr>
            </w:pPr>
            <w:r>
              <w:rPr>
                <w:rFonts w:ascii="Arial" w:cs="Arial" w:eastAsia="Arial" w:hAnsi="Arial"/>
                <w:sz w:val="14"/>
                <w:szCs w:val="14"/>
                <w:color w:val="auto"/>
              </w:rPr>
              <w:t>•</w:t>
            </w:r>
          </w:p>
        </w:tc>
        <w:tc>
          <w:tcPr>
            <w:tcW w:w="2500" w:type="dxa"/>
            <w:vAlign w:val="bottom"/>
            <w:tcBorders>
              <w:top w:val="single" w:sz="8" w:color="auto"/>
            </w:tcBorders>
            <w:gridSpan w:val="2"/>
          </w:tcPr>
          <w:p>
            <w:pPr>
              <w:ind w:left="60"/>
              <w:spacing w:after="0"/>
              <w:rPr>
                <w:sz w:val="20"/>
                <w:szCs w:val="20"/>
                <w:color w:val="auto"/>
              </w:rPr>
            </w:pPr>
            <w:r>
              <w:rPr>
                <w:rFonts w:ascii="Arial" w:cs="Arial" w:eastAsia="Arial" w:hAnsi="Arial"/>
                <w:sz w:val="14"/>
                <w:szCs w:val="14"/>
                <w:color w:val="auto"/>
              </w:rPr>
              <w:t>Social and Behavioral Sciences</w:t>
            </w:r>
          </w:p>
        </w:tc>
        <w:tc>
          <w:tcPr>
            <w:tcW w:w="280" w:type="dxa"/>
            <w:vAlign w:val="bottom"/>
            <w:tcBorders>
              <w:top w:val="single" w:sz="8" w:color="auto"/>
            </w:tcBorders>
          </w:tcPr>
          <w:p>
            <w:pPr>
              <w:ind w:left="200"/>
              <w:spacing w:after="0"/>
              <w:rPr>
                <w:sz w:val="20"/>
                <w:szCs w:val="20"/>
                <w:color w:val="auto"/>
              </w:rPr>
            </w:pPr>
            <w:r>
              <w:rPr>
                <w:rFonts w:ascii="Arial" w:cs="Arial" w:eastAsia="Arial" w:hAnsi="Arial"/>
                <w:sz w:val="14"/>
                <w:szCs w:val="14"/>
                <w:color w:val="auto"/>
              </w:rPr>
              <w:t>•</w:t>
            </w:r>
          </w:p>
        </w:tc>
        <w:tc>
          <w:tcPr>
            <w:tcW w:w="2140" w:type="dxa"/>
            <w:vAlign w:val="bottom"/>
            <w:tcBorders>
              <w:top w:val="single" w:sz="8" w:color="auto"/>
            </w:tcBorders>
            <w:gridSpan w:val="2"/>
          </w:tcPr>
          <w:p>
            <w:pPr>
              <w:ind w:left="100"/>
              <w:spacing w:after="0"/>
              <w:rPr>
                <w:sz w:val="20"/>
                <w:szCs w:val="20"/>
                <w:color w:val="auto"/>
              </w:rPr>
            </w:pPr>
            <w:r>
              <w:rPr>
                <w:rFonts w:ascii="Arial" w:cs="Arial" w:eastAsia="Arial" w:hAnsi="Arial"/>
                <w:sz w:val="14"/>
                <w:szCs w:val="14"/>
                <w:color w:val="auto"/>
              </w:rPr>
              <w:t>Social and Behavioral Sciences</w:t>
            </w:r>
          </w:p>
        </w:tc>
        <w:tc>
          <w:tcPr>
            <w:tcW w:w="560" w:type="dxa"/>
            <w:vAlign w:val="bottom"/>
            <w:tcBorders>
              <w:top w:val="single" w:sz="8" w:color="auto"/>
            </w:tcBorders>
          </w:tcPr>
          <w:p>
            <w:pPr>
              <w:spacing w:after="0"/>
              <w:rPr>
                <w:sz w:val="17"/>
                <w:szCs w:val="17"/>
                <w:color w:val="auto"/>
              </w:rPr>
            </w:pPr>
          </w:p>
        </w:tc>
        <w:tc>
          <w:tcPr>
            <w:tcW w:w="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68"/>
        </w:trPr>
        <w:tc>
          <w:tcPr>
            <w:tcW w:w="2700" w:type="dxa"/>
            <w:vAlign w:val="bottom"/>
            <w:gridSpan w:val="2"/>
            <w:vMerge w:val="continue"/>
          </w:tcPr>
          <w:p>
            <w:pPr>
              <w:spacing w:after="0"/>
              <w:rPr>
                <w:sz w:val="5"/>
                <w:szCs w:val="5"/>
                <w:color w:val="auto"/>
              </w:rPr>
            </w:pPr>
          </w:p>
        </w:tc>
        <w:tc>
          <w:tcPr>
            <w:tcW w:w="260" w:type="dxa"/>
            <w:vAlign w:val="bottom"/>
            <w:vMerge w:val="restart"/>
          </w:tcPr>
          <w:p>
            <w:pPr>
              <w:ind w:left="140"/>
              <w:spacing w:after="0"/>
              <w:rPr>
                <w:sz w:val="20"/>
                <w:szCs w:val="20"/>
                <w:color w:val="auto"/>
              </w:rPr>
            </w:pPr>
            <w:r>
              <w:rPr>
                <w:rFonts w:ascii="Arial" w:cs="Arial" w:eastAsia="Arial" w:hAnsi="Arial"/>
                <w:sz w:val="14"/>
                <w:szCs w:val="14"/>
                <w:color w:val="auto"/>
              </w:rPr>
              <w:t>•</w:t>
            </w:r>
          </w:p>
        </w:tc>
        <w:tc>
          <w:tcPr>
            <w:tcW w:w="2560" w:type="dxa"/>
            <w:vAlign w:val="bottom"/>
            <w:vMerge w:val="restart"/>
          </w:tcPr>
          <w:p>
            <w:pPr>
              <w:ind w:left="60"/>
              <w:spacing w:after="0"/>
              <w:rPr>
                <w:sz w:val="20"/>
                <w:szCs w:val="20"/>
                <w:color w:val="auto"/>
              </w:rPr>
            </w:pPr>
            <w:r>
              <w:rPr>
                <w:rFonts w:ascii="Arial" w:cs="Arial" w:eastAsia="Arial" w:hAnsi="Arial"/>
                <w:sz w:val="14"/>
                <w:szCs w:val="14"/>
                <w:color w:val="auto"/>
              </w:rPr>
              <w:t>Business/Management</w:t>
            </w:r>
          </w:p>
        </w:tc>
        <w:tc>
          <w:tcPr>
            <w:tcW w:w="240" w:type="dxa"/>
            <w:vAlign w:val="bottom"/>
            <w:vMerge w:val="restart"/>
          </w:tcPr>
          <w:p>
            <w:pPr>
              <w:ind w:left="140"/>
              <w:spacing w:after="0"/>
              <w:rPr>
                <w:sz w:val="20"/>
                <w:szCs w:val="20"/>
                <w:color w:val="auto"/>
              </w:rPr>
            </w:pPr>
            <w:r>
              <w:rPr>
                <w:rFonts w:ascii="Arial" w:cs="Arial" w:eastAsia="Arial" w:hAnsi="Arial"/>
                <w:sz w:val="14"/>
                <w:szCs w:val="14"/>
                <w:color w:val="auto"/>
              </w:rPr>
              <w:t>•</w:t>
            </w:r>
          </w:p>
        </w:tc>
        <w:tc>
          <w:tcPr>
            <w:tcW w:w="2500" w:type="dxa"/>
            <w:vAlign w:val="bottom"/>
            <w:gridSpan w:val="2"/>
            <w:vMerge w:val="restart"/>
          </w:tcPr>
          <w:p>
            <w:pPr>
              <w:ind w:left="60"/>
              <w:spacing w:after="0"/>
              <w:rPr>
                <w:sz w:val="20"/>
                <w:szCs w:val="20"/>
                <w:color w:val="auto"/>
              </w:rPr>
            </w:pPr>
            <w:r>
              <w:rPr>
                <w:rFonts w:ascii="Arial" w:cs="Arial" w:eastAsia="Arial" w:hAnsi="Arial"/>
                <w:sz w:val="14"/>
                <w:szCs w:val="14"/>
                <w:color w:val="auto"/>
              </w:rPr>
              <w:t>Business/Management</w:t>
            </w:r>
          </w:p>
        </w:tc>
        <w:tc>
          <w:tcPr>
            <w:tcW w:w="280" w:type="dxa"/>
            <w:vAlign w:val="bottom"/>
            <w:vMerge w:val="restart"/>
          </w:tcPr>
          <w:p>
            <w:pPr>
              <w:ind w:left="200"/>
              <w:spacing w:after="0"/>
              <w:rPr>
                <w:sz w:val="20"/>
                <w:szCs w:val="20"/>
                <w:color w:val="auto"/>
              </w:rPr>
            </w:pPr>
            <w:r>
              <w:rPr>
                <w:rFonts w:ascii="Arial" w:cs="Arial" w:eastAsia="Arial" w:hAnsi="Arial"/>
                <w:sz w:val="14"/>
                <w:szCs w:val="14"/>
                <w:color w:val="auto"/>
              </w:rPr>
              <w:t>•</w:t>
            </w:r>
          </w:p>
        </w:tc>
        <w:tc>
          <w:tcPr>
            <w:tcW w:w="2140" w:type="dxa"/>
            <w:vAlign w:val="bottom"/>
            <w:gridSpan w:val="2"/>
            <w:vMerge w:val="restart"/>
          </w:tcPr>
          <w:p>
            <w:pPr>
              <w:ind w:left="100"/>
              <w:spacing w:after="0"/>
              <w:rPr>
                <w:sz w:val="20"/>
                <w:szCs w:val="20"/>
                <w:color w:val="auto"/>
              </w:rPr>
            </w:pPr>
            <w:r>
              <w:rPr>
                <w:rFonts w:ascii="Arial" w:cs="Arial" w:eastAsia="Arial" w:hAnsi="Arial"/>
                <w:sz w:val="14"/>
                <w:szCs w:val="14"/>
                <w:color w:val="auto"/>
              </w:rPr>
              <w:t>Business/Management</w:t>
            </w:r>
          </w:p>
        </w:tc>
        <w:tc>
          <w:tcPr>
            <w:tcW w:w="560" w:type="dxa"/>
            <w:vAlign w:val="bottom"/>
          </w:tcPr>
          <w:p>
            <w:pPr>
              <w:spacing w:after="0"/>
              <w:rPr>
                <w:sz w:val="5"/>
                <w:szCs w:val="5"/>
                <w:color w:val="auto"/>
              </w:rPr>
            </w:pPr>
          </w:p>
        </w:tc>
        <w:tc>
          <w:tcPr>
            <w:tcW w:w="1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62"/>
        </w:trPr>
        <w:tc>
          <w:tcPr>
            <w:tcW w:w="140" w:type="dxa"/>
            <w:vAlign w:val="bottom"/>
            <w:vMerge w:val="restart"/>
          </w:tcPr>
          <w:p>
            <w:pPr>
              <w:ind w:left="40"/>
              <w:spacing w:after="0"/>
              <w:rPr>
                <w:sz w:val="20"/>
                <w:szCs w:val="20"/>
                <w:color w:val="auto"/>
              </w:rPr>
            </w:pPr>
            <w:r>
              <w:rPr>
                <w:rFonts w:ascii="Arial" w:cs="Arial" w:eastAsia="Arial" w:hAnsi="Arial"/>
                <w:sz w:val="14"/>
                <w:szCs w:val="14"/>
                <w:color w:val="auto"/>
              </w:rPr>
              <w:t>•</w:t>
            </w:r>
          </w:p>
        </w:tc>
        <w:tc>
          <w:tcPr>
            <w:tcW w:w="2560" w:type="dxa"/>
            <w:vAlign w:val="bottom"/>
            <w:vMerge w:val="restart"/>
          </w:tcPr>
          <w:p>
            <w:pPr>
              <w:ind w:left="60"/>
              <w:spacing w:after="0"/>
              <w:rPr>
                <w:sz w:val="20"/>
                <w:szCs w:val="20"/>
                <w:color w:val="auto"/>
              </w:rPr>
            </w:pPr>
            <w:r>
              <w:rPr>
                <w:rFonts w:ascii="Arial" w:cs="Arial" w:eastAsia="Arial" w:hAnsi="Arial"/>
                <w:sz w:val="14"/>
                <w:szCs w:val="14"/>
                <w:color w:val="auto"/>
              </w:rPr>
              <w:t>Criminal Justice</w:t>
            </w:r>
          </w:p>
        </w:tc>
        <w:tc>
          <w:tcPr>
            <w:tcW w:w="260" w:type="dxa"/>
            <w:vAlign w:val="bottom"/>
            <w:vMerge w:val="continue"/>
          </w:tcPr>
          <w:p>
            <w:pPr>
              <w:spacing w:after="0"/>
              <w:rPr>
                <w:sz w:val="14"/>
                <w:szCs w:val="14"/>
                <w:color w:val="auto"/>
              </w:rPr>
            </w:pPr>
          </w:p>
        </w:tc>
        <w:tc>
          <w:tcPr>
            <w:tcW w:w="2560" w:type="dxa"/>
            <w:vAlign w:val="bottom"/>
            <w:vMerge w:val="continue"/>
          </w:tcPr>
          <w:p>
            <w:pPr>
              <w:spacing w:after="0"/>
              <w:rPr>
                <w:sz w:val="14"/>
                <w:szCs w:val="14"/>
                <w:color w:val="auto"/>
              </w:rPr>
            </w:pPr>
          </w:p>
        </w:tc>
        <w:tc>
          <w:tcPr>
            <w:tcW w:w="240" w:type="dxa"/>
            <w:vAlign w:val="bottom"/>
            <w:vMerge w:val="continue"/>
          </w:tcPr>
          <w:p>
            <w:pPr>
              <w:spacing w:after="0"/>
              <w:rPr>
                <w:sz w:val="14"/>
                <w:szCs w:val="14"/>
                <w:color w:val="auto"/>
              </w:rPr>
            </w:pPr>
          </w:p>
        </w:tc>
        <w:tc>
          <w:tcPr>
            <w:tcW w:w="2500" w:type="dxa"/>
            <w:vAlign w:val="bottom"/>
            <w:gridSpan w:val="2"/>
            <w:vMerge w:val="continue"/>
          </w:tcPr>
          <w:p>
            <w:pPr>
              <w:spacing w:after="0"/>
              <w:rPr>
                <w:sz w:val="14"/>
                <w:szCs w:val="14"/>
                <w:color w:val="auto"/>
              </w:rPr>
            </w:pPr>
          </w:p>
        </w:tc>
        <w:tc>
          <w:tcPr>
            <w:tcW w:w="280" w:type="dxa"/>
            <w:vAlign w:val="bottom"/>
            <w:vMerge w:val="continue"/>
          </w:tcPr>
          <w:p>
            <w:pPr>
              <w:spacing w:after="0"/>
              <w:rPr>
                <w:sz w:val="14"/>
                <w:szCs w:val="14"/>
                <w:color w:val="auto"/>
              </w:rPr>
            </w:pPr>
          </w:p>
        </w:tc>
        <w:tc>
          <w:tcPr>
            <w:tcW w:w="2140" w:type="dxa"/>
            <w:vAlign w:val="bottom"/>
            <w:gridSpan w:val="2"/>
            <w:vMerge w:val="continue"/>
          </w:tcPr>
          <w:p>
            <w:pPr>
              <w:spacing w:after="0"/>
              <w:rPr>
                <w:sz w:val="14"/>
                <w:szCs w:val="14"/>
                <w:color w:val="auto"/>
              </w:rPr>
            </w:pPr>
          </w:p>
        </w:tc>
        <w:tc>
          <w:tcPr>
            <w:tcW w:w="5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68"/>
        </w:trPr>
        <w:tc>
          <w:tcPr>
            <w:tcW w:w="140" w:type="dxa"/>
            <w:vAlign w:val="bottom"/>
            <w:vMerge w:val="continue"/>
          </w:tcPr>
          <w:p>
            <w:pPr>
              <w:spacing w:after="0"/>
              <w:rPr>
                <w:sz w:val="5"/>
                <w:szCs w:val="5"/>
                <w:color w:val="auto"/>
              </w:rPr>
            </w:pPr>
          </w:p>
        </w:tc>
        <w:tc>
          <w:tcPr>
            <w:tcW w:w="2560" w:type="dxa"/>
            <w:vAlign w:val="bottom"/>
            <w:vMerge w:val="continue"/>
          </w:tcPr>
          <w:p>
            <w:pPr>
              <w:spacing w:after="0"/>
              <w:rPr>
                <w:sz w:val="5"/>
                <w:szCs w:val="5"/>
                <w:color w:val="auto"/>
              </w:rPr>
            </w:pPr>
          </w:p>
        </w:tc>
        <w:tc>
          <w:tcPr>
            <w:tcW w:w="260" w:type="dxa"/>
            <w:vAlign w:val="bottom"/>
            <w:vMerge w:val="restart"/>
          </w:tcPr>
          <w:p>
            <w:pPr>
              <w:ind w:left="140"/>
              <w:spacing w:after="0"/>
              <w:rPr>
                <w:sz w:val="20"/>
                <w:szCs w:val="20"/>
                <w:color w:val="auto"/>
              </w:rPr>
            </w:pPr>
            <w:r>
              <w:rPr>
                <w:rFonts w:ascii="Arial" w:cs="Arial" w:eastAsia="Arial" w:hAnsi="Arial"/>
                <w:sz w:val="14"/>
                <w:szCs w:val="14"/>
                <w:color w:val="auto"/>
              </w:rPr>
              <w:t>•</w:t>
            </w:r>
          </w:p>
        </w:tc>
        <w:tc>
          <w:tcPr>
            <w:tcW w:w="2560" w:type="dxa"/>
            <w:vAlign w:val="bottom"/>
            <w:vMerge w:val="restart"/>
          </w:tcPr>
          <w:p>
            <w:pPr>
              <w:ind w:left="60"/>
              <w:spacing w:after="0"/>
              <w:rPr>
                <w:sz w:val="20"/>
                <w:szCs w:val="20"/>
                <w:color w:val="auto"/>
              </w:rPr>
            </w:pPr>
            <w:r>
              <w:rPr>
                <w:rFonts w:ascii="Arial" w:cs="Arial" w:eastAsia="Arial" w:hAnsi="Arial"/>
                <w:sz w:val="14"/>
                <w:szCs w:val="14"/>
                <w:color w:val="auto"/>
              </w:rPr>
              <w:t>Criminal Justice</w:t>
            </w:r>
          </w:p>
        </w:tc>
        <w:tc>
          <w:tcPr>
            <w:tcW w:w="240" w:type="dxa"/>
            <w:vAlign w:val="bottom"/>
            <w:vMerge w:val="restart"/>
          </w:tcPr>
          <w:p>
            <w:pPr>
              <w:ind w:left="140"/>
              <w:spacing w:after="0"/>
              <w:rPr>
                <w:sz w:val="20"/>
                <w:szCs w:val="20"/>
                <w:color w:val="auto"/>
              </w:rPr>
            </w:pPr>
            <w:r>
              <w:rPr>
                <w:rFonts w:ascii="Arial" w:cs="Arial" w:eastAsia="Arial" w:hAnsi="Arial"/>
                <w:sz w:val="14"/>
                <w:szCs w:val="14"/>
                <w:color w:val="auto"/>
              </w:rPr>
              <w:t>•</w:t>
            </w:r>
          </w:p>
        </w:tc>
        <w:tc>
          <w:tcPr>
            <w:tcW w:w="2500" w:type="dxa"/>
            <w:vAlign w:val="bottom"/>
            <w:gridSpan w:val="2"/>
            <w:vMerge w:val="restart"/>
          </w:tcPr>
          <w:p>
            <w:pPr>
              <w:ind w:left="60"/>
              <w:spacing w:after="0"/>
              <w:rPr>
                <w:sz w:val="20"/>
                <w:szCs w:val="20"/>
                <w:color w:val="auto"/>
              </w:rPr>
            </w:pPr>
            <w:r>
              <w:rPr>
                <w:rFonts w:ascii="Arial" w:cs="Arial" w:eastAsia="Arial" w:hAnsi="Arial"/>
                <w:sz w:val="14"/>
                <w:szCs w:val="14"/>
                <w:color w:val="auto"/>
              </w:rPr>
              <w:t>Criminal Justice</w:t>
            </w:r>
          </w:p>
        </w:tc>
        <w:tc>
          <w:tcPr>
            <w:tcW w:w="280" w:type="dxa"/>
            <w:vAlign w:val="bottom"/>
            <w:vMerge w:val="restart"/>
          </w:tcPr>
          <w:p>
            <w:pPr>
              <w:ind w:left="200"/>
              <w:spacing w:after="0"/>
              <w:rPr>
                <w:sz w:val="20"/>
                <w:szCs w:val="20"/>
                <w:color w:val="auto"/>
              </w:rPr>
            </w:pPr>
            <w:r>
              <w:rPr>
                <w:rFonts w:ascii="Arial" w:cs="Arial" w:eastAsia="Arial" w:hAnsi="Arial"/>
                <w:sz w:val="14"/>
                <w:szCs w:val="14"/>
                <w:color w:val="auto"/>
              </w:rPr>
              <w:t>•</w:t>
            </w:r>
          </w:p>
        </w:tc>
        <w:tc>
          <w:tcPr>
            <w:tcW w:w="2140" w:type="dxa"/>
            <w:vAlign w:val="bottom"/>
            <w:gridSpan w:val="2"/>
            <w:vMerge w:val="restart"/>
          </w:tcPr>
          <w:p>
            <w:pPr>
              <w:ind w:left="100"/>
              <w:spacing w:after="0"/>
              <w:rPr>
                <w:sz w:val="20"/>
                <w:szCs w:val="20"/>
                <w:color w:val="auto"/>
              </w:rPr>
            </w:pPr>
            <w:r>
              <w:rPr>
                <w:rFonts w:ascii="Arial" w:cs="Arial" w:eastAsia="Arial" w:hAnsi="Arial"/>
                <w:sz w:val="14"/>
                <w:szCs w:val="14"/>
                <w:color w:val="auto"/>
              </w:rPr>
              <w:t>Criminal Justice</w:t>
            </w:r>
          </w:p>
        </w:tc>
        <w:tc>
          <w:tcPr>
            <w:tcW w:w="560" w:type="dxa"/>
            <w:vAlign w:val="bottom"/>
          </w:tcPr>
          <w:p>
            <w:pPr>
              <w:spacing w:after="0"/>
              <w:rPr>
                <w:sz w:val="5"/>
                <w:szCs w:val="5"/>
                <w:color w:val="auto"/>
              </w:rPr>
            </w:pPr>
          </w:p>
        </w:tc>
        <w:tc>
          <w:tcPr>
            <w:tcW w:w="1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62"/>
        </w:trPr>
        <w:tc>
          <w:tcPr>
            <w:tcW w:w="140" w:type="dxa"/>
            <w:vAlign w:val="bottom"/>
            <w:vMerge w:val="restart"/>
          </w:tcPr>
          <w:p>
            <w:pPr>
              <w:ind w:left="40"/>
              <w:spacing w:after="0"/>
              <w:rPr>
                <w:sz w:val="20"/>
                <w:szCs w:val="20"/>
                <w:color w:val="auto"/>
              </w:rPr>
            </w:pPr>
            <w:r>
              <w:rPr>
                <w:rFonts w:ascii="Arial" w:cs="Arial" w:eastAsia="Arial" w:hAnsi="Arial"/>
                <w:sz w:val="14"/>
                <w:szCs w:val="14"/>
                <w:color w:val="auto"/>
              </w:rPr>
              <w:t>•</w:t>
            </w:r>
          </w:p>
        </w:tc>
        <w:tc>
          <w:tcPr>
            <w:tcW w:w="2560" w:type="dxa"/>
            <w:vAlign w:val="bottom"/>
            <w:vMerge w:val="restart"/>
          </w:tcPr>
          <w:p>
            <w:pPr>
              <w:ind w:left="60"/>
              <w:spacing w:after="0"/>
              <w:rPr>
                <w:sz w:val="20"/>
                <w:szCs w:val="20"/>
                <w:color w:val="auto"/>
              </w:rPr>
            </w:pPr>
            <w:r>
              <w:rPr>
                <w:rFonts w:ascii="Arial" w:cs="Arial" w:eastAsia="Arial" w:hAnsi="Arial"/>
                <w:sz w:val="14"/>
                <w:szCs w:val="14"/>
                <w:color w:val="auto"/>
              </w:rPr>
              <w:t>Health Sciences</w:t>
            </w:r>
          </w:p>
        </w:tc>
        <w:tc>
          <w:tcPr>
            <w:tcW w:w="260" w:type="dxa"/>
            <w:vAlign w:val="bottom"/>
            <w:vMerge w:val="continue"/>
          </w:tcPr>
          <w:p>
            <w:pPr>
              <w:spacing w:after="0"/>
              <w:rPr>
                <w:sz w:val="14"/>
                <w:szCs w:val="14"/>
                <w:color w:val="auto"/>
              </w:rPr>
            </w:pPr>
          </w:p>
        </w:tc>
        <w:tc>
          <w:tcPr>
            <w:tcW w:w="2560" w:type="dxa"/>
            <w:vAlign w:val="bottom"/>
            <w:vMerge w:val="continue"/>
          </w:tcPr>
          <w:p>
            <w:pPr>
              <w:spacing w:after="0"/>
              <w:rPr>
                <w:sz w:val="14"/>
                <w:szCs w:val="14"/>
                <w:color w:val="auto"/>
              </w:rPr>
            </w:pPr>
          </w:p>
        </w:tc>
        <w:tc>
          <w:tcPr>
            <w:tcW w:w="240" w:type="dxa"/>
            <w:vAlign w:val="bottom"/>
            <w:vMerge w:val="continue"/>
          </w:tcPr>
          <w:p>
            <w:pPr>
              <w:spacing w:after="0"/>
              <w:rPr>
                <w:sz w:val="14"/>
                <w:szCs w:val="14"/>
                <w:color w:val="auto"/>
              </w:rPr>
            </w:pPr>
          </w:p>
        </w:tc>
        <w:tc>
          <w:tcPr>
            <w:tcW w:w="2500" w:type="dxa"/>
            <w:vAlign w:val="bottom"/>
            <w:gridSpan w:val="2"/>
            <w:vMerge w:val="continue"/>
          </w:tcPr>
          <w:p>
            <w:pPr>
              <w:spacing w:after="0"/>
              <w:rPr>
                <w:sz w:val="14"/>
                <w:szCs w:val="14"/>
                <w:color w:val="auto"/>
              </w:rPr>
            </w:pPr>
          </w:p>
        </w:tc>
        <w:tc>
          <w:tcPr>
            <w:tcW w:w="280" w:type="dxa"/>
            <w:vAlign w:val="bottom"/>
            <w:vMerge w:val="continue"/>
          </w:tcPr>
          <w:p>
            <w:pPr>
              <w:spacing w:after="0"/>
              <w:rPr>
                <w:sz w:val="14"/>
                <w:szCs w:val="14"/>
                <w:color w:val="auto"/>
              </w:rPr>
            </w:pPr>
          </w:p>
        </w:tc>
        <w:tc>
          <w:tcPr>
            <w:tcW w:w="2140" w:type="dxa"/>
            <w:vAlign w:val="bottom"/>
            <w:gridSpan w:val="2"/>
            <w:vMerge w:val="continue"/>
          </w:tcPr>
          <w:p>
            <w:pPr>
              <w:spacing w:after="0"/>
              <w:rPr>
                <w:sz w:val="14"/>
                <w:szCs w:val="14"/>
                <w:color w:val="auto"/>
              </w:rPr>
            </w:pPr>
          </w:p>
        </w:tc>
        <w:tc>
          <w:tcPr>
            <w:tcW w:w="5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68"/>
        </w:trPr>
        <w:tc>
          <w:tcPr>
            <w:tcW w:w="140" w:type="dxa"/>
            <w:vAlign w:val="bottom"/>
            <w:vMerge w:val="continue"/>
          </w:tcPr>
          <w:p>
            <w:pPr>
              <w:spacing w:after="0"/>
              <w:rPr>
                <w:sz w:val="5"/>
                <w:szCs w:val="5"/>
                <w:color w:val="auto"/>
              </w:rPr>
            </w:pPr>
          </w:p>
        </w:tc>
        <w:tc>
          <w:tcPr>
            <w:tcW w:w="2560" w:type="dxa"/>
            <w:vAlign w:val="bottom"/>
            <w:vMerge w:val="continue"/>
          </w:tcPr>
          <w:p>
            <w:pPr>
              <w:spacing w:after="0"/>
              <w:rPr>
                <w:sz w:val="5"/>
                <w:szCs w:val="5"/>
                <w:color w:val="auto"/>
              </w:rPr>
            </w:pPr>
          </w:p>
        </w:tc>
        <w:tc>
          <w:tcPr>
            <w:tcW w:w="260" w:type="dxa"/>
            <w:vAlign w:val="bottom"/>
            <w:vMerge w:val="restart"/>
          </w:tcPr>
          <w:p>
            <w:pPr>
              <w:ind w:left="140"/>
              <w:spacing w:after="0"/>
              <w:rPr>
                <w:sz w:val="20"/>
                <w:szCs w:val="20"/>
                <w:color w:val="auto"/>
              </w:rPr>
            </w:pPr>
            <w:r>
              <w:rPr>
                <w:rFonts w:ascii="Arial" w:cs="Arial" w:eastAsia="Arial" w:hAnsi="Arial"/>
                <w:sz w:val="14"/>
                <w:szCs w:val="14"/>
                <w:color w:val="auto"/>
              </w:rPr>
              <w:t>•</w:t>
            </w:r>
          </w:p>
        </w:tc>
        <w:tc>
          <w:tcPr>
            <w:tcW w:w="2560" w:type="dxa"/>
            <w:vAlign w:val="bottom"/>
            <w:vMerge w:val="restart"/>
          </w:tcPr>
          <w:p>
            <w:pPr>
              <w:ind w:left="60"/>
              <w:spacing w:after="0"/>
              <w:rPr>
                <w:sz w:val="20"/>
                <w:szCs w:val="20"/>
                <w:color w:val="auto"/>
              </w:rPr>
            </w:pPr>
            <w:r>
              <w:rPr>
                <w:rFonts w:ascii="Arial" w:cs="Arial" w:eastAsia="Arial" w:hAnsi="Arial"/>
                <w:sz w:val="14"/>
                <w:szCs w:val="14"/>
                <w:color w:val="auto"/>
              </w:rPr>
              <w:t>Fire Safety and Emergency</w:t>
            </w:r>
          </w:p>
        </w:tc>
        <w:tc>
          <w:tcPr>
            <w:tcW w:w="240" w:type="dxa"/>
            <w:vAlign w:val="bottom"/>
            <w:vMerge w:val="restart"/>
          </w:tcPr>
          <w:p>
            <w:pPr>
              <w:ind w:left="140"/>
              <w:spacing w:after="0"/>
              <w:rPr>
                <w:sz w:val="20"/>
                <w:szCs w:val="20"/>
                <w:color w:val="auto"/>
              </w:rPr>
            </w:pPr>
            <w:r>
              <w:rPr>
                <w:rFonts w:ascii="Arial" w:cs="Arial" w:eastAsia="Arial" w:hAnsi="Arial"/>
                <w:sz w:val="14"/>
                <w:szCs w:val="14"/>
                <w:color w:val="auto"/>
              </w:rPr>
              <w:t>•</w:t>
            </w:r>
          </w:p>
        </w:tc>
        <w:tc>
          <w:tcPr>
            <w:tcW w:w="2500" w:type="dxa"/>
            <w:vAlign w:val="bottom"/>
            <w:gridSpan w:val="2"/>
            <w:vMerge w:val="restart"/>
          </w:tcPr>
          <w:p>
            <w:pPr>
              <w:ind w:left="60"/>
              <w:spacing w:after="0"/>
              <w:rPr>
                <w:sz w:val="20"/>
                <w:szCs w:val="20"/>
                <w:color w:val="auto"/>
              </w:rPr>
            </w:pPr>
            <w:r>
              <w:rPr>
                <w:rFonts w:ascii="Arial" w:cs="Arial" w:eastAsia="Arial" w:hAnsi="Arial"/>
                <w:sz w:val="14"/>
                <w:szCs w:val="14"/>
                <w:color w:val="auto"/>
              </w:rPr>
              <w:t>Fire Safety and Emergency</w:t>
            </w:r>
          </w:p>
        </w:tc>
        <w:tc>
          <w:tcPr>
            <w:tcW w:w="280" w:type="dxa"/>
            <w:vAlign w:val="bottom"/>
            <w:vMerge w:val="restart"/>
          </w:tcPr>
          <w:p>
            <w:pPr>
              <w:ind w:left="200"/>
              <w:spacing w:after="0"/>
              <w:rPr>
                <w:sz w:val="20"/>
                <w:szCs w:val="20"/>
                <w:color w:val="auto"/>
              </w:rPr>
            </w:pPr>
            <w:r>
              <w:rPr>
                <w:rFonts w:ascii="Arial" w:cs="Arial" w:eastAsia="Arial" w:hAnsi="Arial"/>
                <w:sz w:val="14"/>
                <w:szCs w:val="14"/>
                <w:color w:val="auto"/>
              </w:rPr>
              <w:t>•</w:t>
            </w:r>
          </w:p>
        </w:tc>
        <w:tc>
          <w:tcPr>
            <w:tcW w:w="2140" w:type="dxa"/>
            <w:vAlign w:val="bottom"/>
            <w:gridSpan w:val="2"/>
            <w:vMerge w:val="restart"/>
          </w:tcPr>
          <w:p>
            <w:pPr>
              <w:ind w:left="100"/>
              <w:spacing w:after="0"/>
              <w:rPr>
                <w:sz w:val="20"/>
                <w:szCs w:val="20"/>
                <w:color w:val="auto"/>
              </w:rPr>
            </w:pPr>
            <w:r>
              <w:rPr>
                <w:rFonts w:ascii="Arial" w:cs="Arial" w:eastAsia="Arial" w:hAnsi="Arial"/>
                <w:sz w:val="14"/>
                <w:szCs w:val="14"/>
                <w:color w:val="auto"/>
              </w:rPr>
              <w:t>Health Sciences</w:t>
            </w:r>
          </w:p>
        </w:tc>
        <w:tc>
          <w:tcPr>
            <w:tcW w:w="560" w:type="dxa"/>
            <w:vAlign w:val="bottom"/>
          </w:tcPr>
          <w:p>
            <w:pPr>
              <w:spacing w:after="0"/>
              <w:rPr>
                <w:sz w:val="5"/>
                <w:szCs w:val="5"/>
                <w:color w:val="auto"/>
              </w:rPr>
            </w:pPr>
          </w:p>
        </w:tc>
        <w:tc>
          <w:tcPr>
            <w:tcW w:w="1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52"/>
        </w:trPr>
        <w:tc>
          <w:tcPr>
            <w:tcW w:w="2700" w:type="dxa"/>
            <w:vAlign w:val="bottom"/>
            <w:gridSpan w:val="2"/>
            <w:vMerge w:val="restart"/>
          </w:tcPr>
          <w:p>
            <w:pPr>
              <w:ind w:left="40"/>
              <w:spacing w:after="0"/>
              <w:rPr>
                <w:sz w:val="20"/>
                <w:szCs w:val="20"/>
                <w:color w:val="auto"/>
              </w:rPr>
            </w:pPr>
            <w:r>
              <w:rPr>
                <w:rFonts w:ascii="Arial" w:cs="Arial" w:eastAsia="Arial" w:hAnsi="Arial"/>
                <w:sz w:val="14"/>
                <w:szCs w:val="14"/>
                <w:color w:val="auto"/>
              </w:rPr>
              <w:t>•  Information Systems and Technology</w:t>
            </w:r>
          </w:p>
        </w:tc>
        <w:tc>
          <w:tcPr>
            <w:tcW w:w="260" w:type="dxa"/>
            <w:vAlign w:val="bottom"/>
            <w:vMerge w:val="continue"/>
          </w:tcPr>
          <w:p>
            <w:pPr>
              <w:spacing w:after="0"/>
              <w:rPr>
                <w:sz w:val="13"/>
                <w:szCs w:val="13"/>
                <w:color w:val="auto"/>
              </w:rPr>
            </w:pPr>
          </w:p>
        </w:tc>
        <w:tc>
          <w:tcPr>
            <w:tcW w:w="2560" w:type="dxa"/>
            <w:vAlign w:val="bottom"/>
            <w:vMerge w:val="continue"/>
          </w:tcPr>
          <w:p>
            <w:pPr>
              <w:spacing w:after="0"/>
              <w:rPr>
                <w:sz w:val="13"/>
                <w:szCs w:val="13"/>
                <w:color w:val="auto"/>
              </w:rPr>
            </w:pPr>
          </w:p>
        </w:tc>
        <w:tc>
          <w:tcPr>
            <w:tcW w:w="240" w:type="dxa"/>
            <w:vAlign w:val="bottom"/>
            <w:vMerge w:val="continue"/>
          </w:tcPr>
          <w:p>
            <w:pPr>
              <w:spacing w:after="0"/>
              <w:rPr>
                <w:sz w:val="13"/>
                <w:szCs w:val="13"/>
                <w:color w:val="auto"/>
              </w:rPr>
            </w:pPr>
          </w:p>
        </w:tc>
        <w:tc>
          <w:tcPr>
            <w:tcW w:w="2500" w:type="dxa"/>
            <w:vAlign w:val="bottom"/>
            <w:gridSpan w:val="2"/>
            <w:vMerge w:val="continue"/>
          </w:tcPr>
          <w:p>
            <w:pPr>
              <w:spacing w:after="0"/>
              <w:rPr>
                <w:sz w:val="13"/>
                <w:szCs w:val="13"/>
                <w:color w:val="auto"/>
              </w:rPr>
            </w:pPr>
          </w:p>
        </w:tc>
        <w:tc>
          <w:tcPr>
            <w:tcW w:w="280" w:type="dxa"/>
            <w:vAlign w:val="bottom"/>
            <w:vMerge w:val="continue"/>
          </w:tcPr>
          <w:p>
            <w:pPr>
              <w:spacing w:after="0"/>
              <w:rPr>
                <w:sz w:val="13"/>
                <w:szCs w:val="13"/>
                <w:color w:val="auto"/>
              </w:rPr>
            </w:pPr>
          </w:p>
        </w:tc>
        <w:tc>
          <w:tcPr>
            <w:tcW w:w="2140" w:type="dxa"/>
            <w:vAlign w:val="bottom"/>
            <w:gridSpan w:val="2"/>
            <w:vMerge w:val="continue"/>
          </w:tcPr>
          <w:p>
            <w:pPr>
              <w:spacing w:after="0"/>
              <w:rPr>
                <w:sz w:val="13"/>
                <w:szCs w:val="13"/>
                <w:color w:val="auto"/>
              </w:rPr>
            </w:pPr>
          </w:p>
        </w:tc>
        <w:tc>
          <w:tcPr>
            <w:tcW w:w="5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78"/>
        </w:trPr>
        <w:tc>
          <w:tcPr>
            <w:tcW w:w="2700" w:type="dxa"/>
            <w:vAlign w:val="bottom"/>
            <w:gridSpan w:val="2"/>
            <w:vMerge w:val="continue"/>
          </w:tcPr>
          <w:p>
            <w:pPr>
              <w:spacing w:after="0"/>
              <w:rPr>
                <w:sz w:val="6"/>
                <w:szCs w:val="6"/>
                <w:color w:val="auto"/>
              </w:rPr>
            </w:pPr>
          </w:p>
        </w:tc>
        <w:tc>
          <w:tcPr>
            <w:tcW w:w="260" w:type="dxa"/>
            <w:vAlign w:val="bottom"/>
          </w:tcPr>
          <w:p>
            <w:pPr>
              <w:spacing w:after="0"/>
              <w:rPr>
                <w:sz w:val="6"/>
                <w:szCs w:val="6"/>
                <w:color w:val="auto"/>
              </w:rPr>
            </w:pPr>
          </w:p>
        </w:tc>
        <w:tc>
          <w:tcPr>
            <w:tcW w:w="2560" w:type="dxa"/>
            <w:vAlign w:val="bottom"/>
            <w:vMerge w:val="restart"/>
          </w:tcPr>
          <w:p>
            <w:pPr>
              <w:ind w:left="40"/>
              <w:spacing w:after="0"/>
              <w:rPr>
                <w:sz w:val="20"/>
                <w:szCs w:val="20"/>
                <w:color w:val="auto"/>
              </w:rPr>
            </w:pPr>
            <w:r>
              <w:rPr>
                <w:rFonts w:ascii="Arial" w:cs="Arial" w:eastAsia="Arial" w:hAnsi="Arial"/>
                <w:sz w:val="14"/>
                <w:szCs w:val="14"/>
                <w:color w:val="auto"/>
              </w:rPr>
              <w:t>Management</w:t>
            </w:r>
          </w:p>
        </w:tc>
        <w:tc>
          <w:tcPr>
            <w:tcW w:w="240" w:type="dxa"/>
            <w:vAlign w:val="bottom"/>
          </w:tcPr>
          <w:p>
            <w:pPr>
              <w:spacing w:after="0"/>
              <w:rPr>
                <w:sz w:val="6"/>
                <w:szCs w:val="6"/>
                <w:color w:val="auto"/>
              </w:rPr>
            </w:pPr>
          </w:p>
        </w:tc>
        <w:tc>
          <w:tcPr>
            <w:tcW w:w="2500" w:type="dxa"/>
            <w:vAlign w:val="bottom"/>
            <w:gridSpan w:val="2"/>
            <w:vMerge w:val="restart"/>
          </w:tcPr>
          <w:p>
            <w:pPr>
              <w:ind w:left="60"/>
              <w:spacing w:after="0"/>
              <w:rPr>
                <w:sz w:val="20"/>
                <w:szCs w:val="20"/>
                <w:color w:val="auto"/>
              </w:rPr>
            </w:pPr>
            <w:r>
              <w:rPr>
                <w:rFonts w:ascii="Arial" w:cs="Arial" w:eastAsia="Arial" w:hAnsi="Arial"/>
                <w:sz w:val="14"/>
                <w:szCs w:val="14"/>
                <w:color w:val="auto"/>
              </w:rPr>
              <w:t>Management</w:t>
            </w:r>
          </w:p>
        </w:tc>
        <w:tc>
          <w:tcPr>
            <w:tcW w:w="280" w:type="dxa"/>
            <w:vAlign w:val="bottom"/>
            <w:vMerge w:val="restart"/>
          </w:tcPr>
          <w:p>
            <w:pPr>
              <w:ind w:left="200"/>
              <w:spacing w:after="0"/>
              <w:rPr>
                <w:sz w:val="20"/>
                <w:szCs w:val="20"/>
                <w:color w:val="auto"/>
              </w:rPr>
            </w:pPr>
            <w:r>
              <w:rPr>
                <w:rFonts w:ascii="Arial" w:cs="Arial" w:eastAsia="Arial" w:hAnsi="Arial"/>
                <w:sz w:val="14"/>
                <w:szCs w:val="14"/>
                <w:color w:val="auto"/>
              </w:rPr>
              <w:t>•</w:t>
            </w:r>
          </w:p>
        </w:tc>
        <w:tc>
          <w:tcPr>
            <w:tcW w:w="2140" w:type="dxa"/>
            <w:vAlign w:val="bottom"/>
            <w:gridSpan w:val="2"/>
            <w:vMerge w:val="restart"/>
          </w:tcPr>
          <w:p>
            <w:pPr>
              <w:ind w:left="100"/>
              <w:spacing w:after="0"/>
              <w:rPr>
                <w:sz w:val="20"/>
                <w:szCs w:val="20"/>
                <w:color w:val="auto"/>
              </w:rPr>
            </w:pPr>
            <w:r>
              <w:rPr>
                <w:rFonts w:ascii="Arial" w:cs="Arial" w:eastAsia="Arial" w:hAnsi="Arial"/>
                <w:sz w:val="14"/>
                <w:szCs w:val="14"/>
                <w:color w:val="auto"/>
              </w:rPr>
              <w:t>Education Studies</w:t>
            </w:r>
          </w:p>
        </w:tc>
        <w:tc>
          <w:tcPr>
            <w:tcW w:w="560" w:type="dxa"/>
            <w:vAlign w:val="bottom"/>
          </w:tcPr>
          <w:p>
            <w:pPr>
              <w:spacing w:after="0"/>
              <w:rPr>
                <w:sz w:val="6"/>
                <w:szCs w:val="6"/>
                <w:color w:val="auto"/>
              </w:rPr>
            </w:pPr>
          </w:p>
        </w:tc>
        <w:tc>
          <w:tcPr>
            <w:tcW w:w="18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95"/>
        </w:trPr>
        <w:tc>
          <w:tcPr>
            <w:tcW w:w="2700" w:type="dxa"/>
            <w:vAlign w:val="bottom"/>
            <w:gridSpan w:val="2"/>
            <w:vMerge w:val="restart"/>
          </w:tcPr>
          <w:p>
            <w:pPr>
              <w:ind w:left="40"/>
              <w:spacing w:after="0"/>
              <w:rPr>
                <w:sz w:val="20"/>
                <w:szCs w:val="20"/>
                <w:color w:val="auto"/>
              </w:rPr>
            </w:pPr>
            <w:r>
              <w:rPr>
                <w:rFonts w:ascii="Arial" w:cs="Arial" w:eastAsia="Arial" w:hAnsi="Arial"/>
                <w:sz w:val="14"/>
                <w:szCs w:val="14"/>
                <w:color w:val="auto"/>
              </w:rPr>
              <w:t>•  Legal and Paralegal Studies</w:t>
            </w:r>
          </w:p>
        </w:tc>
        <w:tc>
          <w:tcPr>
            <w:tcW w:w="260" w:type="dxa"/>
            <w:vAlign w:val="bottom"/>
          </w:tcPr>
          <w:p>
            <w:pPr>
              <w:spacing w:after="0"/>
              <w:rPr>
                <w:sz w:val="8"/>
                <w:szCs w:val="8"/>
                <w:color w:val="auto"/>
              </w:rPr>
            </w:pPr>
          </w:p>
        </w:tc>
        <w:tc>
          <w:tcPr>
            <w:tcW w:w="2560" w:type="dxa"/>
            <w:vAlign w:val="bottom"/>
            <w:vMerge w:val="continue"/>
          </w:tcPr>
          <w:p>
            <w:pPr>
              <w:spacing w:after="0"/>
              <w:rPr>
                <w:sz w:val="8"/>
                <w:szCs w:val="8"/>
                <w:color w:val="auto"/>
              </w:rPr>
            </w:pPr>
          </w:p>
        </w:tc>
        <w:tc>
          <w:tcPr>
            <w:tcW w:w="240" w:type="dxa"/>
            <w:vAlign w:val="bottom"/>
          </w:tcPr>
          <w:p>
            <w:pPr>
              <w:spacing w:after="0"/>
              <w:rPr>
                <w:sz w:val="8"/>
                <w:szCs w:val="8"/>
                <w:color w:val="auto"/>
              </w:rPr>
            </w:pPr>
          </w:p>
        </w:tc>
        <w:tc>
          <w:tcPr>
            <w:tcW w:w="2500" w:type="dxa"/>
            <w:vAlign w:val="bottom"/>
            <w:gridSpan w:val="2"/>
            <w:vMerge w:val="continue"/>
          </w:tcPr>
          <w:p>
            <w:pPr>
              <w:spacing w:after="0"/>
              <w:rPr>
                <w:sz w:val="8"/>
                <w:szCs w:val="8"/>
                <w:color w:val="auto"/>
              </w:rPr>
            </w:pPr>
          </w:p>
        </w:tc>
        <w:tc>
          <w:tcPr>
            <w:tcW w:w="280" w:type="dxa"/>
            <w:vAlign w:val="bottom"/>
            <w:vMerge w:val="continue"/>
          </w:tcPr>
          <w:p>
            <w:pPr>
              <w:spacing w:after="0"/>
              <w:rPr>
                <w:sz w:val="8"/>
                <w:szCs w:val="8"/>
                <w:color w:val="auto"/>
              </w:rPr>
            </w:pPr>
          </w:p>
        </w:tc>
        <w:tc>
          <w:tcPr>
            <w:tcW w:w="2140" w:type="dxa"/>
            <w:vAlign w:val="bottom"/>
            <w:gridSpan w:val="2"/>
            <w:vMerge w:val="continue"/>
          </w:tcPr>
          <w:p>
            <w:pPr>
              <w:spacing w:after="0"/>
              <w:rPr>
                <w:sz w:val="8"/>
                <w:szCs w:val="8"/>
                <w:color w:val="auto"/>
              </w:rPr>
            </w:pPr>
          </w:p>
        </w:tc>
        <w:tc>
          <w:tcPr>
            <w:tcW w:w="560" w:type="dxa"/>
            <w:vAlign w:val="bottom"/>
          </w:tcPr>
          <w:p>
            <w:pPr>
              <w:spacing w:after="0"/>
              <w:rPr>
                <w:sz w:val="8"/>
                <w:szCs w:val="8"/>
                <w:color w:val="auto"/>
              </w:rPr>
            </w:pPr>
          </w:p>
        </w:tc>
        <w:tc>
          <w:tcPr>
            <w:tcW w:w="1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700" w:type="dxa"/>
            <w:vAlign w:val="bottom"/>
            <w:gridSpan w:val="2"/>
            <w:vMerge w:val="continue"/>
          </w:tcPr>
          <w:p>
            <w:pPr>
              <w:spacing w:after="0"/>
              <w:rPr>
                <w:sz w:val="5"/>
                <w:szCs w:val="5"/>
                <w:color w:val="auto"/>
              </w:rPr>
            </w:pPr>
          </w:p>
        </w:tc>
        <w:tc>
          <w:tcPr>
            <w:tcW w:w="260" w:type="dxa"/>
            <w:vAlign w:val="bottom"/>
            <w:vMerge w:val="restart"/>
          </w:tcPr>
          <w:p>
            <w:pPr>
              <w:ind w:left="140"/>
              <w:spacing w:after="0"/>
              <w:rPr>
                <w:sz w:val="20"/>
                <w:szCs w:val="20"/>
                <w:color w:val="auto"/>
              </w:rPr>
            </w:pPr>
            <w:r>
              <w:rPr>
                <w:rFonts w:ascii="Arial" w:cs="Arial" w:eastAsia="Arial" w:hAnsi="Arial"/>
                <w:sz w:val="14"/>
                <w:szCs w:val="14"/>
                <w:color w:val="auto"/>
              </w:rPr>
              <w:t>•</w:t>
            </w:r>
          </w:p>
        </w:tc>
        <w:tc>
          <w:tcPr>
            <w:tcW w:w="2560" w:type="dxa"/>
            <w:vAlign w:val="bottom"/>
            <w:vMerge w:val="restart"/>
          </w:tcPr>
          <w:p>
            <w:pPr>
              <w:ind w:left="60"/>
              <w:spacing w:after="0"/>
              <w:rPr>
                <w:sz w:val="20"/>
                <w:szCs w:val="20"/>
                <w:color w:val="auto"/>
              </w:rPr>
            </w:pPr>
            <w:r>
              <w:rPr>
                <w:rFonts w:ascii="Arial" w:cs="Arial" w:eastAsia="Arial" w:hAnsi="Arial"/>
                <w:sz w:val="14"/>
                <w:szCs w:val="14"/>
                <w:color w:val="auto"/>
              </w:rPr>
              <w:t>Health Sciences</w:t>
            </w:r>
          </w:p>
        </w:tc>
        <w:tc>
          <w:tcPr>
            <w:tcW w:w="240" w:type="dxa"/>
            <w:vAlign w:val="bottom"/>
            <w:vMerge w:val="restart"/>
          </w:tcPr>
          <w:p>
            <w:pPr>
              <w:ind w:left="140"/>
              <w:spacing w:after="0"/>
              <w:rPr>
                <w:sz w:val="20"/>
                <w:szCs w:val="20"/>
                <w:color w:val="auto"/>
              </w:rPr>
            </w:pPr>
            <w:r>
              <w:rPr>
                <w:rFonts w:ascii="Arial" w:cs="Arial" w:eastAsia="Arial" w:hAnsi="Arial"/>
                <w:sz w:val="14"/>
                <w:szCs w:val="14"/>
                <w:color w:val="auto"/>
              </w:rPr>
              <w:t>•</w:t>
            </w:r>
          </w:p>
        </w:tc>
        <w:tc>
          <w:tcPr>
            <w:tcW w:w="2500" w:type="dxa"/>
            <w:vAlign w:val="bottom"/>
            <w:gridSpan w:val="2"/>
            <w:vMerge w:val="restart"/>
          </w:tcPr>
          <w:p>
            <w:pPr>
              <w:ind w:left="60"/>
              <w:spacing w:after="0"/>
              <w:rPr>
                <w:sz w:val="20"/>
                <w:szCs w:val="20"/>
                <w:color w:val="auto"/>
              </w:rPr>
            </w:pPr>
            <w:r>
              <w:rPr>
                <w:rFonts w:ascii="Arial" w:cs="Arial" w:eastAsia="Arial" w:hAnsi="Arial"/>
                <w:sz w:val="14"/>
                <w:szCs w:val="14"/>
                <w:color w:val="auto"/>
              </w:rPr>
              <w:t>Health Sciences</w:t>
            </w:r>
          </w:p>
        </w:tc>
        <w:tc>
          <w:tcPr>
            <w:tcW w:w="280" w:type="dxa"/>
            <w:vAlign w:val="bottom"/>
            <w:vMerge w:val="continue"/>
          </w:tcPr>
          <w:p>
            <w:pPr>
              <w:spacing w:after="0"/>
              <w:rPr>
                <w:sz w:val="5"/>
                <w:szCs w:val="5"/>
                <w:color w:val="auto"/>
              </w:rPr>
            </w:pPr>
          </w:p>
        </w:tc>
        <w:tc>
          <w:tcPr>
            <w:tcW w:w="2140" w:type="dxa"/>
            <w:vAlign w:val="bottom"/>
            <w:gridSpan w:val="2"/>
            <w:vMerge w:val="continue"/>
          </w:tcPr>
          <w:p>
            <w:pPr>
              <w:spacing w:after="0"/>
              <w:rPr>
                <w:sz w:val="5"/>
                <w:szCs w:val="5"/>
                <w:color w:val="auto"/>
              </w:rPr>
            </w:pPr>
          </w:p>
        </w:tc>
        <w:tc>
          <w:tcPr>
            <w:tcW w:w="560" w:type="dxa"/>
            <w:vAlign w:val="bottom"/>
          </w:tcPr>
          <w:p>
            <w:pPr>
              <w:spacing w:after="0"/>
              <w:rPr>
                <w:sz w:val="5"/>
                <w:szCs w:val="5"/>
                <w:color w:val="auto"/>
              </w:rPr>
            </w:pPr>
          </w:p>
        </w:tc>
        <w:tc>
          <w:tcPr>
            <w:tcW w:w="1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68"/>
        </w:trPr>
        <w:tc>
          <w:tcPr>
            <w:tcW w:w="2700" w:type="dxa"/>
            <w:vAlign w:val="bottom"/>
            <w:gridSpan w:val="2"/>
            <w:vMerge w:val="continue"/>
          </w:tcPr>
          <w:p>
            <w:pPr>
              <w:spacing w:after="0"/>
              <w:rPr>
                <w:sz w:val="5"/>
                <w:szCs w:val="5"/>
                <w:color w:val="auto"/>
              </w:rPr>
            </w:pPr>
          </w:p>
        </w:tc>
        <w:tc>
          <w:tcPr>
            <w:tcW w:w="260" w:type="dxa"/>
            <w:vAlign w:val="bottom"/>
            <w:vMerge w:val="continue"/>
          </w:tcPr>
          <w:p>
            <w:pPr>
              <w:spacing w:after="0"/>
              <w:rPr>
                <w:sz w:val="5"/>
                <w:szCs w:val="5"/>
                <w:color w:val="auto"/>
              </w:rPr>
            </w:pPr>
          </w:p>
        </w:tc>
        <w:tc>
          <w:tcPr>
            <w:tcW w:w="2560" w:type="dxa"/>
            <w:vAlign w:val="bottom"/>
            <w:vMerge w:val="continue"/>
          </w:tcPr>
          <w:p>
            <w:pPr>
              <w:spacing w:after="0"/>
              <w:rPr>
                <w:sz w:val="5"/>
                <w:szCs w:val="5"/>
                <w:color w:val="auto"/>
              </w:rPr>
            </w:pPr>
          </w:p>
        </w:tc>
        <w:tc>
          <w:tcPr>
            <w:tcW w:w="240" w:type="dxa"/>
            <w:vAlign w:val="bottom"/>
            <w:vMerge w:val="continue"/>
          </w:tcPr>
          <w:p>
            <w:pPr>
              <w:spacing w:after="0"/>
              <w:rPr>
                <w:sz w:val="5"/>
                <w:szCs w:val="5"/>
                <w:color w:val="auto"/>
              </w:rPr>
            </w:pPr>
          </w:p>
        </w:tc>
        <w:tc>
          <w:tcPr>
            <w:tcW w:w="2500" w:type="dxa"/>
            <w:vAlign w:val="bottom"/>
            <w:gridSpan w:val="2"/>
            <w:vMerge w:val="continue"/>
          </w:tcPr>
          <w:p>
            <w:pPr>
              <w:spacing w:after="0"/>
              <w:rPr>
                <w:sz w:val="5"/>
                <w:szCs w:val="5"/>
                <w:color w:val="auto"/>
              </w:rPr>
            </w:pPr>
          </w:p>
        </w:tc>
        <w:tc>
          <w:tcPr>
            <w:tcW w:w="3160" w:type="dxa"/>
            <w:vAlign w:val="bottom"/>
            <w:gridSpan w:val="5"/>
            <w:vMerge w:val="restart"/>
          </w:tcPr>
          <w:p>
            <w:pPr>
              <w:ind w:left="200"/>
              <w:spacing w:after="0"/>
              <w:rPr>
                <w:sz w:val="20"/>
                <w:szCs w:val="20"/>
                <w:color w:val="auto"/>
              </w:rPr>
            </w:pPr>
            <w:r>
              <w:rPr>
                <w:rFonts w:ascii="Arial" w:cs="Arial" w:eastAsia="Arial" w:hAnsi="Arial"/>
                <w:sz w:val="14"/>
                <w:szCs w:val="14"/>
                <w:color w:val="auto"/>
              </w:rPr>
              <w:t>•  Information Systems and Technology</w:t>
            </w:r>
          </w:p>
        </w:tc>
        <w:tc>
          <w:tcPr>
            <w:tcW w:w="0" w:type="dxa"/>
            <w:vAlign w:val="bottom"/>
          </w:tcPr>
          <w:p>
            <w:pPr>
              <w:spacing w:after="0"/>
              <w:rPr>
                <w:sz w:val="1"/>
                <w:szCs w:val="1"/>
                <w:color w:val="auto"/>
              </w:rPr>
            </w:pPr>
          </w:p>
        </w:tc>
      </w:tr>
      <w:tr>
        <w:trPr>
          <w:trHeight w:val="95"/>
        </w:trPr>
        <w:tc>
          <w:tcPr>
            <w:tcW w:w="140" w:type="dxa"/>
            <w:vAlign w:val="bottom"/>
            <w:vMerge w:val="restart"/>
          </w:tcPr>
          <w:p>
            <w:pPr>
              <w:ind w:left="40"/>
              <w:spacing w:after="0"/>
              <w:rPr>
                <w:sz w:val="20"/>
                <w:szCs w:val="20"/>
                <w:color w:val="auto"/>
              </w:rPr>
            </w:pPr>
            <w:r>
              <w:rPr>
                <w:rFonts w:ascii="Arial" w:cs="Arial" w:eastAsia="Arial" w:hAnsi="Arial"/>
                <w:sz w:val="14"/>
                <w:szCs w:val="14"/>
                <w:color w:val="auto"/>
              </w:rPr>
              <w:t>•</w:t>
            </w:r>
          </w:p>
        </w:tc>
        <w:tc>
          <w:tcPr>
            <w:tcW w:w="2560" w:type="dxa"/>
            <w:vAlign w:val="bottom"/>
            <w:vMerge w:val="restart"/>
          </w:tcPr>
          <w:p>
            <w:pPr>
              <w:ind w:left="60"/>
              <w:spacing w:after="0"/>
              <w:rPr>
                <w:sz w:val="20"/>
                <w:szCs w:val="20"/>
                <w:color w:val="auto"/>
              </w:rPr>
            </w:pPr>
            <w:r>
              <w:rPr>
                <w:rFonts w:ascii="Arial" w:cs="Arial" w:eastAsia="Arial" w:hAnsi="Arial"/>
                <w:sz w:val="14"/>
                <w:szCs w:val="14"/>
                <w:color w:val="auto"/>
              </w:rPr>
              <w:t>Nursing</w:t>
            </w:r>
          </w:p>
        </w:tc>
        <w:tc>
          <w:tcPr>
            <w:tcW w:w="260" w:type="dxa"/>
            <w:vAlign w:val="bottom"/>
            <w:vMerge w:val="continue"/>
          </w:tcPr>
          <w:p>
            <w:pPr>
              <w:spacing w:after="0"/>
              <w:rPr>
                <w:sz w:val="8"/>
                <w:szCs w:val="8"/>
                <w:color w:val="auto"/>
              </w:rPr>
            </w:pPr>
          </w:p>
        </w:tc>
        <w:tc>
          <w:tcPr>
            <w:tcW w:w="2560" w:type="dxa"/>
            <w:vAlign w:val="bottom"/>
            <w:vMerge w:val="continue"/>
          </w:tcPr>
          <w:p>
            <w:pPr>
              <w:spacing w:after="0"/>
              <w:rPr>
                <w:sz w:val="8"/>
                <w:szCs w:val="8"/>
                <w:color w:val="auto"/>
              </w:rPr>
            </w:pPr>
          </w:p>
        </w:tc>
        <w:tc>
          <w:tcPr>
            <w:tcW w:w="240" w:type="dxa"/>
            <w:vAlign w:val="bottom"/>
            <w:vMerge w:val="continue"/>
          </w:tcPr>
          <w:p>
            <w:pPr>
              <w:spacing w:after="0"/>
              <w:rPr>
                <w:sz w:val="8"/>
                <w:szCs w:val="8"/>
                <w:color w:val="auto"/>
              </w:rPr>
            </w:pPr>
          </w:p>
        </w:tc>
        <w:tc>
          <w:tcPr>
            <w:tcW w:w="2500" w:type="dxa"/>
            <w:vAlign w:val="bottom"/>
            <w:gridSpan w:val="2"/>
            <w:vMerge w:val="continue"/>
          </w:tcPr>
          <w:p>
            <w:pPr>
              <w:spacing w:after="0"/>
              <w:rPr>
                <w:sz w:val="8"/>
                <w:szCs w:val="8"/>
                <w:color w:val="auto"/>
              </w:rPr>
            </w:pPr>
          </w:p>
        </w:tc>
        <w:tc>
          <w:tcPr>
            <w:tcW w:w="3160" w:type="dxa"/>
            <w:vAlign w:val="bottom"/>
            <w:gridSpan w:val="5"/>
            <w:vMerge w:val="continue"/>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140" w:type="dxa"/>
            <w:vAlign w:val="bottom"/>
            <w:vMerge w:val="continue"/>
          </w:tcPr>
          <w:p>
            <w:pPr>
              <w:spacing w:after="0"/>
              <w:rPr>
                <w:sz w:val="5"/>
                <w:szCs w:val="5"/>
                <w:color w:val="auto"/>
              </w:rPr>
            </w:pPr>
          </w:p>
        </w:tc>
        <w:tc>
          <w:tcPr>
            <w:tcW w:w="2560" w:type="dxa"/>
            <w:vAlign w:val="bottom"/>
            <w:vMerge w:val="continue"/>
          </w:tcPr>
          <w:p>
            <w:pPr>
              <w:spacing w:after="0"/>
              <w:rPr>
                <w:sz w:val="5"/>
                <w:szCs w:val="5"/>
                <w:color w:val="auto"/>
              </w:rPr>
            </w:pPr>
          </w:p>
        </w:tc>
        <w:tc>
          <w:tcPr>
            <w:tcW w:w="260" w:type="dxa"/>
            <w:vAlign w:val="bottom"/>
            <w:vMerge w:val="restart"/>
          </w:tcPr>
          <w:p>
            <w:pPr>
              <w:ind w:left="140"/>
              <w:spacing w:after="0"/>
              <w:rPr>
                <w:sz w:val="20"/>
                <w:szCs w:val="20"/>
                <w:color w:val="auto"/>
              </w:rPr>
            </w:pPr>
            <w:r>
              <w:rPr>
                <w:rFonts w:ascii="Arial" w:cs="Arial" w:eastAsia="Arial" w:hAnsi="Arial"/>
                <w:sz w:val="14"/>
                <w:szCs w:val="14"/>
                <w:color w:val="auto"/>
              </w:rPr>
              <w:t>•</w:t>
            </w:r>
          </w:p>
        </w:tc>
        <w:tc>
          <w:tcPr>
            <w:tcW w:w="2560" w:type="dxa"/>
            <w:vAlign w:val="bottom"/>
            <w:vMerge w:val="restart"/>
          </w:tcPr>
          <w:p>
            <w:pPr>
              <w:ind w:left="60"/>
              <w:spacing w:after="0"/>
              <w:rPr>
                <w:sz w:val="20"/>
                <w:szCs w:val="20"/>
                <w:color w:val="auto"/>
              </w:rPr>
            </w:pPr>
            <w:r>
              <w:rPr>
                <w:rFonts w:ascii="Arial" w:cs="Arial" w:eastAsia="Arial" w:hAnsi="Arial"/>
                <w:sz w:val="14"/>
                <w:szCs w:val="14"/>
                <w:color w:val="auto"/>
              </w:rPr>
              <w:t>Information Systems and Technology</w:t>
            </w:r>
          </w:p>
        </w:tc>
        <w:tc>
          <w:tcPr>
            <w:tcW w:w="240" w:type="dxa"/>
            <w:vAlign w:val="bottom"/>
            <w:vMerge w:val="restart"/>
          </w:tcPr>
          <w:p>
            <w:pPr>
              <w:ind w:left="140"/>
              <w:spacing w:after="0"/>
              <w:rPr>
                <w:sz w:val="20"/>
                <w:szCs w:val="20"/>
                <w:color w:val="auto"/>
              </w:rPr>
            </w:pPr>
            <w:r>
              <w:rPr>
                <w:rFonts w:ascii="Arial" w:cs="Arial" w:eastAsia="Arial" w:hAnsi="Arial"/>
                <w:sz w:val="14"/>
                <w:szCs w:val="14"/>
                <w:color w:val="auto"/>
              </w:rPr>
              <w:t>•</w:t>
            </w:r>
          </w:p>
        </w:tc>
        <w:tc>
          <w:tcPr>
            <w:tcW w:w="2500" w:type="dxa"/>
            <w:vAlign w:val="bottom"/>
            <w:gridSpan w:val="2"/>
            <w:vMerge w:val="restart"/>
          </w:tcPr>
          <w:p>
            <w:pPr>
              <w:ind w:left="60"/>
              <w:spacing w:after="0"/>
              <w:rPr>
                <w:sz w:val="20"/>
                <w:szCs w:val="20"/>
                <w:color w:val="auto"/>
              </w:rPr>
            </w:pPr>
            <w:r>
              <w:rPr>
                <w:rFonts w:ascii="Arial" w:cs="Arial" w:eastAsia="Arial" w:hAnsi="Arial"/>
                <w:sz w:val="14"/>
                <w:szCs w:val="14"/>
                <w:color w:val="auto"/>
              </w:rPr>
              <w:t>Information Systems and Technology</w:t>
            </w:r>
          </w:p>
        </w:tc>
        <w:tc>
          <w:tcPr>
            <w:tcW w:w="3160" w:type="dxa"/>
            <w:vAlign w:val="bottom"/>
            <w:gridSpan w:val="5"/>
            <w:vMerge w:val="continue"/>
          </w:tcPr>
          <w:p>
            <w:pPr>
              <w:spacing w:after="0"/>
              <w:rPr>
                <w:sz w:val="5"/>
                <w:szCs w:val="5"/>
                <w:color w:val="auto"/>
              </w:rPr>
            </w:pPr>
          </w:p>
        </w:tc>
        <w:tc>
          <w:tcPr>
            <w:tcW w:w="0" w:type="dxa"/>
            <w:vAlign w:val="bottom"/>
          </w:tcPr>
          <w:p>
            <w:pPr>
              <w:spacing w:after="0"/>
              <w:rPr>
                <w:sz w:val="1"/>
                <w:szCs w:val="1"/>
                <w:color w:val="auto"/>
              </w:rPr>
            </w:pPr>
          </w:p>
        </w:tc>
      </w:tr>
      <w:tr>
        <w:trPr>
          <w:trHeight w:val="68"/>
        </w:trPr>
        <w:tc>
          <w:tcPr>
            <w:tcW w:w="140" w:type="dxa"/>
            <w:vAlign w:val="bottom"/>
            <w:vMerge w:val="continue"/>
          </w:tcPr>
          <w:p>
            <w:pPr>
              <w:spacing w:after="0"/>
              <w:rPr>
                <w:sz w:val="5"/>
                <w:szCs w:val="5"/>
                <w:color w:val="auto"/>
              </w:rPr>
            </w:pPr>
          </w:p>
        </w:tc>
        <w:tc>
          <w:tcPr>
            <w:tcW w:w="2560" w:type="dxa"/>
            <w:vAlign w:val="bottom"/>
            <w:vMerge w:val="continue"/>
          </w:tcPr>
          <w:p>
            <w:pPr>
              <w:spacing w:after="0"/>
              <w:rPr>
                <w:sz w:val="5"/>
                <w:szCs w:val="5"/>
                <w:color w:val="auto"/>
              </w:rPr>
            </w:pPr>
          </w:p>
        </w:tc>
        <w:tc>
          <w:tcPr>
            <w:tcW w:w="260" w:type="dxa"/>
            <w:vAlign w:val="bottom"/>
            <w:vMerge w:val="continue"/>
          </w:tcPr>
          <w:p>
            <w:pPr>
              <w:spacing w:after="0"/>
              <w:rPr>
                <w:sz w:val="5"/>
                <w:szCs w:val="5"/>
                <w:color w:val="auto"/>
              </w:rPr>
            </w:pPr>
          </w:p>
        </w:tc>
        <w:tc>
          <w:tcPr>
            <w:tcW w:w="2560" w:type="dxa"/>
            <w:vAlign w:val="bottom"/>
            <w:vMerge w:val="continue"/>
          </w:tcPr>
          <w:p>
            <w:pPr>
              <w:spacing w:after="0"/>
              <w:rPr>
                <w:sz w:val="5"/>
                <w:szCs w:val="5"/>
                <w:color w:val="auto"/>
              </w:rPr>
            </w:pPr>
          </w:p>
        </w:tc>
        <w:tc>
          <w:tcPr>
            <w:tcW w:w="240" w:type="dxa"/>
            <w:vAlign w:val="bottom"/>
            <w:vMerge w:val="continue"/>
          </w:tcPr>
          <w:p>
            <w:pPr>
              <w:spacing w:after="0"/>
              <w:rPr>
                <w:sz w:val="5"/>
                <w:szCs w:val="5"/>
                <w:color w:val="auto"/>
              </w:rPr>
            </w:pPr>
          </w:p>
        </w:tc>
        <w:tc>
          <w:tcPr>
            <w:tcW w:w="2500" w:type="dxa"/>
            <w:vAlign w:val="bottom"/>
            <w:gridSpan w:val="2"/>
            <w:vMerge w:val="continue"/>
          </w:tcPr>
          <w:p>
            <w:pPr>
              <w:spacing w:after="0"/>
              <w:rPr>
                <w:sz w:val="5"/>
                <w:szCs w:val="5"/>
                <w:color w:val="auto"/>
              </w:rPr>
            </w:pPr>
          </w:p>
        </w:tc>
        <w:tc>
          <w:tcPr>
            <w:tcW w:w="280" w:type="dxa"/>
            <w:vAlign w:val="bottom"/>
            <w:vMerge w:val="restart"/>
          </w:tcPr>
          <w:p>
            <w:pPr>
              <w:ind w:left="200"/>
              <w:spacing w:after="0"/>
              <w:rPr>
                <w:sz w:val="20"/>
                <w:szCs w:val="20"/>
                <w:color w:val="auto"/>
              </w:rPr>
            </w:pPr>
            <w:r>
              <w:rPr>
                <w:rFonts w:ascii="Arial" w:cs="Arial" w:eastAsia="Arial" w:hAnsi="Arial"/>
                <w:sz w:val="14"/>
                <w:szCs w:val="14"/>
                <w:color w:val="auto"/>
              </w:rPr>
              <w:t>•</w:t>
            </w:r>
          </w:p>
        </w:tc>
        <w:tc>
          <w:tcPr>
            <w:tcW w:w="980" w:type="dxa"/>
            <w:vAlign w:val="bottom"/>
            <w:vMerge w:val="restart"/>
          </w:tcPr>
          <w:p>
            <w:pPr>
              <w:ind w:left="100"/>
              <w:spacing w:after="0"/>
              <w:rPr>
                <w:sz w:val="20"/>
                <w:szCs w:val="20"/>
                <w:color w:val="auto"/>
              </w:rPr>
            </w:pPr>
            <w:r>
              <w:rPr>
                <w:rFonts w:ascii="Arial" w:cs="Arial" w:eastAsia="Arial" w:hAnsi="Arial"/>
                <w:sz w:val="14"/>
                <w:szCs w:val="14"/>
                <w:color w:val="auto"/>
              </w:rPr>
              <w:t>Legal Studies</w:t>
            </w:r>
          </w:p>
        </w:tc>
        <w:tc>
          <w:tcPr>
            <w:tcW w:w="1160" w:type="dxa"/>
            <w:vAlign w:val="bottom"/>
          </w:tcPr>
          <w:p>
            <w:pPr>
              <w:spacing w:after="0"/>
              <w:rPr>
                <w:sz w:val="5"/>
                <w:szCs w:val="5"/>
                <w:color w:val="auto"/>
              </w:rPr>
            </w:pPr>
          </w:p>
        </w:tc>
        <w:tc>
          <w:tcPr>
            <w:tcW w:w="560" w:type="dxa"/>
            <w:vAlign w:val="bottom"/>
          </w:tcPr>
          <w:p>
            <w:pPr>
              <w:spacing w:after="0"/>
              <w:rPr>
                <w:sz w:val="5"/>
                <w:szCs w:val="5"/>
                <w:color w:val="auto"/>
              </w:rPr>
            </w:pPr>
          </w:p>
        </w:tc>
        <w:tc>
          <w:tcPr>
            <w:tcW w:w="1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95"/>
        </w:trPr>
        <w:tc>
          <w:tcPr>
            <w:tcW w:w="140" w:type="dxa"/>
            <w:vAlign w:val="bottom"/>
          </w:tcPr>
          <w:p>
            <w:pPr>
              <w:spacing w:after="0"/>
              <w:rPr>
                <w:sz w:val="8"/>
                <w:szCs w:val="8"/>
                <w:color w:val="auto"/>
              </w:rPr>
            </w:pPr>
          </w:p>
        </w:tc>
        <w:tc>
          <w:tcPr>
            <w:tcW w:w="2560" w:type="dxa"/>
            <w:vAlign w:val="bottom"/>
          </w:tcPr>
          <w:p>
            <w:pPr>
              <w:spacing w:after="0"/>
              <w:rPr>
                <w:sz w:val="8"/>
                <w:szCs w:val="8"/>
                <w:color w:val="auto"/>
              </w:rPr>
            </w:pPr>
          </w:p>
        </w:tc>
        <w:tc>
          <w:tcPr>
            <w:tcW w:w="260" w:type="dxa"/>
            <w:vAlign w:val="bottom"/>
            <w:vMerge w:val="continue"/>
          </w:tcPr>
          <w:p>
            <w:pPr>
              <w:spacing w:after="0"/>
              <w:rPr>
                <w:sz w:val="8"/>
                <w:szCs w:val="8"/>
                <w:color w:val="auto"/>
              </w:rPr>
            </w:pPr>
          </w:p>
        </w:tc>
        <w:tc>
          <w:tcPr>
            <w:tcW w:w="2560" w:type="dxa"/>
            <w:vAlign w:val="bottom"/>
            <w:vMerge w:val="continue"/>
          </w:tcPr>
          <w:p>
            <w:pPr>
              <w:spacing w:after="0"/>
              <w:rPr>
                <w:sz w:val="8"/>
                <w:szCs w:val="8"/>
                <w:color w:val="auto"/>
              </w:rPr>
            </w:pPr>
          </w:p>
        </w:tc>
        <w:tc>
          <w:tcPr>
            <w:tcW w:w="240" w:type="dxa"/>
            <w:vAlign w:val="bottom"/>
            <w:vMerge w:val="continue"/>
          </w:tcPr>
          <w:p>
            <w:pPr>
              <w:spacing w:after="0"/>
              <w:rPr>
                <w:sz w:val="8"/>
                <w:szCs w:val="8"/>
                <w:color w:val="auto"/>
              </w:rPr>
            </w:pPr>
          </w:p>
        </w:tc>
        <w:tc>
          <w:tcPr>
            <w:tcW w:w="2500" w:type="dxa"/>
            <w:vAlign w:val="bottom"/>
            <w:gridSpan w:val="2"/>
            <w:vMerge w:val="continue"/>
          </w:tcPr>
          <w:p>
            <w:pPr>
              <w:spacing w:after="0"/>
              <w:rPr>
                <w:sz w:val="8"/>
                <w:szCs w:val="8"/>
                <w:color w:val="auto"/>
              </w:rPr>
            </w:pPr>
          </w:p>
        </w:tc>
        <w:tc>
          <w:tcPr>
            <w:tcW w:w="280" w:type="dxa"/>
            <w:vAlign w:val="bottom"/>
            <w:vMerge w:val="continue"/>
          </w:tcPr>
          <w:p>
            <w:pPr>
              <w:spacing w:after="0"/>
              <w:rPr>
                <w:sz w:val="8"/>
                <w:szCs w:val="8"/>
                <w:color w:val="auto"/>
              </w:rPr>
            </w:pPr>
          </w:p>
        </w:tc>
        <w:tc>
          <w:tcPr>
            <w:tcW w:w="980" w:type="dxa"/>
            <w:vAlign w:val="bottom"/>
            <w:vMerge w:val="continue"/>
          </w:tcPr>
          <w:p>
            <w:pPr>
              <w:spacing w:after="0"/>
              <w:rPr>
                <w:sz w:val="8"/>
                <w:szCs w:val="8"/>
                <w:color w:val="auto"/>
              </w:rPr>
            </w:pPr>
          </w:p>
        </w:tc>
        <w:tc>
          <w:tcPr>
            <w:tcW w:w="1160" w:type="dxa"/>
            <w:vAlign w:val="bottom"/>
          </w:tcPr>
          <w:p>
            <w:pPr>
              <w:spacing w:after="0"/>
              <w:rPr>
                <w:sz w:val="8"/>
                <w:szCs w:val="8"/>
                <w:color w:val="auto"/>
              </w:rPr>
            </w:pPr>
          </w:p>
        </w:tc>
        <w:tc>
          <w:tcPr>
            <w:tcW w:w="560" w:type="dxa"/>
            <w:vAlign w:val="bottom"/>
          </w:tcPr>
          <w:p>
            <w:pPr>
              <w:spacing w:after="0"/>
              <w:rPr>
                <w:sz w:val="8"/>
                <w:szCs w:val="8"/>
                <w:color w:val="auto"/>
              </w:rPr>
            </w:pPr>
          </w:p>
        </w:tc>
        <w:tc>
          <w:tcPr>
            <w:tcW w:w="1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140" w:type="dxa"/>
            <w:vAlign w:val="bottom"/>
          </w:tcPr>
          <w:p>
            <w:pPr>
              <w:spacing w:after="0"/>
              <w:rPr>
                <w:sz w:val="5"/>
                <w:szCs w:val="5"/>
                <w:color w:val="auto"/>
              </w:rPr>
            </w:pPr>
          </w:p>
        </w:tc>
        <w:tc>
          <w:tcPr>
            <w:tcW w:w="2560" w:type="dxa"/>
            <w:vAlign w:val="bottom"/>
          </w:tcPr>
          <w:p>
            <w:pPr>
              <w:spacing w:after="0"/>
              <w:rPr>
                <w:sz w:val="5"/>
                <w:szCs w:val="5"/>
                <w:color w:val="auto"/>
              </w:rPr>
            </w:pPr>
          </w:p>
        </w:tc>
        <w:tc>
          <w:tcPr>
            <w:tcW w:w="260" w:type="dxa"/>
            <w:vAlign w:val="bottom"/>
            <w:vMerge w:val="restart"/>
          </w:tcPr>
          <w:p>
            <w:pPr>
              <w:ind w:left="140"/>
              <w:spacing w:after="0"/>
              <w:rPr>
                <w:sz w:val="20"/>
                <w:szCs w:val="20"/>
                <w:color w:val="auto"/>
              </w:rPr>
            </w:pPr>
            <w:r>
              <w:rPr>
                <w:rFonts w:ascii="Arial" w:cs="Arial" w:eastAsia="Arial" w:hAnsi="Arial"/>
                <w:sz w:val="14"/>
                <w:szCs w:val="14"/>
                <w:color w:val="auto"/>
              </w:rPr>
              <w:t>•</w:t>
            </w:r>
          </w:p>
        </w:tc>
        <w:tc>
          <w:tcPr>
            <w:tcW w:w="2560" w:type="dxa"/>
            <w:vAlign w:val="bottom"/>
            <w:vMerge w:val="restart"/>
          </w:tcPr>
          <w:p>
            <w:pPr>
              <w:ind w:left="60"/>
              <w:spacing w:after="0"/>
              <w:rPr>
                <w:sz w:val="20"/>
                <w:szCs w:val="20"/>
                <w:color w:val="auto"/>
              </w:rPr>
            </w:pPr>
            <w:r>
              <w:rPr>
                <w:rFonts w:ascii="Arial" w:cs="Arial" w:eastAsia="Arial" w:hAnsi="Arial"/>
                <w:sz w:val="14"/>
                <w:szCs w:val="14"/>
                <w:color w:val="auto"/>
              </w:rPr>
              <w:t>Legal Studies</w:t>
            </w:r>
          </w:p>
        </w:tc>
        <w:tc>
          <w:tcPr>
            <w:tcW w:w="240" w:type="dxa"/>
            <w:vAlign w:val="bottom"/>
            <w:vMerge w:val="restart"/>
          </w:tcPr>
          <w:p>
            <w:pPr>
              <w:ind w:left="140"/>
              <w:spacing w:after="0"/>
              <w:rPr>
                <w:sz w:val="20"/>
                <w:szCs w:val="20"/>
                <w:color w:val="auto"/>
              </w:rPr>
            </w:pPr>
            <w:r>
              <w:rPr>
                <w:rFonts w:ascii="Arial" w:cs="Arial" w:eastAsia="Arial" w:hAnsi="Arial"/>
                <w:sz w:val="14"/>
                <w:szCs w:val="14"/>
                <w:color w:val="auto"/>
              </w:rPr>
              <w:t>•</w:t>
            </w:r>
          </w:p>
        </w:tc>
        <w:tc>
          <w:tcPr>
            <w:tcW w:w="2500" w:type="dxa"/>
            <w:vAlign w:val="bottom"/>
            <w:gridSpan w:val="2"/>
            <w:vMerge w:val="restart"/>
          </w:tcPr>
          <w:p>
            <w:pPr>
              <w:ind w:left="60"/>
              <w:spacing w:after="0"/>
              <w:rPr>
                <w:sz w:val="20"/>
                <w:szCs w:val="20"/>
                <w:color w:val="auto"/>
              </w:rPr>
            </w:pPr>
            <w:r>
              <w:rPr>
                <w:rFonts w:ascii="Arial" w:cs="Arial" w:eastAsia="Arial" w:hAnsi="Arial"/>
                <w:sz w:val="14"/>
                <w:szCs w:val="14"/>
                <w:color w:val="auto"/>
              </w:rPr>
              <w:t>Legal and Paralegal Studies</w:t>
            </w:r>
          </w:p>
        </w:tc>
        <w:tc>
          <w:tcPr>
            <w:tcW w:w="280" w:type="dxa"/>
            <w:vAlign w:val="bottom"/>
            <w:vMerge w:val="continue"/>
          </w:tcPr>
          <w:p>
            <w:pPr>
              <w:spacing w:after="0"/>
              <w:rPr>
                <w:sz w:val="5"/>
                <w:szCs w:val="5"/>
                <w:color w:val="auto"/>
              </w:rPr>
            </w:pPr>
          </w:p>
        </w:tc>
        <w:tc>
          <w:tcPr>
            <w:tcW w:w="980" w:type="dxa"/>
            <w:vAlign w:val="bottom"/>
            <w:vMerge w:val="continue"/>
          </w:tcPr>
          <w:p>
            <w:pPr>
              <w:spacing w:after="0"/>
              <w:rPr>
                <w:sz w:val="5"/>
                <w:szCs w:val="5"/>
                <w:color w:val="auto"/>
              </w:rPr>
            </w:pPr>
          </w:p>
        </w:tc>
        <w:tc>
          <w:tcPr>
            <w:tcW w:w="1160" w:type="dxa"/>
            <w:vAlign w:val="bottom"/>
          </w:tcPr>
          <w:p>
            <w:pPr>
              <w:spacing w:after="0"/>
              <w:rPr>
                <w:sz w:val="5"/>
                <w:szCs w:val="5"/>
                <w:color w:val="auto"/>
              </w:rPr>
            </w:pPr>
          </w:p>
        </w:tc>
        <w:tc>
          <w:tcPr>
            <w:tcW w:w="560" w:type="dxa"/>
            <w:vAlign w:val="bottom"/>
          </w:tcPr>
          <w:p>
            <w:pPr>
              <w:spacing w:after="0"/>
              <w:rPr>
                <w:sz w:val="5"/>
                <w:szCs w:val="5"/>
                <w:color w:val="auto"/>
              </w:rPr>
            </w:pPr>
          </w:p>
        </w:tc>
        <w:tc>
          <w:tcPr>
            <w:tcW w:w="1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62"/>
        </w:trPr>
        <w:tc>
          <w:tcPr>
            <w:tcW w:w="140" w:type="dxa"/>
            <w:vAlign w:val="bottom"/>
          </w:tcPr>
          <w:p>
            <w:pPr>
              <w:spacing w:after="0"/>
              <w:rPr>
                <w:sz w:val="14"/>
                <w:szCs w:val="14"/>
                <w:color w:val="auto"/>
              </w:rPr>
            </w:pPr>
          </w:p>
        </w:tc>
        <w:tc>
          <w:tcPr>
            <w:tcW w:w="2560" w:type="dxa"/>
            <w:vAlign w:val="bottom"/>
          </w:tcPr>
          <w:p>
            <w:pPr>
              <w:spacing w:after="0"/>
              <w:rPr>
                <w:sz w:val="14"/>
                <w:szCs w:val="14"/>
                <w:color w:val="auto"/>
              </w:rPr>
            </w:pPr>
          </w:p>
        </w:tc>
        <w:tc>
          <w:tcPr>
            <w:tcW w:w="260" w:type="dxa"/>
            <w:vAlign w:val="bottom"/>
            <w:vMerge w:val="continue"/>
          </w:tcPr>
          <w:p>
            <w:pPr>
              <w:spacing w:after="0"/>
              <w:rPr>
                <w:sz w:val="14"/>
                <w:szCs w:val="14"/>
                <w:color w:val="auto"/>
              </w:rPr>
            </w:pPr>
          </w:p>
        </w:tc>
        <w:tc>
          <w:tcPr>
            <w:tcW w:w="2560" w:type="dxa"/>
            <w:vAlign w:val="bottom"/>
            <w:vMerge w:val="continue"/>
          </w:tcPr>
          <w:p>
            <w:pPr>
              <w:spacing w:after="0"/>
              <w:rPr>
                <w:sz w:val="14"/>
                <w:szCs w:val="14"/>
                <w:color w:val="auto"/>
              </w:rPr>
            </w:pPr>
          </w:p>
        </w:tc>
        <w:tc>
          <w:tcPr>
            <w:tcW w:w="240" w:type="dxa"/>
            <w:vAlign w:val="bottom"/>
            <w:vMerge w:val="continue"/>
          </w:tcPr>
          <w:p>
            <w:pPr>
              <w:spacing w:after="0"/>
              <w:rPr>
                <w:sz w:val="14"/>
                <w:szCs w:val="14"/>
                <w:color w:val="auto"/>
              </w:rPr>
            </w:pPr>
          </w:p>
        </w:tc>
        <w:tc>
          <w:tcPr>
            <w:tcW w:w="2500" w:type="dxa"/>
            <w:vAlign w:val="bottom"/>
            <w:gridSpan w:val="2"/>
            <w:vMerge w:val="continue"/>
          </w:tcPr>
          <w:p>
            <w:pPr>
              <w:spacing w:after="0"/>
              <w:rPr>
                <w:sz w:val="14"/>
                <w:szCs w:val="14"/>
                <w:color w:val="auto"/>
              </w:rPr>
            </w:pPr>
          </w:p>
        </w:tc>
        <w:tc>
          <w:tcPr>
            <w:tcW w:w="280" w:type="dxa"/>
            <w:vAlign w:val="bottom"/>
            <w:vMerge w:val="restart"/>
          </w:tcPr>
          <w:p>
            <w:pPr>
              <w:ind w:left="200"/>
              <w:spacing w:after="0"/>
              <w:rPr>
                <w:sz w:val="20"/>
                <w:szCs w:val="20"/>
                <w:color w:val="auto"/>
              </w:rPr>
            </w:pPr>
            <w:r>
              <w:rPr>
                <w:rFonts w:ascii="Arial" w:cs="Arial" w:eastAsia="Arial" w:hAnsi="Arial"/>
                <w:sz w:val="14"/>
                <w:szCs w:val="14"/>
                <w:color w:val="auto"/>
              </w:rPr>
              <w:t>•</w:t>
            </w:r>
          </w:p>
        </w:tc>
        <w:tc>
          <w:tcPr>
            <w:tcW w:w="980" w:type="dxa"/>
            <w:vAlign w:val="bottom"/>
            <w:vMerge w:val="restart"/>
          </w:tcPr>
          <w:p>
            <w:pPr>
              <w:ind w:left="100"/>
              <w:spacing w:after="0"/>
              <w:rPr>
                <w:sz w:val="20"/>
                <w:szCs w:val="20"/>
                <w:color w:val="auto"/>
              </w:rPr>
            </w:pPr>
            <w:r>
              <w:rPr>
                <w:rFonts w:ascii="Arial" w:cs="Arial" w:eastAsia="Arial" w:hAnsi="Arial"/>
                <w:sz w:val="14"/>
                <w:szCs w:val="14"/>
                <w:color w:val="auto"/>
              </w:rPr>
              <w:t>Nursing</w:t>
            </w:r>
          </w:p>
        </w:tc>
        <w:tc>
          <w:tcPr>
            <w:tcW w:w="11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68"/>
        </w:trPr>
        <w:tc>
          <w:tcPr>
            <w:tcW w:w="140" w:type="dxa"/>
            <w:vAlign w:val="bottom"/>
          </w:tcPr>
          <w:p>
            <w:pPr>
              <w:spacing w:after="0"/>
              <w:rPr>
                <w:sz w:val="5"/>
                <w:szCs w:val="5"/>
                <w:color w:val="auto"/>
              </w:rPr>
            </w:pPr>
          </w:p>
        </w:tc>
        <w:tc>
          <w:tcPr>
            <w:tcW w:w="2560" w:type="dxa"/>
            <w:vAlign w:val="bottom"/>
          </w:tcPr>
          <w:p>
            <w:pPr>
              <w:spacing w:after="0"/>
              <w:rPr>
                <w:sz w:val="5"/>
                <w:szCs w:val="5"/>
                <w:color w:val="auto"/>
              </w:rPr>
            </w:pPr>
          </w:p>
        </w:tc>
        <w:tc>
          <w:tcPr>
            <w:tcW w:w="260" w:type="dxa"/>
            <w:vAlign w:val="bottom"/>
            <w:vMerge w:val="restart"/>
          </w:tcPr>
          <w:p>
            <w:pPr>
              <w:ind w:left="140"/>
              <w:spacing w:after="0"/>
              <w:rPr>
                <w:sz w:val="20"/>
                <w:szCs w:val="20"/>
                <w:color w:val="auto"/>
              </w:rPr>
            </w:pPr>
            <w:r>
              <w:rPr>
                <w:rFonts w:ascii="Arial" w:cs="Arial" w:eastAsia="Arial" w:hAnsi="Arial"/>
                <w:sz w:val="14"/>
                <w:szCs w:val="14"/>
                <w:color w:val="auto"/>
              </w:rPr>
              <w:t>•</w:t>
            </w:r>
          </w:p>
        </w:tc>
        <w:tc>
          <w:tcPr>
            <w:tcW w:w="2560" w:type="dxa"/>
            <w:vAlign w:val="bottom"/>
            <w:vMerge w:val="restart"/>
          </w:tcPr>
          <w:p>
            <w:pPr>
              <w:ind w:left="60"/>
              <w:spacing w:after="0"/>
              <w:rPr>
                <w:sz w:val="20"/>
                <w:szCs w:val="20"/>
                <w:color w:val="auto"/>
              </w:rPr>
            </w:pPr>
            <w:r>
              <w:rPr>
                <w:rFonts w:ascii="Arial" w:cs="Arial" w:eastAsia="Arial" w:hAnsi="Arial"/>
                <w:sz w:val="14"/>
                <w:szCs w:val="14"/>
                <w:color w:val="auto"/>
              </w:rPr>
              <w:t>Nursing</w:t>
            </w:r>
          </w:p>
        </w:tc>
        <w:tc>
          <w:tcPr>
            <w:tcW w:w="240" w:type="dxa"/>
            <w:vAlign w:val="bottom"/>
            <w:vMerge w:val="restart"/>
          </w:tcPr>
          <w:p>
            <w:pPr>
              <w:ind w:left="140"/>
              <w:spacing w:after="0"/>
              <w:rPr>
                <w:sz w:val="20"/>
                <w:szCs w:val="20"/>
                <w:color w:val="auto"/>
              </w:rPr>
            </w:pPr>
            <w:r>
              <w:rPr>
                <w:rFonts w:ascii="Arial" w:cs="Arial" w:eastAsia="Arial" w:hAnsi="Arial"/>
                <w:sz w:val="14"/>
                <w:szCs w:val="14"/>
                <w:color w:val="auto"/>
              </w:rPr>
              <w:t>•</w:t>
            </w:r>
          </w:p>
        </w:tc>
        <w:tc>
          <w:tcPr>
            <w:tcW w:w="2500" w:type="dxa"/>
            <w:vAlign w:val="bottom"/>
            <w:gridSpan w:val="2"/>
            <w:vMerge w:val="restart"/>
          </w:tcPr>
          <w:p>
            <w:pPr>
              <w:ind w:left="60"/>
              <w:spacing w:after="0"/>
              <w:rPr>
                <w:sz w:val="20"/>
                <w:szCs w:val="20"/>
                <w:color w:val="auto"/>
              </w:rPr>
            </w:pPr>
            <w:r>
              <w:rPr>
                <w:rFonts w:ascii="Arial" w:cs="Arial" w:eastAsia="Arial" w:hAnsi="Arial"/>
                <w:sz w:val="14"/>
                <w:szCs w:val="14"/>
                <w:color w:val="auto"/>
              </w:rPr>
              <w:t>Nursing</w:t>
            </w:r>
          </w:p>
        </w:tc>
        <w:tc>
          <w:tcPr>
            <w:tcW w:w="280" w:type="dxa"/>
            <w:vAlign w:val="bottom"/>
            <w:vMerge w:val="continue"/>
          </w:tcPr>
          <w:p>
            <w:pPr>
              <w:spacing w:after="0"/>
              <w:rPr>
                <w:sz w:val="5"/>
                <w:szCs w:val="5"/>
                <w:color w:val="auto"/>
              </w:rPr>
            </w:pPr>
          </w:p>
        </w:tc>
        <w:tc>
          <w:tcPr>
            <w:tcW w:w="980" w:type="dxa"/>
            <w:vAlign w:val="bottom"/>
            <w:vMerge w:val="continue"/>
          </w:tcPr>
          <w:p>
            <w:pPr>
              <w:spacing w:after="0"/>
              <w:rPr>
                <w:sz w:val="5"/>
                <w:szCs w:val="5"/>
                <w:color w:val="auto"/>
              </w:rPr>
            </w:pPr>
          </w:p>
        </w:tc>
        <w:tc>
          <w:tcPr>
            <w:tcW w:w="1160" w:type="dxa"/>
            <w:vAlign w:val="bottom"/>
          </w:tcPr>
          <w:p>
            <w:pPr>
              <w:spacing w:after="0"/>
              <w:rPr>
                <w:sz w:val="5"/>
                <w:szCs w:val="5"/>
                <w:color w:val="auto"/>
              </w:rPr>
            </w:pPr>
          </w:p>
        </w:tc>
        <w:tc>
          <w:tcPr>
            <w:tcW w:w="560" w:type="dxa"/>
            <w:vAlign w:val="bottom"/>
          </w:tcPr>
          <w:p>
            <w:pPr>
              <w:spacing w:after="0"/>
              <w:rPr>
                <w:sz w:val="5"/>
                <w:szCs w:val="5"/>
                <w:color w:val="auto"/>
              </w:rPr>
            </w:pPr>
          </w:p>
        </w:tc>
        <w:tc>
          <w:tcPr>
            <w:tcW w:w="1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62"/>
        </w:trPr>
        <w:tc>
          <w:tcPr>
            <w:tcW w:w="140" w:type="dxa"/>
            <w:vAlign w:val="bottom"/>
          </w:tcPr>
          <w:p>
            <w:pPr>
              <w:spacing w:after="0"/>
              <w:rPr>
                <w:sz w:val="14"/>
                <w:szCs w:val="14"/>
                <w:color w:val="auto"/>
              </w:rPr>
            </w:pPr>
          </w:p>
        </w:tc>
        <w:tc>
          <w:tcPr>
            <w:tcW w:w="2560" w:type="dxa"/>
            <w:vAlign w:val="bottom"/>
          </w:tcPr>
          <w:p>
            <w:pPr>
              <w:spacing w:after="0"/>
              <w:rPr>
                <w:sz w:val="14"/>
                <w:szCs w:val="14"/>
                <w:color w:val="auto"/>
              </w:rPr>
            </w:pPr>
          </w:p>
        </w:tc>
        <w:tc>
          <w:tcPr>
            <w:tcW w:w="260" w:type="dxa"/>
            <w:vAlign w:val="bottom"/>
            <w:vMerge w:val="continue"/>
          </w:tcPr>
          <w:p>
            <w:pPr>
              <w:spacing w:after="0"/>
              <w:rPr>
                <w:sz w:val="14"/>
                <w:szCs w:val="14"/>
                <w:color w:val="auto"/>
              </w:rPr>
            </w:pPr>
          </w:p>
        </w:tc>
        <w:tc>
          <w:tcPr>
            <w:tcW w:w="2560" w:type="dxa"/>
            <w:vAlign w:val="bottom"/>
            <w:vMerge w:val="continue"/>
          </w:tcPr>
          <w:p>
            <w:pPr>
              <w:spacing w:after="0"/>
              <w:rPr>
                <w:sz w:val="14"/>
                <w:szCs w:val="14"/>
                <w:color w:val="auto"/>
              </w:rPr>
            </w:pPr>
          </w:p>
        </w:tc>
        <w:tc>
          <w:tcPr>
            <w:tcW w:w="240" w:type="dxa"/>
            <w:vAlign w:val="bottom"/>
            <w:vMerge w:val="continue"/>
          </w:tcPr>
          <w:p>
            <w:pPr>
              <w:spacing w:after="0"/>
              <w:rPr>
                <w:sz w:val="14"/>
                <w:szCs w:val="14"/>
                <w:color w:val="auto"/>
              </w:rPr>
            </w:pPr>
          </w:p>
        </w:tc>
        <w:tc>
          <w:tcPr>
            <w:tcW w:w="2500" w:type="dxa"/>
            <w:vAlign w:val="bottom"/>
            <w:gridSpan w:val="2"/>
            <w:vMerge w:val="continue"/>
          </w:tcPr>
          <w:p>
            <w:pPr>
              <w:spacing w:after="0"/>
              <w:rPr>
                <w:sz w:val="14"/>
                <w:szCs w:val="14"/>
                <w:color w:val="auto"/>
              </w:rPr>
            </w:pPr>
          </w:p>
        </w:tc>
        <w:tc>
          <w:tcPr>
            <w:tcW w:w="280" w:type="dxa"/>
            <w:vAlign w:val="bottom"/>
            <w:vMerge w:val="restart"/>
          </w:tcPr>
          <w:p>
            <w:pPr>
              <w:ind w:left="200"/>
              <w:spacing w:after="0"/>
              <w:rPr>
                <w:sz w:val="20"/>
                <w:szCs w:val="20"/>
                <w:color w:val="auto"/>
              </w:rPr>
            </w:pPr>
            <w:r>
              <w:rPr>
                <w:rFonts w:ascii="Arial" w:cs="Arial" w:eastAsia="Arial" w:hAnsi="Arial"/>
                <w:sz w:val="14"/>
                <w:szCs w:val="14"/>
                <w:color w:val="auto"/>
              </w:rPr>
              <w:t>•</w:t>
            </w:r>
          </w:p>
        </w:tc>
        <w:tc>
          <w:tcPr>
            <w:tcW w:w="980" w:type="dxa"/>
            <w:vAlign w:val="bottom"/>
            <w:vMerge w:val="restart"/>
          </w:tcPr>
          <w:p>
            <w:pPr>
              <w:ind w:left="100"/>
              <w:spacing w:after="0"/>
              <w:rPr>
                <w:sz w:val="20"/>
                <w:szCs w:val="20"/>
                <w:color w:val="auto"/>
              </w:rPr>
            </w:pPr>
            <w:r>
              <w:rPr>
                <w:rFonts w:ascii="Arial" w:cs="Arial" w:eastAsia="Arial" w:hAnsi="Arial"/>
                <w:sz w:val="14"/>
                <w:szCs w:val="14"/>
                <w:color w:val="auto"/>
              </w:rPr>
              <w:t>Public Policy</w:t>
            </w:r>
          </w:p>
        </w:tc>
        <w:tc>
          <w:tcPr>
            <w:tcW w:w="11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68"/>
        </w:trPr>
        <w:tc>
          <w:tcPr>
            <w:tcW w:w="140" w:type="dxa"/>
            <w:vAlign w:val="bottom"/>
          </w:tcPr>
          <w:p>
            <w:pPr>
              <w:spacing w:after="0"/>
              <w:rPr>
                <w:sz w:val="5"/>
                <w:szCs w:val="5"/>
                <w:color w:val="auto"/>
              </w:rPr>
            </w:pPr>
          </w:p>
        </w:tc>
        <w:tc>
          <w:tcPr>
            <w:tcW w:w="2560" w:type="dxa"/>
            <w:vAlign w:val="bottom"/>
          </w:tcPr>
          <w:p>
            <w:pPr>
              <w:spacing w:after="0"/>
              <w:rPr>
                <w:sz w:val="5"/>
                <w:szCs w:val="5"/>
                <w:color w:val="auto"/>
              </w:rPr>
            </w:pPr>
          </w:p>
        </w:tc>
        <w:tc>
          <w:tcPr>
            <w:tcW w:w="260" w:type="dxa"/>
            <w:vAlign w:val="bottom"/>
          </w:tcPr>
          <w:p>
            <w:pPr>
              <w:spacing w:after="0"/>
              <w:rPr>
                <w:sz w:val="5"/>
                <w:szCs w:val="5"/>
                <w:color w:val="auto"/>
              </w:rPr>
            </w:pPr>
          </w:p>
        </w:tc>
        <w:tc>
          <w:tcPr>
            <w:tcW w:w="2560" w:type="dxa"/>
            <w:vAlign w:val="bottom"/>
          </w:tcPr>
          <w:p>
            <w:pPr>
              <w:spacing w:after="0"/>
              <w:rPr>
                <w:sz w:val="5"/>
                <w:szCs w:val="5"/>
                <w:color w:val="auto"/>
              </w:rPr>
            </w:pPr>
          </w:p>
        </w:tc>
        <w:tc>
          <w:tcPr>
            <w:tcW w:w="240" w:type="dxa"/>
            <w:vAlign w:val="bottom"/>
            <w:vMerge w:val="restart"/>
          </w:tcPr>
          <w:p>
            <w:pPr>
              <w:ind w:left="140"/>
              <w:spacing w:after="0"/>
              <w:rPr>
                <w:sz w:val="20"/>
                <w:szCs w:val="20"/>
                <w:color w:val="auto"/>
              </w:rPr>
            </w:pPr>
            <w:r>
              <w:rPr>
                <w:rFonts w:ascii="Arial" w:cs="Arial" w:eastAsia="Arial" w:hAnsi="Arial"/>
                <w:sz w:val="14"/>
                <w:szCs w:val="14"/>
                <w:color w:val="auto"/>
              </w:rPr>
              <w:t>•</w:t>
            </w:r>
          </w:p>
        </w:tc>
        <w:tc>
          <w:tcPr>
            <w:tcW w:w="2500" w:type="dxa"/>
            <w:vAlign w:val="bottom"/>
            <w:gridSpan w:val="2"/>
            <w:vMerge w:val="restart"/>
          </w:tcPr>
          <w:p>
            <w:pPr>
              <w:ind w:left="60"/>
              <w:spacing w:after="0"/>
              <w:rPr>
                <w:sz w:val="20"/>
                <w:szCs w:val="20"/>
                <w:color w:val="auto"/>
              </w:rPr>
            </w:pPr>
            <w:r>
              <w:rPr>
                <w:rFonts w:ascii="Arial" w:cs="Arial" w:eastAsia="Arial" w:hAnsi="Arial"/>
                <w:sz w:val="14"/>
                <w:szCs w:val="14"/>
                <w:color w:val="auto"/>
              </w:rPr>
              <w:t>Environmental Policy</w:t>
            </w:r>
          </w:p>
        </w:tc>
        <w:tc>
          <w:tcPr>
            <w:tcW w:w="280" w:type="dxa"/>
            <w:vAlign w:val="bottom"/>
            <w:vMerge w:val="continue"/>
          </w:tcPr>
          <w:p>
            <w:pPr>
              <w:spacing w:after="0"/>
              <w:rPr>
                <w:sz w:val="5"/>
                <w:szCs w:val="5"/>
                <w:color w:val="auto"/>
              </w:rPr>
            </w:pPr>
          </w:p>
        </w:tc>
        <w:tc>
          <w:tcPr>
            <w:tcW w:w="980" w:type="dxa"/>
            <w:vAlign w:val="bottom"/>
            <w:vMerge w:val="continue"/>
          </w:tcPr>
          <w:p>
            <w:pPr>
              <w:spacing w:after="0"/>
              <w:rPr>
                <w:sz w:val="5"/>
                <w:szCs w:val="5"/>
                <w:color w:val="auto"/>
              </w:rPr>
            </w:pPr>
          </w:p>
        </w:tc>
        <w:tc>
          <w:tcPr>
            <w:tcW w:w="1160" w:type="dxa"/>
            <w:vAlign w:val="bottom"/>
          </w:tcPr>
          <w:p>
            <w:pPr>
              <w:spacing w:after="0"/>
              <w:rPr>
                <w:sz w:val="5"/>
                <w:szCs w:val="5"/>
                <w:color w:val="auto"/>
              </w:rPr>
            </w:pPr>
          </w:p>
        </w:tc>
        <w:tc>
          <w:tcPr>
            <w:tcW w:w="560" w:type="dxa"/>
            <w:vAlign w:val="bottom"/>
          </w:tcPr>
          <w:p>
            <w:pPr>
              <w:spacing w:after="0"/>
              <w:rPr>
                <w:sz w:val="5"/>
                <w:szCs w:val="5"/>
                <w:color w:val="auto"/>
              </w:rPr>
            </w:pPr>
          </w:p>
        </w:tc>
        <w:tc>
          <w:tcPr>
            <w:tcW w:w="1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62"/>
        </w:trPr>
        <w:tc>
          <w:tcPr>
            <w:tcW w:w="140" w:type="dxa"/>
            <w:vAlign w:val="bottom"/>
          </w:tcPr>
          <w:p>
            <w:pPr>
              <w:spacing w:after="0"/>
              <w:rPr>
                <w:sz w:val="14"/>
                <w:szCs w:val="14"/>
                <w:color w:val="auto"/>
              </w:rPr>
            </w:pPr>
          </w:p>
        </w:tc>
        <w:tc>
          <w:tcPr>
            <w:tcW w:w="25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560" w:type="dxa"/>
            <w:vAlign w:val="bottom"/>
          </w:tcPr>
          <w:p>
            <w:pPr>
              <w:spacing w:after="0"/>
              <w:rPr>
                <w:sz w:val="14"/>
                <w:szCs w:val="14"/>
                <w:color w:val="auto"/>
              </w:rPr>
            </w:pPr>
          </w:p>
        </w:tc>
        <w:tc>
          <w:tcPr>
            <w:tcW w:w="240" w:type="dxa"/>
            <w:vAlign w:val="bottom"/>
            <w:vMerge w:val="continue"/>
          </w:tcPr>
          <w:p>
            <w:pPr>
              <w:spacing w:after="0"/>
              <w:rPr>
                <w:sz w:val="14"/>
                <w:szCs w:val="14"/>
                <w:color w:val="auto"/>
              </w:rPr>
            </w:pPr>
          </w:p>
        </w:tc>
        <w:tc>
          <w:tcPr>
            <w:tcW w:w="2500" w:type="dxa"/>
            <w:vAlign w:val="bottom"/>
            <w:gridSpan w:val="2"/>
            <w:vMerge w:val="continue"/>
          </w:tcPr>
          <w:p>
            <w:pPr>
              <w:spacing w:after="0"/>
              <w:rPr>
                <w:sz w:val="14"/>
                <w:szCs w:val="14"/>
                <w:color w:val="auto"/>
              </w:rPr>
            </w:pPr>
          </w:p>
        </w:tc>
        <w:tc>
          <w:tcPr>
            <w:tcW w:w="2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77"/>
        </w:trPr>
        <w:tc>
          <w:tcPr>
            <w:tcW w:w="8260" w:type="dxa"/>
            <w:vAlign w:val="bottom"/>
            <w:gridSpan w:val="7"/>
          </w:tcPr>
          <w:p>
            <w:pPr>
              <w:spacing w:after="0"/>
              <w:rPr>
                <w:sz w:val="20"/>
                <w:szCs w:val="20"/>
                <w:color w:val="auto"/>
              </w:rPr>
            </w:pPr>
            <w:r>
              <w:rPr>
                <w:rFonts w:ascii="Arial" w:cs="Arial" w:eastAsia="Arial" w:hAnsi="Arial"/>
                <w:sz w:val="18"/>
                <w:szCs w:val="18"/>
                <w:color w:val="auto"/>
              </w:rPr>
              <w:t>KU’s higher education enrollments by certificate and degree programs are set forth below:</w:t>
            </w:r>
          </w:p>
        </w:tc>
        <w:tc>
          <w:tcPr>
            <w:tcW w:w="2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2"/>
        </w:trPr>
        <w:tc>
          <w:tcPr>
            <w:tcW w:w="140" w:type="dxa"/>
            <w:vAlign w:val="bottom"/>
          </w:tcPr>
          <w:p>
            <w:pPr>
              <w:spacing w:after="0"/>
              <w:rPr>
                <w:sz w:val="24"/>
                <w:szCs w:val="24"/>
                <w:color w:val="auto"/>
              </w:rPr>
            </w:pPr>
          </w:p>
        </w:tc>
        <w:tc>
          <w:tcPr>
            <w:tcW w:w="25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5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200" w:type="dxa"/>
            <w:vAlign w:val="bottom"/>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2140" w:type="dxa"/>
            <w:vAlign w:val="bottom"/>
            <w:tcBorders>
              <w:bottom w:val="single" w:sz="8" w:color="auto"/>
            </w:tcBorders>
            <w:gridSpan w:val="2"/>
          </w:tcPr>
          <w:p>
            <w:pPr>
              <w:ind w:left="620"/>
              <w:spacing w:after="0"/>
              <w:rPr>
                <w:sz w:val="20"/>
                <w:szCs w:val="20"/>
                <w:color w:val="auto"/>
              </w:rPr>
            </w:pPr>
            <w:r>
              <w:rPr>
                <w:rFonts w:ascii="Arial" w:cs="Arial" w:eastAsia="Arial" w:hAnsi="Arial"/>
                <w:sz w:val="14"/>
                <w:szCs w:val="14"/>
                <w:b w:val="1"/>
                <w:bCs w:val="1"/>
                <w:color w:val="auto"/>
              </w:rPr>
              <w:t>At December 31</w:t>
            </w:r>
          </w:p>
        </w:tc>
        <w:tc>
          <w:tcPr>
            <w:tcW w:w="56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64"/>
        </w:trPr>
        <w:tc>
          <w:tcPr>
            <w:tcW w:w="140" w:type="dxa"/>
            <w:vAlign w:val="bottom"/>
            <w:tcBorders>
              <w:bottom w:val="single" w:sz="8" w:color="auto"/>
            </w:tcBorders>
          </w:tcPr>
          <w:p>
            <w:pPr>
              <w:spacing w:after="0"/>
              <w:rPr>
                <w:sz w:val="22"/>
                <w:szCs w:val="22"/>
                <w:color w:val="auto"/>
              </w:rPr>
            </w:pPr>
          </w:p>
        </w:tc>
        <w:tc>
          <w:tcPr>
            <w:tcW w:w="2560" w:type="dxa"/>
            <w:vAlign w:val="bottom"/>
            <w:tcBorders>
              <w:bottom w:val="single" w:sz="8" w:color="auto"/>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2560" w:type="dxa"/>
            <w:vAlign w:val="bottom"/>
            <w:tcBorders>
              <w:bottom w:val="single" w:sz="8" w:color="auto"/>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2200" w:type="dxa"/>
            <w:vAlign w:val="bottom"/>
            <w:tcBorders>
              <w:bottom w:val="single" w:sz="8" w:color="auto"/>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1260" w:type="dxa"/>
            <w:vAlign w:val="bottom"/>
            <w:tcBorders>
              <w:bottom w:val="single" w:sz="8" w:color="auto"/>
            </w:tcBorders>
            <w:gridSpan w:val="2"/>
          </w:tcPr>
          <w:p>
            <w:pPr>
              <w:ind w:left="80"/>
              <w:spacing w:after="0"/>
              <w:rPr>
                <w:sz w:val="20"/>
                <w:szCs w:val="20"/>
                <w:color w:val="auto"/>
              </w:rPr>
            </w:pPr>
            <w:r>
              <w:rPr>
                <w:rFonts w:ascii="Arial" w:cs="Arial" w:eastAsia="Arial" w:hAnsi="Arial"/>
                <w:sz w:val="14"/>
                <w:szCs w:val="14"/>
                <w:b w:val="1"/>
                <w:bCs w:val="1"/>
                <w:color w:val="auto"/>
              </w:rPr>
              <w:t>2017</w:t>
            </w:r>
          </w:p>
        </w:tc>
        <w:tc>
          <w:tcPr>
            <w:tcW w:w="1160" w:type="dxa"/>
            <w:vAlign w:val="bottom"/>
            <w:tcBorders>
              <w:bottom w:val="single" w:sz="8" w:color="auto"/>
            </w:tcBorders>
          </w:tcPr>
          <w:p>
            <w:pPr>
              <w:jc w:val="right"/>
              <w:ind w:right="740"/>
              <w:spacing w:after="0"/>
              <w:rPr>
                <w:sz w:val="20"/>
                <w:szCs w:val="20"/>
                <w:color w:val="auto"/>
              </w:rPr>
            </w:pPr>
            <w:r>
              <w:rPr>
                <w:rFonts w:ascii="Arial" w:cs="Arial" w:eastAsia="Arial" w:hAnsi="Arial"/>
                <w:sz w:val="14"/>
                <w:szCs w:val="14"/>
                <w:color w:val="auto"/>
              </w:rPr>
              <w:t>2016</w:t>
            </w:r>
          </w:p>
        </w:tc>
        <w:tc>
          <w:tcPr>
            <w:tcW w:w="560" w:type="dxa"/>
            <w:vAlign w:val="bottom"/>
            <w:tcBorders>
              <w:bottom w:val="single" w:sz="8" w:color="auto"/>
            </w:tcBorders>
          </w:tcPr>
          <w:p>
            <w:pPr>
              <w:jc w:val="right"/>
              <w:ind w:right="120"/>
              <w:spacing w:after="0"/>
              <w:rPr>
                <w:sz w:val="20"/>
                <w:szCs w:val="20"/>
                <w:color w:val="auto"/>
              </w:rPr>
            </w:pPr>
            <w:r>
              <w:rPr>
                <w:rFonts w:ascii="Arial" w:cs="Arial" w:eastAsia="Arial" w:hAnsi="Arial"/>
                <w:sz w:val="14"/>
                <w:szCs w:val="14"/>
                <w:color w:val="auto"/>
              </w:rPr>
              <w:t>2015</w:t>
            </w:r>
          </w:p>
        </w:tc>
        <w:tc>
          <w:tcPr>
            <w:tcW w:w="180" w:type="dxa"/>
            <w:vAlign w:val="bottom"/>
            <w:tcBorders>
              <w:bottom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50"/>
        </w:trPr>
        <w:tc>
          <w:tcPr>
            <w:tcW w:w="2700" w:type="dxa"/>
            <w:vAlign w:val="bottom"/>
            <w:gridSpan w:val="2"/>
          </w:tcPr>
          <w:p>
            <w:pPr>
              <w:ind w:left="40"/>
              <w:spacing w:after="0"/>
              <w:rPr>
                <w:sz w:val="20"/>
                <w:szCs w:val="20"/>
                <w:color w:val="auto"/>
              </w:rPr>
            </w:pPr>
            <w:r>
              <w:rPr>
                <w:rFonts w:ascii="Arial" w:cs="Arial" w:eastAsia="Arial" w:hAnsi="Arial"/>
                <w:sz w:val="16"/>
                <w:szCs w:val="16"/>
                <w:color w:val="auto"/>
              </w:rPr>
              <w:t>Certificate</w:t>
            </w:r>
          </w:p>
        </w:tc>
        <w:tc>
          <w:tcPr>
            <w:tcW w:w="260" w:type="dxa"/>
            <w:vAlign w:val="bottom"/>
          </w:tcPr>
          <w:p>
            <w:pPr>
              <w:spacing w:after="0"/>
              <w:rPr>
                <w:sz w:val="21"/>
                <w:szCs w:val="21"/>
                <w:color w:val="auto"/>
              </w:rPr>
            </w:pPr>
          </w:p>
        </w:tc>
        <w:tc>
          <w:tcPr>
            <w:tcW w:w="25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22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jc w:val="right"/>
              <w:ind w:right="425"/>
              <w:spacing w:after="0"/>
              <w:rPr>
                <w:sz w:val="20"/>
                <w:szCs w:val="20"/>
                <w:color w:val="auto"/>
              </w:rPr>
            </w:pPr>
            <w:r>
              <w:rPr>
                <w:rFonts w:ascii="Arial" w:cs="Arial" w:eastAsia="Arial" w:hAnsi="Arial"/>
                <w:sz w:val="16"/>
                <w:szCs w:val="16"/>
                <w:b w:val="1"/>
                <w:bCs w:val="1"/>
                <w:color w:val="auto"/>
              </w:rPr>
              <w:t>9.5%</w:t>
            </w:r>
          </w:p>
        </w:tc>
        <w:tc>
          <w:tcPr>
            <w:tcW w:w="1160" w:type="dxa"/>
            <w:vAlign w:val="bottom"/>
          </w:tcPr>
          <w:p>
            <w:pPr>
              <w:jc w:val="right"/>
              <w:ind w:right="400"/>
              <w:spacing w:after="0"/>
              <w:rPr>
                <w:sz w:val="20"/>
                <w:szCs w:val="20"/>
                <w:color w:val="auto"/>
              </w:rPr>
            </w:pPr>
            <w:r>
              <w:rPr>
                <w:rFonts w:ascii="Arial" w:cs="Arial" w:eastAsia="Arial" w:hAnsi="Arial"/>
                <w:sz w:val="16"/>
                <w:szCs w:val="16"/>
                <w:color w:val="auto"/>
              </w:rPr>
              <w:t>7.7%</w:t>
            </w:r>
          </w:p>
        </w:tc>
        <w:tc>
          <w:tcPr>
            <w:tcW w:w="740" w:type="dxa"/>
            <w:vAlign w:val="bottom"/>
            <w:gridSpan w:val="2"/>
          </w:tcPr>
          <w:p>
            <w:pPr>
              <w:jc w:val="right"/>
              <w:ind w:right="40"/>
              <w:spacing w:after="0"/>
              <w:rPr>
                <w:sz w:val="20"/>
                <w:szCs w:val="20"/>
                <w:color w:val="auto"/>
              </w:rPr>
            </w:pPr>
            <w:r>
              <w:rPr>
                <w:rFonts w:ascii="Arial" w:cs="Arial" w:eastAsia="Arial" w:hAnsi="Arial"/>
                <w:sz w:val="16"/>
                <w:szCs w:val="16"/>
                <w:color w:val="auto"/>
              </w:rPr>
              <w:t>4.4%</w:t>
            </w:r>
          </w:p>
        </w:tc>
        <w:tc>
          <w:tcPr>
            <w:tcW w:w="0" w:type="dxa"/>
            <w:vAlign w:val="bottom"/>
          </w:tcPr>
          <w:p>
            <w:pPr>
              <w:spacing w:after="0"/>
              <w:rPr>
                <w:sz w:val="1"/>
                <w:szCs w:val="1"/>
                <w:color w:val="auto"/>
              </w:rPr>
            </w:pPr>
          </w:p>
        </w:tc>
      </w:tr>
      <w:tr>
        <w:trPr>
          <w:trHeight w:val="270"/>
        </w:trPr>
        <w:tc>
          <w:tcPr>
            <w:tcW w:w="2700" w:type="dxa"/>
            <w:vAlign w:val="bottom"/>
            <w:gridSpan w:val="2"/>
          </w:tcPr>
          <w:p>
            <w:pPr>
              <w:ind w:left="40"/>
              <w:spacing w:after="0"/>
              <w:rPr>
                <w:sz w:val="20"/>
                <w:szCs w:val="20"/>
                <w:color w:val="auto"/>
              </w:rPr>
            </w:pPr>
            <w:r>
              <w:rPr>
                <w:rFonts w:ascii="Arial" w:cs="Arial" w:eastAsia="Arial" w:hAnsi="Arial"/>
                <w:sz w:val="16"/>
                <w:szCs w:val="16"/>
                <w:color w:val="auto"/>
              </w:rPr>
              <w:t>Associate</w:t>
            </w:r>
            <w:r>
              <w:rPr>
                <w:rFonts w:ascii="Arial" w:cs="Arial" w:eastAsia="Arial" w:hAnsi="Arial"/>
                <w:sz w:val="14"/>
                <w:szCs w:val="14"/>
                <w:b w:val="1"/>
                <w:bCs w:val="1"/>
                <w:color w:val="auto"/>
              </w:rPr>
              <w:t>’</w:t>
            </w:r>
            <w:r>
              <w:rPr>
                <w:rFonts w:ascii="Arial" w:cs="Arial" w:eastAsia="Arial" w:hAnsi="Arial"/>
                <w:sz w:val="16"/>
                <w:szCs w:val="16"/>
                <w:color w:val="auto"/>
              </w:rPr>
              <w:t>s</w:t>
            </w:r>
          </w:p>
        </w:tc>
        <w:tc>
          <w:tcPr>
            <w:tcW w:w="260" w:type="dxa"/>
            <w:vAlign w:val="bottom"/>
          </w:tcPr>
          <w:p>
            <w:pPr>
              <w:spacing w:after="0"/>
              <w:rPr>
                <w:sz w:val="23"/>
                <w:szCs w:val="23"/>
                <w:color w:val="auto"/>
              </w:rPr>
            </w:pPr>
          </w:p>
        </w:tc>
        <w:tc>
          <w:tcPr>
            <w:tcW w:w="256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22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980" w:type="dxa"/>
            <w:vAlign w:val="bottom"/>
          </w:tcPr>
          <w:p>
            <w:pPr>
              <w:jc w:val="right"/>
              <w:ind w:right="425"/>
              <w:spacing w:after="0"/>
              <w:rPr>
                <w:sz w:val="20"/>
                <w:szCs w:val="20"/>
                <w:color w:val="auto"/>
              </w:rPr>
            </w:pPr>
            <w:r>
              <w:rPr>
                <w:rFonts w:ascii="Arial" w:cs="Arial" w:eastAsia="Arial" w:hAnsi="Arial"/>
                <w:sz w:val="16"/>
                <w:szCs w:val="16"/>
                <w:b w:val="1"/>
                <w:bCs w:val="1"/>
                <w:color w:val="auto"/>
              </w:rPr>
              <w:t>16.5%</w:t>
            </w:r>
          </w:p>
        </w:tc>
        <w:tc>
          <w:tcPr>
            <w:tcW w:w="1160" w:type="dxa"/>
            <w:vAlign w:val="bottom"/>
          </w:tcPr>
          <w:p>
            <w:pPr>
              <w:jc w:val="right"/>
              <w:ind w:right="400"/>
              <w:spacing w:after="0"/>
              <w:rPr>
                <w:sz w:val="20"/>
                <w:szCs w:val="20"/>
                <w:color w:val="auto"/>
              </w:rPr>
            </w:pPr>
            <w:r>
              <w:rPr>
                <w:rFonts w:ascii="Arial" w:cs="Arial" w:eastAsia="Arial" w:hAnsi="Arial"/>
                <w:sz w:val="16"/>
                <w:szCs w:val="16"/>
                <w:color w:val="auto"/>
              </w:rPr>
              <w:t>18.1%</w:t>
            </w:r>
          </w:p>
        </w:tc>
        <w:tc>
          <w:tcPr>
            <w:tcW w:w="740" w:type="dxa"/>
            <w:vAlign w:val="bottom"/>
            <w:gridSpan w:val="2"/>
          </w:tcPr>
          <w:p>
            <w:pPr>
              <w:jc w:val="right"/>
              <w:ind w:right="40"/>
              <w:spacing w:after="0"/>
              <w:rPr>
                <w:sz w:val="20"/>
                <w:szCs w:val="20"/>
                <w:color w:val="auto"/>
              </w:rPr>
            </w:pPr>
            <w:r>
              <w:rPr>
                <w:rFonts w:ascii="Arial" w:cs="Arial" w:eastAsia="Arial" w:hAnsi="Arial"/>
                <w:sz w:val="16"/>
                <w:szCs w:val="16"/>
                <w:color w:val="auto"/>
              </w:rPr>
              <w:t>25.0%</w:t>
            </w:r>
          </w:p>
        </w:tc>
        <w:tc>
          <w:tcPr>
            <w:tcW w:w="0" w:type="dxa"/>
            <w:vAlign w:val="bottom"/>
          </w:tcPr>
          <w:p>
            <w:pPr>
              <w:spacing w:after="0"/>
              <w:rPr>
                <w:sz w:val="1"/>
                <w:szCs w:val="1"/>
                <w:color w:val="auto"/>
              </w:rPr>
            </w:pPr>
          </w:p>
        </w:tc>
      </w:tr>
      <w:tr>
        <w:trPr>
          <w:trHeight w:val="270"/>
        </w:trPr>
        <w:tc>
          <w:tcPr>
            <w:tcW w:w="2700" w:type="dxa"/>
            <w:vAlign w:val="bottom"/>
            <w:gridSpan w:val="2"/>
          </w:tcPr>
          <w:p>
            <w:pPr>
              <w:ind w:left="40"/>
              <w:spacing w:after="0"/>
              <w:rPr>
                <w:sz w:val="20"/>
                <w:szCs w:val="20"/>
                <w:color w:val="auto"/>
              </w:rPr>
            </w:pPr>
            <w:r>
              <w:rPr>
                <w:rFonts w:ascii="Arial" w:cs="Arial" w:eastAsia="Arial" w:hAnsi="Arial"/>
                <w:sz w:val="16"/>
                <w:szCs w:val="16"/>
                <w:color w:val="auto"/>
              </w:rPr>
              <w:t>Bachelor</w:t>
            </w:r>
            <w:r>
              <w:rPr>
                <w:rFonts w:ascii="Arial" w:cs="Arial" w:eastAsia="Arial" w:hAnsi="Arial"/>
                <w:sz w:val="14"/>
                <w:szCs w:val="14"/>
                <w:b w:val="1"/>
                <w:bCs w:val="1"/>
                <w:color w:val="auto"/>
              </w:rPr>
              <w:t>’</w:t>
            </w:r>
            <w:r>
              <w:rPr>
                <w:rFonts w:ascii="Arial" w:cs="Arial" w:eastAsia="Arial" w:hAnsi="Arial"/>
                <w:sz w:val="16"/>
                <w:szCs w:val="16"/>
                <w:color w:val="auto"/>
              </w:rPr>
              <w:t>s</w:t>
            </w:r>
          </w:p>
        </w:tc>
        <w:tc>
          <w:tcPr>
            <w:tcW w:w="260" w:type="dxa"/>
            <w:vAlign w:val="bottom"/>
          </w:tcPr>
          <w:p>
            <w:pPr>
              <w:spacing w:after="0"/>
              <w:rPr>
                <w:sz w:val="23"/>
                <w:szCs w:val="23"/>
                <w:color w:val="auto"/>
              </w:rPr>
            </w:pPr>
          </w:p>
        </w:tc>
        <w:tc>
          <w:tcPr>
            <w:tcW w:w="256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22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980" w:type="dxa"/>
            <w:vAlign w:val="bottom"/>
          </w:tcPr>
          <w:p>
            <w:pPr>
              <w:jc w:val="right"/>
              <w:ind w:right="425"/>
              <w:spacing w:after="0"/>
              <w:rPr>
                <w:sz w:val="20"/>
                <w:szCs w:val="20"/>
                <w:color w:val="auto"/>
              </w:rPr>
            </w:pPr>
            <w:r>
              <w:rPr>
                <w:rFonts w:ascii="Arial" w:cs="Arial" w:eastAsia="Arial" w:hAnsi="Arial"/>
                <w:sz w:val="16"/>
                <w:szCs w:val="16"/>
                <w:b w:val="1"/>
                <w:bCs w:val="1"/>
                <w:color w:val="auto"/>
              </w:rPr>
              <w:t>50.9%</w:t>
            </w:r>
          </w:p>
        </w:tc>
        <w:tc>
          <w:tcPr>
            <w:tcW w:w="1160" w:type="dxa"/>
            <w:vAlign w:val="bottom"/>
          </w:tcPr>
          <w:p>
            <w:pPr>
              <w:jc w:val="right"/>
              <w:ind w:right="400"/>
              <w:spacing w:after="0"/>
              <w:rPr>
                <w:sz w:val="20"/>
                <w:szCs w:val="20"/>
                <w:color w:val="auto"/>
              </w:rPr>
            </w:pPr>
            <w:r>
              <w:rPr>
                <w:rFonts w:ascii="Arial" w:cs="Arial" w:eastAsia="Arial" w:hAnsi="Arial"/>
                <w:sz w:val="16"/>
                <w:szCs w:val="16"/>
                <w:color w:val="auto"/>
              </w:rPr>
              <w:t>50.9%</w:t>
            </w:r>
          </w:p>
        </w:tc>
        <w:tc>
          <w:tcPr>
            <w:tcW w:w="740" w:type="dxa"/>
            <w:vAlign w:val="bottom"/>
            <w:gridSpan w:val="2"/>
          </w:tcPr>
          <w:p>
            <w:pPr>
              <w:jc w:val="right"/>
              <w:ind w:right="40"/>
              <w:spacing w:after="0"/>
              <w:rPr>
                <w:sz w:val="20"/>
                <w:szCs w:val="20"/>
                <w:color w:val="auto"/>
              </w:rPr>
            </w:pPr>
            <w:r>
              <w:rPr>
                <w:rFonts w:ascii="Arial" w:cs="Arial" w:eastAsia="Arial" w:hAnsi="Arial"/>
                <w:sz w:val="16"/>
                <w:szCs w:val="16"/>
                <w:color w:val="auto"/>
              </w:rPr>
              <w:t>48.4%</w:t>
            </w:r>
          </w:p>
        </w:tc>
        <w:tc>
          <w:tcPr>
            <w:tcW w:w="0" w:type="dxa"/>
            <w:vAlign w:val="bottom"/>
          </w:tcPr>
          <w:p>
            <w:pPr>
              <w:spacing w:after="0"/>
              <w:rPr>
                <w:sz w:val="1"/>
                <w:szCs w:val="1"/>
                <w:color w:val="auto"/>
              </w:rPr>
            </w:pPr>
          </w:p>
        </w:tc>
      </w:tr>
      <w:tr>
        <w:trPr>
          <w:trHeight w:val="283"/>
        </w:trPr>
        <w:tc>
          <w:tcPr>
            <w:tcW w:w="2700" w:type="dxa"/>
            <w:vAlign w:val="bottom"/>
            <w:gridSpan w:val="2"/>
          </w:tcPr>
          <w:p>
            <w:pPr>
              <w:ind w:left="40"/>
              <w:spacing w:after="0"/>
              <w:rPr>
                <w:sz w:val="20"/>
                <w:szCs w:val="20"/>
                <w:color w:val="auto"/>
              </w:rPr>
            </w:pPr>
            <w:r>
              <w:rPr>
                <w:rFonts w:ascii="Arial" w:cs="Arial" w:eastAsia="Arial" w:hAnsi="Arial"/>
                <w:sz w:val="16"/>
                <w:szCs w:val="16"/>
                <w:color w:val="auto"/>
              </w:rPr>
              <w:t>Master</w:t>
            </w:r>
            <w:r>
              <w:rPr>
                <w:rFonts w:ascii="Arial" w:cs="Arial" w:eastAsia="Arial" w:hAnsi="Arial"/>
                <w:sz w:val="14"/>
                <w:szCs w:val="14"/>
                <w:b w:val="1"/>
                <w:bCs w:val="1"/>
                <w:color w:val="auto"/>
              </w:rPr>
              <w:t>’</w:t>
            </w:r>
            <w:r>
              <w:rPr>
                <w:rFonts w:ascii="Arial" w:cs="Arial" w:eastAsia="Arial" w:hAnsi="Arial"/>
                <w:sz w:val="16"/>
                <w:szCs w:val="16"/>
                <w:color w:val="auto"/>
              </w:rPr>
              <w:t>s</w:t>
            </w:r>
          </w:p>
        </w:tc>
        <w:tc>
          <w:tcPr>
            <w:tcW w:w="260" w:type="dxa"/>
            <w:vAlign w:val="bottom"/>
          </w:tcPr>
          <w:p>
            <w:pPr>
              <w:spacing w:after="0"/>
              <w:rPr>
                <w:sz w:val="24"/>
                <w:szCs w:val="24"/>
                <w:color w:val="auto"/>
              </w:rPr>
            </w:pPr>
          </w:p>
        </w:tc>
        <w:tc>
          <w:tcPr>
            <w:tcW w:w="25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200" w:type="dxa"/>
            <w:vAlign w:val="bottom"/>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jc w:val="right"/>
              <w:ind w:right="425"/>
              <w:spacing w:after="0"/>
              <w:rPr>
                <w:sz w:val="20"/>
                <w:szCs w:val="20"/>
                <w:color w:val="auto"/>
              </w:rPr>
            </w:pPr>
            <w:r>
              <w:rPr>
                <w:rFonts w:ascii="Arial" w:cs="Arial" w:eastAsia="Arial" w:hAnsi="Arial"/>
                <w:sz w:val="16"/>
                <w:szCs w:val="16"/>
                <w:b w:val="1"/>
                <w:bCs w:val="1"/>
                <w:color w:val="auto"/>
              </w:rPr>
              <w:t>23.1%</w:t>
            </w:r>
          </w:p>
        </w:tc>
        <w:tc>
          <w:tcPr>
            <w:tcW w:w="1160" w:type="dxa"/>
            <w:vAlign w:val="bottom"/>
            <w:tcBorders>
              <w:bottom w:val="single" w:sz="8" w:color="auto"/>
            </w:tcBorders>
          </w:tcPr>
          <w:p>
            <w:pPr>
              <w:jc w:val="right"/>
              <w:ind w:right="400"/>
              <w:spacing w:after="0"/>
              <w:rPr>
                <w:sz w:val="20"/>
                <w:szCs w:val="20"/>
                <w:color w:val="auto"/>
              </w:rPr>
            </w:pPr>
            <w:r>
              <w:rPr>
                <w:rFonts w:ascii="Arial" w:cs="Arial" w:eastAsia="Arial" w:hAnsi="Arial"/>
                <w:sz w:val="16"/>
                <w:szCs w:val="16"/>
                <w:color w:val="auto"/>
              </w:rPr>
              <w:t>23.3%</w:t>
            </w:r>
          </w:p>
        </w:tc>
        <w:tc>
          <w:tcPr>
            <w:tcW w:w="740" w:type="dxa"/>
            <w:vAlign w:val="bottom"/>
            <w:tcBorders>
              <w:bottom w:val="single" w:sz="8" w:color="auto"/>
            </w:tcBorders>
            <w:gridSpan w:val="2"/>
          </w:tcPr>
          <w:p>
            <w:pPr>
              <w:jc w:val="right"/>
              <w:ind w:right="40"/>
              <w:spacing w:after="0"/>
              <w:rPr>
                <w:sz w:val="20"/>
                <w:szCs w:val="20"/>
                <w:color w:val="auto"/>
              </w:rPr>
            </w:pPr>
            <w:r>
              <w:rPr>
                <w:rFonts w:ascii="Arial" w:cs="Arial" w:eastAsia="Arial" w:hAnsi="Arial"/>
                <w:sz w:val="16"/>
                <w:szCs w:val="16"/>
                <w:color w:val="auto"/>
              </w:rPr>
              <w:t>22.2%</w:t>
            </w:r>
          </w:p>
        </w:tc>
        <w:tc>
          <w:tcPr>
            <w:tcW w:w="0" w:type="dxa"/>
            <w:vAlign w:val="bottom"/>
          </w:tcPr>
          <w:p>
            <w:pPr>
              <w:spacing w:after="0"/>
              <w:rPr>
                <w:sz w:val="1"/>
                <w:szCs w:val="1"/>
                <w:color w:val="auto"/>
              </w:rPr>
            </w:pPr>
          </w:p>
        </w:tc>
      </w:tr>
      <w:tr>
        <w:trPr>
          <w:trHeight w:val="267"/>
        </w:trPr>
        <w:tc>
          <w:tcPr>
            <w:tcW w:w="140" w:type="dxa"/>
            <w:vAlign w:val="bottom"/>
          </w:tcPr>
          <w:p>
            <w:pPr>
              <w:spacing w:after="0"/>
              <w:rPr>
                <w:sz w:val="23"/>
                <w:szCs w:val="23"/>
                <w:color w:val="auto"/>
              </w:rPr>
            </w:pPr>
          </w:p>
        </w:tc>
        <w:tc>
          <w:tcPr>
            <w:tcW w:w="2560" w:type="dxa"/>
            <w:vAlign w:val="bottom"/>
          </w:tcPr>
          <w:p>
            <w:pPr>
              <w:ind w:left="140"/>
              <w:spacing w:after="0"/>
              <w:rPr>
                <w:sz w:val="20"/>
                <w:szCs w:val="20"/>
                <w:color w:val="auto"/>
              </w:rPr>
            </w:pPr>
            <w:r>
              <w:rPr>
                <w:rFonts w:ascii="Arial" w:cs="Arial" w:eastAsia="Arial" w:hAnsi="Arial"/>
                <w:sz w:val="16"/>
                <w:szCs w:val="16"/>
                <w:color w:val="auto"/>
              </w:rPr>
              <w:t>Total</w:t>
            </w:r>
          </w:p>
        </w:tc>
        <w:tc>
          <w:tcPr>
            <w:tcW w:w="260" w:type="dxa"/>
            <w:vAlign w:val="bottom"/>
          </w:tcPr>
          <w:p>
            <w:pPr>
              <w:spacing w:after="0"/>
              <w:rPr>
                <w:sz w:val="23"/>
                <w:szCs w:val="23"/>
                <w:color w:val="auto"/>
              </w:rPr>
            </w:pPr>
          </w:p>
        </w:tc>
        <w:tc>
          <w:tcPr>
            <w:tcW w:w="256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2200" w:type="dxa"/>
            <w:vAlign w:val="bottom"/>
          </w:tcPr>
          <w:p>
            <w:pPr>
              <w:spacing w:after="0"/>
              <w:rPr>
                <w:sz w:val="23"/>
                <w:szCs w:val="23"/>
                <w:color w:val="auto"/>
              </w:rPr>
            </w:pPr>
          </w:p>
        </w:tc>
        <w:tc>
          <w:tcPr>
            <w:tcW w:w="300" w:type="dxa"/>
            <w:vAlign w:val="bottom"/>
            <w:tcBorders>
              <w:bottom w:val="single" w:sz="8" w:color="auto"/>
            </w:tcBorders>
          </w:tcPr>
          <w:p>
            <w:pPr>
              <w:spacing w:after="0"/>
              <w:rPr>
                <w:sz w:val="23"/>
                <w:szCs w:val="23"/>
                <w:color w:val="auto"/>
              </w:rPr>
            </w:pPr>
          </w:p>
        </w:tc>
        <w:tc>
          <w:tcPr>
            <w:tcW w:w="1260" w:type="dxa"/>
            <w:vAlign w:val="bottom"/>
            <w:tcBorders>
              <w:bottom w:val="single" w:sz="8" w:color="auto"/>
            </w:tcBorders>
            <w:gridSpan w:val="2"/>
          </w:tcPr>
          <w:p>
            <w:pPr>
              <w:ind w:left="200"/>
              <w:spacing w:after="0"/>
              <w:rPr>
                <w:sz w:val="20"/>
                <w:szCs w:val="20"/>
                <w:color w:val="auto"/>
              </w:rPr>
            </w:pPr>
            <w:r>
              <w:rPr>
                <w:rFonts w:ascii="Arial" w:cs="Arial" w:eastAsia="Arial" w:hAnsi="Arial"/>
                <w:sz w:val="16"/>
                <w:szCs w:val="16"/>
                <w:b w:val="1"/>
                <w:bCs w:val="1"/>
                <w:color w:val="auto"/>
              </w:rPr>
              <w:t>100.0%</w:t>
            </w:r>
          </w:p>
        </w:tc>
        <w:tc>
          <w:tcPr>
            <w:tcW w:w="1160" w:type="dxa"/>
            <w:vAlign w:val="bottom"/>
            <w:tcBorders>
              <w:bottom w:val="single" w:sz="8" w:color="auto"/>
            </w:tcBorders>
          </w:tcPr>
          <w:p>
            <w:pPr>
              <w:jc w:val="right"/>
              <w:ind w:right="400"/>
              <w:spacing w:after="0"/>
              <w:rPr>
                <w:sz w:val="20"/>
                <w:szCs w:val="20"/>
                <w:color w:val="auto"/>
              </w:rPr>
            </w:pPr>
            <w:r>
              <w:rPr>
                <w:rFonts w:ascii="Arial" w:cs="Arial" w:eastAsia="Arial" w:hAnsi="Arial"/>
                <w:sz w:val="16"/>
                <w:szCs w:val="16"/>
                <w:color w:val="auto"/>
              </w:rPr>
              <w:t>100.0%</w:t>
            </w:r>
          </w:p>
        </w:tc>
        <w:tc>
          <w:tcPr>
            <w:tcW w:w="740" w:type="dxa"/>
            <w:vAlign w:val="bottom"/>
            <w:tcBorders>
              <w:bottom w:val="single" w:sz="8" w:color="auto"/>
            </w:tcBorders>
            <w:gridSpan w:val="2"/>
          </w:tcPr>
          <w:p>
            <w:pPr>
              <w:jc w:val="right"/>
              <w:ind w:right="40"/>
              <w:spacing w:after="0"/>
              <w:rPr>
                <w:sz w:val="20"/>
                <w:szCs w:val="20"/>
                <w:color w:val="auto"/>
              </w:rPr>
            </w:pPr>
            <w:r>
              <w:rPr>
                <w:rFonts w:ascii="Arial" w:cs="Arial" w:eastAsia="Arial" w:hAnsi="Arial"/>
                <w:sz w:val="16"/>
                <w:szCs w:val="16"/>
                <w:color w:val="auto"/>
              </w:rPr>
              <w:t>100.0%</w:t>
            </w:r>
          </w:p>
        </w:tc>
        <w:tc>
          <w:tcPr>
            <w:tcW w:w="0" w:type="dxa"/>
            <w:vAlign w:val="bottom"/>
          </w:tcPr>
          <w:p>
            <w:pPr>
              <w:spacing w:after="0"/>
              <w:rPr>
                <w:sz w:val="1"/>
                <w:szCs w:val="1"/>
                <w:color w:val="auto"/>
              </w:rPr>
            </w:pPr>
          </w:p>
        </w:tc>
      </w:tr>
      <w:tr>
        <w:trPr>
          <w:trHeight w:val="20"/>
        </w:trPr>
        <w:tc>
          <w:tcPr>
            <w:tcW w:w="140" w:type="dxa"/>
            <w:vAlign w:val="bottom"/>
          </w:tcPr>
          <w:p>
            <w:pPr>
              <w:spacing w:after="0" w:line="20" w:lineRule="exact"/>
              <w:rPr>
                <w:sz w:val="1"/>
                <w:szCs w:val="1"/>
                <w:color w:val="auto"/>
              </w:rPr>
            </w:pPr>
          </w:p>
        </w:tc>
        <w:tc>
          <w:tcPr>
            <w:tcW w:w="25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5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31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20"/>
          </w:cols>
          <w:pgMar w:left="240" w:top="746" w:right="239" w:bottom="1440" w:gutter="0" w:footer="0" w:header="0"/>
        </w:sectPr>
      </w:pPr>
    </w:p>
    <w:bookmarkStart w:id="5" w:name="page6"/>
    <w:bookmarkEnd w:id="5"/>
    <w:p>
      <w:pPr>
        <w:spacing w:after="0"/>
        <w:rPr>
          <w:sz w:val="20"/>
          <w:szCs w:val="20"/>
          <w:color w:val="auto"/>
        </w:rPr>
      </w:pPr>
      <w:r>
        <w:rPr>
          <w:rFonts w:ascii="Arial" w:cs="Arial" w:eastAsia="Arial" w:hAnsi="Arial"/>
          <w:sz w:val="18"/>
          <w:szCs w:val="18"/>
          <w:b w:val="1"/>
          <w:bCs w:val="1"/>
          <w:color w:val="auto"/>
        </w:rPr>
        <w:t>Financial Aid Programs and Regulatory Environment</w:t>
      </w:r>
    </w:p>
    <w:p>
      <w:pPr>
        <w:spacing w:after="0" w:line="166" w:lineRule="exact"/>
        <w:rPr>
          <w:sz w:val="20"/>
          <w:szCs w:val="20"/>
          <w:color w:val="auto"/>
        </w:rPr>
      </w:pPr>
    </w:p>
    <w:p>
      <w:pPr>
        <w:ind w:right="380"/>
        <w:spacing w:after="0" w:line="224" w:lineRule="auto"/>
        <w:rPr>
          <w:sz w:val="20"/>
          <w:szCs w:val="20"/>
          <w:color w:val="auto"/>
        </w:rPr>
      </w:pPr>
      <w:r>
        <w:rPr>
          <w:rFonts w:ascii="Arial" w:cs="Arial" w:eastAsia="Arial" w:hAnsi="Arial"/>
          <w:sz w:val="18"/>
          <w:szCs w:val="18"/>
          <w:color w:val="auto"/>
        </w:rPr>
        <w:t>Funds provided under the U.S. Federal student financial aid programs that have been created under Title IV of the Higher Education Act, historically, have been responsible for a majority of KHE revenues. During 2017, funds received under Title IV programs accounted for approximately $374 million, or approximately 68%, of total KHE revenues, and 25% of Kaplan, Inc. revenues. The Company estimates that funds received from students borrowing under third-party private loan programs comprised less than 1% of KHE revenues. Direct student payments, funds received under various state and federal agency grant programs and corporate reimbursement under tuition assistance programs accounted for most of the remaining 2017 KHE revenues.</w:t>
      </w:r>
    </w:p>
    <w:p>
      <w:pPr>
        <w:spacing w:after="0" w:line="137" w:lineRule="exact"/>
        <w:rPr>
          <w:sz w:val="20"/>
          <w:szCs w:val="20"/>
          <w:color w:val="auto"/>
        </w:rPr>
      </w:pPr>
    </w:p>
    <w:p>
      <w:pPr>
        <w:ind w:right="280"/>
        <w:spacing w:after="0" w:line="227" w:lineRule="auto"/>
        <w:rPr>
          <w:sz w:val="20"/>
          <w:szCs w:val="20"/>
          <w:color w:val="auto"/>
        </w:rPr>
      </w:pPr>
      <w:r>
        <w:rPr>
          <w:rFonts w:ascii="Arial" w:cs="Arial" w:eastAsia="Arial" w:hAnsi="Arial"/>
          <w:sz w:val="18"/>
          <w:szCs w:val="18"/>
          <w:color w:val="auto"/>
        </w:rPr>
        <w:t>Title IV programs encompass various forms of student loans and non-repayable grants. In some cases, the U.S. Federal government subsidizes a portion of the student interest expense of Title IV loans. Subsidized loans and grants are only available to students who can demonstrate financial need. During 2017, approximately 87% of the $374 million of Title IV funds received by KHE came from student loans, and approximately 13% of such funds came from grants.</w:t>
      </w:r>
    </w:p>
    <w:p>
      <w:pPr>
        <w:spacing w:after="0" w:line="113" w:lineRule="exact"/>
        <w:rPr>
          <w:sz w:val="20"/>
          <w:szCs w:val="20"/>
          <w:color w:val="auto"/>
        </w:rPr>
      </w:pPr>
    </w:p>
    <w:p>
      <w:pPr>
        <w:spacing w:after="0" w:line="224" w:lineRule="auto"/>
        <w:rPr>
          <w:sz w:val="20"/>
          <w:szCs w:val="20"/>
          <w:color w:val="auto"/>
        </w:rPr>
      </w:pPr>
      <w:r>
        <w:rPr>
          <w:rFonts w:ascii="Arial" w:cs="Arial" w:eastAsia="Arial" w:hAnsi="Arial"/>
          <w:sz w:val="18"/>
          <w:szCs w:val="18"/>
          <w:b w:val="1"/>
          <w:bCs w:val="1"/>
          <w:i w:val="1"/>
          <w:iCs w:val="1"/>
          <w:color w:val="auto"/>
        </w:rPr>
        <w:t xml:space="preserve">Title IV Eligibility and Compliance With Title IV Program Requirements. </w:t>
      </w:r>
      <w:r>
        <w:rPr>
          <w:rFonts w:ascii="Arial" w:cs="Arial" w:eastAsia="Arial" w:hAnsi="Arial"/>
          <w:sz w:val="18"/>
          <w:szCs w:val="18"/>
          <w:color w:val="auto"/>
        </w:rPr>
        <w:t>To maintain eligibility to participate in Title IV programs, a school</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must comply with extensive statutory and regulatory requirements relating to its financial aid management, educational programs, financial strength, administrative capability, compensation practices, facilities, recruiting practices, representations made to current and prospective students and various other matters. In addition, the school must be licensed, or otherwise legally authorized, to offer postsecondary educational programs by the appropriate governmental body in the state or states in which it is physically located or is otherwise subject to state authorization requirements, be accredited by an accrediting agency recognized by the ED and be certified to participate in the Title IV programs by the ED. Schools are required periodically to apply for renewal of their authorization, accreditation or certification with the applicable state governmental bodies, accrediting agencies and the ED. In accordance with ED regulations, KU campuses are grouped into a main campus and additional campus locations. KU is assigned its own identification number, known as an OPEID number, for the purpose of determining compliance with certain Title IV requirements. No assurance can be given that KU or its individual programs will maintain their Title IV eligibility, accreditation and state authorization in the future or that the ED might not successfully assert that KU has previously failed to comply with Title IV requirements.</w:t>
      </w:r>
    </w:p>
    <w:p>
      <w:pPr>
        <w:spacing w:after="0" w:line="135" w:lineRule="exact"/>
        <w:rPr>
          <w:sz w:val="20"/>
          <w:szCs w:val="20"/>
          <w:color w:val="auto"/>
        </w:rPr>
      </w:pPr>
    </w:p>
    <w:p>
      <w:pPr>
        <w:ind w:right="80"/>
        <w:spacing w:after="0" w:line="222" w:lineRule="auto"/>
        <w:rPr>
          <w:sz w:val="20"/>
          <w:szCs w:val="20"/>
          <w:color w:val="auto"/>
        </w:rPr>
      </w:pPr>
      <w:r>
        <w:rPr>
          <w:rFonts w:ascii="Arial" w:cs="Arial" w:eastAsia="Arial" w:hAnsi="Arial"/>
          <w:sz w:val="18"/>
          <w:szCs w:val="18"/>
          <w:color w:val="auto"/>
        </w:rPr>
        <w:t>The ED may place a school on provisional certification status under certain circumstances, including, but not limited to, failure to satisfy certain standards of financial responsibility or administrative capability, or upon a change in ownership resulting in a change of control. Provisional certification status carries fewer due process protections than full certification. As a result, the ED may withdraw an institution’s provisional certification more easily than if it is fully certified. In addition, the ED may subject an institution on provisional certification status to greater scrutiny in some instances, for example, when it applies for approval to add a new location or program or makes another substantive program change. Provisional certification does not otherwise limit access to Title IV program funds by students attending the institution. On December 17, 2015, KU, in connection with the renewal of its U.S. Department of Education Program Participation Agreement, received notice from the ED that it had been placed on provisional certification status until September 30, 2018, in relation to an open and ongoing ED program review. The ED has not notified KU of any negative findings. However, at this, time we cannot predict the outcome of the program review. During the period of provisional certification, KU must obtain prior ED approval to open a new location, add an educational program, acquire another school or make any other significant change.</w:t>
      </w:r>
    </w:p>
    <w:p>
      <w:pPr>
        <w:spacing w:after="0" w:line="136" w:lineRule="exact"/>
        <w:rPr>
          <w:sz w:val="20"/>
          <w:szCs w:val="20"/>
          <w:color w:val="auto"/>
        </w:rPr>
      </w:pPr>
    </w:p>
    <w:p>
      <w:pPr>
        <w:ind w:right="20"/>
        <w:spacing w:after="0" w:line="221" w:lineRule="auto"/>
        <w:rPr>
          <w:sz w:val="20"/>
          <w:szCs w:val="20"/>
          <w:color w:val="auto"/>
        </w:rPr>
      </w:pPr>
      <w:r>
        <w:rPr>
          <w:rFonts w:ascii="Arial" w:cs="Arial" w:eastAsia="Arial" w:hAnsi="Arial"/>
          <w:sz w:val="18"/>
          <w:szCs w:val="18"/>
          <w:color w:val="auto"/>
        </w:rPr>
        <w:t>In addition, if the ED finds that a school has failed to comply with Title IV requirements or improperly disbursed or retained Title IV program funds, it may take one or more of a number of actions, including fining the school, requiring the school to repay Title IV program funds, limiting or terminating the school’s eligibility to participate in Title IV programs, initiating an emergency action to suspend the school’s participation in the Title IV programs without prior notice or opportunity for a hearing, transferring the school to a method of Title IV payment that would adversely affect the timing of the institution’s receipt of Title IV funds, requiring the submission of a letter of credit, denying or refusing to consider the school’s application for renewal of its certification to participate in the Title IV programs or for approval to add a new campus or educational program and referring the matter for possible civil or criminal investigation. There can be no assurance that the ED will not take any of these or other actions in the future, whether as a result of a lawsuit, program review or otherwise. This list is not exhaustive. There may be other actions the ED may take and other legal theories under which a school could be sued as a result of alleged irregularities in the administration of student financial aid. See Item 1A. Risk Factors, including Failure to Comply With Statutory and Regulatory Requirements Could Result in Loss of Access to U.S. Federal Student Loans and Grants Under Title IV, a Requirement to Pay Fines or Monetary Liabilities or Other Sanctions.</w:t>
      </w:r>
    </w:p>
    <w:p>
      <w:pPr>
        <w:spacing w:after="0" w:line="122" w:lineRule="exact"/>
        <w:rPr>
          <w:sz w:val="20"/>
          <w:szCs w:val="20"/>
          <w:color w:val="auto"/>
        </w:rPr>
      </w:pPr>
    </w:p>
    <w:p>
      <w:pPr>
        <w:ind w:right="100"/>
        <w:spacing w:after="0" w:line="230" w:lineRule="auto"/>
        <w:rPr>
          <w:sz w:val="20"/>
          <w:szCs w:val="20"/>
          <w:color w:val="auto"/>
        </w:rPr>
      </w:pPr>
      <w:r>
        <w:rPr>
          <w:rFonts w:ascii="Arial" w:cs="Arial" w:eastAsia="Arial" w:hAnsi="Arial"/>
          <w:sz w:val="18"/>
          <w:szCs w:val="18"/>
          <w:b w:val="1"/>
          <w:bCs w:val="1"/>
          <w:i w:val="1"/>
          <w:iCs w:val="1"/>
          <w:color w:val="auto"/>
        </w:rPr>
        <w:t xml:space="preserve">Student Default Rates. </w:t>
      </w:r>
      <w:r>
        <w:rPr>
          <w:rFonts w:ascii="Arial" w:cs="Arial" w:eastAsia="Arial" w:hAnsi="Arial"/>
          <w:sz w:val="18"/>
          <w:szCs w:val="18"/>
          <w:color w:val="auto"/>
        </w:rPr>
        <w:t>A school may lose its eligibility to participate in Title IV programs if student defaults on the repayment of Title IV loans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exceed specified rates, referred to as “cohort default rates.” The ED calculates a cohort default rate for each OPEID number. KU has one OPEID number. If a school’s cohort default rate exceeds 40% for any single year, it will lose its eligibility to participate in the Direct Loan programs for at least two fiscal years, effective 30 days after notification from the ED. If a school’s cohort default rate equals or exceeds 30% for three</w:t>
      </w:r>
    </w:p>
    <w:p>
      <w:pPr>
        <w:spacing w:after="0" w:line="200" w:lineRule="exact"/>
        <w:rPr>
          <w:sz w:val="20"/>
          <w:szCs w:val="20"/>
          <w:color w:val="auto"/>
        </w:rPr>
      </w:pPr>
    </w:p>
    <w:p>
      <w:pPr>
        <w:spacing w:after="0" w:line="30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20"/>
          </w:cols>
          <w:pgMar w:left="240" w:top="724" w:right="239" w:bottom="1440" w:gutter="0" w:footer="0" w:header="0"/>
        </w:sectPr>
      </w:pPr>
    </w:p>
    <w:bookmarkStart w:id="6" w:name="page7"/>
    <w:bookmarkEnd w:id="6"/>
    <w:p>
      <w:pPr>
        <w:ind w:right="60"/>
        <w:spacing w:after="0" w:line="225" w:lineRule="auto"/>
        <w:rPr>
          <w:sz w:val="20"/>
          <w:szCs w:val="20"/>
          <w:color w:val="auto"/>
        </w:rPr>
      </w:pPr>
      <w:r>
        <w:rPr>
          <w:rFonts w:ascii="Arial" w:cs="Arial" w:eastAsia="Arial" w:hAnsi="Arial"/>
          <w:sz w:val="18"/>
          <w:szCs w:val="18"/>
          <w:color w:val="auto"/>
        </w:rPr>
        <w:t>consecutive years, it will lose its Title IV eligibility to participate in the Direct Loan and U.S. Federal Pell Grant programs effective 30 days after notification from the ED and will remain ineligible for at least two fiscal years. If a school’s cohort default rate equals or exceeds 30% in two of the three most recent fiscal years for which rates have been issued by the ED, it may be placed on provisional certification by the ED and, under new regulations that were scheduled to take effect on July 1, 2017, but were subsequently delayed, may be required to submit a letter of credit to the ED.</w:t>
      </w:r>
    </w:p>
    <w:p>
      <w:pPr>
        <w:spacing w:after="0" w:line="137" w:lineRule="exact"/>
        <w:rPr>
          <w:sz w:val="20"/>
          <w:szCs w:val="20"/>
          <w:color w:val="auto"/>
        </w:rPr>
      </w:pPr>
    </w:p>
    <w:p>
      <w:pPr>
        <w:ind w:right="280"/>
        <w:spacing w:after="0" w:line="235" w:lineRule="auto"/>
        <w:rPr>
          <w:sz w:val="20"/>
          <w:szCs w:val="20"/>
          <w:color w:val="auto"/>
        </w:rPr>
      </w:pPr>
      <w:r>
        <w:rPr>
          <w:rFonts w:ascii="Arial" w:cs="Arial" w:eastAsia="Arial" w:hAnsi="Arial"/>
          <w:sz w:val="18"/>
          <w:szCs w:val="18"/>
          <w:color w:val="auto"/>
        </w:rPr>
        <w:t>The three-year cohort default rates for KU for the U.S. Federal fiscal years ending September 30, 2014, 2013 and 2012, were 14.6%, 12.4% and 12.9%, respectively.</w:t>
      </w:r>
    </w:p>
    <w:p>
      <w:pPr>
        <w:spacing w:after="0" w:line="135" w:lineRule="exact"/>
        <w:rPr>
          <w:sz w:val="20"/>
          <w:szCs w:val="20"/>
          <w:color w:val="auto"/>
        </w:rPr>
      </w:pPr>
    </w:p>
    <w:p>
      <w:pPr>
        <w:ind w:right="240"/>
        <w:spacing w:after="0" w:line="229" w:lineRule="auto"/>
        <w:rPr>
          <w:sz w:val="20"/>
          <w:szCs w:val="20"/>
          <w:color w:val="auto"/>
        </w:rPr>
      </w:pPr>
      <w:r>
        <w:rPr>
          <w:rFonts w:ascii="Arial" w:cs="Arial" w:eastAsia="Arial" w:hAnsi="Arial"/>
          <w:sz w:val="18"/>
          <w:szCs w:val="18"/>
          <w:color w:val="auto"/>
        </w:rPr>
        <w:t>Because KU receives a significantly lower level of taxpayer-funded grants and subsidies than community colleges, state schools and not-for-profit schools, KU is more dependent on tuition, and its students are more dependent on loans. However, no assurances can be given that these resources or programs will enable Kaplan’s schools to maintain cohort default rates below the thresholds for sanctions.</w:t>
      </w:r>
    </w:p>
    <w:p>
      <w:pPr>
        <w:spacing w:after="0" w:line="1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Federal Rulemaking</w:t>
      </w:r>
    </w:p>
    <w:p>
      <w:pPr>
        <w:spacing w:after="0" w:line="144" w:lineRule="exact"/>
        <w:rPr>
          <w:sz w:val="20"/>
          <w:szCs w:val="20"/>
          <w:color w:val="auto"/>
        </w:rPr>
      </w:pPr>
    </w:p>
    <w:p>
      <w:pPr>
        <w:spacing w:after="0" w:line="230" w:lineRule="auto"/>
        <w:rPr>
          <w:sz w:val="20"/>
          <w:szCs w:val="20"/>
          <w:color w:val="auto"/>
        </w:rPr>
      </w:pPr>
      <w:r>
        <w:rPr>
          <w:rFonts w:ascii="Arial" w:cs="Arial" w:eastAsia="Arial" w:hAnsi="Arial"/>
          <w:sz w:val="18"/>
          <w:szCs w:val="18"/>
          <w:b w:val="1"/>
          <w:bCs w:val="1"/>
          <w:i w:val="1"/>
          <w:iCs w:val="1"/>
          <w:color w:val="auto"/>
        </w:rPr>
        <w:t xml:space="preserve">Borrower Defense to Repayment Regulations. </w:t>
      </w:r>
      <w:r>
        <w:rPr>
          <w:rFonts w:ascii="Arial" w:cs="Arial" w:eastAsia="Arial" w:hAnsi="Arial"/>
          <w:sz w:val="18"/>
          <w:szCs w:val="18"/>
          <w:color w:val="auto"/>
        </w:rPr>
        <w:t>On November 1, 2016, the ED issued final rules that would have become effective on July 1,</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2017, but were subsequently delayed, that expand the bases on which borrowers may obtain a discharge of their federal financial aid loans and that establish a process for the ED to commence a separate proceeding against the institution to recover the discharged amounts. Prior to the effective date, on June 14, 2017, the ED delayed implementation of a large portion of the rule. Multiple state attorneys general have sued the ED to force reinstatement of the rules.</w:t>
      </w:r>
    </w:p>
    <w:p>
      <w:pPr>
        <w:spacing w:after="0" w:line="138" w:lineRule="exact"/>
        <w:rPr>
          <w:sz w:val="20"/>
          <w:szCs w:val="20"/>
          <w:color w:val="auto"/>
        </w:rPr>
      </w:pPr>
    </w:p>
    <w:p>
      <w:pPr>
        <w:ind w:right="180"/>
        <w:spacing w:after="0" w:line="222" w:lineRule="auto"/>
        <w:rPr>
          <w:sz w:val="20"/>
          <w:szCs w:val="20"/>
          <w:color w:val="auto"/>
        </w:rPr>
      </w:pPr>
      <w:r>
        <w:rPr>
          <w:rFonts w:ascii="Arial" w:cs="Arial" w:eastAsia="Arial" w:hAnsi="Arial"/>
          <w:sz w:val="18"/>
          <w:szCs w:val="18"/>
          <w:color w:val="auto"/>
        </w:rPr>
        <w:t>The final rules amend existing procedures and standards for borrowers seeking the discharge of certain Title IV loans first disbursed prior to July 1, 2017, based on certain acts or omissions of the institution. The final rules also expand the bases for borrowers to obtain discharges of certain Title IV loans first disbursed on or after July 1, 2017, including any substantial misrepresentations by the school or any of its representatives or individuals or entities with whom the institution has an agreement, certain breaches of contract and certain judgments against the school. The final rules include procedures for borrowers to assert discharge claims as a group rather than individually and create extended and, in some cases, unlimited statutes of limitation for the submission of discharge claims. The final rules also establish procedures for the evaluation of claims, for minimal school participation in the process and for the ED to consolidate and present borrower claims during the process. If the borrower discharge claims are approved, the ED may discharge some or all of the loans and initiate a separate proceeding to recover any discharged loans from the institution.</w:t>
      </w:r>
    </w:p>
    <w:p>
      <w:pPr>
        <w:spacing w:after="0" w:line="154" w:lineRule="exact"/>
        <w:rPr>
          <w:sz w:val="20"/>
          <w:szCs w:val="20"/>
          <w:color w:val="auto"/>
        </w:rPr>
      </w:pPr>
    </w:p>
    <w:p>
      <w:pPr>
        <w:spacing w:after="0" w:line="222" w:lineRule="auto"/>
        <w:rPr>
          <w:sz w:val="20"/>
          <w:szCs w:val="20"/>
          <w:color w:val="auto"/>
        </w:rPr>
      </w:pPr>
      <w:r>
        <w:rPr>
          <w:rFonts w:ascii="Arial" w:cs="Arial" w:eastAsia="Arial" w:hAnsi="Arial"/>
          <w:sz w:val="18"/>
          <w:szCs w:val="18"/>
          <w:color w:val="auto"/>
        </w:rPr>
        <w:t>The rules also amend the ED’s financial responsibility regulations by imposing, among other things, two sets of triggers for determining whether the ED may require the institution to furnish the ED with a letter of credit or other form of acceptable financial protection and to accept other requirements that the ED might impose. The first set of triggers include certain lawsuits, judgments and settlements; an accrediting agency requirement to submit a teach-out plan in connection with closure of a location; one or more programs that could lose eligibility based on gainful employment rates in the next award year; and certain withdrawals of owners’ equity. If one of the triggers occurs, the ED would recalculate the institution’s composite score by estimating the amount of actual and potential losses resulting from the triggering event and determining whether the recalculated composite score results in the institution failing the financial responsibility standards. The rules for estimating potential losses are broad. For example, the rules generally presume that potential losses from pending lawsuits equal the amount sought in the complaint or in any final demand letter.</w:t>
      </w:r>
    </w:p>
    <w:p>
      <w:pPr>
        <w:spacing w:after="0" w:line="141" w:lineRule="exact"/>
        <w:rPr>
          <w:sz w:val="20"/>
          <w:szCs w:val="20"/>
          <w:color w:val="auto"/>
        </w:rPr>
      </w:pPr>
    </w:p>
    <w:p>
      <w:pPr>
        <w:ind w:right="160"/>
        <w:spacing w:after="0" w:line="223" w:lineRule="auto"/>
        <w:rPr>
          <w:sz w:val="20"/>
          <w:szCs w:val="20"/>
          <w:color w:val="auto"/>
        </w:rPr>
      </w:pPr>
      <w:r>
        <w:rPr>
          <w:rFonts w:ascii="Arial" w:cs="Arial" w:eastAsia="Arial" w:hAnsi="Arial"/>
          <w:sz w:val="18"/>
          <w:szCs w:val="18"/>
          <w:color w:val="auto"/>
        </w:rPr>
        <w:t>Additionally a second set of triggers that could result in the ED imposing a letter of credit requirement and other conditions or requirements include failure to comply with 90/10 requirements for the most recently completed fiscal year; an SEC warning that it may suspend trading on the institution’s stock; failure to file certain reports with the SEC; receipt of notice of non-compliance with exchange requirements; notice that the institution’s stock is delisted; cohort default rates exceeding 30% for the two most recent years; certain significant fluctuations in Title IV funding; failure to comply with certain state or accreditor requirements; high annual drop-out rates; probation, show cause or similar action by an institution’s accrediting agency; certain violations of loan agreements; expected or pending claims for borrower relief discharges; and other material adverse effects on financial condition.</w:t>
      </w:r>
    </w:p>
    <w:p>
      <w:pPr>
        <w:spacing w:after="0" w:line="139" w:lineRule="exact"/>
        <w:rPr>
          <w:sz w:val="20"/>
          <w:szCs w:val="20"/>
          <w:color w:val="auto"/>
        </w:rPr>
      </w:pPr>
    </w:p>
    <w:p>
      <w:pPr>
        <w:ind w:right="80"/>
        <w:spacing w:after="0" w:line="225" w:lineRule="auto"/>
        <w:rPr>
          <w:sz w:val="20"/>
          <w:szCs w:val="20"/>
          <w:color w:val="auto"/>
        </w:rPr>
      </w:pPr>
      <w:r>
        <w:rPr>
          <w:rFonts w:ascii="Arial" w:cs="Arial" w:eastAsia="Arial" w:hAnsi="Arial"/>
          <w:sz w:val="18"/>
          <w:szCs w:val="18"/>
          <w:color w:val="auto"/>
        </w:rPr>
        <w:t>If the ED deems that the institution failed the financial responsibility standards based on one or more of the aforementioned events listed in the regulations or based on the institution’s failure to comply with other requirements in the financial responsibility regulations, the ED may permit the institution to continue participating in the Title IV programs under a provisional certification and would require the institution to submit a letter of credit or other form of financial protection, comply with certain student debt-to-income ratios under the ED’s gainful employment rules discussed below and potentially accept other conditions or restrictions.</w:t>
      </w:r>
    </w:p>
    <w:p>
      <w:pPr>
        <w:spacing w:after="0" w:line="200" w:lineRule="exact"/>
        <w:rPr>
          <w:sz w:val="20"/>
          <w:szCs w:val="20"/>
          <w:color w:val="auto"/>
        </w:rPr>
      </w:pPr>
    </w:p>
    <w:p>
      <w:pPr>
        <w:spacing w:after="0" w:line="30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20"/>
          </w:cols>
          <w:pgMar w:left="240" w:top="746" w:right="239" w:bottom="1440" w:gutter="0" w:footer="0" w:header="0"/>
        </w:sectPr>
      </w:pPr>
    </w:p>
    <w:bookmarkStart w:id="7" w:name="page8"/>
    <w:bookmarkEnd w:id="7"/>
    <w:p>
      <w:pPr>
        <w:ind w:right="180"/>
        <w:spacing w:after="0" w:line="223" w:lineRule="auto"/>
        <w:rPr>
          <w:sz w:val="20"/>
          <w:szCs w:val="20"/>
          <w:color w:val="auto"/>
        </w:rPr>
      </w:pPr>
      <w:r>
        <w:rPr>
          <w:rFonts w:ascii="Arial" w:cs="Arial" w:eastAsia="Arial" w:hAnsi="Arial"/>
          <w:sz w:val="18"/>
          <w:szCs w:val="18"/>
          <w:color w:val="auto"/>
        </w:rPr>
        <w:t>If the ED requires a letter of credit based on a trigger from either set of triggers, the rules require the letter of credit to equal 10% of the total amount of Title IV funds received by the institution during its most recently completed fiscal year plus any additional amount that the ED determines is necessary to fully cover any estimated losses. The ED also may place the institution on provisional certification, impose certain reporting requirements, place the institution on the heightened cash monitoring or reimbursement payment methods and impose other conditions or requirements. The ED may require the institution to maintain the letter of credit until the institution’s composite score is 1.0 or greater and the triggering events have been resolved or cease to exist. If the rule goes into effect as written, it is possible that KU will be subject to such letter of credit requirements in the future.</w:t>
      </w:r>
    </w:p>
    <w:p>
      <w:pPr>
        <w:spacing w:after="0" w:line="139" w:lineRule="exact"/>
        <w:rPr>
          <w:sz w:val="20"/>
          <w:szCs w:val="20"/>
          <w:color w:val="auto"/>
        </w:rPr>
      </w:pPr>
    </w:p>
    <w:p>
      <w:pPr>
        <w:ind w:right="180"/>
        <w:spacing w:after="0" w:line="229" w:lineRule="auto"/>
        <w:rPr>
          <w:sz w:val="20"/>
          <w:szCs w:val="20"/>
          <w:color w:val="auto"/>
        </w:rPr>
      </w:pPr>
      <w:r>
        <w:rPr>
          <w:rFonts w:ascii="Arial" w:cs="Arial" w:eastAsia="Arial" w:hAnsi="Arial"/>
          <w:sz w:val="18"/>
          <w:szCs w:val="18"/>
          <w:color w:val="auto"/>
        </w:rPr>
        <w:t>Additionally, the rules require schools not meeting a “repayment rate” threshold calculation to provide an ED-prepared warning to current and prospective students and to include the warning on its website and in promotional materials and advertisements. The final language of the warning is not yet determined. It is likely KU will have to provide such warnings if the rules take effect as written.</w:t>
      </w:r>
    </w:p>
    <w:p>
      <w:pPr>
        <w:spacing w:after="0" w:line="137" w:lineRule="exact"/>
        <w:rPr>
          <w:sz w:val="20"/>
          <w:szCs w:val="20"/>
          <w:color w:val="auto"/>
        </w:rPr>
      </w:pPr>
    </w:p>
    <w:p>
      <w:pPr>
        <w:spacing w:after="0" w:line="229" w:lineRule="auto"/>
        <w:rPr>
          <w:sz w:val="20"/>
          <w:szCs w:val="20"/>
          <w:color w:val="auto"/>
        </w:rPr>
      </w:pPr>
      <w:r>
        <w:rPr>
          <w:rFonts w:ascii="Arial" w:cs="Arial" w:eastAsia="Arial" w:hAnsi="Arial"/>
          <w:sz w:val="18"/>
          <w:szCs w:val="18"/>
          <w:color w:val="auto"/>
        </w:rPr>
        <w:t>The rules also include new provisions related to arbitration and class-action lawsuits, including prohibitions regarding an institution’s use of pre-dispute arbitration agreements and class-action waivers. KU currently uses both mandatory arbitration and class-action waivers to limit exposure to class-action cases and resolve student complaints more quickly and efficiently.</w:t>
      </w:r>
    </w:p>
    <w:p>
      <w:pPr>
        <w:spacing w:after="0" w:line="137" w:lineRule="exact"/>
        <w:rPr>
          <w:sz w:val="20"/>
          <w:szCs w:val="20"/>
          <w:color w:val="auto"/>
        </w:rPr>
      </w:pPr>
    </w:p>
    <w:p>
      <w:pPr>
        <w:spacing w:after="0" w:line="222" w:lineRule="auto"/>
        <w:rPr>
          <w:sz w:val="20"/>
          <w:szCs w:val="20"/>
          <w:color w:val="auto"/>
        </w:rPr>
      </w:pPr>
      <w:r>
        <w:rPr>
          <w:rFonts w:ascii="Arial" w:cs="Arial" w:eastAsia="Arial" w:hAnsi="Arial"/>
          <w:sz w:val="18"/>
          <w:szCs w:val="18"/>
          <w:color w:val="auto"/>
        </w:rPr>
        <w:t>On October 24, 2017, the ED published an interim final rule that delayed until at least July 1, 2018, the effective date of the majority of these regulations. On the same date, the ED also published a notice of proposed rulemaking that proposed to further delay, until July 1, 2019, the effective date of the majority of the regulations to ensure that there is adequate time to conduct negotiated rulemaking and, as necessary, develop revised regulations. Comments on the proposal were due by November 24, 2017. The ED convened the first meeting of negotiated rulemaking in November 2017 and convened additional meetings in early 2018. The ED intends to issue proposed regulations for public comment during the first half of 2018, but the ED has not established a final schedule. Any regulations published in final form by November 1, 2018, typically would take effect on July 1, 2019, but there is no assurance as to the timing or content of any such regulations. On February 14, 2018, the ED issued a final regulation delaying the effective date of most of the provisions with respect to borrower defense to repayment until November 1, 2019. The ED has indicated that, in the meantime, it will continue to accept claims with respect to borrower defense to repayment and process them under pre-2016 policies and practices.</w:t>
      </w:r>
    </w:p>
    <w:p>
      <w:pPr>
        <w:spacing w:after="0" w:line="138" w:lineRule="exact"/>
        <w:rPr>
          <w:sz w:val="20"/>
          <w:szCs w:val="20"/>
          <w:color w:val="auto"/>
        </w:rPr>
      </w:pPr>
    </w:p>
    <w:p>
      <w:pPr>
        <w:jc w:val="both"/>
        <w:ind w:right="100"/>
        <w:spacing w:after="0" w:line="227" w:lineRule="auto"/>
        <w:rPr>
          <w:sz w:val="20"/>
          <w:szCs w:val="20"/>
          <w:color w:val="auto"/>
        </w:rPr>
      </w:pPr>
      <w:r>
        <w:rPr>
          <w:rFonts w:ascii="Arial" w:cs="Arial" w:eastAsia="Arial" w:hAnsi="Arial"/>
          <w:sz w:val="18"/>
          <w:szCs w:val="18"/>
          <w:color w:val="auto"/>
        </w:rPr>
        <w:t>We cannot predict how the ED would interpret and enforce the new borrower defense to repayment rules if they take effect after the delay or how these rules, or any rules that may arise out of the negotiated rulemaking process, may impact KU’s participation in the Title IV programs; however, the new rules could have a material adverse effect on Kaplan’s business and results of operations, and the broad sweep of the rules may, in the future, require Kaplan to submit a letter of credit as indicated above.</w:t>
      </w:r>
    </w:p>
    <w:p>
      <w:pPr>
        <w:spacing w:after="0" w:line="113" w:lineRule="exact"/>
        <w:rPr>
          <w:sz w:val="20"/>
          <w:szCs w:val="20"/>
          <w:color w:val="auto"/>
        </w:rPr>
      </w:pPr>
    </w:p>
    <w:p>
      <w:pPr>
        <w:ind w:right="40"/>
        <w:spacing w:after="0" w:line="228" w:lineRule="auto"/>
        <w:rPr>
          <w:sz w:val="20"/>
          <w:szCs w:val="20"/>
          <w:color w:val="auto"/>
        </w:rPr>
      </w:pPr>
      <w:r>
        <w:rPr>
          <w:rFonts w:ascii="Arial" w:cs="Arial" w:eastAsia="Arial" w:hAnsi="Arial"/>
          <w:sz w:val="18"/>
          <w:szCs w:val="18"/>
          <w:b w:val="1"/>
          <w:bCs w:val="1"/>
          <w:i w:val="1"/>
          <w:iCs w:val="1"/>
          <w:color w:val="auto"/>
        </w:rPr>
        <w:t>Gainful Employment</w:t>
      </w: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Under the Higher Education Act, certain education programs, including all programs offered by proprietary institutions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such as KU, are required to lead to gainful employment in a recognized occupation in order to be eligible to participate in the Title IV programs. The ED has defined the phrase “gainful employment” to mean employment with earnings high enough to meet specific student debt-to-income ratios. The ED tied an education program’s Title IV eligibility to whether the program meets that definition. These regulations are known as the “Gainful Employment” regulation or “GE” rules. A final Gainful Employment regulation was released on October 31, 2014. The final rule went into effect on July 1, 2015, and Kaplan timely submitted the required Gainful Employment data to the ED.</w:t>
      </w:r>
    </w:p>
    <w:p>
      <w:pPr>
        <w:spacing w:after="0" w:line="139" w:lineRule="exact"/>
        <w:rPr>
          <w:sz w:val="20"/>
          <w:szCs w:val="20"/>
          <w:color w:val="auto"/>
        </w:rPr>
      </w:pPr>
    </w:p>
    <w:p>
      <w:pPr>
        <w:spacing w:after="0" w:line="221" w:lineRule="auto"/>
        <w:rPr>
          <w:sz w:val="20"/>
          <w:szCs w:val="20"/>
          <w:color w:val="auto"/>
        </w:rPr>
      </w:pPr>
      <w:r>
        <w:rPr>
          <w:rFonts w:ascii="Arial" w:cs="Arial" w:eastAsia="Arial" w:hAnsi="Arial"/>
          <w:sz w:val="18"/>
          <w:szCs w:val="18"/>
          <w:color w:val="auto"/>
        </w:rPr>
        <w:t>As noted previously, the final rule maintained the debt-to-earnings thresholds requiring that each GE program show that its graduates’ debt payment on loans taken out to attend the program are no more than a certain percentage of their earnings. If a program fails this metric multiple years in a row, it will become ineligible for Title IV aid. Under the debt-to-earnings rates, a program passes the test if its annual debt-to-earnings rate does not exceed 8% or its discretionary debt-to-earnings rate does not exceed 20%. A program fails the test if its annual debt-to-earnings rate exceeds 12% and its discretionary debt to earnings rate exceeds 30%. A program is in a regulatory status called the “warning zone” if it does not pass or fail the test (i.e., either its annual debt-to-earnings rate is greater than 8%, but less than 12%, or its discretionary debt-to-earnings rate is greater than 20%, but less than 30%). If a program fails the test two times within three years, it will become ineligible to participate in the Title IV programs for a period of three years. If a program is either in the warning zone or fails the test for four consecutive years, it will also become ineligible to participate in Title IV programs for a period of three years. In addition, the regulation requires an institution to provide to current and prospective students prescribed warnings of potential ineligibility of the program in any year for which the program could become ineligible based on the prior-year GE rates. Institutions with such programs also must wait to enroll prospective students into the failing program until three days after providing the warning to students. Such institutions also may be required to submit a letter of credit or other financial protection to the ED under the new borrower defense to repayment regulations noted in this disclosure, although the effective date of these regulations has been delayed.</w:t>
      </w:r>
    </w:p>
    <w:p>
      <w:pPr>
        <w:spacing w:after="0" w:line="200" w:lineRule="exact"/>
        <w:rPr>
          <w:sz w:val="20"/>
          <w:szCs w:val="20"/>
          <w:color w:val="auto"/>
        </w:rPr>
      </w:pPr>
    </w:p>
    <w:p>
      <w:pPr>
        <w:spacing w:after="0" w:line="30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380"/>
          </w:cols>
          <w:pgMar w:left="240" w:top="746" w:right="279" w:bottom="1440" w:gutter="0" w:footer="0" w:header="0"/>
        </w:sectPr>
      </w:pPr>
    </w:p>
    <w:bookmarkStart w:id="8" w:name="page9"/>
    <w:bookmarkEnd w:id="8"/>
    <w:p>
      <w:pPr>
        <w:ind w:right="60"/>
        <w:spacing w:after="0" w:line="223" w:lineRule="auto"/>
        <w:rPr>
          <w:sz w:val="20"/>
          <w:szCs w:val="20"/>
          <w:color w:val="auto"/>
        </w:rPr>
      </w:pPr>
      <w:r>
        <w:rPr>
          <w:rFonts w:ascii="Arial" w:cs="Arial" w:eastAsia="Arial" w:hAnsi="Arial"/>
          <w:sz w:val="18"/>
          <w:szCs w:val="18"/>
          <w:color w:val="auto"/>
        </w:rPr>
        <w:t>The rules also included revised requirements for program approval, public disclosures on certain outcomes (graduation, placement, repayment rates and other consumer information) and a “certification” requirement that each program is included in the school’s accreditation grant and has programmatic-level accreditation if required for licensure in the occupation. This “certification” requirement has a material negative impact on KU’s Concord Law School’s Juris Doctor program, which accounted for less than 1% of KHE’s 2017 revenue. Because it is completely online, that program does not have the accreditation necessary to allow graduates to become licensed to practice law upon graduation and qualify to take the bar exam in any state other than California. Accordingly, because the ED has not provided guidance that narrows the rule as written, in 2015, Concord Law School was required to cease enrollments in multiple states.</w:t>
      </w:r>
    </w:p>
    <w:p>
      <w:pPr>
        <w:spacing w:after="0" w:line="139" w:lineRule="exact"/>
        <w:rPr>
          <w:sz w:val="20"/>
          <w:szCs w:val="20"/>
          <w:color w:val="auto"/>
        </w:rPr>
      </w:pPr>
    </w:p>
    <w:p>
      <w:pPr>
        <w:ind w:right="20"/>
        <w:spacing w:after="0" w:line="223" w:lineRule="auto"/>
        <w:rPr>
          <w:sz w:val="20"/>
          <w:szCs w:val="20"/>
          <w:color w:val="auto"/>
        </w:rPr>
      </w:pPr>
      <w:r>
        <w:rPr>
          <w:rFonts w:ascii="Arial" w:cs="Arial" w:eastAsia="Arial" w:hAnsi="Arial"/>
          <w:sz w:val="18"/>
          <w:szCs w:val="18"/>
          <w:color w:val="auto"/>
        </w:rPr>
        <w:t>KU implemented actions to mitigate the potential impact of the GE regulations on certain programs that may fail the GE debt-to-income ratio by discontinuing likely failing programs and placing tuition caps on certain other programs. New programs have replaced a significant portion of the intake loss of the discontinued programs (isolating for general declines in all programs). Kaplan believes that the new programs are not “substantially similar” under the GE rules to any other current or past programs. However, if the ED determines that these new programs are substantially similar and combines the new programs with programs that are currently in the warning zone or that failed the GE test, eligibility of the new programs to participate in Title IV programs and revenues from such programs would be materially adversely affected. The GE rules do not apply to degree programs (Graduate degrees, Associate’s and Bachelor’s) at non-profit or public institutions such as the new university.</w:t>
      </w:r>
    </w:p>
    <w:p>
      <w:pPr>
        <w:spacing w:after="0" w:line="139" w:lineRule="exact"/>
        <w:rPr>
          <w:sz w:val="20"/>
          <w:szCs w:val="20"/>
          <w:color w:val="auto"/>
        </w:rPr>
      </w:pPr>
    </w:p>
    <w:p>
      <w:pPr>
        <w:ind w:right="200"/>
        <w:spacing w:after="0" w:line="224" w:lineRule="auto"/>
        <w:rPr>
          <w:sz w:val="20"/>
          <w:szCs w:val="20"/>
          <w:color w:val="auto"/>
        </w:rPr>
      </w:pPr>
      <w:r>
        <w:rPr>
          <w:rFonts w:ascii="Arial" w:cs="Arial" w:eastAsia="Arial" w:hAnsi="Arial"/>
          <w:sz w:val="18"/>
          <w:szCs w:val="18"/>
          <w:color w:val="auto"/>
        </w:rPr>
        <w:t>In October 2016, the ED issued draft debt-to-earnings rates. KU had five programs in which the draft rates failed the GE test; however, two of these five programs are not active and the remaining three are not currently accepting enrollments. KU has 16 programs in which the draft rates put them in warning zone status. Four of these programs are active and accounted for $71 million and $51.1 million in revenue for 2015 and 2016, respectively. For 2017, these four programs accounted for $44.5 million in revenue. KU continues to employ mitigation actions to minimize the financial impact of GE and secure GE compliance. Of the remaining 12 programs, five were suspended several years ago and have no active students and seven of these programs are not currently accepting enrollments.</w:t>
      </w:r>
    </w:p>
    <w:p>
      <w:pPr>
        <w:spacing w:after="0" w:line="137" w:lineRule="exact"/>
        <w:rPr>
          <w:sz w:val="20"/>
          <w:szCs w:val="20"/>
          <w:color w:val="auto"/>
        </w:rPr>
      </w:pPr>
    </w:p>
    <w:p>
      <w:pPr>
        <w:ind w:right="20"/>
        <w:spacing w:after="0" w:line="227" w:lineRule="auto"/>
        <w:rPr>
          <w:sz w:val="20"/>
          <w:szCs w:val="20"/>
          <w:color w:val="auto"/>
        </w:rPr>
      </w:pPr>
      <w:r>
        <w:rPr>
          <w:rFonts w:ascii="Arial" w:cs="Arial" w:eastAsia="Arial" w:hAnsi="Arial"/>
          <w:sz w:val="18"/>
          <w:szCs w:val="18"/>
          <w:color w:val="auto"/>
        </w:rPr>
        <w:t>On January 9, 2017, the ED released the final first-year debt-to-earnings rates, which did not change from the draft rates issued in October 2016. Under the GE regulations, KU has the ability to challenge the underlying data used in the debt-to-earnings calculations. KU has appealed the underlying earnings data in certain programs that fell into the fail or warning zone category. If successful, the appeals could shift the number of programs in each category favorably.</w:t>
      </w:r>
    </w:p>
    <w:p>
      <w:pPr>
        <w:spacing w:after="0" w:line="135" w:lineRule="exact"/>
        <w:rPr>
          <w:sz w:val="20"/>
          <w:szCs w:val="20"/>
          <w:color w:val="auto"/>
        </w:rPr>
      </w:pPr>
    </w:p>
    <w:p>
      <w:pPr>
        <w:spacing w:after="0" w:line="222" w:lineRule="auto"/>
        <w:rPr>
          <w:sz w:val="20"/>
          <w:szCs w:val="20"/>
          <w:color w:val="auto"/>
        </w:rPr>
      </w:pPr>
      <w:r>
        <w:rPr>
          <w:rFonts w:ascii="Arial" w:cs="Arial" w:eastAsia="Arial" w:hAnsi="Arial"/>
          <w:sz w:val="18"/>
          <w:szCs w:val="18"/>
          <w:color w:val="auto"/>
        </w:rPr>
        <w:t>On June 30, 2017, the ED announced the extension of the compliance date for certain gainful employment disclosure requirements from July 1, 2017, to July 1, 2018, and subsequently relaxed the documentation requirements for alternate earnings appeals. On August 18, 2017, the ED extended to February 1, 2018, the deadline for all programs to file supporting documents for their alternate earnings appeals. The ED has not announced a delay or suspension in the enforcement of any other GE regulations. However, on August 8, 2017, ED officials announced that the ED did not have a timetable for the issuance of lists of students who completed programs, which is the first step toward generating the data for calculating new gainful employment rates. Consequently, we cannot predict when the ED will begin the process of calculating and issuing new draft or final gainful employment rates in the future. We also cannot predict whether the announcement of the intent to initiate gainful employment rulemaking, discussed below, or the extension of certain gainful employment deadlines may result in the ED delaying the issuance of new draft or final gainful employment rates in the future.</w:t>
      </w:r>
    </w:p>
    <w:p>
      <w:pPr>
        <w:spacing w:after="0" w:line="141" w:lineRule="exact"/>
        <w:rPr>
          <w:sz w:val="20"/>
          <w:szCs w:val="20"/>
          <w:color w:val="auto"/>
        </w:rPr>
      </w:pPr>
    </w:p>
    <w:p>
      <w:pPr>
        <w:spacing w:after="0" w:line="225" w:lineRule="auto"/>
        <w:rPr>
          <w:sz w:val="20"/>
          <w:szCs w:val="20"/>
          <w:color w:val="auto"/>
        </w:rPr>
      </w:pPr>
      <w:r>
        <w:rPr>
          <w:rFonts w:ascii="Arial" w:cs="Arial" w:eastAsia="Arial" w:hAnsi="Arial"/>
          <w:sz w:val="18"/>
          <w:szCs w:val="18"/>
          <w:color w:val="auto"/>
        </w:rPr>
        <w:t>On June 15, 2017, the ED announced its intention to convene a negotiated rulemaking committee to develop proposed regulations to revise the GE rules. The committee convened in December 2017, will continue to meet in early 2018, and may issue proposed regulations for public comment during the first half of 2018, but the ED has not established a final schedule for publication of proposed or final regulations. Any regulations published in final form by November 1, 2018, typically would take effect on July 1, 2019, but we cannot provide any assurances as to the timing or content of any such regulations.</w:t>
      </w:r>
    </w:p>
    <w:p>
      <w:pPr>
        <w:spacing w:after="0" w:line="137" w:lineRule="exact"/>
        <w:rPr>
          <w:sz w:val="20"/>
          <w:szCs w:val="20"/>
          <w:color w:val="auto"/>
        </w:rPr>
      </w:pPr>
    </w:p>
    <w:p>
      <w:pPr>
        <w:ind w:right="40"/>
        <w:spacing w:after="0" w:line="222" w:lineRule="auto"/>
        <w:rPr>
          <w:sz w:val="20"/>
          <w:szCs w:val="20"/>
          <w:color w:val="auto"/>
        </w:rPr>
      </w:pPr>
      <w:r>
        <w:rPr>
          <w:rFonts w:ascii="Arial" w:cs="Arial" w:eastAsia="Arial" w:hAnsi="Arial"/>
          <w:sz w:val="18"/>
          <w:szCs w:val="18"/>
          <w:color w:val="auto"/>
        </w:rPr>
        <w:t>Some of the data needed to compute debt-to-earnings rates and project their impact on Title IV program eligibility under the GE regulations are not accessible to the Company, including specific graduate earnings information that will be compiled by the Social Security Administration. In addition, the continuing eligibility of programs for Title IV funding may be affected by factors beyond Kaplan’s control, such as changes in the actual or deemed earnings level of its graduates, changes in student borrowing levels, increases in interest rates, changes in the U.S. Federal poverty income level relevant for calculating one of the proposed debt-to-earnings rates and other factors. As a result, the ultimate outcome of future GE rates and their impact on Kaplan’s operations are still uncertain. Kaplan is continuing efforts to mitigate any current and potential negative impact of the GE rules. These efforts include increasing career services support, implementing financial literacy counseling, creating program-specific tuition reductions and scholarships and revising the pricing model to implement a tuition cap for at-risk programs. Although Kaplan is taking these and other steps to address compliance with GE regulations, there is no assurance that these measures will be adequate to prevent a material number of programs from receiving debt-to-earnings rates that fail</w:t>
      </w:r>
    </w:p>
    <w:p>
      <w:pPr>
        <w:spacing w:after="0" w:line="200" w:lineRule="exact"/>
        <w:rPr>
          <w:sz w:val="20"/>
          <w:szCs w:val="20"/>
          <w:color w:val="auto"/>
        </w:rPr>
      </w:pPr>
    </w:p>
    <w:p>
      <w:pPr>
        <w:spacing w:after="0" w:line="3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20"/>
          </w:cols>
          <w:pgMar w:left="240" w:top="746" w:right="239" w:bottom="1440" w:gutter="0" w:footer="0" w:header="0"/>
        </w:sectPr>
      </w:pPr>
    </w:p>
    <w:bookmarkStart w:id="9" w:name="page10"/>
    <w:bookmarkEnd w:id="9"/>
    <w:p>
      <w:pPr>
        <w:ind w:right="280"/>
        <w:spacing w:after="0" w:line="229" w:lineRule="auto"/>
        <w:rPr>
          <w:sz w:val="20"/>
          <w:szCs w:val="20"/>
          <w:color w:val="auto"/>
        </w:rPr>
      </w:pPr>
      <w:r>
        <w:rPr>
          <w:rFonts w:ascii="Arial" w:cs="Arial" w:eastAsia="Arial" w:hAnsi="Arial"/>
          <w:sz w:val="18"/>
          <w:szCs w:val="18"/>
          <w:color w:val="auto"/>
        </w:rPr>
        <w:t>or are in the warning zone and to prevent a loss of Title IV eligibility. This has caused Kaplan to eliminate or limit enrollments in certain educational programs at some of its schools; may result in the loss of student access to Title IV programs; and has had and may continue to have a material adverse effect on KHE’s revenues, operating income and cash flows.</w:t>
      </w:r>
    </w:p>
    <w:p>
      <w:pPr>
        <w:spacing w:after="0" w:line="115" w:lineRule="exact"/>
        <w:rPr>
          <w:sz w:val="20"/>
          <w:szCs w:val="20"/>
          <w:color w:val="auto"/>
        </w:rPr>
      </w:pPr>
    </w:p>
    <w:p>
      <w:pPr>
        <w:ind w:right="160"/>
        <w:spacing w:after="0" w:line="226" w:lineRule="auto"/>
        <w:rPr>
          <w:sz w:val="20"/>
          <w:szCs w:val="20"/>
          <w:color w:val="auto"/>
        </w:rPr>
      </w:pPr>
      <w:r>
        <w:rPr>
          <w:rFonts w:ascii="Arial" w:cs="Arial" w:eastAsia="Arial" w:hAnsi="Arial"/>
          <w:sz w:val="18"/>
          <w:szCs w:val="18"/>
          <w:b w:val="1"/>
          <w:bCs w:val="1"/>
          <w:i w:val="1"/>
          <w:iCs w:val="1"/>
          <w:color w:val="auto"/>
        </w:rPr>
        <w:t>Incentive Compensation</w:t>
      </w: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Under the ED’s incentive compensation rules, an institution participating in Title IV programs may not provide any</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commission, bonus or other incentive payment based directly or indirectly on success in securing enrollments or financial aid to any person or entity engaged in any student recruiting or admission activities or in making decisions regarding the awarding of Title IV funds. Kaplan has taken steps to comply fully with these rules and the related guidance. Among the actions taken, Kaplan revised its compensation plans for admissions personnel and eliminated enrollment results as a component in the determination of compensation. Kaplan believes that this change in its approach to recruiting has adversely impacted, and will continue to adversely impact, its enrollment rates, operating costs, business and results of operation. Kaplan cannot predict how the ED will interpret and enforce all aspects of the revised incentive compensation rule in the future.</w:t>
      </w:r>
    </w:p>
    <w:p>
      <w:pPr>
        <w:spacing w:after="0" w:line="115" w:lineRule="exact"/>
        <w:rPr>
          <w:sz w:val="20"/>
          <w:szCs w:val="20"/>
          <w:color w:val="auto"/>
        </w:rPr>
      </w:pPr>
    </w:p>
    <w:p>
      <w:pPr>
        <w:ind w:right="20"/>
        <w:spacing w:after="0" w:line="227" w:lineRule="auto"/>
        <w:rPr>
          <w:sz w:val="20"/>
          <w:szCs w:val="20"/>
          <w:color w:val="auto"/>
        </w:rPr>
      </w:pPr>
      <w:r>
        <w:rPr>
          <w:rFonts w:ascii="Arial" w:cs="Arial" w:eastAsia="Arial" w:hAnsi="Arial"/>
          <w:sz w:val="18"/>
          <w:szCs w:val="18"/>
          <w:b w:val="1"/>
          <w:bCs w:val="1"/>
          <w:i w:val="1"/>
          <w:iCs w:val="1"/>
          <w:color w:val="auto"/>
        </w:rPr>
        <w:t xml:space="preserve">The 90/10 Rule. </w:t>
      </w:r>
      <w:r>
        <w:rPr>
          <w:rFonts w:ascii="Arial" w:cs="Arial" w:eastAsia="Arial" w:hAnsi="Arial"/>
          <w:sz w:val="18"/>
          <w:szCs w:val="18"/>
          <w:color w:val="auto"/>
        </w:rPr>
        <w:t>Under regulations referred to as the 90/10 rule, an institution would lose its eligibility to participate in Title IV programs for a</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period of at least two fiscal years if the institution derives more than 90% of its receipts from Title IV programs, as calculated on a cash basis in accordance with the Higher Education Act and applicable ED regulations, in each of two consecutive fiscal years. An institution with Title IV receipts exceeding 90% for a single fiscal year would be placed on provisional certification and may be subject to other enforcement measures, including a potential requirement to submit to the ED a letter of credit under the borrower defense to repayment regulations that were scheduled to take effect on July 1, 2017, but were subsequently delayed. KU derived less than 74% and less than 77% of its receipts from Title IV programs in 2017 and 2016, respectively.</w:t>
      </w:r>
    </w:p>
    <w:p>
      <w:pPr>
        <w:spacing w:after="0" w:line="137" w:lineRule="exact"/>
        <w:rPr>
          <w:sz w:val="20"/>
          <w:szCs w:val="20"/>
          <w:color w:val="auto"/>
        </w:rPr>
      </w:pPr>
    </w:p>
    <w:p>
      <w:pPr>
        <w:ind w:right="20"/>
        <w:spacing w:after="0" w:line="222" w:lineRule="auto"/>
        <w:rPr>
          <w:sz w:val="20"/>
          <w:szCs w:val="20"/>
          <w:color w:val="auto"/>
        </w:rPr>
      </w:pPr>
      <w:r>
        <w:rPr>
          <w:rFonts w:ascii="Arial" w:cs="Arial" w:eastAsia="Arial" w:hAnsi="Arial"/>
          <w:sz w:val="18"/>
          <w:szCs w:val="18"/>
          <w:color w:val="auto"/>
        </w:rPr>
        <w:t>KU is taking various measures to reduce the percentage of its receipts attributable to Title IV funds, including modifying student payment options; emphasizing direct-pay and employer-paid education programs; encouraging students to evaluate carefully the amount of their Title IV borrowing; eliminating some programs; cash-matching; and developing and offering additional non-Title IV-eligible certificate preparation, professional development and continuing education programs. Kaplan has taken steps to ensure that revenue from programs acquired by KU is eligible to be counted in that campus’s 90/10 calculation. However, there can be no guarantee that the ED will not challenge the inclusion of revenue from any acquired program in KU’s 90/10 calculations or will not issue an interpretation of the 90/10 rule that would exclude such revenue from the calculation. There can be no guarantee that these measures will be adequate to prevent the 90/10 ratio at KU from exceeding 90% in the future. In addition, certain legislators have proposed amendments to the Higher Education Act that would lower the threshold percentage in the 90/10 rule to 85%, treat non-Title IV federal funds as Title IV funds in the 90/10 calculation and make other refinements to the calculation. If these proposals or similar laws or regulations are adopted, they would make it more difficult for KU’s institutions to comply with the 90/10 rule.</w:t>
      </w:r>
    </w:p>
    <w:p>
      <w:pPr>
        <w:spacing w:after="0" w:line="114" w:lineRule="exact"/>
        <w:rPr>
          <w:sz w:val="20"/>
          <w:szCs w:val="20"/>
          <w:color w:val="auto"/>
        </w:rPr>
      </w:pPr>
    </w:p>
    <w:p>
      <w:pPr>
        <w:spacing w:after="0" w:line="225" w:lineRule="auto"/>
        <w:rPr>
          <w:sz w:val="20"/>
          <w:szCs w:val="20"/>
          <w:color w:val="auto"/>
        </w:rPr>
      </w:pPr>
      <w:r>
        <w:rPr>
          <w:rFonts w:ascii="Arial" w:cs="Arial" w:eastAsia="Arial" w:hAnsi="Arial"/>
          <w:sz w:val="18"/>
          <w:szCs w:val="18"/>
          <w:b w:val="1"/>
          <w:bCs w:val="1"/>
          <w:i w:val="1"/>
          <w:iCs w:val="1"/>
          <w:color w:val="auto"/>
        </w:rPr>
        <w:t xml:space="preserve">Change of Control. </w:t>
      </w:r>
      <w:r>
        <w:rPr>
          <w:rFonts w:ascii="Arial" w:cs="Arial" w:eastAsia="Arial" w:hAnsi="Arial"/>
          <w:sz w:val="18"/>
          <w:szCs w:val="18"/>
          <w:color w:val="auto"/>
        </w:rPr>
        <w:t>If an institution experiences a change of control, such as the proposed transfer of KU, under the standards of applicable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state agencies, accrediting agencies or the ED, the institution must seek the approval of the relevant agencies. An institution that undergoes a change of control, which may include a change of control of the institution’s parent corporation or other owners, must be reviewed and recertified by the ED and obtain approvals from certain state agencies and accrediting bodies, in some cases prior to the change of control. The standards pertaining to a change of control are not uniform and are subject to interpretation by the respective agencies. Certifications obtained from the ED following a change of control are granted on a provisional basis that permits the institution to continue participating in Title IV programs, but provides fewer procedural protections than full certifications. As a result, the ED may withdraw an institution’s provisional certification more easily than if it is fully certified. In addition, the ED may subject an institution on provisional certification status to greater scrutiny in some instances, for example, when it applies for approval to add a new location or program or makes another substantive change. As noted above, the proposed transfer of KU is subject to regulatory approval by the ED, HLC, and certain other agencies.</w:t>
      </w:r>
    </w:p>
    <w:p>
      <w:pPr>
        <w:spacing w:after="0" w:line="112" w:lineRule="exact"/>
        <w:rPr>
          <w:sz w:val="20"/>
          <w:szCs w:val="20"/>
          <w:color w:val="auto"/>
        </w:rPr>
      </w:pPr>
    </w:p>
    <w:p>
      <w:pPr>
        <w:spacing w:after="0" w:line="224" w:lineRule="auto"/>
        <w:rPr>
          <w:sz w:val="20"/>
          <w:szCs w:val="20"/>
          <w:color w:val="auto"/>
        </w:rPr>
      </w:pPr>
      <w:r>
        <w:rPr>
          <w:rFonts w:ascii="Arial" w:cs="Arial" w:eastAsia="Arial" w:hAnsi="Arial"/>
          <w:sz w:val="18"/>
          <w:szCs w:val="18"/>
          <w:b w:val="1"/>
          <w:bCs w:val="1"/>
          <w:i w:val="1"/>
          <w:iCs w:val="1"/>
          <w:color w:val="auto"/>
        </w:rPr>
        <w:t xml:space="preserve">Standards of Financial Responsibility. </w:t>
      </w:r>
      <w:r>
        <w:rPr>
          <w:rFonts w:ascii="Arial" w:cs="Arial" w:eastAsia="Arial" w:hAnsi="Arial"/>
          <w:sz w:val="18"/>
          <w:szCs w:val="18"/>
          <w:color w:val="auto"/>
        </w:rPr>
        <w:t>An institution participating in Title IV programs must maintain a certain level of financial responsibility</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as determined under the Higher Education Act and under ED regulations. The ED measures an institution’s financial responsibility by compiling a composite score, ranging from -0.1 to 3.0, pursuant to a formula that incorporates various financial data from annual financial statements submitted to the ED. An institution with a composite score of 1.5 or higher passes the composite test. An institution with a composite score of at least 1.0 and less than 1.5 is in the warning zone. If an institution’s composite score is in the warning zone and the institution complies with other financial responsibility standards, the ED typically permits the institution to continue participating in the Title IV programs under certain conditions, including imposing certain monitoring and reporting requirements, placing the institution on provisional certification and transferring the institution from the advance system of Title IV payment to a heightened cash-monitoring or reimbursement system of payment. An institution fails the composite score test with a score of less than 1.0. The ED may permit such institutions to continue participating in the Title IV programs under the aforementioned conditions and potentially other conditions, as well as a requirement to submit to the ED a letter of credit in an amount equal to at least 10% of the annual Title</w:t>
      </w:r>
    </w:p>
    <w:p>
      <w:pPr>
        <w:spacing w:after="0" w:line="200" w:lineRule="exact"/>
        <w:rPr>
          <w:sz w:val="20"/>
          <w:szCs w:val="20"/>
          <w:color w:val="auto"/>
        </w:rPr>
      </w:pPr>
    </w:p>
    <w:p>
      <w:pPr>
        <w:spacing w:after="0" w:line="3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20"/>
          </w:cols>
          <w:pgMar w:left="240" w:top="746" w:right="239" w:bottom="1440" w:gutter="0" w:footer="0" w:header="0"/>
        </w:sectPr>
      </w:pPr>
    </w:p>
    <w:bookmarkStart w:id="10" w:name="page11"/>
    <w:bookmarkEnd w:id="10"/>
    <w:p>
      <w:pPr>
        <w:spacing w:after="0" w:line="222" w:lineRule="auto"/>
        <w:rPr>
          <w:sz w:val="20"/>
          <w:szCs w:val="20"/>
          <w:color w:val="auto"/>
        </w:rPr>
      </w:pPr>
      <w:r>
        <w:rPr>
          <w:rFonts w:ascii="Arial" w:cs="Arial" w:eastAsia="Arial" w:hAnsi="Arial"/>
          <w:sz w:val="18"/>
          <w:szCs w:val="18"/>
          <w:color w:val="auto"/>
        </w:rPr>
        <w:t>IV program funds received by the institution during its most recently completed fiscal year, although the ED could require a letter of credit based on a higher percentage of the institution’s annual Title IV program funds. The borrower defense to repayment regulations that were scheduled to take effect on July 1, 2017, but were subsequently delayed, expand the list of circumstances that could require an institution to provide the ED with a letter of credit or other form of acceptable financial protection. Moreover, the new borrower defense to repayment regulations may increase the required minimum letter of credit amount beyond 10% of annual Title IV funds to include additional amounts that the ED determines are needed to fully cover any estimated potential losses. If an institution is unable to submit a required letter of credit or to comply with ED imposed conditions, the institution could be subject to loss of Title IV eligibility, financial penalties and other conditions or sanctions. For the 2017 fiscal year, KU expects to have a composite score of 1.9, based on its own assessment using ED methodology. However, the ED will make its own determination once it receives and reviews KU’s audited financial statements for the 2017 fiscal year.</w:t>
      </w:r>
    </w:p>
    <w:p>
      <w:pPr>
        <w:spacing w:after="0" w:line="119" w:lineRule="exact"/>
        <w:rPr>
          <w:sz w:val="20"/>
          <w:szCs w:val="20"/>
          <w:color w:val="auto"/>
        </w:rPr>
      </w:pPr>
    </w:p>
    <w:p>
      <w:pPr>
        <w:ind w:right="20"/>
        <w:spacing w:after="0" w:line="233" w:lineRule="auto"/>
        <w:rPr>
          <w:sz w:val="20"/>
          <w:szCs w:val="20"/>
          <w:color w:val="auto"/>
        </w:rPr>
      </w:pPr>
      <w:r>
        <w:rPr>
          <w:rFonts w:ascii="Arial" w:cs="Arial" w:eastAsia="Arial" w:hAnsi="Arial"/>
          <w:sz w:val="18"/>
          <w:szCs w:val="18"/>
          <w:b w:val="1"/>
          <w:bCs w:val="1"/>
          <w:i w:val="1"/>
          <w:iCs w:val="1"/>
          <w:color w:val="auto"/>
        </w:rPr>
        <w:t xml:space="preserve">Administrative Capability. </w:t>
      </w:r>
      <w:r>
        <w:rPr>
          <w:rFonts w:ascii="Arial" w:cs="Arial" w:eastAsia="Arial" w:hAnsi="Arial"/>
          <w:sz w:val="18"/>
          <w:szCs w:val="18"/>
          <w:color w:val="auto"/>
        </w:rPr>
        <w:t>The Higher Education Act, as reauthorized, directs the ED to assess the administrative capability of each institution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to participate in Title IV programs. The failure of an institution to satisfy any of the criteria used to assess administrative capability may cause the ED to determine that the institution lacks administrative capability and subject the institution to additional scrutiny, deny eligibility for Title IV programs or impose other sanctions. To meet the administrative capability standards, an institution must, among other things:</w:t>
      </w:r>
    </w:p>
    <w:p>
      <w:pPr>
        <w:spacing w:after="0" w:line="29" w:lineRule="exact"/>
        <w:rPr>
          <w:sz w:val="20"/>
          <w:szCs w:val="20"/>
          <w:color w:val="auto"/>
        </w:rPr>
      </w:pPr>
    </w:p>
    <w:p>
      <w:pPr>
        <w:ind w:left="340" w:hanging="332"/>
        <w:spacing w:after="0"/>
        <w:tabs>
          <w:tab w:leader="none" w:pos="340" w:val="left"/>
        </w:tabs>
        <w:numPr>
          <w:ilvl w:val="0"/>
          <w:numId w:val="1"/>
        </w:numPr>
        <w:rPr>
          <w:rFonts w:ascii="Arial" w:cs="Arial" w:eastAsia="Arial" w:hAnsi="Arial"/>
          <w:sz w:val="18"/>
          <w:szCs w:val="18"/>
          <w:color w:val="auto"/>
        </w:rPr>
      </w:pPr>
      <w:r>
        <w:rPr>
          <w:rFonts w:ascii="Arial" w:cs="Arial" w:eastAsia="Arial" w:hAnsi="Arial"/>
          <w:sz w:val="18"/>
          <w:szCs w:val="18"/>
          <w:color w:val="auto"/>
        </w:rPr>
        <w:t>Comply with all applicable Title IV program requirements;</w:t>
      </w:r>
    </w:p>
    <w:p>
      <w:pPr>
        <w:spacing w:after="0" w:line="36" w:lineRule="exact"/>
        <w:rPr>
          <w:rFonts w:ascii="Arial" w:cs="Arial" w:eastAsia="Arial" w:hAnsi="Arial"/>
          <w:sz w:val="18"/>
          <w:szCs w:val="18"/>
          <w:color w:val="auto"/>
        </w:rPr>
      </w:pPr>
    </w:p>
    <w:p>
      <w:pPr>
        <w:ind w:left="340" w:hanging="332"/>
        <w:spacing w:after="0"/>
        <w:tabs>
          <w:tab w:leader="none" w:pos="340" w:val="left"/>
        </w:tabs>
        <w:numPr>
          <w:ilvl w:val="0"/>
          <w:numId w:val="1"/>
        </w:numPr>
        <w:rPr>
          <w:rFonts w:ascii="Arial" w:cs="Arial" w:eastAsia="Arial" w:hAnsi="Arial"/>
          <w:sz w:val="18"/>
          <w:szCs w:val="18"/>
          <w:color w:val="auto"/>
        </w:rPr>
      </w:pPr>
      <w:r>
        <w:rPr>
          <w:rFonts w:ascii="Arial" w:cs="Arial" w:eastAsia="Arial" w:hAnsi="Arial"/>
          <w:sz w:val="18"/>
          <w:szCs w:val="18"/>
          <w:color w:val="auto"/>
        </w:rPr>
        <w:t>Have an adequate number of qualified personnel to administer Title IV programs;</w:t>
      </w:r>
    </w:p>
    <w:p>
      <w:pPr>
        <w:spacing w:after="0" w:line="36" w:lineRule="exact"/>
        <w:rPr>
          <w:rFonts w:ascii="Arial" w:cs="Arial" w:eastAsia="Arial" w:hAnsi="Arial"/>
          <w:sz w:val="18"/>
          <w:szCs w:val="18"/>
          <w:color w:val="auto"/>
        </w:rPr>
      </w:pPr>
    </w:p>
    <w:p>
      <w:pPr>
        <w:ind w:left="340" w:hanging="332"/>
        <w:spacing w:after="0"/>
        <w:tabs>
          <w:tab w:leader="none" w:pos="340" w:val="left"/>
        </w:tabs>
        <w:numPr>
          <w:ilvl w:val="0"/>
          <w:numId w:val="1"/>
        </w:numPr>
        <w:rPr>
          <w:rFonts w:ascii="Arial" w:cs="Arial" w:eastAsia="Arial" w:hAnsi="Arial"/>
          <w:sz w:val="18"/>
          <w:szCs w:val="18"/>
          <w:color w:val="auto"/>
        </w:rPr>
      </w:pPr>
      <w:r>
        <w:rPr>
          <w:rFonts w:ascii="Arial" w:cs="Arial" w:eastAsia="Arial" w:hAnsi="Arial"/>
          <w:sz w:val="18"/>
          <w:szCs w:val="18"/>
          <w:color w:val="auto"/>
        </w:rPr>
        <w:t>Have acceptable standards for measuring the satisfactory academic progress of its students;</w:t>
      </w:r>
    </w:p>
    <w:p>
      <w:pPr>
        <w:spacing w:after="0" w:line="36" w:lineRule="exact"/>
        <w:rPr>
          <w:rFonts w:ascii="Arial" w:cs="Arial" w:eastAsia="Arial" w:hAnsi="Arial"/>
          <w:sz w:val="18"/>
          <w:szCs w:val="18"/>
          <w:color w:val="auto"/>
        </w:rPr>
      </w:pPr>
    </w:p>
    <w:p>
      <w:pPr>
        <w:ind w:left="340" w:hanging="332"/>
        <w:spacing w:after="0"/>
        <w:tabs>
          <w:tab w:leader="none" w:pos="340" w:val="left"/>
        </w:tabs>
        <w:numPr>
          <w:ilvl w:val="0"/>
          <w:numId w:val="1"/>
        </w:numPr>
        <w:rPr>
          <w:rFonts w:ascii="Arial" w:cs="Arial" w:eastAsia="Arial" w:hAnsi="Arial"/>
          <w:sz w:val="18"/>
          <w:szCs w:val="18"/>
          <w:color w:val="auto"/>
        </w:rPr>
      </w:pPr>
      <w:r>
        <w:rPr>
          <w:rFonts w:ascii="Arial" w:cs="Arial" w:eastAsia="Arial" w:hAnsi="Arial"/>
          <w:sz w:val="18"/>
          <w:szCs w:val="18"/>
          <w:color w:val="auto"/>
        </w:rPr>
        <w:t>Have procedures in place for awarding, disbursing and safeguarding Title IV funds and for maintaining required records;</w:t>
      </w:r>
    </w:p>
    <w:p>
      <w:pPr>
        <w:spacing w:after="0" w:line="36" w:lineRule="exact"/>
        <w:rPr>
          <w:rFonts w:ascii="Arial" w:cs="Arial" w:eastAsia="Arial" w:hAnsi="Arial"/>
          <w:sz w:val="18"/>
          <w:szCs w:val="18"/>
          <w:color w:val="auto"/>
        </w:rPr>
      </w:pPr>
    </w:p>
    <w:p>
      <w:pPr>
        <w:ind w:left="340" w:hanging="332"/>
        <w:spacing w:after="0"/>
        <w:tabs>
          <w:tab w:leader="none" w:pos="340" w:val="left"/>
        </w:tabs>
        <w:numPr>
          <w:ilvl w:val="0"/>
          <w:numId w:val="1"/>
        </w:numPr>
        <w:rPr>
          <w:rFonts w:ascii="Arial" w:cs="Arial" w:eastAsia="Arial" w:hAnsi="Arial"/>
          <w:sz w:val="18"/>
          <w:szCs w:val="18"/>
          <w:color w:val="auto"/>
        </w:rPr>
      </w:pPr>
      <w:r>
        <w:rPr>
          <w:rFonts w:ascii="Arial" w:cs="Arial" w:eastAsia="Arial" w:hAnsi="Arial"/>
          <w:sz w:val="18"/>
          <w:szCs w:val="18"/>
          <w:color w:val="auto"/>
        </w:rPr>
        <w:t>Administer Title IV programs with adequate checks and balances in its system of internal control over financial reporting;</w:t>
      </w:r>
    </w:p>
    <w:p>
      <w:pPr>
        <w:spacing w:after="0" w:line="36" w:lineRule="exact"/>
        <w:rPr>
          <w:rFonts w:ascii="Arial" w:cs="Arial" w:eastAsia="Arial" w:hAnsi="Arial"/>
          <w:sz w:val="18"/>
          <w:szCs w:val="18"/>
          <w:color w:val="auto"/>
        </w:rPr>
      </w:pPr>
    </w:p>
    <w:p>
      <w:pPr>
        <w:ind w:left="340" w:right="280" w:hanging="332"/>
        <w:spacing w:after="0" w:line="235" w:lineRule="auto"/>
        <w:tabs>
          <w:tab w:leader="none" w:pos="340" w:val="left"/>
        </w:tabs>
        <w:numPr>
          <w:ilvl w:val="0"/>
          <w:numId w:val="1"/>
        </w:numPr>
        <w:rPr>
          <w:rFonts w:ascii="Arial" w:cs="Arial" w:eastAsia="Arial" w:hAnsi="Arial"/>
          <w:sz w:val="18"/>
          <w:szCs w:val="18"/>
          <w:color w:val="auto"/>
        </w:rPr>
      </w:pPr>
      <w:r>
        <w:rPr>
          <w:rFonts w:ascii="Arial" w:cs="Arial" w:eastAsia="Arial" w:hAnsi="Arial"/>
          <w:sz w:val="18"/>
          <w:szCs w:val="18"/>
          <w:color w:val="auto"/>
        </w:rPr>
        <w:t>Not be, and not have any principal or affiliate who is, debarred or suspended from U.S. Federal contracting or engaging in activity that is cause for debarment or suspension;</w:t>
      </w:r>
    </w:p>
    <w:p>
      <w:pPr>
        <w:spacing w:after="0" w:line="26" w:lineRule="exact"/>
        <w:rPr>
          <w:rFonts w:ascii="Arial" w:cs="Arial" w:eastAsia="Arial" w:hAnsi="Arial"/>
          <w:sz w:val="18"/>
          <w:szCs w:val="18"/>
          <w:color w:val="auto"/>
        </w:rPr>
      </w:pPr>
    </w:p>
    <w:p>
      <w:pPr>
        <w:ind w:left="340" w:hanging="332"/>
        <w:spacing w:after="0"/>
        <w:tabs>
          <w:tab w:leader="none" w:pos="340" w:val="left"/>
        </w:tabs>
        <w:numPr>
          <w:ilvl w:val="0"/>
          <w:numId w:val="1"/>
        </w:numPr>
        <w:rPr>
          <w:rFonts w:ascii="Arial" w:cs="Arial" w:eastAsia="Arial" w:hAnsi="Arial"/>
          <w:sz w:val="18"/>
          <w:szCs w:val="18"/>
          <w:color w:val="auto"/>
        </w:rPr>
      </w:pPr>
      <w:r>
        <w:rPr>
          <w:rFonts w:ascii="Arial" w:cs="Arial" w:eastAsia="Arial" w:hAnsi="Arial"/>
          <w:sz w:val="18"/>
          <w:szCs w:val="18"/>
          <w:color w:val="auto"/>
        </w:rPr>
        <w:t>Provide adequate financial aid counseling to its students;</w:t>
      </w:r>
    </w:p>
    <w:p>
      <w:pPr>
        <w:spacing w:after="0" w:line="36" w:lineRule="exact"/>
        <w:rPr>
          <w:rFonts w:ascii="Arial" w:cs="Arial" w:eastAsia="Arial" w:hAnsi="Arial"/>
          <w:sz w:val="18"/>
          <w:szCs w:val="18"/>
          <w:color w:val="auto"/>
        </w:rPr>
      </w:pPr>
    </w:p>
    <w:p>
      <w:pPr>
        <w:ind w:left="340" w:right="300" w:hanging="332"/>
        <w:spacing w:after="0" w:line="235" w:lineRule="auto"/>
        <w:tabs>
          <w:tab w:leader="none" w:pos="340" w:val="left"/>
        </w:tabs>
        <w:numPr>
          <w:ilvl w:val="0"/>
          <w:numId w:val="1"/>
        </w:numPr>
        <w:rPr>
          <w:rFonts w:ascii="Arial" w:cs="Arial" w:eastAsia="Arial" w:hAnsi="Arial"/>
          <w:sz w:val="18"/>
          <w:szCs w:val="18"/>
          <w:color w:val="auto"/>
        </w:rPr>
      </w:pPr>
      <w:r>
        <w:rPr>
          <w:rFonts w:ascii="Arial" w:cs="Arial" w:eastAsia="Arial" w:hAnsi="Arial"/>
          <w:sz w:val="18"/>
          <w:szCs w:val="18"/>
          <w:color w:val="auto"/>
        </w:rPr>
        <w:t>Refer to the ED’s Office of the Inspector General any credible information indicating that any applicant, student, parent, employee, third-party servicer or other agent of the institution has engaged in any fraud or other illegal conduct involving Title IV programs;</w:t>
      </w:r>
    </w:p>
    <w:p>
      <w:pPr>
        <w:spacing w:after="0" w:line="26" w:lineRule="exact"/>
        <w:rPr>
          <w:rFonts w:ascii="Arial" w:cs="Arial" w:eastAsia="Arial" w:hAnsi="Arial"/>
          <w:sz w:val="18"/>
          <w:szCs w:val="18"/>
          <w:color w:val="auto"/>
        </w:rPr>
      </w:pPr>
    </w:p>
    <w:p>
      <w:pPr>
        <w:ind w:left="340" w:hanging="332"/>
        <w:spacing w:after="0"/>
        <w:tabs>
          <w:tab w:leader="none" w:pos="340" w:val="left"/>
        </w:tabs>
        <w:numPr>
          <w:ilvl w:val="0"/>
          <w:numId w:val="1"/>
        </w:numPr>
        <w:rPr>
          <w:rFonts w:ascii="Arial" w:cs="Arial" w:eastAsia="Arial" w:hAnsi="Arial"/>
          <w:sz w:val="18"/>
          <w:szCs w:val="18"/>
          <w:color w:val="auto"/>
        </w:rPr>
      </w:pPr>
      <w:r>
        <w:rPr>
          <w:rFonts w:ascii="Arial" w:cs="Arial" w:eastAsia="Arial" w:hAnsi="Arial"/>
          <w:sz w:val="18"/>
          <w:szCs w:val="18"/>
          <w:color w:val="auto"/>
        </w:rPr>
        <w:t>Submit in a timely way all required reports and financial statements; and</w:t>
      </w:r>
    </w:p>
    <w:p>
      <w:pPr>
        <w:spacing w:after="0" w:line="49" w:lineRule="exact"/>
        <w:rPr>
          <w:rFonts w:ascii="Arial" w:cs="Arial" w:eastAsia="Arial" w:hAnsi="Arial"/>
          <w:sz w:val="18"/>
          <w:szCs w:val="18"/>
          <w:color w:val="auto"/>
        </w:rPr>
      </w:pPr>
    </w:p>
    <w:p>
      <w:pPr>
        <w:ind w:left="340" w:hanging="332"/>
        <w:spacing w:after="0"/>
        <w:tabs>
          <w:tab w:leader="none" w:pos="340" w:val="left"/>
        </w:tabs>
        <w:numPr>
          <w:ilvl w:val="0"/>
          <w:numId w:val="1"/>
        </w:numPr>
        <w:rPr>
          <w:rFonts w:ascii="Arial" w:cs="Arial" w:eastAsia="Arial" w:hAnsi="Arial"/>
          <w:sz w:val="18"/>
          <w:szCs w:val="18"/>
          <w:color w:val="auto"/>
        </w:rPr>
      </w:pPr>
      <w:r>
        <w:rPr>
          <w:rFonts w:ascii="Arial" w:cs="Arial" w:eastAsia="Arial" w:hAnsi="Arial"/>
          <w:sz w:val="18"/>
          <w:szCs w:val="18"/>
          <w:color w:val="auto"/>
        </w:rPr>
        <w:t>Not otherwise appear to lack administrative capability.</w:t>
      </w:r>
    </w:p>
    <w:p>
      <w:pPr>
        <w:spacing w:after="0" w:line="158" w:lineRule="exact"/>
        <w:rPr>
          <w:sz w:val="20"/>
          <w:szCs w:val="20"/>
          <w:color w:val="auto"/>
        </w:rPr>
      </w:pPr>
    </w:p>
    <w:p>
      <w:pPr>
        <w:ind w:right="200"/>
        <w:spacing w:after="0" w:line="229" w:lineRule="auto"/>
        <w:rPr>
          <w:sz w:val="20"/>
          <w:szCs w:val="20"/>
          <w:color w:val="auto"/>
        </w:rPr>
      </w:pPr>
      <w:r>
        <w:rPr>
          <w:rFonts w:ascii="Arial" w:cs="Arial" w:eastAsia="Arial" w:hAnsi="Arial"/>
          <w:sz w:val="18"/>
          <w:szCs w:val="18"/>
          <w:color w:val="auto"/>
        </w:rPr>
        <w:t>Although Kaplan endeavors to comply with the administrative capability requirements, Kaplan cannot guarantee that it will continue to comply with the administrative capability requirements or that its interpretation or application of the relevant rules will be upheld by the ED or other agencies or upon judicial review.</w:t>
      </w:r>
    </w:p>
    <w:p>
      <w:pPr>
        <w:spacing w:after="0" w:line="115" w:lineRule="exact"/>
        <w:rPr>
          <w:sz w:val="20"/>
          <w:szCs w:val="20"/>
          <w:color w:val="auto"/>
        </w:rPr>
      </w:pPr>
    </w:p>
    <w:p>
      <w:pPr>
        <w:ind w:right="120"/>
        <w:spacing w:after="0" w:line="230" w:lineRule="auto"/>
        <w:rPr>
          <w:sz w:val="20"/>
          <w:szCs w:val="20"/>
          <w:color w:val="auto"/>
        </w:rPr>
      </w:pPr>
      <w:r>
        <w:rPr>
          <w:rFonts w:ascii="Arial" w:cs="Arial" w:eastAsia="Arial" w:hAnsi="Arial"/>
          <w:sz w:val="18"/>
          <w:szCs w:val="18"/>
          <w:b w:val="1"/>
          <w:bCs w:val="1"/>
          <w:i w:val="1"/>
          <w:iCs w:val="1"/>
          <w:color w:val="auto"/>
        </w:rPr>
        <w:t xml:space="preserve">State Authorization. </w:t>
      </w:r>
      <w:r>
        <w:rPr>
          <w:rFonts w:ascii="Arial" w:cs="Arial" w:eastAsia="Arial" w:hAnsi="Arial"/>
          <w:sz w:val="18"/>
          <w:szCs w:val="18"/>
          <w:color w:val="auto"/>
        </w:rPr>
        <w:t>Kaplan’s institutions and programs are subject to state-level regulation and oversight by state licensing agencies, whose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approval is necessary to allow an institution to operate and grant degrees or diplomas in the state. State laws may establish standards for instruction, qualifications of faculty, location and nature of facilities, financial policies and responsibility and other operational matters. Institutions that participate in Title IV programs must be legally authorized to operate in the state in which the institution is physically located or is otherwise subject to state authorization requirements.</w:t>
      </w:r>
    </w:p>
    <w:p>
      <w:pPr>
        <w:spacing w:after="0" w:line="138" w:lineRule="exact"/>
        <w:rPr>
          <w:sz w:val="20"/>
          <w:szCs w:val="20"/>
          <w:color w:val="auto"/>
        </w:rPr>
      </w:pPr>
    </w:p>
    <w:p>
      <w:pPr>
        <w:ind w:right="20"/>
        <w:spacing w:after="0" w:line="221" w:lineRule="auto"/>
        <w:rPr>
          <w:sz w:val="20"/>
          <w:szCs w:val="20"/>
          <w:color w:val="auto"/>
        </w:rPr>
      </w:pPr>
      <w:r>
        <w:rPr>
          <w:rFonts w:ascii="Arial" w:cs="Arial" w:eastAsia="Arial" w:hAnsi="Arial"/>
          <w:sz w:val="18"/>
          <w:szCs w:val="18"/>
          <w:color w:val="auto"/>
        </w:rPr>
        <w:t>Some states have sought to assert jurisdiction over online educational institutions that offer education services to residents in the state or to institutions that advertise or recruit in the state, notwithstanding the lack of a physical location in the state. State regulatory requirements for online education vary among the states, are not well developed in many states, are imprecise or unclear in some states and are subject to change. If KU is found not to be in compliance with an applicable state regulation and a state seeks to restrict one or more of KU’s business activities within its boundaries, KU may not be able to recruit or enroll students in that state and may have to cease providing services in that state. If a state’s requirements are found not to be in compliance with ED regulations or if KU’s institutions do not receive state approvals where necessary, the institutions could be deemed to lack the state authorization necessary to participate in the Title IV programs and be subject to loss of Title IV eligibility, repayment obligations and other sanctions. Due to an exemption, KU’s home state of Iowa does not require KU to be registered in Iowa. However, to comply with the law, KU was granted affirmative registration in Iowa. Kaplan believes that all of KU’s campuses currently meet the ED requirements to be considered legally authorized to provide the programs they offer in the states in which the campuses are located. The ED has stated that it will not publish a list of states that meet, or fail to meet, the state authorization requirements, and it is uncertain how the ED will interpret these requirements in each state. On December 19, 2016, the ED issued final regulations regarding distance-education state authorization requirements that may require KU to be authorized in additional states, as well as regulations applicable to institutions with Title IV participating locations in a foreign country. These</w:t>
      </w:r>
    </w:p>
    <w:p>
      <w:pPr>
        <w:spacing w:after="0" w:line="200" w:lineRule="exact"/>
        <w:rPr>
          <w:sz w:val="20"/>
          <w:szCs w:val="20"/>
          <w:color w:val="auto"/>
        </w:rPr>
      </w:pPr>
    </w:p>
    <w:p>
      <w:pPr>
        <w:spacing w:after="0" w:line="3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420"/>
          </w:cols>
          <w:pgMar w:left="240" w:top="746" w:right="239" w:bottom="1440" w:gutter="0" w:footer="0" w:header="0"/>
        </w:sectPr>
      </w:pPr>
    </w:p>
    <w:bookmarkStart w:id="11" w:name="page12"/>
    <w:bookmarkEnd w:id="11"/>
    <w:p>
      <w:pPr>
        <w:ind w:right="40"/>
        <w:spacing w:after="0" w:line="229" w:lineRule="auto"/>
        <w:rPr>
          <w:sz w:val="20"/>
          <w:szCs w:val="20"/>
          <w:color w:val="auto"/>
        </w:rPr>
      </w:pPr>
      <w:r>
        <w:rPr>
          <w:rFonts w:ascii="Arial" w:cs="Arial" w:eastAsia="Arial" w:hAnsi="Arial"/>
          <w:sz w:val="18"/>
          <w:szCs w:val="18"/>
          <w:color w:val="auto"/>
        </w:rPr>
        <w:t>regulations, however, recognize state authorization reciprocity agreements, in which KU participates, as a means of satisfying the Title IV requirement. An institution must be able to document its approval under a state authorization reciprocity agreement, upon the ED’s request, if it does not have a separate authorization in a state where it enrolls distance-education students.</w:t>
      </w:r>
    </w:p>
    <w:p>
      <w:pPr>
        <w:spacing w:after="0" w:line="137" w:lineRule="exact"/>
        <w:rPr>
          <w:sz w:val="20"/>
          <w:szCs w:val="20"/>
          <w:color w:val="auto"/>
        </w:rPr>
      </w:pPr>
    </w:p>
    <w:p>
      <w:pPr>
        <w:spacing w:after="0" w:line="221" w:lineRule="auto"/>
        <w:rPr>
          <w:sz w:val="20"/>
          <w:szCs w:val="20"/>
          <w:color w:val="auto"/>
        </w:rPr>
      </w:pPr>
      <w:r>
        <w:rPr>
          <w:rFonts w:ascii="Arial" w:cs="Arial" w:eastAsia="Arial" w:hAnsi="Arial"/>
          <w:sz w:val="18"/>
          <w:szCs w:val="18"/>
          <w:color w:val="auto"/>
        </w:rPr>
        <w:t>The regulations are not scheduled to take effect until July 1, 2018. Specifically, the regulations will require an institution that offers postsecondary education through distance education in a state in which the institution is not physically located, or in which the state determines that the institution is otherwise subject to the state’s jurisdiction, to meet the state’s authorization requirements for offering postsecondary distance education in that state or show that it is authorized through a reciprocity agreement. The regulations also will require the institution to document that there is a state process for review and appropriate action on complaints from enrolled students in each such state. In addition, the regulations will require the institution to provide public disclosures regarding various matters relating to its state authorization and to provide individualized disclosures to each prospective student regarding certain matters, including whether the student’s program fails to meet licensure or certification prerequisites in the state in which the student resides. If Kaplan is unable to obtain the required approvals for distance-education programs by the effective date of the new regulations, then Kaplan students residing in the state for which approval was not obtained may be unable to receive Title IV funds, which could have a material adverse effect on Kaplan’s business and operations. The implementation of this rule may further limit Concord’s ability to enroll students in its Juris Doctor program outside of California and may materially impact Concord’s revenue.</w:t>
      </w:r>
    </w:p>
    <w:p>
      <w:pPr>
        <w:spacing w:after="0" w:line="122" w:lineRule="exact"/>
        <w:rPr>
          <w:sz w:val="20"/>
          <w:szCs w:val="20"/>
          <w:color w:val="auto"/>
        </w:rPr>
      </w:pPr>
    </w:p>
    <w:p>
      <w:pPr>
        <w:ind w:right="20"/>
        <w:spacing w:after="0" w:line="225" w:lineRule="auto"/>
        <w:rPr>
          <w:sz w:val="20"/>
          <w:szCs w:val="20"/>
          <w:color w:val="auto"/>
        </w:rPr>
      </w:pPr>
      <w:r>
        <w:rPr>
          <w:rFonts w:ascii="Arial" w:cs="Arial" w:eastAsia="Arial" w:hAnsi="Arial"/>
          <w:sz w:val="18"/>
          <w:szCs w:val="18"/>
          <w:b w:val="1"/>
          <w:bCs w:val="1"/>
          <w:i w:val="1"/>
          <w:iCs w:val="1"/>
          <w:color w:val="auto"/>
        </w:rPr>
        <w:t xml:space="preserve">Congressional Reauthorization of Title IV Programs. </w:t>
      </w:r>
      <w:r>
        <w:rPr>
          <w:rFonts w:ascii="Arial" w:cs="Arial" w:eastAsia="Arial" w:hAnsi="Arial"/>
          <w:sz w:val="18"/>
          <w:szCs w:val="18"/>
          <w:color w:val="auto"/>
        </w:rPr>
        <w:t>All of the Title IV programs are subject to periodic legislative review and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reauthorization. In addition, while Congress historically has not limited the amount of funding available for the various Title IV student loan programs, the availability of funding for the Title IV programs that provide for the payment of grants is primarily contingent upon the outcome of the annual U.S. Federal appropriations process. Congress also can make changes in the laws affecting Title IV programs in those annual appropriations bills and in other laws it enacts between Higher Education Act reauthorizations. The Higher Education Act was reauthorized through September 2014 and has continued to receive annual appropriations. The House Education and the Workforce Committee approved a reauthorization bill on December 13, 2017. The Senate Health, Education, Labor and Pensions (HELP) Committee has indicated it plans to develop its own reauthorization bill. It is not known if or when Congress will pass final legislation that amends the Higher Education Act or other laws affecting U.S. Federal student aid.</w:t>
      </w:r>
    </w:p>
    <w:p>
      <w:pPr>
        <w:spacing w:after="0" w:line="139" w:lineRule="exact"/>
        <w:rPr>
          <w:sz w:val="20"/>
          <w:szCs w:val="20"/>
          <w:color w:val="auto"/>
        </w:rPr>
      </w:pPr>
    </w:p>
    <w:p>
      <w:pPr>
        <w:spacing w:after="0" w:line="225" w:lineRule="auto"/>
        <w:rPr>
          <w:sz w:val="20"/>
          <w:szCs w:val="20"/>
          <w:color w:val="auto"/>
        </w:rPr>
      </w:pPr>
      <w:r>
        <w:rPr>
          <w:rFonts w:ascii="Arial" w:cs="Arial" w:eastAsia="Arial" w:hAnsi="Arial"/>
          <w:sz w:val="18"/>
          <w:szCs w:val="18"/>
          <w:color w:val="auto"/>
        </w:rPr>
        <w:t>Whether as a result of changes in the laws and regulations governing Title IV programs, a reduction in Title IV program funding levels or a failure of KU to maintain eligibility to participate in Title IV programs, a material reduction in the amount of Title IV financial assistance available to the students attending those schools could have a material adverse effect on Kaplan’s business and operations. In addition, any development that has the effect of making the terms on which Title IV financial assistance is made available materially less attractive could also have a material adverse effect on Kaplan’s business and operations.</w:t>
      </w:r>
    </w:p>
    <w:p>
      <w:pPr>
        <w:spacing w:after="0" w:line="115" w:lineRule="exact"/>
        <w:rPr>
          <w:sz w:val="20"/>
          <w:szCs w:val="20"/>
          <w:color w:val="auto"/>
        </w:rPr>
      </w:pPr>
    </w:p>
    <w:p>
      <w:pPr>
        <w:ind w:right="20"/>
        <w:spacing w:after="0" w:line="228" w:lineRule="auto"/>
        <w:rPr>
          <w:sz w:val="20"/>
          <w:szCs w:val="20"/>
          <w:color w:val="auto"/>
        </w:rPr>
      </w:pPr>
      <w:r>
        <w:rPr>
          <w:rFonts w:ascii="Arial" w:cs="Arial" w:eastAsia="Arial" w:hAnsi="Arial"/>
          <w:sz w:val="18"/>
          <w:szCs w:val="18"/>
          <w:b w:val="1"/>
          <w:bCs w:val="1"/>
          <w:i w:val="1"/>
          <w:iCs w:val="1"/>
          <w:color w:val="auto"/>
        </w:rPr>
        <w:t xml:space="preserve">Governmental Scrutiny and Enforcement. </w:t>
      </w:r>
      <w:r>
        <w:rPr>
          <w:rFonts w:ascii="Arial" w:cs="Arial" w:eastAsia="Arial" w:hAnsi="Arial"/>
          <w:sz w:val="18"/>
          <w:szCs w:val="18"/>
          <w:color w:val="auto"/>
        </w:rPr>
        <w:t>There has been increased attention by Congress on the role that for-profit educational institutions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play in higher education, including their participation in Title IV programs and tuition assistance programs for military service members attending for-profit colleges. Beginning in June 2010, the HELP Committee held a series of hearings to examine the for-profit education sector and requested information from various for-profit institutions, including KHE institutions. In July 2012, the majority staff of the HELP Committee issued a final report to conclude the review. The final report included observations and recommendations for federal policy related to increasing regulations on higher education.</w:t>
      </w:r>
    </w:p>
    <w:p>
      <w:pPr>
        <w:spacing w:after="0" w:line="139" w:lineRule="exact"/>
        <w:rPr>
          <w:sz w:val="20"/>
          <w:szCs w:val="20"/>
          <w:color w:val="auto"/>
        </w:rPr>
      </w:pPr>
    </w:p>
    <w:p>
      <w:pPr>
        <w:spacing w:after="0" w:line="225" w:lineRule="auto"/>
        <w:rPr>
          <w:sz w:val="20"/>
          <w:szCs w:val="20"/>
          <w:color w:val="auto"/>
        </w:rPr>
      </w:pPr>
      <w:r>
        <w:rPr>
          <w:rFonts w:ascii="Arial" w:cs="Arial" w:eastAsia="Arial" w:hAnsi="Arial"/>
          <w:sz w:val="18"/>
          <w:szCs w:val="18"/>
          <w:color w:val="auto"/>
        </w:rPr>
        <w:t>Other committees of Congress have also held hearings to look into, among other things, the standards and procedures of accrediting agencies, credit hours and program length and the portion of U.S. Federal student financial aid going to for-profit institutions. This increased activity, and other current and future activity, may result in legislation, further rulemaking and other governmental actions affecting Kaplan’s participation in Title IV programs or the amount of student financial assistance for which Kaplan’s students are eligible. In addition, concerns generated by congressional or other activity, or negative media reports, may adversely affect enrollment in for-profit educational institutions.</w:t>
      </w:r>
    </w:p>
    <w:p>
      <w:pPr>
        <w:spacing w:after="0" w:line="137" w:lineRule="exact"/>
        <w:rPr>
          <w:sz w:val="20"/>
          <w:szCs w:val="20"/>
          <w:color w:val="auto"/>
        </w:rPr>
      </w:pPr>
    </w:p>
    <w:p>
      <w:pPr>
        <w:ind w:right="60"/>
        <w:spacing w:after="0" w:line="223" w:lineRule="auto"/>
        <w:rPr>
          <w:sz w:val="20"/>
          <w:szCs w:val="20"/>
          <w:color w:val="auto"/>
        </w:rPr>
      </w:pPr>
      <w:r>
        <w:rPr>
          <w:rFonts w:ascii="Arial" w:cs="Arial" w:eastAsia="Arial" w:hAnsi="Arial"/>
          <w:sz w:val="18"/>
          <w:szCs w:val="18"/>
          <w:color w:val="auto"/>
        </w:rPr>
        <w:t>The increased scrutiny of for-profit schools also has resulted in additional enforcement actions, investigations and lawsuits by the ED; other federal agencies; state Attorneys General and state licensing agencies. These actions and allegations have attracted significant negative media coverage. Recent enforcement actions have resulted in institutions being required to post substantial letters of credit, liabilities, restrictions and sanctions and, in some cases, have led to the loss of Title IV eligibility and closure of institutions. Allegations and enforcement actions against the overall postsecondary education sector may impact general public perceptions of private-sector educational institutions, including Kaplan, in a negative manner. Negative media coverage regarding other educational institutions or regarding Kaplan directly could damage Kaplan’s reputation, reduce student demand for Kaplan programs or lead to increased regulatory scrutiny and could negatively impact Kaplan’s operating results.</w:t>
      </w:r>
    </w:p>
    <w:p>
      <w:pPr>
        <w:spacing w:after="0" w:line="200" w:lineRule="exact"/>
        <w:rPr>
          <w:sz w:val="20"/>
          <w:szCs w:val="20"/>
          <w:color w:val="auto"/>
        </w:rPr>
      </w:pPr>
    </w:p>
    <w:p>
      <w:pPr>
        <w:spacing w:after="0" w:line="30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400"/>
          </w:cols>
          <w:pgMar w:left="240" w:top="746" w:right="259" w:bottom="1440" w:gutter="0" w:footer="0" w:header="0"/>
        </w:sectPr>
      </w:pPr>
    </w:p>
    <w:bookmarkStart w:id="12" w:name="page13"/>
    <w:bookmarkEnd w:id="12"/>
    <w:p>
      <w:pPr>
        <w:ind w:right="220"/>
        <w:spacing w:after="0" w:line="225" w:lineRule="auto"/>
        <w:rPr>
          <w:sz w:val="20"/>
          <w:szCs w:val="20"/>
          <w:color w:val="auto"/>
        </w:rPr>
      </w:pPr>
      <w:r>
        <w:rPr>
          <w:rFonts w:ascii="Arial" w:cs="Arial" w:eastAsia="Arial" w:hAnsi="Arial"/>
          <w:sz w:val="18"/>
          <w:szCs w:val="18"/>
          <w:color w:val="auto"/>
        </w:rPr>
        <w:t>Kaplan cannot predict the extent to which these activities could result in further investigations, legislation or rulemaking affecting its participation in Title IV programs, other governmental actions and/or actions by state agencies or legislators or by accreditors. If any laws or regulations are adopted that significantly limit Kaplan’s participation in Title IV programs or the amount of student financial aid for which Kaplan’s students are eligible, or any actions are taken against Kaplan that result in material liabilities, sanctions, conditions or requirements, Kaplan’s results of operations and cash flows could be adversely and materially impacted.</w:t>
      </w:r>
    </w:p>
    <w:p>
      <w:pPr>
        <w:spacing w:after="0" w:line="115" w:lineRule="exact"/>
        <w:rPr>
          <w:sz w:val="20"/>
          <w:szCs w:val="20"/>
          <w:color w:val="auto"/>
        </w:rPr>
      </w:pPr>
    </w:p>
    <w:p>
      <w:pPr>
        <w:ind w:right="160"/>
        <w:spacing w:after="0" w:line="225" w:lineRule="auto"/>
        <w:rPr>
          <w:sz w:val="20"/>
          <w:szCs w:val="20"/>
          <w:color w:val="auto"/>
        </w:rPr>
      </w:pPr>
      <w:r>
        <w:rPr>
          <w:rFonts w:ascii="Arial" w:cs="Arial" w:eastAsia="Arial" w:hAnsi="Arial"/>
          <w:sz w:val="18"/>
          <w:szCs w:val="18"/>
          <w:b w:val="1"/>
          <w:bCs w:val="1"/>
          <w:i w:val="1"/>
          <w:iCs w:val="1"/>
          <w:color w:val="auto"/>
        </w:rPr>
        <w:t xml:space="preserve">Program Reviews, Audits and Investigations. </w:t>
      </w:r>
      <w:r>
        <w:rPr>
          <w:rFonts w:ascii="Arial" w:cs="Arial" w:eastAsia="Arial" w:hAnsi="Arial"/>
          <w:sz w:val="18"/>
          <w:szCs w:val="18"/>
          <w:color w:val="auto"/>
        </w:rPr>
        <w:t>Kaplan’s schools are subject to audits and program compliance reviews by various external</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agencies, including the ED; its Office of the Inspector General; other federal agencies, including the Department of Defense and the Department of Veterans Affairs; and state and accrediting agencies. While program reviews may be undertaken for a variety of reasons, they are performed routinely as part of regulatory oversight of institutions that participate in Title IV or federal or state student funding programs. If the ED or another regulatory agency determines that an institution has improperly disbursed Title IV or other federal or state program funds or violated a provision of the Higher Education Act or other federal or state law or regulations, the affected institution may be required to repay funds to the ED or the appropriate federal or state agency or lender and may be assessed an administrative fine and be subject to other sanctions. Although Kaplan endeavors to comply with all U.S. Federal and state laws and regulations, Kaplan cannot guarantee that its interpretation of the relevant rules will be upheld by the ED or other agencies or upon judicial review.</w:t>
      </w:r>
    </w:p>
    <w:p>
      <w:pPr>
        <w:spacing w:after="0" w:line="139" w:lineRule="exact"/>
        <w:rPr>
          <w:sz w:val="20"/>
          <w:szCs w:val="20"/>
          <w:color w:val="auto"/>
        </w:rPr>
      </w:pPr>
    </w:p>
    <w:p>
      <w:pPr>
        <w:ind w:right="60"/>
        <w:spacing w:after="0" w:line="223" w:lineRule="auto"/>
        <w:rPr>
          <w:sz w:val="20"/>
          <w:szCs w:val="20"/>
          <w:color w:val="auto"/>
        </w:rPr>
      </w:pPr>
      <w:r>
        <w:rPr>
          <w:rFonts w:ascii="Arial" w:cs="Arial" w:eastAsia="Arial" w:hAnsi="Arial"/>
          <w:sz w:val="18"/>
          <w:szCs w:val="18"/>
          <w:color w:val="auto"/>
        </w:rPr>
        <w:t>On February 23, 2015, the ED began a review of KU. The review will assess Kaplan’s administration of its Title IV and Higher Education Act programs and will initially focus on the 2013 to 2014 and 2014 to 2015 award years. On December 17, 2015, KU received a notice from the ED that it had been placed on provisional certification status until September 30, 2018, in connection with the open and ongoing ED program review. The ED has not notified KU of any negative findings. However, at this time, Kaplan cannot predict the outcome of this review, when it will be completed or any liability or other limitations that the ED may place on KU as a result of this review. During the period of provisional certification, KU must obtain prior ED approval to open a new location, add an educational program, acquire another school or make any other significant change.</w:t>
      </w:r>
    </w:p>
    <w:p>
      <w:pPr>
        <w:spacing w:after="0" w:line="139" w:lineRule="exact"/>
        <w:rPr>
          <w:sz w:val="20"/>
          <w:szCs w:val="20"/>
          <w:color w:val="auto"/>
        </w:rPr>
      </w:pPr>
    </w:p>
    <w:p>
      <w:pPr>
        <w:ind w:right="200"/>
        <w:spacing w:after="0" w:line="227" w:lineRule="auto"/>
        <w:rPr>
          <w:sz w:val="20"/>
          <w:szCs w:val="20"/>
          <w:color w:val="auto"/>
        </w:rPr>
      </w:pPr>
      <w:r>
        <w:rPr>
          <w:rFonts w:ascii="Arial" w:cs="Arial" w:eastAsia="Arial" w:hAnsi="Arial"/>
          <w:sz w:val="18"/>
          <w:szCs w:val="18"/>
          <w:color w:val="auto"/>
        </w:rPr>
        <w:t>In addition, there are two open program reviews at campuses that were part of the KHE Campuses business prior to its sale in 2015 to Education Corporation of America (ECA), and the ED’s final reports on the program reviews at former KHE Broomall, PA, and Pittsburgh, PA, locations are pending. Kaplan retains responsibility for any financial obligation resulting from the ED program reviews at the KHE Campuses business that were open at the time of sale.</w:t>
      </w:r>
    </w:p>
    <w:p>
      <w:pPr>
        <w:spacing w:after="0" w:line="113" w:lineRule="exact"/>
        <w:rPr>
          <w:sz w:val="20"/>
          <w:szCs w:val="20"/>
          <w:color w:val="auto"/>
        </w:rPr>
      </w:pPr>
    </w:p>
    <w:p>
      <w:pPr>
        <w:ind w:right="20"/>
        <w:spacing w:after="0" w:line="225" w:lineRule="auto"/>
        <w:rPr>
          <w:sz w:val="20"/>
          <w:szCs w:val="20"/>
          <w:color w:val="auto"/>
        </w:rPr>
      </w:pPr>
      <w:r>
        <w:rPr>
          <w:rFonts w:ascii="Arial" w:cs="Arial" w:eastAsia="Arial" w:hAnsi="Arial"/>
          <w:sz w:val="18"/>
          <w:szCs w:val="18"/>
          <w:b w:val="1"/>
          <w:bCs w:val="1"/>
          <w:i w:val="1"/>
          <w:iCs w:val="1"/>
          <w:color w:val="auto"/>
        </w:rPr>
        <w:t xml:space="preserve">Institutional and Programmatic Accreditation. </w:t>
      </w:r>
      <w:r>
        <w:rPr>
          <w:rFonts w:ascii="Arial" w:cs="Arial" w:eastAsia="Arial" w:hAnsi="Arial"/>
          <w:sz w:val="18"/>
          <w:szCs w:val="18"/>
          <w:color w:val="auto"/>
        </w:rPr>
        <w:t>Accreditation is a process through which an institution submits itself to qualitative review by</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an organization of peer institutions. Pursuant to the Higher Education Act, the ED relies on accrediting agencies to determine whether the academic quality of an institution’s educational programs is sufficient to qualify the institution to participate in Title IV programs. As noted previously, to remain eligible to participate in Title IV programs, a school must maintain its institutional accreditation by an accrediting agency recognized by the ED. Kaplan’s schools are subject to reviews by the accrediting agencies that accredit them and their educational programs. KU’s regional accreditation by the HLC was required to be reaffirmed in 2016. As part of this process, in the second quarter of 2016, HLC conducted an on-site review of KU. In August 2016, the HLC reaffirmed KU’s accreditation for a 10-year term through the 2025/26 academic year. The Company anticipates that HLC will consider KU’s change of control applications related to the proposed transaction with Purdue at its February 2018 meeting.</w:t>
      </w:r>
    </w:p>
    <w:p>
      <w:pPr>
        <w:spacing w:after="0" w:line="139" w:lineRule="exact"/>
        <w:rPr>
          <w:sz w:val="20"/>
          <w:szCs w:val="20"/>
          <w:color w:val="auto"/>
        </w:rPr>
      </w:pPr>
    </w:p>
    <w:p>
      <w:pPr>
        <w:ind w:right="220"/>
        <w:spacing w:after="0" w:line="225" w:lineRule="auto"/>
        <w:rPr>
          <w:sz w:val="20"/>
          <w:szCs w:val="20"/>
          <w:color w:val="auto"/>
        </w:rPr>
      </w:pPr>
      <w:r>
        <w:rPr>
          <w:rFonts w:ascii="Arial" w:cs="Arial" w:eastAsia="Arial" w:hAnsi="Arial"/>
          <w:sz w:val="18"/>
          <w:szCs w:val="18"/>
          <w:color w:val="auto"/>
        </w:rPr>
        <w:t>Programmatic accreditation is the process through which specific programs are reviewed and approved by industry-specific and program-specific accrediting entities. Although programmatic accreditation is not generally necessary for Title IV eligibility, such accreditation may be required to allow students to sit for certain licensure exams or to work in a particular profession or career or to meet other requirements. KU programs maintain a variety of programmatic accreditations that it believes are appropriate to ensure the quality of the programs or to enable students to seek necessary credentials upon graduation.</w:t>
      </w:r>
    </w:p>
    <w:p>
      <w:pPr>
        <w:spacing w:after="0" w:line="115" w:lineRule="exact"/>
        <w:rPr>
          <w:sz w:val="20"/>
          <w:szCs w:val="20"/>
          <w:color w:val="auto"/>
        </w:rPr>
      </w:pPr>
    </w:p>
    <w:p>
      <w:pPr>
        <w:spacing w:after="0" w:line="227" w:lineRule="auto"/>
        <w:rPr>
          <w:sz w:val="20"/>
          <w:szCs w:val="20"/>
          <w:color w:val="auto"/>
        </w:rPr>
      </w:pPr>
      <w:r>
        <w:rPr>
          <w:rFonts w:ascii="Arial" w:cs="Arial" w:eastAsia="Arial" w:hAnsi="Arial"/>
          <w:sz w:val="18"/>
          <w:szCs w:val="18"/>
          <w:b w:val="1"/>
          <w:bCs w:val="1"/>
          <w:i w:val="1"/>
          <w:iCs w:val="1"/>
          <w:color w:val="auto"/>
        </w:rPr>
        <w:t xml:space="preserve">Return of Title IV Funds. </w:t>
      </w:r>
      <w:r>
        <w:rPr>
          <w:rFonts w:ascii="Arial" w:cs="Arial" w:eastAsia="Arial" w:hAnsi="Arial"/>
          <w:sz w:val="18"/>
          <w:szCs w:val="18"/>
          <w:color w:val="auto"/>
        </w:rPr>
        <w:t>ED regulations require schools participating in Title IV programs to calculate correctly and return on a timely basis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unearned Title IV funds disbursed to students who withdraw from a program of study prior to completion. These funds must be returned in a timely manner, generally within 45 days of the date the school determines that the student has withdrawn. Under ED regulations, failure to make timely returns of Title IV program funds for 5% or more of students sampled in a school’s annual compliance audit, or in a program review or Office of the Inspector General (OIG) audit could result in a requirement that the school post a letter of credit in an amount equal to 25% of its prior-year returns of Title IV program funds. Currently, KU is not required to post a letter of credit. If unearned funds are not properly calculated and returned in a timely manner, an institution is subject to monetary liabilities, fines or other sanctions.</w:t>
      </w:r>
    </w:p>
    <w:p>
      <w:pPr>
        <w:spacing w:after="0" w:line="137" w:lineRule="exact"/>
        <w:rPr>
          <w:sz w:val="20"/>
          <w:szCs w:val="20"/>
          <w:color w:val="auto"/>
        </w:rPr>
      </w:pPr>
    </w:p>
    <w:p>
      <w:pPr>
        <w:ind w:right="100"/>
        <w:spacing w:after="0" w:line="235" w:lineRule="auto"/>
        <w:rPr>
          <w:sz w:val="20"/>
          <w:szCs w:val="20"/>
          <w:color w:val="auto"/>
        </w:rPr>
      </w:pPr>
      <w:r>
        <w:rPr>
          <w:rFonts w:ascii="Arial" w:cs="Arial" w:eastAsia="Arial" w:hAnsi="Arial"/>
          <w:sz w:val="18"/>
          <w:szCs w:val="18"/>
          <w:color w:val="auto"/>
        </w:rPr>
        <w:t xml:space="preserve">Kaplan recently determined that a procedural change that was implemented with respect to student financial aid refunds may not have been in accordance with the regulation governing return of financial aid for </w:t>
      </w:r>
      <w:r>
        <w:rPr>
          <w:rFonts w:ascii="Arial" w:cs="Arial" w:eastAsia="Arial" w:hAnsi="Arial"/>
          <w:sz w:val="18"/>
          <w:szCs w:val="18"/>
          <w:color w:val="222222"/>
        </w:rPr>
        <w:t>students who</w:t>
      </w:r>
    </w:p>
    <w:p>
      <w:pPr>
        <w:spacing w:after="0" w:line="200" w:lineRule="exact"/>
        <w:rPr>
          <w:sz w:val="20"/>
          <w:szCs w:val="20"/>
          <w:color w:val="auto"/>
        </w:rPr>
      </w:pPr>
    </w:p>
    <w:p>
      <w:pPr>
        <w:spacing w:after="0" w:line="30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420"/>
          </w:cols>
          <w:pgMar w:left="240" w:top="746" w:right="239" w:bottom="1440" w:gutter="0" w:footer="0" w:header="0"/>
        </w:sectPr>
      </w:pPr>
    </w:p>
    <w:bookmarkStart w:id="13" w:name="page14"/>
    <w:bookmarkEnd w:id="13"/>
    <w:p>
      <w:pPr>
        <w:ind w:right="20"/>
        <w:spacing w:after="0" w:line="224" w:lineRule="auto"/>
        <w:rPr>
          <w:sz w:val="20"/>
          <w:szCs w:val="20"/>
          <w:color w:val="auto"/>
        </w:rPr>
      </w:pPr>
      <w:r>
        <w:rPr>
          <w:rFonts w:ascii="Arial" w:cs="Arial" w:eastAsia="Arial" w:hAnsi="Arial"/>
          <w:sz w:val="18"/>
          <w:szCs w:val="18"/>
          <w:color w:val="222222"/>
        </w:rPr>
        <w:t>withdraw from a program prior to completion</w:t>
      </w:r>
      <w:r>
        <w:rPr>
          <w:rFonts w:ascii="Arial" w:cs="Arial" w:eastAsia="Arial" w:hAnsi="Arial"/>
          <w:sz w:val="18"/>
          <w:szCs w:val="18"/>
          <w:color w:val="000000"/>
        </w:rPr>
        <w:t>. Consequently, $8.4 million in estimated unreturned funds from prior periods was recorded in</w:t>
      </w:r>
      <w:r>
        <w:rPr>
          <w:rFonts w:ascii="Arial" w:cs="Arial" w:eastAsia="Arial" w:hAnsi="Arial"/>
          <w:sz w:val="18"/>
          <w:szCs w:val="18"/>
          <w:color w:val="222222"/>
        </w:rPr>
        <w:t xml:space="preserve"> </w:t>
      </w:r>
      <w:r>
        <w:rPr>
          <w:rFonts w:ascii="Arial" w:cs="Arial" w:eastAsia="Arial" w:hAnsi="Arial"/>
          <w:sz w:val="18"/>
          <w:szCs w:val="18"/>
          <w:color w:val="000000"/>
        </w:rPr>
        <w:t>Kaplan’s fourth quarter 2017 results; this estimated refund liability is included in current liabilities on the Company’s consolidated balance sheet at December 31, 2017. No restatement of prior period financial statements and no change in previously reported financial results was required due to the immateriality of the adjustment for the periods presented. Kaplan has self-reported this matter to the ED. Kaplan is in the process of implementing remediation measures, including improvements to the review and approval process for changes to Title IV financial aid refund policies and procedures.</w:t>
      </w:r>
    </w:p>
    <w:p>
      <w:pPr>
        <w:spacing w:after="0" w:line="1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Test Preparation</w:t>
      </w:r>
    </w:p>
    <w:p>
      <w:pPr>
        <w:spacing w:after="0" w:line="166" w:lineRule="exact"/>
        <w:rPr>
          <w:sz w:val="20"/>
          <w:szCs w:val="20"/>
          <w:color w:val="auto"/>
        </w:rPr>
      </w:pPr>
    </w:p>
    <w:p>
      <w:pPr>
        <w:ind w:right="260"/>
        <w:spacing w:after="0" w:line="229" w:lineRule="auto"/>
        <w:rPr>
          <w:sz w:val="20"/>
          <w:szCs w:val="20"/>
          <w:color w:val="auto"/>
        </w:rPr>
      </w:pPr>
      <w:r>
        <w:rPr>
          <w:rFonts w:ascii="Arial" w:cs="Arial" w:eastAsia="Arial" w:hAnsi="Arial"/>
          <w:sz w:val="18"/>
          <w:szCs w:val="18"/>
          <w:color w:val="auto"/>
        </w:rPr>
        <w:t>In 2017, Kaplan Test Preparation (KTP) included test preparation businesses in pre-college, graduate, health and bar review, as well as new businesses in new economy skills training (NEST) and in career advising. KTP also published test preparation and other books through its Kaplan Publishing business. Each of these businesses is discussed below.</w:t>
      </w:r>
    </w:p>
    <w:p>
      <w:pPr>
        <w:spacing w:after="0" w:line="115" w:lineRule="exact"/>
        <w:rPr>
          <w:sz w:val="20"/>
          <w:szCs w:val="20"/>
          <w:color w:val="auto"/>
        </w:rPr>
      </w:pPr>
    </w:p>
    <w:p>
      <w:pPr>
        <w:ind w:right="80"/>
        <w:spacing w:after="0" w:line="233" w:lineRule="auto"/>
        <w:rPr>
          <w:sz w:val="20"/>
          <w:szCs w:val="20"/>
          <w:color w:val="auto"/>
        </w:rPr>
      </w:pPr>
      <w:r>
        <w:rPr>
          <w:rFonts w:ascii="Arial" w:cs="Arial" w:eastAsia="Arial" w:hAnsi="Arial"/>
          <w:sz w:val="18"/>
          <w:szCs w:val="18"/>
          <w:b w:val="1"/>
          <w:bCs w:val="1"/>
          <w:i w:val="1"/>
          <w:iCs w:val="1"/>
          <w:color w:val="auto"/>
        </w:rPr>
        <w:t xml:space="preserve">Test Preparation. </w:t>
      </w:r>
      <w:r>
        <w:rPr>
          <w:rFonts w:ascii="Arial" w:cs="Arial" w:eastAsia="Arial" w:hAnsi="Arial"/>
          <w:sz w:val="18"/>
          <w:szCs w:val="18"/>
          <w:color w:val="auto"/>
        </w:rPr>
        <w:t>KTP’s pre-college and graduate businesses prepare students for a broad range of college and graduate school admissions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examinations, including the SAT, ACT, LSAT, GMAT, MCAT and GRE. KTP’s health business prepares students for medical and nursing licensure exams, including the USMLE and NCLEX. Kaplan Bar Review offers full-service bar review in 50 states and the District of Columbia, as well as review for the multistate portion of the bar exam nationwide.</w:t>
      </w:r>
    </w:p>
    <w:p>
      <w:pPr>
        <w:spacing w:after="0" w:line="137" w:lineRule="exact"/>
        <w:rPr>
          <w:sz w:val="20"/>
          <w:szCs w:val="20"/>
          <w:color w:val="auto"/>
        </w:rPr>
      </w:pPr>
    </w:p>
    <w:p>
      <w:pPr>
        <w:ind w:right="220"/>
        <w:spacing w:after="0" w:line="224" w:lineRule="auto"/>
        <w:rPr>
          <w:sz w:val="20"/>
          <w:szCs w:val="20"/>
          <w:color w:val="auto"/>
        </w:rPr>
      </w:pPr>
      <w:r>
        <w:rPr>
          <w:rFonts w:ascii="Arial" w:cs="Arial" w:eastAsia="Arial" w:hAnsi="Arial"/>
          <w:sz w:val="18"/>
          <w:szCs w:val="18"/>
          <w:color w:val="auto"/>
        </w:rPr>
        <w:t>KTP delivers courses at numerous venues throughout the U.S., Canada, Puerto Rico, Mexico and in London. These courses are taught at more than 70 KTP-branded locations and at numerous other locations such as hotels, high schools and universities. KTP also offers courses online, typically in a live online classroom or a self-study format. Private tutoring services are provided in person in select markets and online throughout the U.S. In addition, KTP licenses material for certain of its courses to third parties and to a Kaplan affiliate, which, during 2017, delivered courses at 63 locations in 35 countries outside the U.S. KTP also offers college admissions examination preparation courses and materials directly to high schools and school districts.</w:t>
      </w:r>
    </w:p>
    <w:p>
      <w:pPr>
        <w:spacing w:after="0" w:line="137" w:lineRule="exact"/>
        <w:rPr>
          <w:sz w:val="20"/>
          <w:szCs w:val="20"/>
          <w:color w:val="auto"/>
        </w:rPr>
      </w:pPr>
    </w:p>
    <w:p>
      <w:pPr>
        <w:spacing w:after="0"/>
        <w:rPr>
          <w:sz w:val="20"/>
          <w:szCs w:val="20"/>
          <w:color w:val="auto"/>
        </w:rPr>
      </w:pPr>
      <w:r>
        <w:rPr>
          <w:rFonts w:ascii="Arial" w:cs="Arial" w:eastAsia="Arial" w:hAnsi="Arial"/>
          <w:sz w:val="18"/>
          <w:szCs w:val="18"/>
          <w:color w:val="auto"/>
        </w:rPr>
        <w:t>During 2017, KTP enrolled over 350,000 students in its courses, including more than 175,000 enrolled in online programs.</w:t>
      </w:r>
    </w:p>
    <w:p>
      <w:pPr>
        <w:spacing w:after="0" w:line="122" w:lineRule="exact"/>
        <w:rPr>
          <w:sz w:val="20"/>
          <w:szCs w:val="20"/>
          <w:color w:val="auto"/>
        </w:rPr>
      </w:pPr>
    </w:p>
    <w:p>
      <w:pPr>
        <w:spacing w:after="0" w:line="233" w:lineRule="auto"/>
        <w:rPr>
          <w:sz w:val="20"/>
          <w:szCs w:val="20"/>
          <w:color w:val="auto"/>
        </w:rPr>
      </w:pPr>
      <w:r>
        <w:rPr>
          <w:rFonts w:ascii="Arial" w:cs="Arial" w:eastAsia="Arial" w:hAnsi="Arial"/>
          <w:sz w:val="18"/>
          <w:szCs w:val="18"/>
          <w:b w:val="1"/>
          <w:bCs w:val="1"/>
          <w:i w:val="1"/>
          <w:iCs w:val="1"/>
          <w:color w:val="auto"/>
        </w:rPr>
        <w:t xml:space="preserve">New Economy Skills Training. </w:t>
      </w:r>
      <w:r>
        <w:rPr>
          <w:rFonts w:ascii="Arial" w:cs="Arial" w:eastAsia="Arial" w:hAnsi="Arial"/>
          <w:sz w:val="18"/>
          <w:szCs w:val="18"/>
          <w:color w:val="auto"/>
        </w:rPr>
        <w:t>KTP operates Metis, a licensed, data science school with locations in New York, California, Illinois and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Washington. KTP had also operated Dev Bootcamp, a licensed, coding school that provided students with job-ready computer coding skills and had locations in New York, California, Illinois, Texas and Washington. In July 2017, Dev Bootcamp announced that it was no longer accepting new students and would discontinue campus operations. Dev Bootcamp completed its “teach out” in 2017.</w:t>
      </w:r>
    </w:p>
    <w:p>
      <w:pPr>
        <w:spacing w:after="0" w:line="115" w:lineRule="exact"/>
        <w:rPr>
          <w:sz w:val="20"/>
          <w:szCs w:val="20"/>
          <w:color w:val="auto"/>
        </w:rPr>
      </w:pPr>
    </w:p>
    <w:p>
      <w:pPr>
        <w:ind w:right="60"/>
        <w:spacing w:after="0" w:line="256" w:lineRule="auto"/>
        <w:rPr>
          <w:sz w:val="20"/>
          <w:szCs w:val="20"/>
          <w:color w:val="auto"/>
        </w:rPr>
      </w:pPr>
      <w:r>
        <w:rPr>
          <w:rFonts w:ascii="Arial" w:cs="Arial" w:eastAsia="Arial" w:hAnsi="Arial"/>
          <w:sz w:val="18"/>
          <w:szCs w:val="18"/>
          <w:b w:val="1"/>
          <w:bCs w:val="1"/>
          <w:i w:val="1"/>
          <w:iCs w:val="1"/>
          <w:color w:val="auto"/>
        </w:rPr>
        <w:t xml:space="preserve">Publishing. </w:t>
      </w:r>
      <w:r>
        <w:rPr>
          <w:rFonts w:ascii="Arial" w:cs="Arial" w:eastAsia="Arial" w:hAnsi="Arial"/>
          <w:sz w:val="18"/>
          <w:szCs w:val="18"/>
          <w:color w:val="auto"/>
        </w:rPr>
        <w:t>Kaplan Publishing focuses on print test preparation resources sold through retail channels. At the end of 2017, Kaplan Publishing</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had over 300 products available in print and digital formats, including more than 122 digital products.</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Kaplan International</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color w:val="auto"/>
        </w:rPr>
        <w:t>Kaplan International (KI) operates businesses in Europe, the U.S. and the Asia Pacific region. Each of these businesses is discussed below.</w:t>
      </w:r>
    </w:p>
    <w:p>
      <w:pPr>
        <w:spacing w:after="0" w:line="122" w:lineRule="exact"/>
        <w:rPr>
          <w:sz w:val="20"/>
          <w:szCs w:val="20"/>
          <w:color w:val="auto"/>
        </w:rPr>
      </w:pPr>
    </w:p>
    <w:p>
      <w:pPr>
        <w:ind w:right="480"/>
        <w:spacing w:after="0" w:line="256" w:lineRule="auto"/>
        <w:rPr>
          <w:sz w:val="20"/>
          <w:szCs w:val="20"/>
          <w:color w:val="auto"/>
        </w:rPr>
      </w:pPr>
      <w:r>
        <w:rPr>
          <w:rFonts w:ascii="Arial" w:cs="Arial" w:eastAsia="Arial" w:hAnsi="Arial"/>
          <w:sz w:val="18"/>
          <w:szCs w:val="18"/>
          <w:b w:val="1"/>
          <w:bCs w:val="1"/>
          <w:i w:val="1"/>
          <w:iCs w:val="1"/>
          <w:color w:val="auto"/>
        </w:rPr>
        <w:t xml:space="preserve">Europe. </w:t>
      </w:r>
      <w:r>
        <w:rPr>
          <w:rFonts w:ascii="Arial" w:cs="Arial" w:eastAsia="Arial" w:hAnsi="Arial"/>
          <w:sz w:val="18"/>
          <w:szCs w:val="18"/>
          <w:color w:val="auto"/>
        </w:rPr>
        <w:t>In Europe, Kaplan International operates the following businesses, all of which are based in the U.K. and Ireland: Kaplan UK, KI</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Pathways, KI English, Mander Portman Woodward and a higher education institution and an online learning institution.</w:t>
      </w:r>
    </w:p>
    <w:p>
      <w:pPr>
        <w:spacing w:after="0" w:line="121" w:lineRule="exact"/>
        <w:rPr>
          <w:sz w:val="20"/>
          <w:szCs w:val="20"/>
          <w:color w:val="auto"/>
        </w:rPr>
      </w:pPr>
    </w:p>
    <w:p>
      <w:pPr>
        <w:ind w:right="60"/>
        <w:spacing w:after="0" w:line="227" w:lineRule="auto"/>
        <w:rPr>
          <w:sz w:val="20"/>
          <w:szCs w:val="20"/>
          <w:color w:val="auto"/>
        </w:rPr>
      </w:pPr>
      <w:r>
        <w:rPr>
          <w:rFonts w:ascii="Arial" w:cs="Arial" w:eastAsia="Arial" w:hAnsi="Arial"/>
          <w:sz w:val="18"/>
          <w:szCs w:val="18"/>
          <w:color w:val="auto"/>
        </w:rPr>
        <w:t>The Kaplan UK business in Europe, through Kaplan Financial Limited, is a provider of training, test preparation services and degrees for accounting and financial services professionals, including those studying for ACCA, CIMA and ICAEW qualifications. In addition, Kaplan UK provides professional training. In 2017, Kaplan UK provided courses to over 52,000 students in accountancy and financial services. Kaplan UK is headquartered in London, England, and has 22 training centers located throughout the U.K.</w:t>
      </w:r>
    </w:p>
    <w:p>
      <w:pPr>
        <w:spacing w:after="0" w:line="135" w:lineRule="exact"/>
        <w:rPr>
          <w:sz w:val="20"/>
          <w:szCs w:val="20"/>
          <w:color w:val="auto"/>
        </w:rPr>
      </w:pPr>
    </w:p>
    <w:p>
      <w:pPr>
        <w:ind w:right="60"/>
        <w:spacing w:after="0" w:line="229" w:lineRule="auto"/>
        <w:rPr>
          <w:sz w:val="20"/>
          <w:szCs w:val="20"/>
          <w:color w:val="auto"/>
        </w:rPr>
      </w:pPr>
      <w:r>
        <w:rPr>
          <w:rFonts w:ascii="Arial" w:cs="Arial" w:eastAsia="Arial" w:hAnsi="Arial"/>
          <w:sz w:val="18"/>
          <w:szCs w:val="18"/>
          <w:color w:val="auto"/>
        </w:rPr>
        <w:t>The KI Pathways business offers academic preparation programs especially designed for international students who wish to study in English-speaking countries. In 2017, university preparation programs were being delivered in Australia, China, Japan, Nigeria, Singapore, the U.K. and the U.S., serving approximately 12,000 students in partnership with more than 40 universities.</w:t>
      </w:r>
    </w:p>
    <w:p>
      <w:pPr>
        <w:spacing w:after="0" w:line="137" w:lineRule="exact"/>
        <w:rPr>
          <w:sz w:val="20"/>
          <w:szCs w:val="20"/>
          <w:color w:val="auto"/>
        </w:rPr>
      </w:pPr>
    </w:p>
    <w:p>
      <w:pPr>
        <w:ind w:right="320"/>
        <w:spacing w:after="0" w:line="229" w:lineRule="auto"/>
        <w:rPr>
          <w:sz w:val="20"/>
          <w:szCs w:val="20"/>
          <w:color w:val="auto"/>
        </w:rPr>
      </w:pPr>
      <w:r>
        <w:rPr>
          <w:rFonts w:ascii="Arial" w:cs="Arial" w:eastAsia="Arial" w:hAnsi="Arial"/>
          <w:sz w:val="18"/>
          <w:szCs w:val="18"/>
          <w:color w:val="auto"/>
        </w:rPr>
        <w:t>The KI English business provides English-language training, academic preparation programs and test preparation for English proficiency exams, principally for students wishing to study and travel in English-speaking countries. KI English operates a total of 38 English-language schools, with 20 located in the U.K., Ireland, Australia, New</w:t>
      </w:r>
    </w:p>
    <w:p>
      <w:pPr>
        <w:spacing w:after="0" w:line="200" w:lineRule="exact"/>
        <w:rPr>
          <w:sz w:val="20"/>
          <w:szCs w:val="20"/>
          <w:color w:val="auto"/>
        </w:rPr>
      </w:pPr>
    </w:p>
    <w:p>
      <w:pPr>
        <w:spacing w:after="0" w:line="30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400"/>
          </w:cols>
          <w:pgMar w:left="240" w:top="746" w:right="259" w:bottom="1440" w:gutter="0" w:footer="0" w:header="0"/>
        </w:sectPr>
      </w:pPr>
    </w:p>
    <w:bookmarkStart w:id="14" w:name="page15"/>
    <w:bookmarkEnd w:id="14"/>
    <w:p>
      <w:pPr>
        <w:ind w:right="220"/>
        <w:spacing w:after="0" w:line="235" w:lineRule="auto"/>
        <w:rPr>
          <w:sz w:val="20"/>
          <w:szCs w:val="20"/>
          <w:color w:val="auto"/>
        </w:rPr>
      </w:pPr>
      <w:r>
        <w:rPr>
          <w:rFonts w:ascii="Arial" w:cs="Arial" w:eastAsia="Arial" w:hAnsi="Arial"/>
          <w:sz w:val="18"/>
          <w:szCs w:val="18"/>
          <w:color w:val="auto"/>
        </w:rPr>
        <w:t>Zealand and Canada and 18 located in the U.S. During 2017, KI English served approximately 47,000 students for in-class English-language instruction provided by Kaplan.</w:t>
      </w:r>
    </w:p>
    <w:p>
      <w:pPr>
        <w:spacing w:after="0" w:line="135" w:lineRule="exact"/>
        <w:rPr>
          <w:sz w:val="20"/>
          <w:szCs w:val="20"/>
          <w:color w:val="auto"/>
        </w:rPr>
      </w:pPr>
    </w:p>
    <w:p>
      <w:pPr>
        <w:jc w:val="both"/>
        <w:ind w:right="560"/>
        <w:spacing w:after="0" w:line="229" w:lineRule="auto"/>
        <w:rPr>
          <w:sz w:val="20"/>
          <w:szCs w:val="20"/>
          <w:color w:val="auto"/>
        </w:rPr>
      </w:pPr>
      <w:r>
        <w:rPr>
          <w:rFonts w:ascii="Arial" w:cs="Arial" w:eastAsia="Arial" w:hAnsi="Arial"/>
          <w:sz w:val="18"/>
          <w:szCs w:val="18"/>
          <w:color w:val="auto"/>
        </w:rPr>
        <w:t>In January 2016, Kaplan International acquired Mander Portman Woodward (MPW), a U.K. independent sixth-form college that prepares domestic and international students for A-level examinations that control admission to U.K. universities. MPW operates three colleges in London, Cambridge and Birmingham.</w:t>
      </w:r>
    </w:p>
    <w:p>
      <w:pPr>
        <w:spacing w:after="0" w:line="137" w:lineRule="exact"/>
        <w:rPr>
          <w:sz w:val="20"/>
          <w:szCs w:val="20"/>
          <w:color w:val="auto"/>
        </w:rPr>
      </w:pPr>
    </w:p>
    <w:p>
      <w:pPr>
        <w:ind w:right="120"/>
        <w:spacing w:after="0" w:line="235" w:lineRule="auto"/>
        <w:rPr>
          <w:sz w:val="20"/>
          <w:szCs w:val="20"/>
          <w:color w:val="auto"/>
        </w:rPr>
      </w:pPr>
      <w:r>
        <w:rPr>
          <w:rFonts w:ascii="Arial" w:cs="Arial" w:eastAsia="Arial" w:hAnsi="Arial"/>
          <w:sz w:val="18"/>
          <w:szCs w:val="18"/>
          <w:color w:val="auto"/>
        </w:rPr>
        <w:t>Kaplan International also operates Dublin Business School in Ireland, a higher education institution, and Kaplan Open Learning in the U.K., an online learning institution. At the end of 2017, these institutions enrolled an aggregate of approximately 4,900 students.</w:t>
      </w:r>
    </w:p>
    <w:p>
      <w:pPr>
        <w:spacing w:after="0" w:line="113" w:lineRule="exact"/>
        <w:rPr>
          <w:sz w:val="20"/>
          <w:szCs w:val="20"/>
          <w:color w:val="auto"/>
        </w:rPr>
      </w:pPr>
    </w:p>
    <w:p>
      <w:pPr>
        <w:spacing w:after="0" w:line="228" w:lineRule="auto"/>
        <w:rPr>
          <w:sz w:val="20"/>
          <w:szCs w:val="20"/>
          <w:color w:val="auto"/>
        </w:rPr>
      </w:pPr>
      <w:r>
        <w:rPr>
          <w:rFonts w:ascii="Arial" w:cs="Arial" w:eastAsia="Arial" w:hAnsi="Arial"/>
          <w:sz w:val="18"/>
          <w:szCs w:val="18"/>
          <w:b w:val="1"/>
          <w:bCs w:val="1"/>
          <w:i w:val="1"/>
          <w:iCs w:val="1"/>
          <w:color w:val="auto"/>
        </w:rPr>
        <w:t xml:space="preserve">U.K. Immigration Regulations. </w:t>
      </w:r>
      <w:r>
        <w:rPr>
          <w:rFonts w:ascii="Arial" w:cs="Arial" w:eastAsia="Arial" w:hAnsi="Arial"/>
          <w:sz w:val="18"/>
          <w:szCs w:val="18"/>
          <w:color w:val="auto"/>
        </w:rPr>
        <w:t>Certain Kaplan International businesses serve a significant number of international students; therefore, the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ability to sponsor students from outside the European Economic Area (EEA) and Switzerland to come to the U.K. is critical to these businesses. Pursuant to regulations administered by the United Kingdom Visas and Immigration Department (UKVI), the KI Pathways business is required to hold or operate Tier 4 sponsorship licenses to permit international students to come to the U.K. to study the courses they deliver. Four of the KI English schools also have Tier 4 licenses to enable them to teach international students, although, in general, students studying the English language can choose to enter the U.K. on a student visitor visa as opposed to a Tier 4 visa.</w:t>
      </w:r>
    </w:p>
    <w:p>
      <w:pPr>
        <w:spacing w:after="0" w:line="139" w:lineRule="exact"/>
        <w:rPr>
          <w:sz w:val="20"/>
          <w:szCs w:val="20"/>
          <w:color w:val="auto"/>
        </w:rPr>
      </w:pPr>
    </w:p>
    <w:p>
      <w:pPr>
        <w:spacing w:after="0" w:line="224" w:lineRule="auto"/>
        <w:rPr>
          <w:sz w:val="20"/>
          <w:szCs w:val="20"/>
          <w:color w:val="auto"/>
        </w:rPr>
      </w:pPr>
      <w:r>
        <w:rPr>
          <w:rFonts w:ascii="Arial" w:cs="Arial" w:eastAsia="Arial" w:hAnsi="Arial"/>
          <w:sz w:val="18"/>
          <w:szCs w:val="18"/>
          <w:color w:val="auto"/>
        </w:rPr>
        <w:t>Each Tier 4 license holder is also required to have passed the Basic Compliance Assessment (BCA) and hold Educational Oversight accreditation. Without these criteria being met, Kaplan International’s U.K. schools would not be permitted to issue a Confirmation of Acceptance for Studies (CAS) to potential incoming international students, which is a prerequisite to a student obtaining a Tier 4 student visa. The revised immigration rules also require all private institutions to obtain Educational Oversight accreditation. Educational Oversight requires a current and satisfactory full inspection, audit or review by the appropriate academic standards body. Failure to comply with these new rules has the potential to adversely impact the number of international students studying through Kaplan International.</w:t>
      </w:r>
    </w:p>
    <w:p>
      <w:pPr>
        <w:spacing w:after="0" w:line="137" w:lineRule="exact"/>
        <w:rPr>
          <w:sz w:val="20"/>
          <w:szCs w:val="20"/>
          <w:color w:val="auto"/>
        </w:rPr>
      </w:pPr>
    </w:p>
    <w:p>
      <w:pPr>
        <w:ind w:right="100"/>
        <w:spacing w:after="0" w:line="235" w:lineRule="auto"/>
        <w:rPr>
          <w:sz w:val="20"/>
          <w:szCs w:val="20"/>
          <w:color w:val="auto"/>
        </w:rPr>
      </w:pPr>
      <w:r>
        <w:rPr>
          <w:rFonts w:ascii="Arial" w:cs="Arial" w:eastAsia="Arial" w:hAnsi="Arial"/>
          <w:sz w:val="18"/>
          <w:szCs w:val="18"/>
          <w:color w:val="auto"/>
        </w:rPr>
        <w:t>For the sixth consecutive year, Kaplan International has retained 100% in Tier 4 Educational Oversight with high grades across all colleges. All Tier 4 license renewals have been approved again with high scores in the core measurable requirements.</w:t>
      </w:r>
    </w:p>
    <w:p>
      <w:pPr>
        <w:spacing w:after="0" w:line="135" w:lineRule="exact"/>
        <w:rPr>
          <w:sz w:val="20"/>
          <w:szCs w:val="20"/>
          <w:color w:val="auto"/>
        </w:rPr>
      </w:pPr>
    </w:p>
    <w:p>
      <w:pPr>
        <w:ind w:right="220"/>
        <w:spacing w:after="0" w:line="229" w:lineRule="auto"/>
        <w:rPr>
          <w:sz w:val="20"/>
          <w:szCs w:val="20"/>
          <w:color w:val="auto"/>
        </w:rPr>
      </w:pPr>
      <w:r>
        <w:rPr>
          <w:rFonts w:ascii="Arial" w:cs="Arial" w:eastAsia="Arial" w:hAnsi="Arial"/>
          <w:sz w:val="18"/>
          <w:szCs w:val="18"/>
          <w:color w:val="auto"/>
        </w:rPr>
        <w:t>KI English has four U.K. English-language schools listed on the Kaplan Tier 4 master license. In 2016, each of these four schools also completed annual monitoring, achieving “exceeded expectations” from the Independent Schools Inspectorate (ISI). As noted above, students studying the English language can choose to enter the U.K. on a student visitor visa as opposed to a Tier 4 visa.</w:t>
      </w:r>
    </w:p>
    <w:p>
      <w:pPr>
        <w:spacing w:after="0" w:line="137" w:lineRule="exact"/>
        <w:rPr>
          <w:sz w:val="20"/>
          <w:szCs w:val="20"/>
          <w:color w:val="auto"/>
        </w:rPr>
      </w:pPr>
    </w:p>
    <w:p>
      <w:pPr>
        <w:ind w:right="80"/>
        <w:spacing w:after="0" w:line="235" w:lineRule="auto"/>
        <w:rPr>
          <w:sz w:val="20"/>
          <w:szCs w:val="20"/>
          <w:color w:val="auto"/>
        </w:rPr>
      </w:pPr>
      <w:r>
        <w:rPr>
          <w:rFonts w:ascii="Arial" w:cs="Arial" w:eastAsia="Arial" w:hAnsi="Arial"/>
          <w:sz w:val="18"/>
          <w:szCs w:val="18"/>
          <w:color w:val="auto"/>
        </w:rPr>
        <w:t>The MPW schools have performed consistently well with good records in their Office for Standards in Education, Children’s Services and Skills (OFSTED) and ISI Educational Oversight inspections. The MPW schools each hold current Tier 4 licenses.</w:t>
      </w:r>
    </w:p>
    <w:p>
      <w:pPr>
        <w:spacing w:after="0" w:line="135" w:lineRule="exact"/>
        <w:rPr>
          <w:sz w:val="20"/>
          <w:szCs w:val="20"/>
          <w:color w:val="auto"/>
        </w:rPr>
      </w:pPr>
    </w:p>
    <w:p>
      <w:pPr>
        <w:ind w:right="40"/>
        <w:spacing w:after="0" w:line="220" w:lineRule="auto"/>
        <w:rPr>
          <w:sz w:val="20"/>
          <w:szCs w:val="20"/>
          <w:color w:val="auto"/>
        </w:rPr>
      </w:pPr>
      <w:r>
        <w:rPr>
          <w:rFonts w:ascii="Arial" w:cs="Arial" w:eastAsia="Arial" w:hAnsi="Arial"/>
          <w:sz w:val="18"/>
          <w:szCs w:val="18"/>
          <w:color w:val="auto"/>
        </w:rPr>
        <w:t>Changes continue to be made to U.K. immigration rules. The UKVI continues to tighten the regulations around sponsoring students from outside the EEA and Switzerland. Changes over the past three years have included the introduction of a rule that restricts to five years the time a sponsored student can spend studying at or above degree level in the U.K. In addition, sponsored students who do not attend an institution that qualifies as a Higher Educational Institution (HEI), which includes students attending Kaplan International colleges in the U.K., are no longer permitted to work part time while studying. In 2013, the biggest change was the introduction of a new screening process called a “Credibility Check” for potential students. This interview process can affect the number of visa refusals Kaplan International’s businesses receive, which is a risk factor for loss of the relevant license. However, Kaplan International has not experienced a significant increase in visa refusals. Since the introduction of the Points-Based System in 2009, all Tier 4 students are subject to strict checks pre- and post-arrival, including verification that their qualifications are genuine, confirmation that the students maintain a good attendance record and that they can be contacted at all times, and verification that they have academic progression and that their visa is valid at all times while they are present in the U.K. Failure to meet these requirements obligates Kaplan International to withdraw sponsorship and report these students to the UKVI. In 2014, there were additional changes to the UKVI rules, including a significant tightening of the core measurable with respect to visa refusals. Effective November 1, 2014, no more than 10% of the students to whom a CAS is issued by a Tier 4 license sponsor can have their visa refused. Formerly, the limit was set at 20%. In 2015, the Tier 4 licenses for Kaplan Financial, KI Pathways’ London College and all of KI English colleges were consolidated into one single “master” license. In June 2016, KI English reduced the number of its schools on the master license to four. The University of Nottingham International College was later added to the master license. Kaplan Financial has ceased sponsoring international students and was removed from the master license in 2017. If this license were lost, all of these colleges would lose the ability to sponsor international students. Furthermore, students applying to another education provider after completing their studies at these colleges are now required to return home to apply for a</w:t>
      </w:r>
    </w:p>
    <w:p>
      <w:pPr>
        <w:spacing w:after="0" w:line="200" w:lineRule="exact"/>
        <w:rPr>
          <w:sz w:val="20"/>
          <w:szCs w:val="20"/>
          <w:color w:val="auto"/>
        </w:rPr>
      </w:pPr>
    </w:p>
    <w:p>
      <w:pPr>
        <w:spacing w:after="0" w:line="3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420"/>
          </w:cols>
          <w:pgMar w:left="240" w:top="746" w:right="239" w:bottom="1440" w:gutter="0" w:footer="0" w:header="0"/>
        </w:sectPr>
      </w:pPr>
    </w:p>
    <w:bookmarkStart w:id="15" w:name="page16"/>
    <w:bookmarkEnd w:id="15"/>
    <w:p>
      <w:pPr>
        <w:ind w:right="120"/>
        <w:spacing w:after="0" w:line="227" w:lineRule="auto"/>
        <w:rPr>
          <w:sz w:val="20"/>
          <w:szCs w:val="20"/>
          <w:color w:val="auto"/>
        </w:rPr>
      </w:pPr>
      <w:r>
        <w:rPr>
          <w:rFonts w:ascii="Arial" w:cs="Arial" w:eastAsia="Arial" w:hAnsi="Arial"/>
          <w:sz w:val="18"/>
          <w:szCs w:val="18"/>
          <w:color w:val="auto"/>
        </w:rPr>
        <w:t>second visa. All of KI Pathways’ colleges dedicated to working with one university partner that held their own individual sponsor license before the introduction of the master license have retained their individual licenses. Academic service providers are required to have rigorous processes to verify all English-language test certificates. The introduction of revised immigration rules has increased Kaplan International’s operating costs in the U.K. in relation to students from outside the EEA and Switzerland.</w:t>
      </w:r>
    </w:p>
    <w:p>
      <w:pPr>
        <w:spacing w:after="0" w:line="135" w:lineRule="exact"/>
        <w:rPr>
          <w:sz w:val="20"/>
          <w:szCs w:val="20"/>
          <w:color w:val="auto"/>
        </w:rPr>
      </w:pPr>
    </w:p>
    <w:p>
      <w:pPr>
        <w:ind w:right="240"/>
        <w:spacing w:after="0" w:line="227" w:lineRule="auto"/>
        <w:rPr>
          <w:sz w:val="20"/>
          <w:szCs w:val="20"/>
          <w:color w:val="auto"/>
        </w:rPr>
      </w:pPr>
      <w:r>
        <w:rPr>
          <w:rFonts w:ascii="Arial" w:cs="Arial" w:eastAsia="Arial" w:hAnsi="Arial"/>
          <w:sz w:val="18"/>
          <w:szCs w:val="18"/>
          <w:color w:val="auto"/>
        </w:rPr>
        <w:t>No assurance can be given that each Kaplan International business in the U.K. will be able to maintain its Tier 4 BCA status and Educational Oversight accreditation. Maintenance of each of these approvals requires compliance with several core metrics that may be difficult to attain. Loss of either Tier 4 BCA status or Educational Oversight accreditation would have a material adverse effect on Kaplan Europe’s operating results.</w:t>
      </w:r>
    </w:p>
    <w:p>
      <w:pPr>
        <w:spacing w:after="0" w:line="113" w:lineRule="exact"/>
        <w:rPr>
          <w:sz w:val="20"/>
          <w:szCs w:val="20"/>
          <w:color w:val="auto"/>
        </w:rPr>
      </w:pPr>
    </w:p>
    <w:p>
      <w:pPr>
        <w:jc w:val="both"/>
        <w:spacing w:after="0" w:line="223" w:lineRule="auto"/>
        <w:rPr>
          <w:sz w:val="20"/>
          <w:szCs w:val="20"/>
          <w:color w:val="auto"/>
        </w:rPr>
      </w:pPr>
      <w:r>
        <w:rPr>
          <w:rFonts w:ascii="Arial" w:cs="Arial" w:eastAsia="Arial" w:hAnsi="Arial"/>
          <w:sz w:val="18"/>
          <w:szCs w:val="18"/>
          <w:b w:val="1"/>
          <w:bCs w:val="1"/>
          <w:i w:val="1"/>
          <w:iCs w:val="1"/>
          <w:color w:val="auto"/>
        </w:rPr>
        <w:t xml:space="preserve">Impact of Brexit. </w:t>
      </w:r>
      <w:r>
        <w:rPr>
          <w:rFonts w:ascii="Arial" w:cs="Arial" w:eastAsia="Arial" w:hAnsi="Arial"/>
          <w:sz w:val="18"/>
          <w:szCs w:val="18"/>
          <w:color w:val="auto"/>
        </w:rPr>
        <w:t>On June 23, 2016, the U.K. held a referendum in which voters approved a proposal that the U.K. leave the European Union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(EU), commonly referred to as “Brexit.” The impact on Kaplan International from Brexit will depend, in part, on the outcome of future negotiations regarding the terms of the U.K.’s withdrawal from the EU, possibly including any transition period. The timing of the negotiations and their impact on recruitment of international students is uncertain. It is possible that EU nationals’ ability to enter the U.K. for long- or short-term study will change or that changes in laws affecting EU nationals could also apply to international students presently covered by the Tier 4 (KI Pathways) or student visitor visa regime (KI English). It is also unclear how international student recruitment agents and prospective international students will view the U.K. as a study destination after the EU exit negotiations and the U.K.’s eventual departure from the EU. If the U.K. exit from the EU and related perceptions of the U.K. as a study destination have a significant negative impact on Kaplan’s ability to recruit international students, Kaplan’s results of operations and cash flows would be adversely and materially impacted. The U.K.’s Prime Minister continues to express her desire to maintain rigorous immigration controls and select the “best” students for entry into the U.K. However, in 2017, the Home Secretary commissioned the Migration Advisory Committee to assess the economic and social impact of international students in the U.K. This report is due in September 2018. A white paper on immigration is proposed to be released in autumn 2018 by the U.K. government.</w:t>
      </w:r>
    </w:p>
    <w:p>
      <w:pPr>
        <w:spacing w:after="0" w:line="120" w:lineRule="exact"/>
        <w:rPr>
          <w:sz w:val="20"/>
          <w:szCs w:val="20"/>
          <w:color w:val="auto"/>
        </w:rPr>
      </w:pPr>
    </w:p>
    <w:p>
      <w:pPr>
        <w:ind w:right="60"/>
        <w:spacing w:after="0" w:line="233" w:lineRule="auto"/>
        <w:rPr>
          <w:sz w:val="20"/>
          <w:szCs w:val="20"/>
          <w:color w:val="auto"/>
        </w:rPr>
      </w:pPr>
      <w:r>
        <w:rPr>
          <w:rFonts w:ascii="Arial" w:cs="Arial" w:eastAsia="Arial" w:hAnsi="Arial"/>
          <w:sz w:val="18"/>
          <w:szCs w:val="18"/>
          <w:b w:val="1"/>
          <w:bCs w:val="1"/>
          <w:i w:val="1"/>
          <w:iCs w:val="1"/>
          <w:color w:val="auto"/>
        </w:rPr>
        <w:t xml:space="preserve">The U.K. Counter-Terrorism and Security Act 2015. </w:t>
      </w:r>
      <w:r>
        <w:rPr>
          <w:rFonts w:ascii="Arial" w:cs="Arial" w:eastAsia="Arial" w:hAnsi="Arial"/>
          <w:sz w:val="18"/>
          <w:szCs w:val="18"/>
          <w:color w:val="auto"/>
        </w:rPr>
        <w:t>The U.K. Counter-Terrorism and Security Act 2015 creates a statutory duty for specified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public authorities to “have due regard to the need to prevent people from being drawn into terrorism” (Prevent duty). The aim of this government policy is to prevent people from becoming terrorists or supporting terrorism. The private Further Education sector became subject to the new Prevent duty in July 2015 and is required to implement safeguards as proposed by the Home Office Prevent guidance.</w:t>
      </w:r>
    </w:p>
    <w:p>
      <w:pPr>
        <w:spacing w:after="0" w:line="150" w:lineRule="exact"/>
        <w:rPr>
          <w:sz w:val="20"/>
          <w:szCs w:val="20"/>
          <w:color w:val="auto"/>
        </w:rPr>
      </w:pPr>
    </w:p>
    <w:p>
      <w:pPr>
        <w:jc w:val="both"/>
        <w:ind w:right="140"/>
        <w:spacing w:after="0" w:line="256" w:lineRule="auto"/>
        <w:rPr>
          <w:sz w:val="20"/>
          <w:szCs w:val="20"/>
          <w:color w:val="auto"/>
        </w:rPr>
      </w:pPr>
      <w:r>
        <w:rPr>
          <w:rFonts w:ascii="Arial" w:cs="Arial" w:eastAsia="Arial" w:hAnsi="Arial"/>
          <w:sz w:val="18"/>
          <w:szCs w:val="18"/>
          <w:color w:val="auto"/>
        </w:rPr>
        <w:t>Kaplan International has successfully implemented a Prevent Policy to satisfy the requirements of its duty across KI English and KI Pathways. Following inspections in July 2016 at three KI Pathways sites, KI Pathways received the highest grading of “compliant” for its inspections and received best practice ratings in a number of areas for the private Further Education sector.</w:t>
      </w:r>
    </w:p>
    <w:p>
      <w:pPr>
        <w:spacing w:after="0" w:line="112" w:lineRule="exact"/>
        <w:rPr>
          <w:sz w:val="20"/>
          <w:szCs w:val="20"/>
          <w:color w:val="auto"/>
        </w:rPr>
      </w:pPr>
    </w:p>
    <w:p>
      <w:pPr>
        <w:spacing w:after="0" w:line="228" w:lineRule="auto"/>
        <w:rPr>
          <w:sz w:val="20"/>
          <w:szCs w:val="20"/>
          <w:color w:val="auto"/>
        </w:rPr>
      </w:pPr>
      <w:r>
        <w:rPr>
          <w:rFonts w:ascii="Arial" w:cs="Arial" w:eastAsia="Arial" w:hAnsi="Arial"/>
          <w:sz w:val="18"/>
          <w:szCs w:val="18"/>
          <w:b w:val="1"/>
          <w:bCs w:val="1"/>
          <w:i w:val="1"/>
          <w:iCs w:val="1"/>
          <w:color w:val="auto"/>
        </w:rPr>
        <w:t xml:space="preserve">Higher Education and Research Act 2017 (U.K.). </w:t>
      </w:r>
      <w:r>
        <w:rPr>
          <w:rFonts w:ascii="Arial" w:cs="Arial" w:eastAsia="Arial" w:hAnsi="Arial"/>
          <w:sz w:val="18"/>
          <w:szCs w:val="18"/>
          <w:color w:val="auto"/>
        </w:rPr>
        <w:t>The Higher Education and Research Act 2017 (HERA) received Royal Assent on April 27,</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2017. HERA undertakes a significant reform of regulation of the higher education sector in the U.K., including the formation of a new regulator, the Office for Students. The academic year 2018/19 will be a transition year under the new regulatory framework. The Department of Education on behalf of the Office for Students consulted on the new regulatory framework that will apply to the higher education sector, including transition arrangements, in 2017. While the final regulatory framework has not yet been published, the Company expects that the Kaplan International Pathways business will have a higher compliance burden on the basis of its review of the proposals sent out for consultation.</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 xml:space="preserve">Asia Pacific. </w:t>
      </w:r>
      <w:r>
        <w:rPr>
          <w:rFonts w:ascii="Arial" w:cs="Arial" w:eastAsia="Arial" w:hAnsi="Arial"/>
          <w:sz w:val="18"/>
          <w:szCs w:val="18"/>
          <w:color w:val="auto"/>
        </w:rPr>
        <w:t>In the Asia Pacific region, Kaplan operates businesses primarily in Singapore, Australia, New Zealand, Hong Kong and China.</w:t>
      </w:r>
    </w:p>
    <w:p>
      <w:pPr>
        <w:spacing w:after="0" w:line="166" w:lineRule="exact"/>
        <w:rPr>
          <w:sz w:val="20"/>
          <w:szCs w:val="20"/>
          <w:color w:val="auto"/>
        </w:rPr>
      </w:pPr>
    </w:p>
    <w:p>
      <w:pPr>
        <w:ind w:right="380"/>
        <w:spacing w:after="0" w:line="227" w:lineRule="auto"/>
        <w:rPr>
          <w:sz w:val="20"/>
          <w:szCs w:val="20"/>
          <w:color w:val="auto"/>
        </w:rPr>
      </w:pPr>
      <w:r>
        <w:rPr>
          <w:rFonts w:ascii="Arial" w:cs="Arial" w:eastAsia="Arial" w:hAnsi="Arial"/>
          <w:sz w:val="18"/>
          <w:szCs w:val="18"/>
          <w:color w:val="auto"/>
        </w:rPr>
        <w:t>In Singapore, Kaplan operates three business units: Kaplan Higher Education, Kaplan Financial and Kaplan Professional. During 2017, the Higher Education and Financial divisions served more than 14,000 students from Singapore and 3,000 students from other countries throughout Asia and Western Europe. Kaplan Professional provided short courses to approximately 37,000 professionals, managers, executives and businesspeople in 2017.</w:t>
      </w:r>
    </w:p>
    <w:p>
      <w:pPr>
        <w:spacing w:after="0" w:line="135" w:lineRule="exact"/>
        <w:rPr>
          <w:sz w:val="20"/>
          <w:szCs w:val="20"/>
          <w:color w:val="auto"/>
        </w:rPr>
      </w:pPr>
    </w:p>
    <w:p>
      <w:pPr>
        <w:ind w:right="120"/>
        <w:spacing w:after="0" w:line="229" w:lineRule="auto"/>
        <w:rPr>
          <w:sz w:val="20"/>
          <w:szCs w:val="20"/>
          <w:color w:val="auto"/>
        </w:rPr>
      </w:pPr>
      <w:r>
        <w:rPr>
          <w:rFonts w:ascii="Arial" w:cs="Arial" w:eastAsia="Arial" w:hAnsi="Arial"/>
          <w:sz w:val="18"/>
          <w:szCs w:val="18"/>
          <w:color w:val="auto"/>
        </w:rPr>
        <w:t>Kaplan Singapore’s Higher Education business provides students with the opportunity to earn Bachelor’s and postgraduate degrees in various fields on either a part-time or full-time basis. Kaplan Singapore’s students receive degrees from affiliated educational institutions in Australia and the U.K. In addition, this division offers pre-university and diploma programs.</w:t>
      </w:r>
    </w:p>
    <w:p>
      <w:pPr>
        <w:spacing w:after="0" w:line="137" w:lineRule="exact"/>
        <w:rPr>
          <w:sz w:val="20"/>
          <w:szCs w:val="20"/>
          <w:color w:val="auto"/>
        </w:rPr>
      </w:pPr>
    </w:p>
    <w:p>
      <w:pPr>
        <w:ind w:right="60"/>
        <w:spacing w:after="0" w:line="227" w:lineRule="auto"/>
        <w:rPr>
          <w:sz w:val="20"/>
          <w:szCs w:val="20"/>
          <w:color w:val="auto"/>
        </w:rPr>
      </w:pPr>
      <w:r>
        <w:rPr>
          <w:rFonts w:ascii="Arial" w:cs="Arial" w:eastAsia="Arial" w:hAnsi="Arial"/>
          <w:sz w:val="18"/>
          <w:szCs w:val="18"/>
          <w:color w:val="auto"/>
        </w:rPr>
        <w:t>Kaplan Singapore’s Financial business provides preparatory courses for professional qualifications in accountancy and finance, such as the Association of Chartered Certified Accountants (ACCA) and the Chartered Financial Analyst (CFA). Kaplan Singapore’s Professional business, which is an authorized Workforce Development Agency Continuing Education Training (CET) Centre, provides professionals with various skills training to help them rejoin the workforce, shift to new careers or catch up with changes that occur in the workplace.</w:t>
      </w:r>
    </w:p>
    <w:p>
      <w:pPr>
        <w:spacing w:after="0" w:line="200" w:lineRule="exact"/>
        <w:rPr>
          <w:sz w:val="20"/>
          <w:szCs w:val="20"/>
          <w:color w:val="auto"/>
        </w:rPr>
      </w:pPr>
    </w:p>
    <w:p>
      <w:pPr>
        <w:spacing w:after="0" w:line="3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420"/>
          </w:cols>
          <w:pgMar w:left="240" w:top="746" w:right="239" w:bottom="1440" w:gutter="0" w:footer="0" w:header="0"/>
        </w:sectPr>
      </w:pPr>
    </w:p>
    <w:bookmarkStart w:id="16" w:name="page17"/>
    <w:bookmarkEnd w:id="16"/>
    <w:p>
      <w:pPr>
        <w:ind w:right="20"/>
        <w:spacing w:after="0" w:line="225" w:lineRule="auto"/>
        <w:rPr>
          <w:sz w:val="20"/>
          <w:szCs w:val="20"/>
          <w:color w:val="auto"/>
        </w:rPr>
      </w:pPr>
      <w:r>
        <w:rPr>
          <w:rFonts w:ascii="Arial" w:cs="Arial" w:eastAsia="Arial" w:hAnsi="Arial"/>
          <w:sz w:val="18"/>
          <w:szCs w:val="18"/>
          <w:color w:val="auto"/>
        </w:rPr>
        <w:t>In Australia, Kaplan delivers a broad range of financial services programs from certificate level through Master’s level, together with professional development offerings through Kaplan Professional, as well as higher education programs in business, accounting, hospitality and tourism and management through Kaplan Business School. In 2017, these businesses provided courses to approximately 1,800 students at any one time through face-to-face classroom programs (within Kaplan Business School) and to a total of approximately 43,000 students through online or distance-learning programs offered by Kaplan Professional.</w:t>
      </w:r>
    </w:p>
    <w:p>
      <w:pPr>
        <w:spacing w:after="0" w:line="137" w:lineRule="exact"/>
        <w:rPr>
          <w:sz w:val="20"/>
          <w:szCs w:val="20"/>
          <w:color w:val="auto"/>
        </w:rPr>
      </w:pPr>
    </w:p>
    <w:p>
      <w:pPr>
        <w:ind w:right="300"/>
        <w:spacing w:after="0" w:line="224" w:lineRule="auto"/>
        <w:rPr>
          <w:sz w:val="20"/>
          <w:szCs w:val="20"/>
          <w:color w:val="auto"/>
        </w:rPr>
      </w:pPr>
      <w:r>
        <w:rPr>
          <w:rFonts w:ascii="Arial" w:cs="Arial" w:eastAsia="Arial" w:hAnsi="Arial"/>
          <w:sz w:val="18"/>
          <w:szCs w:val="18"/>
          <w:color w:val="auto"/>
        </w:rPr>
        <w:t>Kaplan Australia’s English-language business is part of KI English, which operates across six locations in Australia and one location in New Zealand, teaching more than 7,500 students throughout 2017. In 2017, the Kaplan International English School in Cairns was sold to a regionally-based distance-education provider, to allow Kaplan to refocus its English-language training businesses on metropolitan areas in Australia. The Kaplan Australia Pathways business is also part of KI Pathways. It consists of Murdoch Institute of Technology and the University of Adelaide College (formerly Bradford College) and offered face-to-face pathways and foundational education to 950 students wishing to enter Murdoch University in Perth and the University of Adelaide, respectively, at any one time throughout 2017.</w:t>
      </w:r>
    </w:p>
    <w:p>
      <w:pPr>
        <w:spacing w:after="0" w:line="137" w:lineRule="exact"/>
        <w:rPr>
          <w:sz w:val="20"/>
          <w:szCs w:val="20"/>
          <w:color w:val="auto"/>
        </w:rPr>
      </w:pPr>
    </w:p>
    <w:p>
      <w:pPr>
        <w:ind w:right="60"/>
        <w:spacing w:after="0" w:line="227" w:lineRule="auto"/>
        <w:rPr>
          <w:sz w:val="20"/>
          <w:szCs w:val="20"/>
          <w:color w:val="auto"/>
        </w:rPr>
      </w:pPr>
      <w:r>
        <w:rPr>
          <w:rFonts w:ascii="Arial" w:cs="Arial" w:eastAsia="Arial" w:hAnsi="Arial"/>
          <w:sz w:val="18"/>
          <w:szCs w:val="18"/>
          <w:color w:val="auto"/>
        </w:rPr>
        <w:t>In 2017, Kaplan Australia acquired Red Marker Pty Ltd., a machine learning and artificial intelligence-based provider of regulatory software. Its Artemis product detects potentially non-compliant content as it is being created, helping advisers and licensees to identify and remediate compliance risks associated with the promotion of financial products or services. This acquisition broadened Kaplan’s portfolio of compliance solutions to the financial services sector in Australia.</w:t>
      </w:r>
    </w:p>
    <w:p>
      <w:pPr>
        <w:spacing w:after="0" w:line="135" w:lineRule="exact"/>
        <w:rPr>
          <w:sz w:val="20"/>
          <w:szCs w:val="20"/>
          <w:color w:val="auto"/>
        </w:rPr>
      </w:pPr>
    </w:p>
    <w:p>
      <w:pPr>
        <w:ind w:right="60"/>
        <w:spacing w:after="0" w:line="235" w:lineRule="auto"/>
        <w:rPr>
          <w:sz w:val="20"/>
          <w:szCs w:val="20"/>
          <w:color w:val="auto"/>
        </w:rPr>
      </w:pPr>
      <w:r>
        <w:rPr>
          <w:rFonts w:ascii="Arial" w:cs="Arial" w:eastAsia="Arial" w:hAnsi="Arial"/>
          <w:sz w:val="18"/>
          <w:szCs w:val="18"/>
          <w:color w:val="auto"/>
        </w:rPr>
        <w:t>In Hong Kong, Kaplan operates three main business units: Kaplan Financial, Kaplan Language Training and Kaplan Higher Education, serving approximately 12,000 students annually.</w:t>
      </w:r>
    </w:p>
    <w:p>
      <w:pPr>
        <w:spacing w:after="0" w:line="135" w:lineRule="exact"/>
        <w:rPr>
          <w:sz w:val="20"/>
          <w:szCs w:val="20"/>
          <w:color w:val="auto"/>
        </w:rPr>
      </w:pPr>
    </w:p>
    <w:p>
      <w:pPr>
        <w:ind w:right="20"/>
        <w:spacing w:after="0" w:line="235" w:lineRule="auto"/>
        <w:rPr>
          <w:sz w:val="20"/>
          <w:szCs w:val="20"/>
          <w:color w:val="auto"/>
        </w:rPr>
      </w:pPr>
      <w:r>
        <w:rPr>
          <w:rFonts w:ascii="Arial" w:cs="Arial" w:eastAsia="Arial" w:hAnsi="Arial"/>
          <w:sz w:val="18"/>
          <w:szCs w:val="18"/>
          <w:color w:val="auto"/>
        </w:rPr>
        <w:t>Kaplan Hong Kong’s Financial division delivers preparatory courses to approximately 10,000 students and business executives wishing to earn professional qualifications in accountancy, financial markets designations and other professional courses.</w:t>
      </w:r>
    </w:p>
    <w:p>
      <w:pPr>
        <w:spacing w:after="0" w:line="135" w:lineRule="exact"/>
        <w:rPr>
          <w:sz w:val="20"/>
          <w:szCs w:val="20"/>
          <w:color w:val="auto"/>
        </w:rPr>
      </w:pPr>
    </w:p>
    <w:p>
      <w:pPr>
        <w:spacing w:after="0" w:line="235" w:lineRule="auto"/>
        <w:rPr>
          <w:sz w:val="20"/>
          <w:szCs w:val="20"/>
          <w:color w:val="auto"/>
        </w:rPr>
      </w:pPr>
      <w:r>
        <w:rPr>
          <w:rFonts w:ascii="Arial" w:cs="Arial" w:eastAsia="Arial" w:hAnsi="Arial"/>
          <w:sz w:val="18"/>
          <w:szCs w:val="18"/>
          <w:color w:val="auto"/>
        </w:rPr>
        <w:t>Hong Kong’s Language Training division offers both test preparation for overseas study and college applications, including TOEFL, IELTS, SAT and GMAT, to approximately 1,000 students.</w:t>
      </w:r>
    </w:p>
    <w:p>
      <w:pPr>
        <w:spacing w:after="0" w:line="135" w:lineRule="exact"/>
        <w:rPr>
          <w:sz w:val="20"/>
          <w:szCs w:val="20"/>
          <w:color w:val="auto"/>
        </w:rPr>
      </w:pPr>
    </w:p>
    <w:p>
      <w:pPr>
        <w:spacing w:after="0" w:line="229" w:lineRule="auto"/>
        <w:rPr>
          <w:sz w:val="20"/>
          <w:szCs w:val="20"/>
          <w:color w:val="auto"/>
        </w:rPr>
      </w:pPr>
      <w:r>
        <w:rPr>
          <w:rFonts w:ascii="Arial" w:cs="Arial" w:eastAsia="Arial" w:hAnsi="Arial"/>
          <w:sz w:val="18"/>
          <w:szCs w:val="18"/>
          <w:color w:val="auto"/>
        </w:rPr>
        <w:t>Kaplan Hong Kong Higher Education division offers both full-time and part-time programs to approximately 1,000 students studying for degrees from leading Western universities. Students earn Doctorate, Master’s and Bachelor’s degrees in Hong Kong. Kaplan also offers a proprietary pre-college diploma program through Kaplan Business and Accountancy School.</w:t>
      </w:r>
    </w:p>
    <w:p>
      <w:pPr>
        <w:spacing w:after="0" w:line="137" w:lineRule="exact"/>
        <w:rPr>
          <w:sz w:val="20"/>
          <w:szCs w:val="20"/>
          <w:color w:val="auto"/>
        </w:rPr>
      </w:pPr>
    </w:p>
    <w:p>
      <w:pPr>
        <w:ind w:right="20"/>
        <w:spacing w:after="0" w:line="227" w:lineRule="auto"/>
        <w:rPr>
          <w:sz w:val="20"/>
          <w:szCs w:val="20"/>
          <w:color w:val="auto"/>
        </w:rPr>
      </w:pPr>
      <w:r>
        <w:rPr>
          <w:rFonts w:ascii="Arial" w:cs="Arial" w:eastAsia="Arial" w:hAnsi="Arial"/>
          <w:sz w:val="18"/>
          <w:szCs w:val="18"/>
          <w:color w:val="auto"/>
        </w:rPr>
        <w:t>In 2014, Kaplan Holdings Limited (Hong Kong) signed a joint venture agreement with CITIC Press Corporation. Under the terms of the agreement, the parties have now incorporated a joint venture company, Kaplan CITIC Education Co. Limited, which is 49% owned by Kaplan Holdings Limited. The joint venture company is carrying out publishing and distribution of Kaplan Financial training products in China (including CFA, FRM and ACCA) and is expanding business with other Kaplan divisions under an intellectual property license from Kaplan.</w:t>
      </w:r>
    </w:p>
    <w:p>
      <w:pPr>
        <w:spacing w:after="0" w:line="135" w:lineRule="exact"/>
        <w:rPr>
          <w:sz w:val="20"/>
          <w:szCs w:val="20"/>
          <w:color w:val="auto"/>
        </w:rPr>
      </w:pPr>
    </w:p>
    <w:p>
      <w:pPr>
        <w:ind w:right="100"/>
        <w:spacing w:after="0" w:line="227" w:lineRule="auto"/>
        <w:rPr>
          <w:sz w:val="20"/>
          <w:szCs w:val="20"/>
          <w:color w:val="auto"/>
        </w:rPr>
      </w:pPr>
      <w:r>
        <w:rPr>
          <w:rFonts w:ascii="Arial" w:cs="Arial" w:eastAsia="Arial" w:hAnsi="Arial"/>
          <w:sz w:val="18"/>
          <w:szCs w:val="18"/>
          <w:color w:val="auto"/>
        </w:rPr>
        <w:t>Each of Kaplan’s international businesses is subject to unique and often complex regulatory environments in the countries in which they operate. The degree of consistency in the application and interpretation of such regulations can vary significantly in certain jurisdictions, which can make compliance challenging. No assurance can be given that Kaplan will be able to continue complying with foreign regulations, and failure to do so could materially and adversely affect Kaplan</w:t>
      </w:r>
      <w:r>
        <w:rPr>
          <w:rFonts w:ascii="Arial" w:cs="Arial" w:eastAsia="Arial" w:hAnsi="Arial"/>
          <w:sz w:val="14"/>
          <w:szCs w:val="14"/>
          <w:b w:val="1"/>
          <w:bCs w:val="1"/>
          <w:color w:val="auto"/>
        </w:rPr>
        <w:t>’</w:t>
      </w:r>
      <w:r>
        <w:rPr>
          <w:rFonts w:ascii="Arial" w:cs="Arial" w:eastAsia="Arial" w:hAnsi="Arial"/>
          <w:sz w:val="18"/>
          <w:szCs w:val="18"/>
          <w:color w:val="auto"/>
        </w:rPr>
        <w:t>s operating results.</w:t>
      </w:r>
    </w:p>
    <w:p>
      <w:pPr>
        <w:spacing w:after="0" w:line="200" w:lineRule="exact"/>
        <w:rPr>
          <w:sz w:val="20"/>
          <w:szCs w:val="20"/>
          <w:color w:val="auto"/>
        </w:rPr>
      </w:pPr>
    </w:p>
    <w:p>
      <w:pPr>
        <w:spacing w:after="0" w:line="30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380"/>
          </w:cols>
          <w:pgMar w:left="240" w:top="746" w:right="279" w:bottom="1440" w:gutter="0" w:footer="0" w:header="0"/>
        </w:sectPr>
      </w:pPr>
    </w:p>
    <w:bookmarkStart w:id="17" w:name="page18"/>
    <w:bookmarkEnd w:id="17"/>
    <w:p>
      <w:pPr>
        <w:jc w:val="center"/>
        <w:ind w:right="-19"/>
        <w:spacing w:after="0"/>
        <w:rPr>
          <w:sz w:val="20"/>
          <w:szCs w:val="20"/>
          <w:color w:val="auto"/>
        </w:rPr>
      </w:pPr>
      <w:r>
        <w:rPr>
          <w:rFonts w:ascii="Arial" w:cs="Arial" w:eastAsia="Arial" w:hAnsi="Arial"/>
          <w:sz w:val="18"/>
          <w:szCs w:val="18"/>
          <w:b w:val="1"/>
          <w:bCs w:val="1"/>
          <w:color w:val="auto"/>
        </w:rPr>
        <w:t>Television Broadcasting</w:t>
      </w:r>
    </w:p>
    <w:p>
      <w:pPr>
        <w:spacing w:after="0" w:line="166" w:lineRule="exact"/>
        <w:rPr>
          <w:sz w:val="20"/>
          <w:szCs w:val="20"/>
          <w:color w:val="auto"/>
        </w:rPr>
      </w:pPr>
    </w:p>
    <w:p>
      <w:pPr>
        <w:ind w:right="160"/>
        <w:spacing w:after="0" w:line="227" w:lineRule="auto"/>
        <w:rPr>
          <w:sz w:val="20"/>
          <w:szCs w:val="20"/>
          <w:color w:val="auto"/>
        </w:rPr>
      </w:pPr>
      <w:r>
        <w:rPr>
          <w:rFonts w:ascii="Arial" w:cs="Arial" w:eastAsia="Arial" w:hAnsi="Arial"/>
          <w:sz w:val="18"/>
          <w:szCs w:val="18"/>
          <w:color w:val="auto"/>
        </w:rPr>
        <w:t>Graham Media Group, Inc. (GMG), a subsidiary of the Company, owns seven television stations located in Houston, TX; Detroit, MI; Orlando, FL; San Antonio, TX; Jacksonville, FL; and Roanoke, VA, as well as SocialNewsDesk, a provider of social-media management tools designed to connect newsrooms with their users. The following table sets forth certain information with respect to each of the Company’s television stations:</w:t>
      </w:r>
    </w:p>
    <w:p>
      <w:pPr>
        <w:spacing w:after="0" w:line="136"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3400" w:type="dxa"/>
            <w:vAlign w:val="bottom"/>
          </w:tcPr>
          <w:p>
            <w:pPr>
              <w:jc w:val="center"/>
              <w:spacing w:after="0"/>
              <w:rPr>
                <w:sz w:val="20"/>
                <w:szCs w:val="20"/>
                <w:color w:val="auto"/>
              </w:rPr>
            </w:pPr>
            <w:r>
              <w:rPr>
                <w:rFonts w:ascii="Arial" w:cs="Arial" w:eastAsia="Arial" w:hAnsi="Arial"/>
                <w:sz w:val="14"/>
                <w:szCs w:val="14"/>
                <w:b w:val="1"/>
                <w:bCs w:val="1"/>
                <w:color w:val="auto"/>
              </w:rPr>
              <w:t>Station, Location and</w:t>
            </w:r>
          </w:p>
        </w:tc>
        <w:tc>
          <w:tcPr>
            <w:tcW w:w="1580" w:type="dxa"/>
            <w:vAlign w:val="bottom"/>
          </w:tcPr>
          <w:p>
            <w:pPr>
              <w:jc w:val="center"/>
              <w:ind w:left="15"/>
              <w:spacing w:after="0"/>
              <w:rPr>
                <w:sz w:val="20"/>
                <w:szCs w:val="20"/>
                <w:color w:val="auto"/>
              </w:rPr>
            </w:pPr>
            <w:r>
              <w:rPr>
                <w:rFonts w:ascii="Arial" w:cs="Arial" w:eastAsia="Arial" w:hAnsi="Arial"/>
                <w:sz w:val="14"/>
                <w:szCs w:val="14"/>
                <w:b w:val="1"/>
                <w:bCs w:val="1"/>
                <w:color w:val="auto"/>
              </w:rPr>
              <w:t>National</w:t>
            </w:r>
          </w:p>
        </w:tc>
        <w:tc>
          <w:tcPr>
            <w:tcW w:w="1320" w:type="dxa"/>
            <w:vAlign w:val="bottom"/>
          </w:tcPr>
          <w:p>
            <w:pPr>
              <w:jc w:val="center"/>
              <w:spacing w:after="0"/>
              <w:rPr>
                <w:sz w:val="20"/>
                <w:szCs w:val="20"/>
                <w:color w:val="auto"/>
              </w:rPr>
            </w:pPr>
            <w:r>
              <w:rPr>
                <w:rFonts w:ascii="Arial" w:cs="Arial" w:eastAsia="Arial" w:hAnsi="Arial"/>
                <w:sz w:val="14"/>
                <w:szCs w:val="14"/>
                <w:b w:val="1"/>
                <w:bCs w:val="1"/>
                <w:color w:val="auto"/>
              </w:rPr>
              <w:t>Primary</w:t>
            </w:r>
          </w:p>
        </w:tc>
        <w:tc>
          <w:tcPr>
            <w:tcW w:w="1580" w:type="dxa"/>
            <w:vAlign w:val="bottom"/>
          </w:tcPr>
          <w:p>
            <w:pPr>
              <w:jc w:val="center"/>
              <w:spacing w:after="0"/>
              <w:rPr>
                <w:sz w:val="20"/>
                <w:szCs w:val="20"/>
                <w:color w:val="auto"/>
              </w:rPr>
            </w:pPr>
            <w:r>
              <w:rPr>
                <w:rFonts w:ascii="Arial" w:cs="Arial" w:eastAsia="Arial" w:hAnsi="Arial"/>
                <w:sz w:val="14"/>
                <w:szCs w:val="14"/>
                <w:b w:val="1"/>
                <w:bCs w:val="1"/>
                <w:color w:val="auto"/>
              </w:rPr>
              <w:t>Expiration</w:t>
            </w:r>
          </w:p>
        </w:tc>
        <w:tc>
          <w:tcPr>
            <w:tcW w:w="1740" w:type="dxa"/>
            <w:vAlign w:val="bottom"/>
          </w:tcPr>
          <w:p>
            <w:pPr>
              <w:jc w:val="center"/>
              <w:spacing w:after="0"/>
              <w:rPr>
                <w:sz w:val="20"/>
                <w:szCs w:val="20"/>
                <w:color w:val="auto"/>
              </w:rPr>
            </w:pPr>
            <w:r>
              <w:rPr>
                <w:rFonts w:ascii="Arial" w:cs="Arial" w:eastAsia="Arial" w:hAnsi="Arial"/>
                <w:sz w:val="14"/>
                <w:szCs w:val="14"/>
                <w:b w:val="1"/>
                <w:bCs w:val="1"/>
                <w:color w:val="auto"/>
              </w:rPr>
              <w:t>Expiration Date</w:t>
            </w:r>
          </w:p>
        </w:tc>
        <w:tc>
          <w:tcPr>
            <w:tcW w:w="1780" w:type="dxa"/>
            <w:vAlign w:val="bottom"/>
          </w:tcPr>
          <w:p>
            <w:pPr>
              <w:jc w:val="center"/>
              <w:spacing w:after="0"/>
              <w:rPr>
                <w:sz w:val="20"/>
                <w:szCs w:val="20"/>
                <w:color w:val="auto"/>
              </w:rPr>
            </w:pPr>
            <w:r>
              <w:rPr>
                <w:rFonts w:ascii="Arial" w:cs="Arial" w:eastAsia="Arial" w:hAnsi="Arial"/>
                <w:sz w:val="14"/>
                <w:szCs w:val="14"/>
                <w:b w:val="1"/>
                <w:bCs w:val="1"/>
                <w:color w:val="auto"/>
              </w:rPr>
              <w:t>Total Commercial</w:t>
            </w:r>
          </w:p>
        </w:tc>
      </w:tr>
      <w:tr>
        <w:trPr>
          <w:trHeight w:val="162"/>
        </w:trPr>
        <w:tc>
          <w:tcPr>
            <w:tcW w:w="3400" w:type="dxa"/>
            <w:vAlign w:val="bottom"/>
          </w:tcPr>
          <w:p>
            <w:pPr>
              <w:jc w:val="center"/>
              <w:spacing w:after="0"/>
              <w:rPr>
                <w:sz w:val="20"/>
                <w:szCs w:val="20"/>
                <w:color w:val="auto"/>
              </w:rPr>
            </w:pPr>
            <w:r>
              <w:rPr>
                <w:rFonts w:ascii="Arial" w:cs="Arial" w:eastAsia="Arial" w:hAnsi="Arial"/>
                <w:sz w:val="14"/>
                <w:szCs w:val="14"/>
                <w:b w:val="1"/>
                <w:bCs w:val="1"/>
                <w:color w:val="auto"/>
              </w:rPr>
              <w:t>Year Commercial</w:t>
            </w:r>
          </w:p>
        </w:tc>
        <w:tc>
          <w:tcPr>
            <w:tcW w:w="1580" w:type="dxa"/>
            <w:vAlign w:val="bottom"/>
          </w:tcPr>
          <w:p>
            <w:pPr>
              <w:jc w:val="center"/>
              <w:spacing w:after="0"/>
              <w:rPr>
                <w:sz w:val="20"/>
                <w:szCs w:val="20"/>
                <w:color w:val="auto"/>
              </w:rPr>
            </w:pPr>
            <w:r>
              <w:rPr>
                <w:rFonts w:ascii="Arial" w:cs="Arial" w:eastAsia="Arial" w:hAnsi="Arial"/>
                <w:sz w:val="14"/>
                <w:szCs w:val="14"/>
                <w:b w:val="1"/>
                <w:bCs w:val="1"/>
                <w:color w:val="auto"/>
              </w:rPr>
              <w:t>Market</w:t>
            </w:r>
          </w:p>
        </w:tc>
        <w:tc>
          <w:tcPr>
            <w:tcW w:w="1320" w:type="dxa"/>
            <w:vAlign w:val="bottom"/>
          </w:tcPr>
          <w:p>
            <w:pPr>
              <w:jc w:val="center"/>
              <w:spacing w:after="0"/>
              <w:rPr>
                <w:sz w:val="20"/>
                <w:szCs w:val="20"/>
                <w:color w:val="auto"/>
              </w:rPr>
            </w:pPr>
            <w:r>
              <w:rPr>
                <w:rFonts w:ascii="Arial" w:cs="Arial" w:eastAsia="Arial" w:hAnsi="Arial"/>
                <w:sz w:val="14"/>
                <w:szCs w:val="14"/>
                <w:b w:val="1"/>
                <w:bCs w:val="1"/>
                <w:color w:val="auto"/>
              </w:rPr>
              <w:t>Network</w:t>
            </w:r>
          </w:p>
        </w:tc>
        <w:tc>
          <w:tcPr>
            <w:tcW w:w="1580" w:type="dxa"/>
            <w:vAlign w:val="bottom"/>
          </w:tcPr>
          <w:p>
            <w:pPr>
              <w:jc w:val="center"/>
              <w:spacing w:after="0"/>
              <w:rPr>
                <w:sz w:val="20"/>
                <w:szCs w:val="20"/>
                <w:color w:val="auto"/>
              </w:rPr>
            </w:pPr>
            <w:r>
              <w:rPr>
                <w:rFonts w:ascii="Arial" w:cs="Arial" w:eastAsia="Arial" w:hAnsi="Arial"/>
                <w:sz w:val="14"/>
                <w:szCs w:val="14"/>
                <w:b w:val="1"/>
                <w:bCs w:val="1"/>
                <w:color w:val="auto"/>
              </w:rPr>
              <w:t>Date of FCC</w:t>
            </w:r>
          </w:p>
        </w:tc>
        <w:tc>
          <w:tcPr>
            <w:tcW w:w="1740" w:type="dxa"/>
            <w:vAlign w:val="bottom"/>
          </w:tcPr>
          <w:p>
            <w:pPr>
              <w:jc w:val="center"/>
              <w:spacing w:after="0"/>
              <w:rPr>
                <w:sz w:val="20"/>
                <w:szCs w:val="20"/>
                <w:color w:val="auto"/>
              </w:rPr>
            </w:pPr>
            <w:r>
              <w:rPr>
                <w:rFonts w:ascii="Arial" w:cs="Arial" w:eastAsia="Arial" w:hAnsi="Arial"/>
                <w:sz w:val="14"/>
                <w:szCs w:val="14"/>
                <w:b w:val="1"/>
                <w:bCs w:val="1"/>
                <w:color w:val="auto"/>
              </w:rPr>
              <w:t>of Network</w:t>
            </w:r>
          </w:p>
        </w:tc>
        <w:tc>
          <w:tcPr>
            <w:tcW w:w="1780" w:type="dxa"/>
            <w:vAlign w:val="bottom"/>
          </w:tcPr>
          <w:p>
            <w:pPr>
              <w:jc w:val="center"/>
              <w:spacing w:after="0"/>
              <w:rPr>
                <w:sz w:val="20"/>
                <w:szCs w:val="20"/>
                <w:color w:val="auto"/>
              </w:rPr>
            </w:pPr>
            <w:r>
              <w:rPr>
                <w:rFonts w:ascii="Arial" w:cs="Arial" w:eastAsia="Arial" w:hAnsi="Arial"/>
                <w:sz w:val="14"/>
                <w:szCs w:val="14"/>
                <w:b w:val="1"/>
                <w:bCs w:val="1"/>
                <w:color w:val="auto"/>
              </w:rPr>
              <w:t>Stations</w:t>
            </w:r>
          </w:p>
        </w:tc>
      </w:tr>
      <w:tr>
        <w:trPr>
          <w:trHeight w:val="196"/>
        </w:trPr>
        <w:tc>
          <w:tcPr>
            <w:tcW w:w="34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Operation Commenced</w:t>
            </w:r>
          </w:p>
        </w:tc>
        <w:tc>
          <w:tcPr>
            <w:tcW w:w="15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Ranking (a)</w:t>
            </w:r>
          </w:p>
        </w:tc>
        <w:tc>
          <w:tcPr>
            <w:tcW w:w="13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Affiliation</w:t>
            </w:r>
          </w:p>
        </w:tc>
        <w:tc>
          <w:tcPr>
            <w:tcW w:w="15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License</w:t>
            </w:r>
          </w:p>
        </w:tc>
        <w:tc>
          <w:tcPr>
            <w:tcW w:w="17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Agreement</w:t>
            </w:r>
          </w:p>
        </w:tc>
        <w:tc>
          <w:tcPr>
            <w:tcW w:w="17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in DMA (b)</w:t>
            </w:r>
          </w:p>
        </w:tc>
      </w:tr>
      <w:tr>
        <w:trPr>
          <w:trHeight w:val="243"/>
        </w:trPr>
        <w:tc>
          <w:tcPr>
            <w:tcW w:w="3400" w:type="dxa"/>
            <w:vAlign w:val="bottom"/>
          </w:tcPr>
          <w:p>
            <w:pPr>
              <w:ind w:left="40"/>
              <w:spacing w:after="0"/>
              <w:rPr>
                <w:sz w:val="20"/>
                <w:szCs w:val="20"/>
                <w:color w:val="auto"/>
              </w:rPr>
            </w:pPr>
            <w:r>
              <w:rPr>
                <w:rFonts w:ascii="Arial" w:cs="Arial" w:eastAsia="Arial" w:hAnsi="Arial"/>
                <w:sz w:val="18"/>
                <w:szCs w:val="18"/>
                <w:color w:val="auto"/>
              </w:rPr>
              <w:t>KPRC, Houston, TX, 1949</w:t>
            </w:r>
          </w:p>
        </w:tc>
        <w:tc>
          <w:tcPr>
            <w:tcW w:w="1580" w:type="dxa"/>
            <w:vAlign w:val="bottom"/>
          </w:tcPr>
          <w:p>
            <w:pPr>
              <w:jc w:val="center"/>
              <w:ind w:left="15"/>
              <w:spacing w:after="0"/>
              <w:rPr>
                <w:sz w:val="20"/>
                <w:szCs w:val="20"/>
                <w:color w:val="auto"/>
              </w:rPr>
            </w:pPr>
            <w:r>
              <w:rPr>
                <w:rFonts w:ascii="Arial" w:cs="Arial" w:eastAsia="Arial" w:hAnsi="Arial"/>
                <w:sz w:val="18"/>
                <w:szCs w:val="18"/>
                <w:color w:val="auto"/>
                <w:w w:val="95"/>
              </w:rPr>
              <w:t>7th</w:t>
            </w:r>
          </w:p>
        </w:tc>
        <w:tc>
          <w:tcPr>
            <w:tcW w:w="1320" w:type="dxa"/>
            <w:vAlign w:val="bottom"/>
          </w:tcPr>
          <w:p>
            <w:pPr>
              <w:jc w:val="center"/>
              <w:spacing w:after="0"/>
              <w:rPr>
                <w:sz w:val="20"/>
                <w:szCs w:val="20"/>
                <w:color w:val="auto"/>
              </w:rPr>
            </w:pPr>
            <w:r>
              <w:rPr>
                <w:rFonts w:ascii="Arial" w:cs="Arial" w:eastAsia="Arial" w:hAnsi="Arial"/>
                <w:sz w:val="18"/>
                <w:szCs w:val="18"/>
                <w:color w:val="auto"/>
                <w:w w:val="99"/>
              </w:rPr>
              <w:t>NBC</w:t>
            </w:r>
          </w:p>
        </w:tc>
        <w:tc>
          <w:tcPr>
            <w:tcW w:w="1580" w:type="dxa"/>
            <w:vAlign w:val="bottom"/>
          </w:tcPr>
          <w:p>
            <w:pPr>
              <w:jc w:val="center"/>
              <w:spacing w:after="0"/>
              <w:rPr>
                <w:sz w:val="20"/>
                <w:szCs w:val="20"/>
                <w:color w:val="auto"/>
              </w:rPr>
            </w:pPr>
            <w:r>
              <w:rPr>
                <w:rFonts w:ascii="Arial" w:cs="Arial" w:eastAsia="Arial" w:hAnsi="Arial"/>
                <w:sz w:val="18"/>
                <w:szCs w:val="18"/>
                <w:color w:val="auto"/>
                <w:w w:val="99"/>
              </w:rPr>
              <w:t>Aug. 1, 2022</w:t>
            </w:r>
          </w:p>
        </w:tc>
        <w:tc>
          <w:tcPr>
            <w:tcW w:w="1740" w:type="dxa"/>
            <w:vAlign w:val="bottom"/>
          </w:tcPr>
          <w:p>
            <w:pPr>
              <w:jc w:val="center"/>
              <w:spacing w:after="0"/>
              <w:rPr>
                <w:sz w:val="20"/>
                <w:szCs w:val="20"/>
                <w:color w:val="auto"/>
              </w:rPr>
            </w:pPr>
            <w:r>
              <w:rPr>
                <w:rFonts w:ascii="Arial" w:cs="Arial" w:eastAsia="Arial" w:hAnsi="Arial"/>
                <w:sz w:val="18"/>
                <w:szCs w:val="18"/>
                <w:color w:val="auto"/>
                <w:w w:val="99"/>
              </w:rPr>
              <w:t>Dec. 31, 2019</w:t>
            </w:r>
          </w:p>
        </w:tc>
        <w:tc>
          <w:tcPr>
            <w:tcW w:w="1780" w:type="dxa"/>
            <w:vAlign w:val="bottom"/>
          </w:tcPr>
          <w:p>
            <w:pPr>
              <w:jc w:val="center"/>
              <w:spacing w:after="0"/>
              <w:rPr>
                <w:sz w:val="20"/>
                <w:szCs w:val="20"/>
                <w:color w:val="auto"/>
              </w:rPr>
            </w:pPr>
            <w:r>
              <w:rPr>
                <w:rFonts w:ascii="Arial" w:cs="Arial" w:eastAsia="Arial" w:hAnsi="Arial"/>
                <w:sz w:val="18"/>
                <w:szCs w:val="18"/>
                <w:color w:val="auto"/>
                <w:w w:val="99"/>
              </w:rPr>
              <w:t>14</w:t>
            </w:r>
          </w:p>
        </w:tc>
      </w:tr>
      <w:tr>
        <w:trPr>
          <w:trHeight w:val="270"/>
        </w:trPr>
        <w:tc>
          <w:tcPr>
            <w:tcW w:w="3400" w:type="dxa"/>
            <w:vAlign w:val="bottom"/>
          </w:tcPr>
          <w:p>
            <w:pPr>
              <w:ind w:left="40"/>
              <w:spacing w:after="0"/>
              <w:rPr>
                <w:sz w:val="20"/>
                <w:szCs w:val="20"/>
                <w:color w:val="auto"/>
              </w:rPr>
            </w:pPr>
            <w:r>
              <w:rPr>
                <w:rFonts w:ascii="Arial" w:cs="Arial" w:eastAsia="Arial" w:hAnsi="Arial"/>
                <w:sz w:val="18"/>
                <w:szCs w:val="18"/>
                <w:color w:val="auto"/>
              </w:rPr>
              <w:t>WDIV, Detroit, MI, 1947</w:t>
            </w:r>
          </w:p>
        </w:tc>
        <w:tc>
          <w:tcPr>
            <w:tcW w:w="1580" w:type="dxa"/>
            <w:vAlign w:val="bottom"/>
          </w:tcPr>
          <w:p>
            <w:pPr>
              <w:jc w:val="center"/>
              <w:ind w:left="15"/>
              <w:spacing w:after="0"/>
              <w:rPr>
                <w:sz w:val="20"/>
                <w:szCs w:val="20"/>
                <w:color w:val="auto"/>
              </w:rPr>
            </w:pPr>
            <w:r>
              <w:rPr>
                <w:rFonts w:ascii="Arial" w:cs="Arial" w:eastAsia="Arial" w:hAnsi="Arial"/>
                <w:sz w:val="18"/>
                <w:szCs w:val="18"/>
                <w:color w:val="auto"/>
              </w:rPr>
              <w:t>14th</w:t>
            </w:r>
          </w:p>
        </w:tc>
        <w:tc>
          <w:tcPr>
            <w:tcW w:w="1320" w:type="dxa"/>
            <w:vAlign w:val="bottom"/>
          </w:tcPr>
          <w:p>
            <w:pPr>
              <w:jc w:val="center"/>
              <w:spacing w:after="0"/>
              <w:rPr>
                <w:sz w:val="20"/>
                <w:szCs w:val="20"/>
                <w:color w:val="auto"/>
              </w:rPr>
            </w:pPr>
            <w:r>
              <w:rPr>
                <w:rFonts w:ascii="Arial" w:cs="Arial" w:eastAsia="Arial" w:hAnsi="Arial"/>
                <w:sz w:val="18"/>
                <w:szCs w:val="18"/>
                <w:color w:val="auto"/>
                <w:w w:val="99"/>
              </w:rPr>
              <w:t>NBC</w:t>
            </w:r>
          </w:p>
        </w:tc>
        <w:tc>
          <w:tcPr>
            <w:tcW w:w="1580" w:type="dxa"/>
            <w:vAlign w:val="bottom"/>
          </w:tcPr>
          <w:p>
            <w:pPr>
              <w:jc w:val="center"/>
              <w:spacing w:after="0"/>
              <w:rPr>
                <w:sz w:val="20"/>
                <w:szCs w:val="20"/>
                <w:color w:val="auto"/>
              </w:rPr>
            </w:pPr>
            <w:r>
              <w:rPr>
                <w:rFonts w:ascii="Arial" w:cs="Arial" w:eastAsia="Arial" w:hAnsi="Arial"/>
                <w:sz w:val="18"/>
                <w:szCs w:val="18"/>
                <w:color w:val="auto"/>
                <w:w w:val="99"/>
              </w:rPr>
              <w:t>Oct. 1, 2021</w:t>
            </w:r>
          </w:p>
        </w:tc>
        <w:tc>
          <w:tcPr>
            <w:tcW w:w="1740" w:type="dxa"/>
            <w:vAlign w:val="bottom"/>
          </w:tcPr>
          <w:p>
            <w:pPr>
              <w:jc w:val="center"/>
              <w:spacing w:after="0"/>
              <w:rPr>
                <w:sz w:val="20"/>
                <w:szCs w:val="20"/>
                <w:color w:val="auto"/>
              </w:rPr>
            </w:pPr>
            <w:r>
              <w:rPr>
                <w:rFonts w:ascii="Arial" w:cs="Arial" w:eastAsia="Arial" w:hAnsi="Arial"/>
                <w:sz w:val="18"/>
                <w:szCs w:val="18"/>
                <w:color w:val="auto"/>
                <w:w w:val="99"/>
              </w:rPr>
              <w:t>Dec. 31, 2019</w:t>
            </w:r>
          </w:p>
        </w:tc>
        <w:tc>
          <w:tcPr>
            <w:tcW w:w="1780" w:type="dxa"/>
            <w:vAlign w:val="bottom"/>
          </w:tcPr>
          <w:p>
            <w:pPr>
              <w:jc w:val="center"/>
              <w:spacing w:after="0"/>
              <w:rPr>
                <w:sz w:val="20"/>
                <w:szCs w:val="20"/>
                <w:color w:val="auto"/>
              </w:rPr>
            </w:pPr>
            <w:r>
              <w:rPr>
                <w:rFonts w:ascii="Arial" w:cs="Arial" w:eastAsia="Arial" w:hAnsi="Arial"/>
                <w:sz w:val="18"/>
                <w:szCs w:val="18"/>
                <w:color w:val="auto"/>
                <w:w w:val="99"/>
              </w:rPr>
              <w:t>8</w:t>
            </w:r>
          </w:p>
        </w:tc>
      </w:tr>
      <w:tr>
        <w:trPr>
          <w:trHeight w:val="270"/>
        </w:trPr>
        <w:tc>
          <w:tcPr>
            <w:tcW w:w="3400" w:type="dxa"/>
            <w:vAlign w:val="bottom"/>
          </w:tcPr>
          <w:p>
            <w:pPr>
              <w:ind w:left="40"/>
              <w:spacing w:after="0"/>
              <w:rPr>
                <w:sz w:val="20"/>
                <w:szCs w:val="20"/>
                <w:color w:val="auto"/>
              </w:rPr>
            </w:pPr>
            <w:r>
              <w:rPr>
                <w:rFonts w:ascii="Arial" w:cs="Arial" w:eastAsia="Arial" w:hAnsi="Arial"/>
                <w:sz w:val="18"/>
                <w:szCs w:val="18"/>
                <w:color w:val="auto"/>
              </w:rPr>
              <w:t>WKMG, Orlando, FL, 1954</w:t>
            </w:r>
          </w:p>
        </w:tc>
        <w:tc>
          <w:tcPr>
            <w:tcW w:w="1580" w:type="dxa"/>
            <w:vAlign w:val="bottom"/>
          </w:tcPr>
          <w:p>
            <w:pPr>
              <w:jc w:val="center"/>
              <w:ind w:left="15"/>
              <w:spacing w:after="0"/>
              <w:rPr>
                <w:sz w:val="20"/>
                <w:szCs w:val="20"/>
                <w:color w:val="auto"/>
              </w:rPr>
            </w:pPr>
            <w:r>
              <w:rPr>
                <w:rFonts w:ascii="Arial" w:cs="Arial" w:eastAsia="Arial" w:hAnsi="Arial"/>
                <w:sz w:val="18"/>
                <w:szCs w:val="18"/>
                <w:color w:val="auto"/>
              </w:rPr>
              <w:t>18th</w:t>
            </w:r>
          </w:p>
        </w:tc>
        <w:tc>
          <w:tcPr>
            <w:tcW w:w="1320" w:type="dxa"/>
            <w:vAlign w:val="bottom"/>
          </w:tcPr>
          <w:p>
            <w:pPr>
              <w:jc w:val="center"/>
              <w:spacing w:after="0"/>
              <w:rPr>
                <w:sz w:val="20"/>
                <w:szCs w:val="20"/>
                <w:color w:val="auto"/>
              </w:rPr>
            </w:pPr>
            <w:r>
              <w:rPr>
                <w:rFonts w:ascii="Arial" w:cs="Arial" w:eastAsia="Arial" w:hAnsi="Arial"/>
                <w:sz w:val="18"/>
                <w:szCs w:val="18"/>
                <w:color w:val="auto"/>
              </w:rPr>
              <w:t>CBS</w:t>
            </w:r>
          </w:p>
        </w:tc>
        <w:tc>
          <w:tcPr>
            <w:tcW w:w="1580" w:type="dxa"/>
            <w:vAlign w:val="bottom"/>
          </w:tcPr>
          <w:p>
            <w:pPr>
              <w:jc w:val="center"/>
              <w:spacing w:after="0"/>
              <w:rPr>
                <w:sz w:val="20"/>
                <w:szCs w:val="20"/>
                <w:color w:val="auto"/>
              </w:rPr>
            </w:pPr>
            <w:r>
              <w:rPr>
                <w:rFonts w:ascii="Arial" w:cs="Arial" w:eastAsia="Arial" w:hAnsi="Arial"/>
                <w:sz w:val="18"/>
                <w:szCs w:val="18"/>
                <w:color w:val="auto"/>
              </w:rPr>
              <w:t>Feb. 1, 2021</w:t>
            </w:r>
          </w:p>
        </w:tc>
        <w:tc>
          <w:tcPr>
            <w:tcW w:w="1740" w:type="dxa"/>
            <w:vAlign w:val="bottom"/>
          </w:tcPr>
          <w:p>
            <w:pPr>
              <w:jc w:val="center"/>
              <w:spacing w:after="0"/>
              <w:rPr>
                <w:sz w:val="20"/>
                <w:szCs w:val="20"/>
                <w:color w:val="auto"/>
              </w:rPr>
            </w:pPr>
            <w:r>
              <w:rPr>
                <w:rFonts w:ascii="Arial" w:cs="Arial" w:eastAsia="Arial" w:hAnsi="Arial"/>
                <w:sz w:val="18"/>
                <w:szCs w:val="18"/>
                <w:color w:val="auto"/>
              </w:rPr>
              <w:t>April 6, 2019</w:t>
            </w:r>
          </w:p>
        </w:tc>
        <w:tc>
          <w:tcPr>
            <w:tcW w:w="1780" w:type="dxa"/>
            <w:vAlign w:val="bottom"/>
          </w:tcPr>
          <w:p>
            <w:pPr>
              <w:jc w:val="center"/>
              <w:spacing w:after="0"/>
              <w:rPr>
                <w:sz w:val="20"/>
                <w:szCs w:val="20"/>
                <w:color w:val="auto"/>
              </w:rPr>
            </w:pPr>
            <w:r>
              <w:rPr>
                <w:rFonts w:ascii="Arial" w:cs="Arial" w:eastAsia="Arial" w:hAnsi="Arial"/>
                <w:sz w:val="18"/>
                <w:szCs w:val="18"/>
                <w:color w:val="auto"/>
                <w:w w:val="99"/>
              </w:rPr>
              <w:t>12</w:t>
            </w:r>
          </w:p>
        </w:tc>
      </w:tr>
      <w:tr>
        <w:trPr>
          <w:trHeight w:val="270"/>
        </w:trPr>
        <w:tc>
          <w:tcPr>
            <w:tcW w:w="3400" w:type="dxa"/>
            <w:vAlign w:val="bottom"/>
          </w:tcPr>
          <w:p>
            <w:pPr>
              <w:ind w:left="40"/>
              <w:spacing w:after="0"/>
              <w:rPr>
                <w:sz w:val="20"/>
                <w:szCs w:val="20"/>
                <w:color w:val="auto"/>
              </w:rPr>
            </w:pPr>
            <w:r>
              <w:rPr>
                <w:rFonts w:ascii="Arial" w:cs="Arial" w:eastAsia="Arial" w:hAnsi="Arial"/>
                <w:sz w:val="18"/>
                <w:szCs w:val="18"/>
                <w:color w:val="auto"/>
              </w:rPr>
              <w:t>KSAT, San Antonio, TX, 1957</w:t>
            </w:r>
          </w:p>
        </w:tc>
        <w:tc>
          <w:tcPr>
            <w:tcW w:w="1580" w:type="dxa"/>
            <w:vAlign w:val="bottom"/>
          </w:tcPr>
          <w:p>
            <w:pPr>
              <w:jc w:val="center"/>
              <w:spacing w:after="0"/>
              <w:rPr>
                <w:sz w:val="20"/>
                <w:szCs w:val="20"/>
                <w:color w:val="auto"/>
              </w:rPr>
            </w:pPr>
            <w:r>
              <w:rPr>
                <w:rFonts w:ascii="Arial" w:cs="Arial" w:eastAsia="Arial" w:hAnsi="Arial"/>
                <w:sz w:val="18"/>
                <w:szCs w:val="18"/>
                <w:color w:val="auto"/>
                <w:w w:val="99"/>
              </w:rPr>
              <w:t>31st</w:t>
            </w:r>
          </w:p>
        </w:tc>
        <w:tc>
          <w:tcPr>
            <w:tcW w:w="1320" w:type="dxa"/>
            <w:vAlign w:val="bottom"/>
          </w:tcPr>
          <w:p>
            <w:pPr>
              <w:jc w:val="center"/>
              <w:spacing w:after="0"/>
              <w:rPr>
                <w:sz w:val="20"/>
                <w:szCs w:val="20"/>
                <w:color w:val="auto"/>
              </w:rPr>
            </w:pPr>
            <w:r>
              <w:rPr>
                <w:rFonts w:ascii="Arial" w:cs="Arial" w:eastAsia="Arial" w:hAnsi="Arial"/>
                <w:sz w:val="18"/>
                <w:szCs w:val="18"/>
                <w:color w:val="auto"/>
              </w:rPr>
              <w:t>ABC</w:t>
            </w:r>
          </w:p>
        </w:tc>
        <w:tc>
          <w:tcPr>
            <w:tcW w:w="1580" w:type="dxa"/>
            <w:vAlign w:val="bottom"/>
          </w:tcPr>
          <w:p>
            <w:pPr>
              <w:jc w:val="center"/>
              <w:spacing w:after="0"/>
              <w:rPr>
                <w:sz w:val="20"/>
                <w:szCs w:val="20"/>
                <w:color w:val="auto"/>
              </w:rPr>
            </w:pPr>
            <w:r>
              <w:rPr>
                <w:rFonts w:ascii="Arial" w:cs="Arial" w:eastAsia="Arial" w:hAnsi="Arial"/>
                <w:sz w:val="18"/>
                <w:szCs w:val="18"/>
                <w:color w:val="auto"/>
                <w:w w:val="99"/>
              </w:rPr>
              <w:t>Aug. 1, 2022</w:t>
            </w:r>
          </w:p>
        </w:tc>
        <w:tc>
          <w:tcPr>
            <w:tcW w:w="1740" w:type="dxa"/>
            <w:vAlign w:val="bottom"/>
          </w:tcPr>
          <w:p>
            <w:pPr>
              <w:jc w:val="center"/>
              <w:spacing w:after="0"/>
              <w:rPr>
                <w:sz w:val="20"/>
                <w:szCs w:val="20"/>
                <w:color w:val="auto"/>
              </w:rPr>
            </w:pPr>
            <w:r>
              <w:rPr>
                <w:rFonts w:ascii="Arial" w:cs="Arial" w:eastAsia="Arial" w:hAnsi="Arial"/>
                <w:sz w:val="18"/>
                <w:szCs w:val="18"/>
                <w:color w:val="auto"/>
                <w:w w:val="99"/>
              </w:rPr>
              <w:t>Dec. 31, 2021</w:t>
            </w:r>
          </w:p>
        </w:tc>
        <w:tc>
          <w:tcPr>
            <w:tcW w:w="1780" w:type="dxa"/>
            <w:vAlign w:val="bottom"/>
          </w:tcPr>
          <w:p>
            <w:pPr>
              <w:jc w:val="center"/>
              <w:spacing w:after="0"/>
              <w:rPr>
                <w:sz w:val="20"/>
                <w:szCs w:val="20"/>
                <w:color w:val="auto"/>
              </w:rPr>
            </w:pPr>
            <w:r>
              <w:rPr>
                <w:rFonts w:ascii="Arial" w:cs="Arial" w:eastAsia="Arial" w:hAnsi="Arial"/>
                <w:sz w:val="18"/>
                <w:szCs w:val="18"/>
                <w:color w:val="auto"/>
                <w:w w:val="99"/>
              </w:rPr>
              <w:t>11</w:t>
            </w:r>
          </w:p>
        </w:tc>
      </w:tr>
      <w:tr>
        <w:trPr>
          <w:trHeight w:val="270"/>
        </w:trPr>
        <w:tc>
          <w:tcPr>
            <w:tcW w:w="3400" w:type="dxa"/>
            <w:vAlign w:val="bottom"/>
          </w:tcPr>
          <w:p>
            <w:pPr>
              <w:ind w:left="40"/>
              <w:spacing w:after="0"/>
              <w:rPr>
                <w:sz w:val="20"/>
                <w:szCs w:val="20"/>
                <w:color w:val="auto"/>
              </w:rPr>
            </w:pPr>
            <w:r>
              <w:rPr>
                <w:rFonts w:ascii="Arial" w:cs="Arial" w:eastAsia="Arial" w:hAnsi="Arial"/>
                <w:sz w:val="18"/>
                <w:szCs w:val="18"/>
                <w:color w:val="auto"/>
              </w:rPr>
              <w:t>WJXT, Jacksonville, FL, 1947</w:t>
            </w:r>
          </w:p>
        </w:tc>
        <w:tc>
          <w:tcPr>
            <w:tcW w:w="1580" w:type="dxa"/>
            <w:vAlign w:val="bottom"/>
          </w:tcPr>
          <w:p>
            <w:pPr>
              <w:jc w:val="center"/>
              <w:ind w:left="15"/>
              <w:spacing w:after="0"/>
              <w:rPr>
                <w:sz w:val="20"/>
                <w:szCs w:val="20"/>
                <w:color w:val="auto"/>
              </w:rPr>
            </w:pPr>
            <w:r>
              <w:rPr>
                <w:rFonts w:ascii="Arial" w:cs="Arial" w:eastAsia="Arial" w:hAnsi="Arial"/>
                <w:sz w:val="18"/>
                <w:szCs w:val="18"/>
                <w:color w:val="auto"/>
                <w:w w:val="99"/>
              </w:rPr>
              <w:t>42nd</w:t>
            </w:r>
          </w:p>
        </w:tc>
        <w:tc>
          <w:tcPr>
            <w:tcW w:w="1320" w:type="dxa"/>
            <w:vAlign w:val="bottom"/>
          </w:tcPr>
          <w:p>
            <w:pPr>
              <w:jc w:val="center"/>
              <w:spacing w:after="0"/>
              <w:rPr>
                <w:sz w:val="20"/>
                <w:szCs w:val="20"/>
                <w:color w:val="auto"/>
              </w:rPr>
            </w:pPr>
            <w:r>
              <w:rPr>
                <w:rFonts w:ascii="Arial" w:cs="Arial" w:eastAsia="Arial" w:hAnsi="Arial"/>
                <w:sz w:val="18"/>
                <w:szCs w:val="18"/>
                <w:color w:val="auto"/>
                <w:w w:val="97"/>
              </w:rPr>
              <w:t>None</w:t>
            </w:r>
          </w:p>
        </w:tc>
        <w:tc>
          <w:tcPr>
            <w:tcW w:w="1580" w:type="dxa"/>
            <w:vAlign w:val="bottom"/>
          </w:tcPr>
          <w:p>
            <w:pPr>
              <w:jc w:val="center"/>
              <w:spacing w:after="0"/>
              <w:rPr>
                <w:sz w:val="20"/>
                <w:szCs w:val="20"/>
                <w:color w:val="auto"/>
              </w:rPr>
            </w:pPr>
            <w:r>
              <w:rPr>
                <w:rFonts w:ascii="Arial" w:cs="Arial" w:eastAsia="Arial" w:hAnsi="Arial"/>
                <w:sz w:val="18"/>
                <w:szCs w:val="18"/>
                <w:color w:val="auto"/>
              </w:rPr>
              <w:t>Feb. 1, 2021</w:t>
            </w:r>
          </w:p>
        </w:tc>
        <w:tc>
          <w:tcPr>
            <w:tcW w:w="1740" w:type="dxa"/>
            <w:vAlign w:val="bottom"/>
          </w:tcPr>
          <w:p>
            <w:pPr>
              <w:jc w:val="center"/>
              <w:spacing w:after="0"/>
              <w:rPr>
                <w:sz w:val="20"/>
                <w:szCs w:val="20"/>
                <w:color w:val="auto"/>
              </w:rPr>
            </w:pPr>
            <w:r>
              <w:rPr>
                <w:rFonts w:ascii="Arial" w:cs="Arial" w:eastAsia="Arial" w:hAnsi="Arial"/>
                <w:sz w:val="18"/>
                <w:szCs w:val="18"/>
                <w:color w:val="auto"/>
                <w:w w:val="99"/>
              </w:rPr>
              <w:t>—</w:t>
            </w:r>
          </w:p>
        </w:tc>
        <w:tc>
          <w:tcPr>
            <w:tcW w:w="1780" w:type="dxa"/>
            <w:vAlign w:val="bottom"/>
          </w:tcPr>
          <w:p>
            <w:pPr>
              <w:jc w:val="center"/>
              <w:spacing w:after="0"/>
              <w:rPr>
                <w:sz w:val="20"/>
                <w:szCs w:val="20"/>
                <w:color w:val="auto"/>
              </w:rPr>
            </w:pPr>
            <w:r>
              <w:rPr>
                <w:rFonts w:ascii="Arial" w:cs="Arial" w:eastAsia="Arial" w:hAnsi="Arial"/>
                <w:sz w:val="18"/>
                <w:szCs w:val="18"/>
                <w:color w:val="auto"/>
                <w:w w:val="99"/>
              </w:rPr>
              <w:t>7</w:t>
            </w:r>
          </w:p>
        </w:tc>
      </w:tr>
      <w:tr>
        <w:trPr>
          <w:trHeight w:val="270"/>
        </w:trPr>
        <w:tc>
          <w:tcPr>
            <w:tcW w:w="3400" w:type="dxa"/>
            <w:vAlign w:val="bottom"/>
          </w:tcPr>
          <w:p>
            <w:pPr>
              <w:ind w:left="40"/>
              <w:spacing w:after="0"/>
              <w:rPr>
                <w:sz w:val="20"/>
                <w:szCs w:val="20"/>
                <w:color w:val="auto"/>
              </w:rPr>
            </w:pPr>
            <w:r>
              <w:rPr>
                <w:rFonts w:ascii="Arial" w:cs="Arial" w:eastAsia="Arial" w:hAnsi="Arial"/>
                <w:sz w:val="18"/>
                <w:szCs w:val="18"/>
                <w:color w:val="auto"/>
              </w:rPr>
              <w:t>WCWJ, Jacksonville, FL, 1966</w:t>
            </w:r>
          </w:p>
        </w:tc>
        <w:tc>
          <w:tcPr>
            <w:tcW w:w="1580" w:type="dxa"/>
            <w:vAlign w:val="bottom"/>
          </w:tcPr>
          <w:p>
            <w:pPr>
              <w:jc w:val="center"/>
              <w:ind w:left="15"/>
              <w:spacing w:after="0"/>
              <w:rPr>
                <w:sz w:val="20"/>
                <w:szCs w:val="20"/>
                <w:color w:val="auto"/>
              </w:rPr>
            </w:pPr>
            <w:r>
              <w:rPr>
                <w:rFonts w:ascii="Arial" w:cs="Arial" w:eastAsia="Arial" w:hAnsi="Arial"/>
                <w:sz w:val="18"/>
                <w:szCs w:val="18"/>
                <w:color w:val="auto"/>
                <w:w w:val="99"/>
              </w:rPr>
              <w:t>42nd</w:t>
            </w:r>
          </w:p>
        </w:tc>
        <w:tc>
          <w:tcPr>
            <w:tcW w:w="1320" w:type="dxa"/>
            <w:vAlign w:val="bottom"/>
          </w:tcPr>
          <w:p>
            <w:pPr>
              <w:jc w:val="center"/>
              <w:spacing w:after="0"/>
              <w:rPr>
                <w:sz w:val="20"/>
                <w:szCs w:val="20"/>
                <w:color w:val="auto"/>
              </w:rPr>
            </w:pPr>
            <w:r>
              <w:rPr>
                <w:rFonts w:ascii="Arial" w:cs="Arial" w:eastAsia="Arial" w:hAnsi="Arial"/>
                <w:sz w:val="18"/>
                <w:szCs w:val="18"/>
                <w:color w:val="auto"/>
                <w:w w:val="99"/>
              </w:rPr>
              <w:t>CW</w:t>
            </w:r>
          </w:p>
        </w:tc>
        <w:tc>
          <w:tcPr>
            <w:tcW w:w="1580" w:type="dxa"/>
            <w:vAlign w:val="bottom"/>
          </w:tcPr>
          <w:p>
            <w:pPr>
              <w:jc w:val="center"/>
              <w:spacing w:after="0"/>
              <w:rPr>
                <w:sz w:val="20"/>
                <w:szCs w:val="20"/>
                <w:color w:val="auto"/>
              </w:rPr>
            </w:pPr>
            <w:r>
              <w:rPr>
                <w:rFonts w:ascii="Arial" w:cs="Arial" w:eastAsia="Arial" w:hAnsi="Arial"/>
                <w:sz w:val="18"/>
                <w:szCs w:val="18"/>
                <w:color w:val="auto"/>
              </w:rPr>
              <w:t>Feb. 1, 2021</w:t>
            </w:r>
          </w:p>
        </w:tc>
        <w:tc>
          <w:tcPr>
            <w:tcW w:w="1740" w:type="dxa"/>
            <w:vAlign w:val="bottom"/>
          </w:tcPr>
          <w:p>
            <w:pPr>
              <w:jc w:val="center"/>
              <w:spacing w:after="0"/>
              <w:rPr>
                <w:sz w:val="20"/>
                <w:szCs w:val="20"/>
                <w:color w:val="auto"/>
              </w:rPr>
            </w:pPr>
            <w:r>
              <w:rPr>
                <w:rFonts w:ascii="Arial" w:cs="Arial" w:eastAsia="Arial" w:hAnsi="Arial"/>
                <w:sz w:val="18"/>
                <w:szCs w:val="18"/>
                <w:color w:val="auto"/>
                <w:w w:val="99"/>
              </w:rPr>
              <w:t>Aug. 31, 2021</w:t>
            </w:r>
          </w:p>
        </w:tc>
        <w:tc>
          <w:tcPr>
            <w:tcW w:w="1780" w:type="dxa"/>
            <w:vAlign w:val="bottom"/>
          </w:tcPr>
          <w:p>
            <w:pPr>
              <w:jc w:val="center"/>
              <w:spacing w:after="0"/>
              <w:rPr>
                <w:sz w:val="20"/>
                <w:szCs w:val="20"/>
                <w:color w:val="auto"/>
              </w:rPr>
            </w:pPr>
            <w:r>
              <w:rPr>
                <w:rFonts w:ascii="Arial" w:cs="Arial" w:eastAsia="Arial" w:hAnsi="Arial"/>
                <w:sz w:val="18"/>
                <w:szCs w:val="18"/>
                <w:color w:val="auto"/>
                <w:w w:val="99"/>
              </w:rPr>
              <w:t>7</w:t>
            </w:r>
          </w:p>
        </w:tc>
      </w:tr>
      <w:tr>
        <w:trPr>
          <w:trHeight w:val="270"/>
        </w:trPr>
        <w:tc>
          <w:tcPr>
            <w:tcW w:w="3400" w:type="dxa"/>
            <w:vAlign w:val="bottom"/>
          </w:tcPr>
          <w:p>
            <w:pPr>
              <w:ind w:left="40"/>
              <w:spacing w:after="0"/>
              <w:rPr>
                <w:sz w:val="20"/>
                <w:szCs w:val="20"/>
                <w:color w:val="auto"/>
              </w:rPr>
            </w:pPr>
            <w:r>
              <w:rPr>
                <w:rFonts w:ascii="Arial" w:cs="Arial" w:eastAsia="Arial" w:hAnsi="Arial"/>
                <w:sz w:val="18"/>
                <w:szCs w:val="18"/>
                <w:color w:val="auto"/>
              </w:rPr>
              <w:t>WSLS, Roanoke, VA, 1952</w:t>
            </w:r>
          </w:p>
        </w:tc>
        <w:tc>
          <w:tcPr>
            <w:tcW w:w="1580" w:type="dxa"/>
            <w:vAlign w:val="bottom"/>
          </w:tcPr>
          <w:p>
            <w:pPr>
              <w:jc w:val="center"/>
              <w:ind w:left="15"/>
              <w:spacing w:after="0"/>
              <w:rPr>
                <w:sz w:val="20"/>
                <w:szCs w:val="20"/>
                <w:color w:val="auto"/>
              </w:rPr>
            </w:pPr>
            <w:r>
              <w:rPr>
                <w:rFonts w:ascii="Arial" w:cs="Arial" w:eastAsia="Arial" w:hAnsi="Arial"/>
                <w:sz w:val="18"/>
                <w:szCs w:val="18"/>
                <w:color w:val="auto"/>
              </w:rPr>
              <w:t>70th</w:t>
            </w:r>
          </w:p>
        </w:tc>
        <w:tc>
          <w:tcPr>
            <w:tcW w:w="1320" w:type="dxa"/>
            <w:vAlign w:val="bottom"/>
          </w:tcPr>
          <w:p>
            <w:pPr>
              <w:jc w:val="center"/>
              <w:spacing w:after="0"/>
              <w:rPr>
                <w:sz w:val="20"/>
                <w:szCs w:val="20"/>
                <w:color w:val="auto"/>
              </w:rPr>
            </w:pPr>
            <w:r>
              <w:rPr>
                <w:rFonts w:ascii="Arial" w:cs="Arial" w:eastAsia="Arial" w:hAnsi="Arial"/>
                <w:sz w:val="18"/>
                <w:szCs w:val="18"/>
                <w:color w:val="auto"/>
                <w:w w:val="99"/>
              </w:rPr>
              <w:t>NBC</w:t>
            </w:r>
          </w:p>
        </w:tc>
        <w:tc>
          <w:tcPr>
            <w:tcW w:w="1580" w:type="dxa"/>
            <w:vAlign w:val="bottom"/>
          </w:tcPr>
          <w:p>
            <w:pPr>
              <w:jc w:val="center"/>
              <w:spacing w:after="0"/>
              <w:rPr>
                <w:sz w:val="20"/>
                <w:szCs w:val="20"/>
                <w:color w:val="auto"/>
              </w:rPr>
            </w:pPr>
            <w:r>
              <w:rPr>
                <w:rFonts w:ascii="Arial" w:cs="Arial" w:eastAsia="Arial" w:hAnsi="Arial"/>
                <w:sz w:val="18"/>
                <w:szCs w:val="18"/>
                <w:color w:val="auto"/>
              </w:rPr>
              <w:t>Oct. 1 2020</w:t>
            </w:r>
          </w:p>
        </w:tc>
        <w:tc>
          <w:tcPr>
            <w:tcW w:w="1740" w:type="dxa"/>
            <w:vAlign w:val="bottom"/>
          </w:tcPr>
          <w:p>
            <w:pPr>
              <w:jc w:val="center"/>
              <w:spacing w:after="0"/>
              <w:rPr>
                <w:sz w:val="20"/>
                <w:szCs w:val="20"/>
                <w:color w:val="auto"/>
              </w:rPr>
            </w:pPr>
            <w:r>
              <w:rPr>
                <w:rFonts w:ascii="Arial" w:cs="Arial" w:eastAsia="Arial" w:hAnsi="Arial"/>
                <w:sz w:val="18"/>
                <w:szCs w:val="18"/>
                <w:color w:val="auto"/>
                <w:w w:val="99"/>
              </w:rPr>
              <w:t>Dec. 31, 2019</w:t>
            </w:r>
          </w:p>
        </w:tc>
        <w:tc>
          <w:tcPr>
            <w:tcW w:w="1780" w:type="dxa"/>
            <w:vAlign w:val="bottom"/>
          </w:tcPr>
          <w:p>
            <w:pPr>
              <w:jc w:val="center"/>
              <w:spacing w:after="0"/>
              <w:rPr>
                <w:sz w:val="20"/>
                <w:szCs w:val="20"/>
                <w:color w:val="auto"/>
              </w:rPr>
            </w:pPr>
            <w:r>
              <w:rPr>
                <w:rFonts w:ascii="Arial" w:cs="Arial" w:eastAsia="Arial" w:hAnsi="Arial"/>
                <w:sz w:val="18"/>
                <w:szCs w:val="18"/>
                <w:color w:val="auto"/>
                <w:w w:val="99"/>
              </w:rPr>
              <w:t>7</w:t>
            </w:r>
          </w:p>
        </w:tc>
      </w:tr>
      <w:tr>
        <w:trPr>
          <w:trHeight w:val="115"/>
        </w:trPr>
        <w:tc>
          <w:tcPr>
            <w:tcW w:w="3400" w:type="dxa"/>
            <w:vAlign w:val="bottom"/>
          </w:tcPr>
          <w:p>
            <w:pPr>
              <w:ind w:left="20"/>
              <w:spacing w:after="0"/>
              <w:rPr>
                <w:sz w:val="20"/>
                <w:szCs w:val="20"/>
                <w:color w:val="auto"/>
              </w:rPr>
            </w:pPr>
            <w:r>
              <w:rPr>
                <w:rFonts w:ascii="Arial" w:cs="Arial" w:eastAsia="Arial" w:hAnsi="Arial"/>
                <w:sz w:val="7"/>
                <w:szCs w:val="7"/>
                <w:color w:val="auto"/>
              </w:rPr>
              <w:t>_________________________________________________________________________________</w:t>
            </w:r>
          </w:p>
        </w:tc>
        <w:tc>
          <w:tcPr>
            <w:tcW w:w="1580" w:type="dxa"/>
            <w:vAlign w:val="bottom"/>
          </w:tcPr>
          <w:p>
            <w:pPr>
              <w:spacing w:after="0"/>
              <w:rPr>
                <w:sz w:val="9"/>
                <w:szCs w:val="9"/>
                <w:color w:val="auto"/>
              </w:rPr>
            </w:pPr>
          </w:p>
        </w:tc>
        <w:tc>
          <w:tcPr>
            <w:tcW w:w="1320" w:type="dxa"/>
            <w:vAlign w:val="bottom"/>
          </w:tcPr>
          <w:p>
            <w:pPr>
              <w:spacing w:after="0"/>
              <w:rPr>
                <w:sz w:val="9"/>
                <w:szCs w:val="9"/>
                <w:color w:val="auto"/>
              </w:rPr>
            </w:pPr>
          </w:p>
        </w:tc>
        <w:tc>
          <w:tcPr>
            <w:tcW w:w="1580" w:type="dxa"/>
            <w:vAlign w:val="bottom"/>
          </w:tcPr>
          <w:p>
            <w:pPr>
              <w:spacing w:after="0"/>
              <w:rPr>
                <w:sz w:val="9"/>
                <w:szCs w:val="9"/>
                <w:color w:val="auto"/>
              </w:rPr>
            </w:pPr>
          </w:p>
        </w:tc>
        <w:tc>
          <w:tcPr>
            <w:tcW w:w="1740" w:type="dxa"/>
            <w:vAlign w:val="bottom"/>
          </w:tcPr>
          <w:p>
            <w:pPr>
              <w:spacing w:after="0"/>
              <w:rPr>
                <w:sz w:val="9"/>
                <w:szCs w:val="9"/>
                <w:color w:val="auto"/>
              </w:rPr>
            </w:pPr>
          </w:p>
        </w:tc>
        <w:tc>
          <w:tcPr>
            <w:tcW w:w="1780" w:type="dxa"/>
            <w:vAlign w:val="bottom"/>
          </w:tcPr>
          <w:p>
            <w:pPr>
              <w:spacing w:after="0"/>
              <w:rPr>
                <w:sz w:val="9"/>
                <w:szCs w:val="9"/>
                <w:color w:val="auto"/>
              </w:rPr>
            </w:pPr>
          </w:p>
        </w:tc>
      </w:tr>
    </w:tbl>
    <w:p>
      <w:pPr>
        <w:spacing w:after="0" w:line="27" w:lineRule="exact"/>
        <w:rPr>
          <w:sz w:val="20"/>
          <w:szCs w:val="20"/>
          <w:color w:val="auto"/>
        </w:rPr>
      </w:pPr>
    </w:p>
    <w:p>
      <w:pPr>
        <w:ind w:left="200" w:hanging="192"/>
        <w:spacing w:after="0"/>
        <w:tabs>
          <w:tab w:leader="none" w:pos="200" w:val="left"/>
        </w:tabs>
        <w:numPr>
          <w:ilvl w:val="0"/>
          <w:numId w:val="2"/>
        </w:numPr>
        <w:rPr>
          <w:rFonts w:ascii="Arial" w:cs="Arial" w:eastAsia="Arial" w:hAnsi="Arial"/>
          <w:sz w:val="13"/>
          <w:szCs w:val="13"/>
          <w:color w:val="auto"/>
        </w:rPr>
      </w:pPr>
      <w:r>
        <w:rPr>
          <w:rFonts w:ascii="Arial" w:cs="Arial" w:eastAsia="Arial" w:hAnsi="Arial"/>
          <w:sz w:val="13"/>
          <w:szCs w:val="13"/>
          <w:color w:val="auto"/>
        </w:rPr>
        <w:t>Source: 2017/2018 Local Television Market Universe Estimates, The Nielson Company, September 2017, based on television homes in DMA (see note</w:t>
      </w:r>
    </w:p>
    <w:p>
      <w:pPr>
        <w:ind w:left="200" w:hanging="192"/>
        <w:spacing w:after="0" w:line="216" w:lineRule="auto"/>
        <w:tabs>
          <w:tab w:leader="none" w:pos="200" w:val="left"/>
        </w:tabs>
        <w:numPr>
          <w:ilvl w:val="0"/>
          <w:numId w:val="2"/>
        </w:numPr>
        <w:rPr>
          <w:rFonts w:ascii="Arial" w:cs="Arial" w:eastAsia="Arial" w:hAnsi="Arial"/>
          <w:sz w:val="13"/>
          <w:szCs w:val="13"/>
          <w:color w:val="auto"/>
        </w:rPr>
      </w:pPr>
      <w:r>
        <w:rPr>
          <w:rFonts w:ascii="Arial" w:cs="Arial" w:eastAsia="Arial" w:hAnsi="Arial"/>
          <w:sz w:val="13"/>
          <w:szCs w:val="13"/>
          <w:color w:val="auto"/>
        </w:rPr>
        <w:t>below).</w:t>
      </w:r>
    </w:p>
    <w:p>
      <w:pPr>
        <w:spacing w:after="0" w:line="1" w:lineRule="exact"/>
        <w:rPr>
          <w:sz w:val="20"/>
          <w:szCs w:val="20"/>
          <w:color w:val="auto"/>
        </w:rPr>
      </w:pPr>
    </w:p>
    <w:p>
      <w:pPr>
        <w:ind w:left="180" w:right="400" w:hanging="172"/>
        <w:spacing w:after="0" w:line="219" w:lineRule="auto"/>
        <w:tabs>
          <w:tab w:leader="none" w:pos="207" w:val="left"/>
        </w:tabs>
        <w:numPr>
          <w:ilvl w:val="0"/>
          <w:numId w:val="3"/>
        </w:numPr>
        <w:rPr>
          <w:rFonts w:ascii="Arial" w:cs="Arial" w:eastAsia="Arial" w:hAnsi="Arial"/>
          <w:sz w:val="13"/>
          <w:szCs w:val="13"/>
          <w:color w:val="auto"/>
        </w:rPr>
      </w:pPr>
      <w:r>
        <w:rPr>
          <w:rFonts w:ascii="Arial" w:cs="Arial" w:eastAsia="Arial" w:hAnsi="Arial"/>
          <w:sz w:val="13"/>
          <w:szCs w:val="13"/>
          <w:color w:val="auto"/>
        </w:rPr>
        <w:t>Full-power commercial TV stations, Designated Market Area (DMA) is a market designation of The Nielsen Company that defines each television market exclusive of another, based on measured viewing patterns.</w:t>
      </w:r>
    </w:p>
    <w:p>
      <w:pPr>
        <w:spacing w:after="0" w:line="137" w:lineRule="exact"/>
        <w:rPr>
          <w:sz w:val="20"/>
          <w:szCs w:val="20"/>
          <w:color w:val="auto"/>
        </w:rPr>
      </w:pPr>
    </w:p>
    <w:p>
      <w:pPr>
        <w:ind w:right="300"/>
        <w:spacing w:after="0" w:line="235" w:lineRule="auto"/>
        <w:rPr>
          <w:sz w:val="20"/>
          <w:szCs w:val="20"/>
          <w:color w:val="auto"/>
        </w:rPr>
      </w:pPr>
      <w:r>
        <w:rPr>
          <w:rFonts w:ascii="Arial" w:cs="Arial" w:eastAsia="Arial" w:hAnsi="Arial"/>
          <w:sz w:val="18"/>
          <w:szCs w:val="18"/>
          <w:color w:val="auto"/>
        </w:rPr>
        <w:t>In January 2017, GMG acquired WCWJ, a CW affiliate television station in Jacksonville, FL, and WSLS, an NBC affiliate television station in Roanoke, VA. GMG operates both stations under the network affiliations in effect prior to their acquisition.</w:t>
      </w:r>
    </w:p>
    <w:p>
      <w:pPr>
        <w:spacing w:after="0" w:line="135" w:lineRule="exact"/>
        <w:rPr>
          <w:sz w:val="20"/>
          <w:szCs w:val="20"/>
          <w:color w:val="auto"/>
        </w:rPr>
      </w:pPr>
    </w:p>
    <w:p>
      <w:pPr>
        <w:ind w:right="80"/>
        <w:spacing w:after="0" w:line="225" w:lineRule="auto"/>
        <w:rPr>
          <w:sz w:val="20"/>
          <w:szCs w:val="20"/>
          <w:color w:val="auto"/>
        </w:rPr>
      </w:pPr>
      <w:r>
        <w:rPr>
          <w:rFonts w:ascii="Arial" w:cs="Arial" w:eastAsia="Arial" w:hAnsi="Arial"/>
          <w:sz w:val="18"/>
          <w:szCs w:val="18"/>
          <w:color w:val="auto"/>
        </w:rPr>
        <w:t>Revenue from broadcasting operations is derived primarily from the sale of advertising time to local, regional and national advertisers. In 2017, advertising revenue accounted for 68.4% of the total for GMG’s operations. Advertising revenue is sensitive to a number of factors, some specific to a particular station or market and others more general in nature. These factors include a station’s audience share and market ranking; seasonal fluctuations in demand for air time; annual or biannual events, such as sporting events and political elections; and broader economic trends, among others.</w:t>
      </w:r>
    </w:p>
    <w:p>
      <w:pPr>
        <w:spacing w:after="0" w:line="1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Regulation of Broadcasting and Related Matters</w:t>
      </w:r>
    </w:p>
    <w:p>
      <w:pPr>
        <w:spacing w:after="0" w:line="166" w:lineRule="exact"/>
        <w:rPr>
          <w:sz w:val="20"/>
          <w:szCs w:val="20"/>
          <w:color w:val="auto"/>
        </w:rPr>
      </w:pPr>
    </w:p>
    <w:p>
      <w:pPr>
        <w:ind w:right="20"/>
        <w:spacing w:after="0" w:line="229" w:lineRule="auto"/>
        <w:rPr>
          <w:sz w:val="20"/>
          <w:szCs w:val="20"/>
          <w:color w:val="auto"/>
        </w:rPr>
      </w:pPr>
      <w:r>
        <w:rPr>
          <w:rFonts w:ascii="Arial" w:cs="Arial" w:eastAsia="Arial" w:hAnsi="Arial"/>
          <w:sz w:val="18"/>
          <w:szCs w:val="18"/>
          <w:color w:val="auto"/>
        </w:rPr>
        <w:t>GMG’s television broadcasting operations are subject to the jurisdiction of the U.S. Federal Communications Commission (FCC) under the U.S. Federal Communications Act of 1934, as amended (the Communications Act). Each GMG television station holds an FCC license that is renewable upon application for an eight-year period.</w:t>
      </w:r>
    </w:p>
    <w:p>
      <w:pPr>
        <w:spacing w:after="0" w:line="115" w:lineRule="exact"/>
        <w:rPr>
          <w:sz w:val="20"/>
          <w:szCs w:val="20"/>
          <w:color w:val="auto"/>
        </w:rPr>
      </w:pPr>
    </w:p>
    <w:p>
      <w:pPr>
        <w:ind w:right="60"/>
        <w:spacing w:after="0" w:line="238" w:lineRule="auto"/>
        <w:rPr>
          <w:sz w:val="20"/>
          <w:szCs w:val="20"/>
          <w:color w:val="auto"/>
        </w:rPr>
      </w:pPr>
      <w:r>
        <w:rPr>
          <w:rFonts w:ascii="Arial" w:cs="Arial" w:eastAsia="Arial" w:hAnsi="Arial"/>
          <w:sz w:val="18"/>
          <w:szCs w:val="18"/>
          <w:b w:val="1"/>
          <w:bCs w:val="1"/>
          <w:i w:val="1"/>
          <w:iCs w:val="1"/>
          <w:color w:val="auto"/>
        </w:rPr>
        <w:t xml:space="preserve">Digital Television (DTV) and Spectrum Issues. </w:t>
      </w:r>
      <w:r>
        <w:rPr>
          <w:rFonts w:ascii="Arial" w:cs="Arial" w:eastAsia="Arial" w:hAnsi="Arial"/>
          <w:sz w:val="18"/>
          <w:szCs w:val="18"/>
          <w:color w:val="auto"/>
        </w:rPr>
        <w:t>Each GMG station (and each full-power television station nationwide) now broadcasts only in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digital format, which allows transmission of HDTV programming and multiple channels of standard-definition television programming (multicasting).</w:t>
      </w:r>
    </w:p>
    <w:p>
      <w:pPr>
        <w:spacing w:after="0" w:line="136" w:lineRule="exact"/>
        <w:rPr>
          <w:sz w:val="20"/>
          <w:szCs w:val="20"/>
          <w:color w:val="auto"/>
        </w:rPr>
      </w:pPr>
    </w:p>
    <w:p>
      <w:pPr>
        <w:spacing w:after="0" w:line="227" w:lineRule="auto"/>
        <w:rPr>
          <w:sz w:val="20"/>
          <w:szCs w:val="20"/>
          <w:color w:val="auto"/>
        </w:rPr>
      </w:pPr>
      <w:r>
        <w:rPr>
          <w:rFonts w:ascii="Arial" w:cs="Arial" w:eastAsia="Arial" w:hAnsi="Arial"/>
          <w:sz w:val="18"/>
          <w:szCs w:val="18"/>
          <w:color w:val="auto"/>
        </w:rPr>
        <w:t>Television stations may receive interference from a variety of sources, including interference from other broadcast stations that is below a threshold established by the FCC. That interference could limit viewers’ ability to receive television stations’ signals. The amount of interference to stations could increase in the future because of the FCC’s decision to allow electronic devices, known as “white space” devices, to operate in the television frequency band on an unlicensed basis on channels not used by nearby television stations.</w:t>
      </w:r>
    </w:p>
    <w:p>
      <w:pPr>
        <w:spacing w:after="0" w:line="135" w:lineRule="exact"/>
        <w:rPr>
          <w:sz w:val="20"/>
          <w:szCs w:val="20"/>
          <w:color w:val="auto"/>
        </w:rPr>
      </w:pPr>
    </w:p>
    <w:p>
      <w:pPr>
        <w:spacing w:after="0" w:line="223" w:lineRule="auto"/>
        <w:rPr>
          <w:sz w:val="20"/>
          <w:szCs w:val="20"/>
          <w:color w:val="auto"/>
        </w:rPr>
      </w:pPr>
      <w:r>
        <w:rPr>
          <w:rFonts w:ascii="Arial" w:cs="Arial" w:eastAsia="Arial" w:hAnsi="Arial"/>
          <w:sz w:val="18"/>
          <w:szCs w:val="18"/>
          <w:color w:val="auto"/>
        </w:rPr>
        <w:t>In November 2017, the FCC voted to adopt rules authorizing broadcast television stations to voluntarily transition to a new technical standard, called Next Generation TV or ATSC 3.0. The new standard is designed to allow broadcasters to provide consumers with better sound and picture quality; hyper-localized programming, including news and weather; enhanced emergency alerts and improved mobile reception. The standard also allows for the use of targeted advertising and more efficient use of spectrum, potentially allowing for more multicast streams to be aired on the same six-megahertz channel. ATSC 3.0 is not backwards compatible with existing television equipment, and the FCC’s recently adopted rules require full-power television stations that transition to the new standard to continue broadcasting a signal in the existing DTV standard until the FCC phases out the requirement in a future order. A transitioning station’s DTV-formatted content must be substantially similar to the programming aired on its ATSC 3.0 channel for at least five years.</w:t>
      </w:r>
    </w:p>
    <w:p>
      <w:pPr>
        <w:spacing w:after="0" w:line="136" w:lineRule="exact"/>
        <w:rPr>
          <w:sz w:val="20"/>
          <w:szCs w:val="20"/>
          <w:color w:val="auto"/>
        </w:rPr>
      </w:pPr>
    </w:p>
    <w:p>
      <w:pPr>
        <w:ind w:right="540"/>
        <w:spacing w:after="0" w:line="225" w:lineRule="auto"/>
        <w:rPr>
          <w:sz w:val="20"/>
          <w:szCs w:val="20"/>
          <w:color w:val="auto"/>
        </w:rPr>
      </w:pPr>
      <w:r>
        <w:rPr>
          <w:rFonts w:ascii="Arial" w:cs="Arial" w:eastAsia="Arial" w:hAnsi="Arial"/>
          <w:sz w:val="18"/>
          <w:szCs w:val="18"/>
          <w:color w:val="auto"/>
        </w:rPr>
        <w:t>In April 2017, the FCC announced the completion of an incentive auction in which certain broadcast television stations bid to relinquish spectrum or move to a different spectrum band in exchange for a share of the revenues obtained by auctioning the reallocated broadcast spectrum for use by wireless broadband providers</w:t>
      </w:r>
      <w:r>
        <w:rPr>
          <w:rFonts w:ascii="Arial" w:cs="Arial" w:eastAsia="Arial" w:hAnsi="Arial"/>
          <w:sz w:val="18"/>
          <w:szCs w:val="18"/>
          <w:b w:val="1"/>
          <w:bCs w:val="1"/>
          <w:color w:val="auto"/>
        </w:rPr>
        <w:t>.</w:t>
      </w:r>
      <w:r>
        <w:rPr>
          <w:rFonts w:ascii="Arial" w:cs="Arial" w:eastAsia="Arial" w:hAnsi="Arial"/>
          <w:sz w:val="18"/>
          <w:szCs w:val="18"/>
          <w:color w:val="auto"/>
        </w:rPr>
        <w:t xml:space="preserve"> None of GMG’s stations won the incentive auction. However, certain GMG stations — specifically WDIV, WSLS, WCWJ and WJXT — will be required to move to new channel allotments so as to free up a nationwide block of spectrum for wireless broadband use. The FCC has adopted rules requiring this “repacking” of broadcast television stations to</w:t>
      </w:r>
    </w:p>
    <w:p>
      <w:pPr>
        <w:spacing w:after="0" w:line="200" w:lineRule="exact"/>
        <w:rPr>
          <w:sz w:val="20"/>
          <w:szCs w:val="20"/>
          <w:color w:val="auto"/>
        </w:rPr>
      </w:pPr>
    </w:p>
    <w:p>
      <w:pPr>
        <w:spacing w:after="0" w:line="30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420"/>
          </w:cols>
          <w:pgMar w:left="240" w:top="724" w:right="239" w:bottom="1440" w:gutter="0" w:footer="0" w:header="0"/>
        </w:sectPr>
      </w:pPr>
    </w:p>
    <w:bookmarkStart w:id="18" w:name="page19"/>
    <w:bookmarkEnd w:id="18"/>
    <w:p>
      <w:pPr>
        <w:ind w:right="240"/>
        <w:spacing w:after="0" w:line="235" w:lineRule="auto"/>
        <w:rPr>
          <w:sz w:val="20"/>
          <w:szCs w:val="20"/>
          <w:color w:val="auto"/>
        </w:rPr>
      </w:pPr>
      <w:r>
        <w:rPr>
          <w:rFonts w:ascii="Arial" w:cs="Arial" w:eastAsia="Arial" w:hAnsi="Arial"/>
          <w:sz w:val="18"/>
          <w:szCs w:val="18"/>
          <w:color w:val="auto"/>
        </w:rPr>
        <w:t>new channels to be completed within 39 months after the incentive auction closed, with earlier deadlines set for particular stations in order to stagger the transition to new channels. The scheduled transition deadlines for GMG’s repacked stations are as follows:</w:t>
      </w:r>
    </w:p>
    <w:p>
      <w:pPr>
        <w:spacing w:after="0" w:line="117" w:lineRule="exact"/>
        <w:rPr>
          <w:sz w:val="20"/>
          <w:szCs w:val="20"/>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WSLS: September 6, 2019</w:t>
      </w:r>
    </w:p>
    <w:p>
      <w:pPr>
        <w:ind w:left="660" w:hanging="328"/>
        <w:spacing w:after="0" w:line="219" w:lineRule="auto"/>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WCWJ and WJXT: January 17, 2020</w:t>
      </w: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WDIV: March 13, 2020</w:t>
      </w:r>
    </w:p>
    <w:p>
      <w:pPr>
        <w:spacing w:after="0" w:line="144" w:lineRule="exact"/>
        <w:rPr>
          <w:sz w:val="20"/>
          <w:szCs w:val="20"/>
          <w:color w:val="auto"/>
        </w:rPr>
      </w:pPr>
    </w:p>
    <w:p>
      <w:pPr>
        <w:ind w:right="40"/>
        <w:spacing w:after="0" w:line="221" w:lineRule="auto"/>
        <w:rPr>
          <w:sz w:val="20"/>
          <w:szCs w:val="20"/>
          <w:color w:val="auto"/>
        </w:rPr>
      </w:pPr>
      <w:r>
        <w:rPr>
          <w:rFonts w:ascii="Arial" w:cs="Arial" w:eastAsia="Arial" w:hAnsi="Arial"/>
          <w:sz w:val="18"/>
          <w:szCs w:val="18"/>
          <w:color w:val="1F1F1F"/>
        </w:rPr>
        <w:t xml:space="preserve">The repacking </w:t>
      </w:r>
      <w:r>
        <w:rPr>
          <w:rFonts w:ascii="Arial" w:cs="Arial" w:eastAsia="Arial" w:hAnsi="Arial"/>
          <w:sz w:val="18"/>
          <w:szCs w:val="18"/>
          <w:color w:val="333333"/>
        </w:rPr>
        <w:t>and incentive auction proc</w:t>
      </w:r>
      <w:r>
        <w:rPr>
          <w:rFonts w:ascii="Arial" w:cs="Arial" w:eastAsia="Arial" w:hAnsi="Arial"/>
          <w:sz w:val="18"/>
          <w:szCs w:val="18"/>
          <w:color w:val="4D4D4D"/>
        </w:rPr>
        <w:t>es</w:t>
      </w:r>
      <w:r>
        <w:rPr>
          <w:rFonts w:ascii="Arial" w:cs="Arial" w:eastAsia="Arial" w:hAnsi="Arial"/>
          <w:sz w:val="18"/>
          <w:szCs w:val="18"/>
          <w:color w:val="333333"/>
        </w:rPr>
        <w:t>ses could have</w:t>
      </w:r>
      <w:r>
        <w:rPr>
          <w:rFonts w:ascii="Arial" w:cs="Arial" w:eastAsia="Arial" w:hAnsi="Arial"/>
          <w:sz w:val="18"/>
          <w:szCs w:val="18"/>
          <w:color w:val="1F1F1F"/>
        </w:rPr>
        <w:t xml:space="preserve"> an </w:t>
      </w:r>
      <w:r>
        <w:rPr>
          <w:rFonts w:ascii="Arial" w:cs="Arial" w:eastAsia="Arial" w:hAnsi="Arial"/>
          <w:sz w:val="18"/>
          <w:szCs w:val="18"/>
          <w:color w:val="333333"/>
        </w:rPr>
        <w:t>adverse effect on GMG</w:t>
      </w:r>
      <w:r>
        <w:rPr>
          <w:rFonts w:ascii="Arial" w:cs="Arial" w:eastAsia="Arial" w:hAnsi="Arial"/>
          <w:sz w:val="18"/>
          <w:szCs w:val="18"/>
          <w:color w:val="4D4D4D"/>
        </w:rPr>
        <w:t>.</w:t>
      </w:r>
      <w:r>
        <w:rPr>
          <w:rFonts w:ascii="Arial" w:cs="Arial" w:eastAsia="Arial" w:hAnsi="Arial"/>
          <w:sz w:val="18"/>
          <w:szCs w:val="18"/>
          <w:color w:val="1F1F1F"/>
        </w:rPr>
        <w:t xml:space="preserve"> For </w:t>
      </w:r>
      <w:r>
        <w:rPr>
          <w:rFonts w:ascii="Arial" w:cs="Arial" w:eastAsia="Arial" w:hAnsi="Arial"/>
          <w:sz w:val="18"/>
          <w:szCs w:val="18"/>
          <w:color w:val="333333"/>
        </w:rPr>
        <w:t>e</w:t>
      </w:r>
      <w:r>
        <w:rPr>
          <w:rFonts w:ascii="Arial" w:cs="Arial" w:eastAsia="Arial" w:hAnsi="Arial"/>
          <w:sz w:val="18"/>
          <w:szCs w:val="18"/>
          <w:color w:val="4D4D4D"/>
        </w:rPr>
        <w:t>x</w:t>
      </w:r>
      <w:r>
        <w:rPr>
          <w:rFonts w:ascii="Arial" w:cs="Arial" w:eastAsia="Arial" w:hAnsi="Arial"/>
          <w:sz w:val="18"/>
          <w:szCs w:val="18"/>
          <w:color w:val="333333"/>
        </w:rPr>
        <w:t>ample,</w:t>
      </w:r>
      <w:r>
        <w:rPr>
          <w:rFonts w:ascii="Arial" w:cs="Arial" w:eastAsia="Arial" w:hAnsi="Arial"/>
          <w:sz w:val="18"/>
          <w:szCs w:val="18"/>
          <w:color w:val="1F1F1F"/>
        </w:rPr>
        <w:t xml:space="preserve"> </w:t>
      </w:r>
      <w:r>
        <w:rPr>
          <w:rFonts w:ascii="Arial" w:cs="Arial" w:eastAsia="Arial" w:hAnsi="Arial"/>
          <w:sz w:val="18"/>
          <w:szCs w:val="18"/>
          <w:color w:val="000000"/>
        </w:rPr>
        <w:t>the repacking of GMG’s stations and/or</w:t>
      </w:r>
      <w:r>
        <w:rPr>
          <w:rFonts w:ascii="Arial" w:cs="Arial" w:eastAsia="Arial" w:hAnsi="Arial"/>
          <w:sz w:val="18"/>
          <w:szCs w:val="18"/>
          <w:color w:val="1F1F1F"/>
        </w:rPr>
        <w:t xml:space="preserve"> </w:t>
      </w:r>
      <w:r>
        <w:rPr>
          <w:rFonts w:ascii="Arial" w:cs="Arial" w:eastAsia="Arial" w:hAnsi="Arial"/>
          <w:sz w:val="18"/>
          <w:szCs w:val="18"/>
          <w:color w:val="000000"/>
        </w:rPr>
        <w:t xml:space="preserve">neighboring stations may result in increased interference to the GMG stations’ signals or otherwise affect the stations’ over-the-air coverage. In addition, although GMG’s repacked stations are eligible to seek reimbursement for repacking-related costs, the </w:t>
      </w:r>
      <w:r>
        <w:rPr>
          <w:rFonts w:ascii="Arial" w:cs="Arial" w:eastAsia="Arial" w:hAnsi="Arial"/>
          <w:sz w:val="18"/>
          <w:szCs w:val="18"/>
          <w:color w:val="1F1F1F"/>
        </w:rPr>
        <w:t>legislation</w:t>
      </w:r>
      <w:r>
        <w:rPr>
          <w:rFonts w:ascii="Arial" w:cs="Arial" w:eastAsia="Arial" w:hAnsi="Arial"/>
          <w:sz w:val="18"/>
          <w:szCs w:val="18"/>
          <w:color w:val="000000"/>
        </w:rPr>
        <w:t xml:space="preserve"> authorizing the incentive auction provides only $1.75 billion in total for all such reimbursements. On October 16, 2017, the FCC announced that the initial reimbursement estimates from all entities eligible for reimbursement, after such estimates were reviewed and adjusted by the FCC’s reimbursement fund administrator, totaled approximately $1.864 billion, or approximately $114 million more than currently is statutorily authorized for such reimbursements. Each repacked commercial television station, including each of the repacked GMG stations, has been allocated an initial reimbursement amount equal to approximately 52% of the station’s estimated repacking costs, as verified by the FCC’s fund administrator, subject to FCC approval of particular requests for reimbursement of actual costs incurred. Further reimbursement allocations will depend on the amount of funds actually drawn from the FCC’s reimbursement fund and whether any additional reimbursement funding is made available by Congress. The Company accordingly cannot predict the extent to which </w:t>
      </w:r>
      <w:r>
        <w:rPr>
          <w:rFonts w:ascii="Arial" w:cs="Arial" w:eastAsia="Arial" w:hAnsi="Arial"/>
          <w:sz w:val="18"/>
          <w:szCs w:val="18"/>
          <w:color w:val="131313"/>
        </w:rPr>
        <w:t>the</w:t>
      </w:r>
      <w:r>
        <w:rPr>
          <w:rFonts w:ascii="Arial" w:cs="Arial" w:eastAsia="Arial" w:hAnsi="Arial"/>
          <w:sz w:val="18"/>
          <w:szCs w:val="18"/>
          <w:color w:val="000000"/>
        </w:rPr>
        <w:t xml:space="preserve"> </w:t>
      </w:r>
      <w:r>
        <w:rPr>
          <w:rFonts w:ascii="Arial" w:cs="Arial" w:eastAsia="Arial" w:hAnsi="Arial"/>
          <w:sz w:val="18"/>
          <w:szCs w:val="18"/>
          <w:color w:val="242424"/>
        </w:rPr>
        <w:t>GMG stations will</w:t>
      </w:r>
      <w:r>
        <w:rPr>
          <w:rFonts w:ascii="Arial" w:cs="Arial" w:eastAsia="Arial" w:hAnsi="Arial"/>
          <w:sz w:val="18"/>
          <w:szCs w:val="18"/>
          <w:color w:val="000000"/>
        </w:rPr>
        <w:t xml:space="preserve"> </w:t>
      </w:r>
      <w:r>
        <w:rPr>
          <w:rFonts w:ascii="Arial" w:cs="Arial" w:eastAsia="Arial" w:hAnsi="Arial"/>
          <w:sz w:val="18"/>
          <w:szCs w:val="18"/>
          <w:color w:val="131313"/>
        </w:rPr>
        <w:t>be</w:t>
      </w:r>
      <w:r>
        <w:rPr>
          <w:rFonts w:ascii="Arial" w:cs="Arial" w:eastAsia="Arial" w:hAnsi="Arial"/>
          <w:sz w:val="18"/>
          <w:szCs w:val="18"/>
          <w:color w:val="000000"/>
        </w:rPr>
        <w:t xml:space="preserve"> </w:t>
      </w:r>
      <w:r>
        <w:rPr>
          <w:rFonts w:ascii="Arial" w:cs="Arial" w:eastAsia="Arial" w:hAnsi="Arial"/>
          <w:sz w:val="18"/>
          <w:szCs w:val="18"/>
          <w:color w:val="242424"/>
        </w:rPr>
        <w:t>compensated</w:t>
      </w:r>
      <w:r>
        <w:rPr>
          <w:rFonts w:ascii="Arial" w:cs="Arial" w:eastAsia="Arial" w:hAnsi="Arial"/>
          <w:sz w:val="18"/>
          <w:szCs w:val="18"/>
          <w:color w:val="000000"/>
        </w:rPr>
        <w:t xml:space="preserve"> </w:t>
      </w:r>
      <w:r>
        <w:rPr>
          <w:rFonts w:ascii="Arial" w:cs="Arial" w:eastAsia="Arial" w:hAnsi="Arial"/>
          <w:sz w:val="18"/>
          <w:szCs w:val="18"/>
          <w:color w:val="131313"/>
        </w:rPr>
        <w:t>for</w:t>
      </w:r>
      <w:r>
        <w:rPr>
          <w:rFonts w:ascii="Arial" w:cs="Arial" w:eastAsia="Arial" w:hAnsi="Arial"/>
          <w:sz w:val="18"/>
          <w:szCs w:val="18"/>
          <w:color w:val="000000"/>
        </w:rPr>
        <w:t xml:space="preserve"> </w:t>
      </w:r>
      <w:r>
        <w:rPr>
          <w:rFonts w:ascii="Arial" w:cs="Arial" w:eastAsia="Arial" w:hAnsi="Arial"/>
          <w:sz w:val="18"/>
          <w:szCs w:val="18"/>
          <w:color w:val="242424"/>
        </w:rPr>
        <w:t>expenses</w:t>
      </w:r>
      <w:r>
        <w:rPr>
          <w:rFonts w:ascii="Arial" w:cs="Arial" w:eastAsia="Arial" w:hAnsi="Arial"/>
          <w:sz w:val="18"/>
          <w:szCs w:val="18"/>
          <w:color w:val="000000"/>
        </w:rPr>
        <w:t xml:space="preserve"> </w:t>
      </w:r>
      <w:r>
        <w:rPr>
          <w:rFonts w:ascii="Arial" w:cs="Arial" w:eastAsia="Arial" w:hAnsi="Arial"/>
          <w:sz w:val="18"/>
          <w:szCs w:val="18"/>
          <w:color w:val="131313"/>
        </w:rPr>
        <w:t>that</w:t>
      </w:r>
      <w:r>
        <w:rPr>
          <w:rFonts w:ascii="Arial" w:cs="Arial" w:eastAsia="Arial" w:hAnsi="Arial"/>
          <w:sz w:val="18"/>
          <w:szCs w:val="18"/>
          <w:color w:val="000000"/>
        </w:rPr>
        <w:t xml:space="preserve"> </w:t>
      </w:r>
      <w:r>
        <w:rPr>
          <w:rFonts w:ascii="Arial" w:cs="Arial" w:eastAsia="Arial" w:hAnsi="Arial"/>
          <w:sz w:val="18"/>
          <w:szCs w:val="18"/>
          <w:color w:val="131313"/>
        </w:rPr>
        <w:t xml:space="preserve">they incur </w:t>
      </w:r>
      <w:r>
        <w:rPr>
          <w:rFonts w:ascii="Arial" w:cs="Arial" w:eastAsia="Arial" w:hAnsi="Arial"/>
          <w:sz w:val="18"/>
          <w:szCs w:val="18"/>
          <w:color w:val="242424"/>
        </w:rPr>
        <w:t>in connection with the</w:t>
      </w:r>
      <w:r>
        <w:rPr>
          <w:rFonts w:ascii="Arial" w:cs="Arial" w:eastAsia="Arial" w:hAnsi="Arial"/>
          <w:sz w:val="18"/>
          <w:szCs w:val="18"/>
          <w:color w:val="131313"/>
        </w:rPr>
        <w:t xml:space="preserve"> repacking.</w:t>
      </w:r>
    </w:p>
    <w:p>
      <w:pPr>
        <w:spacing w:after="0" w:line="122" w:lineRule="exact"/>
        <w:rPr>
          <w:sz w:val="20"/>
          <w:szCs w:val="20"/>
          <w:color w:val="auto"/>
        </w:rPr>
      </w:pPr>
    </w:p>
    <w:p>
      <w:pPr>
        <w:ind w:right="460"/>
        <w:spacing w:after="0" w:line="233" w:lineRule="auto"/>
        <w:rPr>
          <w:sz w:val="20"/>
          <w:szCs w:val="20"/>
          <w:color w:val="auto"/>
        </w:rPr>
      </w:pPr>
      <w:r>
        <w:rPr>
          <w:rFonts w:ascii="Arial" w:cs="Arial" w:eastAsia="Arial" w:hAnsi="Arial"/>
          <w:sz w:val="18"/>
          <w:szCs w:val="18"/>
          <w:b w:val="1"/>
          <w:bCs w:val="1"/>
          <w:i w:val="1"/>
          <w:iCs w:val="1"/>
          <w:color w:val="auto"/>
        </w:rPr>
        <w:t xml:space="preserve">Carriage of Local Broadcast Signals. </w:t>
      </w:r>
      <w:r>
        <w:rPr>
          <w:rFonts w:ascii="Arial" w:cs="Arial" w:eastAsia="Arial" w:hAnsi="Arial"/>
          <w:sz w:val="18"/>
          <w:szCs w:val="18"/>
          <w:color w:val="auto"/>
        </w:rPr>
        <w:t>Congress has established, and periodically has extended or otherwise modified, various statutory</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copyright licensing regimes governing the local and distant carriage of broadcast television signals on cable and satellite systems. The Company cannot predict whether or how Congress may maintain or modify these regimes in the future, nor what net effect such decisions would have on the Company’s broadcast operations or on the Company overall.</w:t>
      </w:r>
    </w:p>
    <w:p>
      <w:pPr>
        <w:spacing w:after="0" w:line="137" w:lineRule="exact"/>
        <w:rPr>
          <w:sz w:val="20"/>
          <w:szCs w:val="20"/>
          <w:color w:val="auto"/>
        </w:rPr>
      </w:pPr>
    </w:p>
    <w:p>
      <w:pPr>
        <w:spacing w:after="0" w:line="221" w:lineRule="auto"/>
        <w:rPr>
          <w:sz w:val="20"/>
          <w:szCs w:val="20"/>
          <w:color w:val="auto"/>
        </w:rPr>
      </w:pPr>
      <w:r>
        <w:rPr>
          <w:rFonts w:ascii="Arial" w:cs="Arial" w:eastAsia="Arial" w:hAnsi="Arial"/>
          <w:sz w:val="18"/>
          <w:szCs w:val="18"/>
          <w:color w:val="auto"/>
        </w:rPr>
        <w:t>The Communications Act and the FCC rules allow a commercial television broadcast station, under certain circumstances, to insist on mandatory carriage of its signal on cable systems serving the station’s market area (must carry). Alternatively, stations may elect, at three-year intervals, to forego must-carry rights and allow their signals to be carried by cable systems only pursuant to a “retransmission consent” agreement. Commercial television stations also may elect either mandatory carriage or retransmission consent with respect to the carriage of their signals on direct broadcast satellite (DBS) systems that provide “local-into-local” service (i.e., to distribute the signals of local television stations to viewers in the local market area). Stations that elect retransmission consent may negotiate for compensation from cable or DBS systems in exchange for the right to carry their signals. Each of GMG’s television stations has elected retransmission consent for both cable and DBS operators and are carried on all of the major cable and DBS systems serving each station’s respective local market pursuant to retransmission consent agreements. The FCC has considered proposals to alter its rules governing retransmission consent negotiations, network non-duplication and syndicated exclusivity. For example, pursuant to the STELA Reauthorization Act (STELAR), enacted in December 2014, the FCC adopted rules prohibiting same-market television broadcast stations from coordinating or jointly negotiating for retransmission consent unless such stations are under common control, and it considered, though ultimately did not adopt, changes to its “good faith” standards for retransmission consent negotiations. In addition, the FCC in March 2014 solicited comments on a proposal to eliminate its network non-duplication and syndicated exclusivity rules, which rules restrict the ability of cable operators, direct broadcast satellite systems and other distributors classified by the FCC as multichannel video programming distributors to import the signals of out-of-market television stations with duplicating programming during retransmission consent disputes or otherwise. The FCC has not acted on that proposal to date. If Congress or the FCC were to enact further changes to the retransmission consent and/or exclusivity rules, such changes could materially affect the GMG stations’ bargaining leverage in future retransmission consent negotiations.</w:t>
      </w:r>
    </w:p>
    <w:p>
      <w:pPr>
        <w:spacing w:after="0" w:line="113" w:lineRule="exact"/>
        <w:rPr>
          <w:sz w:val="20"/>
          <w:szCs w:val="20"/>
          <w:color w:val="auto"/>
        </w:rPr>
      </w:pPr>
    </w:p>
    <w:p>
      <w:pPr>
        <w:spacing w:after="0" w:line="225" w:lineRule="auto"/>
        <w:rPr>
          <w:sz w:val="20"/>
          <w:szCs w:val="20"/>
          <w:color w:val="auto"/>
        </w:rPr>
      </w:pPr>
      <w:r>
        <w:rPr>
          <w:rFonts w:ascii="Arial" w:cs="Arial" w:eastAsia="Arial" w:hAnsi="Arial"/>
          <w:sz w:val="18"/>
          <w:szCs w:val="18"/>
          <w:b w:val="1"/>
          <w:bCs w:val="1"/>
          <w:i w:val="1"/>
          <w:iCs w:val="1"/>
          <w:color w:val="auto"/>
        </w:rPr>
        <w:t xml:space="preserve">Ownership Limits. </w:t>
      </w:r>
      <w:r>
        <w:rPr>
          <w:rFonts w:ascii="Arial" w:cs="Arial" w:eastAsia="Arial" w:hAnsi="Arial"/>
          <w:sz w:val="18"/>
          <w:szCs w:val="18"/>
          <w:color w:val="161616"/>
        </w:rPr>
        <w:t>The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262826"/>
        </w:rPr>
        <w:t>Communications Act and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161616"/>
        </w:rPr>
        <w:t>the FCC</w:t>
      </w:r>
      <w:r>
        <w:rPr>
          <w:rFonts w:ascii="Arial" w:cs="Arial" w:eastAsia="Arial" w:hAnsi="Arial"/>
          <w:sz w:val="18"/>
          <w:szCs w:val="18"/>
          <w:color w:val="auto"/>
        </w:rPr>
        <w:t>’</w:t>
      </w:r>
      <w:r>
        <w:rPr>
          <w:rFonts w:ascii="Arial" w:cs="Arial" w:eastAsia="Arial" w:hAnsi="Arial"/>
          <w:sz w:val="18"/>
          <w:szCs w:val="18"/>
          <w:color w:val="161616"/>
        </w:rPr>
        <w:t>s rules limit the number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262826"/>
        </w:rPr>
        <w:t>and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161616"/>
        </w:rPr>
        <w:t>types of</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262826"/>
        </w:rPr>
        <w:t>media outlets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161616"/>
        </w:rPr>
        <w:t>in which</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262826"/>
        </w:rPr>
        <w:t>a single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161616"/>
        </w:rPr>
        <w:t>person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262826"/>
        </w:rPr>
        <w:t>or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262826"/>
        </w:rPr>
        <w:t xml:space="preserve">entity </w:t>
      </w:r>
      <w:r>
        <w:rPr>
          <w:rFonts w:ascii="Arial" w:cs="Arial" w:eastAsia="Arial" w:hAnsi="Arial"/>
          <w:sz w:val="18"/>
          <w:szCs w:val="18"/>
          <w:color w:val="161616"/>
        </w:rPr>
        <w:t>may have</w:t>
      </w:r>
      <w:r>
        <w:rPr>
          <w:rFonts w:ascii="Arial" w:cs="Arial" w:eastAsia="Arial" w:hAnsi="Arial"/>
          <w:sz w:val="18"/>
          <w:szCs w:val="18"/>
          <w:color w:val="262826"/>
        </w:rPr>
        <w:t xml:space="preserve"> an attributable </w:t>
      </w:r>
      <w:r>
        <w:rPr>
          <w:rFonts w:ascii="Arial" w:cs="Arial" w:eastAsia="Arial" w:hAnsi="Arial"/>
          <w:sz w:val="18"/>
          <w:szCs w:val="18"/>
          <w:color w:val="161616"/>
        </w:rPr>
        <w:t>interest.</w:t>
      </w:r>
      <w:r>
        <w:rPr>
          <w:rFonts w:ascii="Arial" w:cs="Arial" w:eastAsia="Arial" w:hAnsi="Arial"/>
          <w:sz w:val="18"/>
          <w:szCs w:val="18"/>
          <w:color w:val="262826"/>
        </w:rPr>
        <w:t xml:space="preserve"> </w:t>
      </w:r>
      <w:r>
        <w:rPr>
          <w:rFonts w:ascii="Arial" w:cs="Arial" w:eastAsia="Arial" w:hAnsi="Arial"/>
          <w:sz w:val="18"/>
          <w:szCs w:val="18"/>
          <w:color w:val="000000"/>
        </w:rPr>
        <w:t>In November 2017, the FCC voted to eliminate certain of these restrictions and modify others. For</w:t>
      </w:r>
      <w:r>
        <w:rPr>
          <w:rFonts w:ascii="Arial" w:cs="Arial" w:eastAsia="Arial" w:hAnsi="Arial"/>
          <w:sz w:val="18"/>
          <w:szCs w:val="18"/>
          <w:color w:val="262826"/>
        </w:rPr>
        <w:t xml:space="preserve"> </w:t>
      </w:r>
      <w:r>
        <w:rPr>
          <w:rFonts w:ascii="Arial" w:cs="Arial" w:eastAsia="Arial" w:hAnsi="Arial"/>
          <w:sz w:val="18"/>
          <w:szCs w:val="18"/>
          <w:color w:val="000000"/>
        </w:rPr>
        <w:t xml:space="preserve">instance, the FCC voted to eliminate a standard known as the “Eight Voices Test,” which generally prohibited two commercial television stations in the same market from combining ownership if the transaction would result in fewer than eight independently owned stations remaining in the market. This change to the local television ownership (or “duopoly”) </w:t>
      </w:r>
      <w:r>
        <w:rPr>
          <w:rFonts w:ascii="Arial" w:cs="Arial" w:eastAsia="Arial" w:hAnsi="Arial"/>
          <w:sz w:val="18"/>
          <w:szCs w:val="18"/>
          <w:color w:val="161616"/>
        </w:rPr>
        <w:t>rule</w:t>
      </w:r>
      <w:r>
        <w:rPr>
          <w:rFonts w:ascii="Arial" w:cs="Arial" w:eastAsia="Arial" w:hAnsi="Arial"/>
          <w:sz w:val="18"/>
          <w:szCs w:val="18"/>
          <w:color w:val="000000"/>
        </w:rPr>
        <w:t xml:space="preserve"> means that the ownership rules generally will permit a party to own up to two commercial television stations in a market so long as one of the stations is not among the top-four ranked television stations in that market. The FCC voted to retain the existing prohibition on transactions that would result in common ownership among the top-four ranked stations in the same market, subject to potential waivers of the prohibition on a case-by-case basis. In addition, the FCC voted to eliminate the newspaper/broadcast cross-ownership rule, which had prohibited a single entity from owning a full-power broadcast station and a daily print newspaper in the same local market, and the television/radio cross-</w:t>
      </w:r>
    </w:p>
    <w:p>
      <w:pPr>
        <w:spacing w:after="0" w:line="200" w:lineRule="exact"/>
        <w:rPr>
          <w:sz w:val="20"/>
          <w:szCs w:val="20"/>
          <w:color w:val="auto"/>
        </w:rPr>
      </w:pPr>
    </w:p>
    <w:p>
      <w:pPr>
        <w:spacing w:after="0" w:line="29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420"/>
          </w:cols>
          <w:pgMar w:left="240" w:top="746" w:right="239" w:bottom="1440" w:gutter="0" w:footer="0" w:header="0"/>
        </w:sectPr>
      </w:pPr>
    </w:p>
    <w:bookmarkStart w:id="19" w:name="page20"/>
    <w:bookmarkEnd w:id="19"/>
    <w:p>
      <w:pPr>
        <w:spacing w:after="0" w:line="224" w:lineRule="auto"/>
        <w:rPr>
          <w:sz w:val="20"/>
          <w:szCs w:val="20"/>
          <w:color w:val="auto"/>
        </w:rPr>
      </w:pPr>
      <w:r>
        <w:rPr>
          <w:rFonts w:ascii="Arial" w:cs="Arial" w:eastAsia="Arial" w:hAnsi="Arial"/>
          <w:sz w:val="18"/>
          <w:szCs w:val="18"/>
          <w:color w:val="auto"/>
        </w:rPr>
        <w:t>ownership rule, which imposed specific limits on the ability to own television and radio stations in the same market (in addition to the separate limits on the number of television or radio stations a party could own in the market). The FCC also voted to eliminate a rule making certain television joint sales agreements (JSAs) attributable in calculating compliance with the ownership limits. The FCC will continue to require public disclosure of certain shared services agreements (SSAs) though these agreements are not considered attributable. The changes adopted in the FCC’s November 2017 order have been challenged in court. GMG’s ability to enter into certain transactions in the future may be affected by the outcome of such challenges.</w:t>
      </w:r>
    </w:p>
    <w:p>
      <w:pPr>
        <w:spacing w:after="0" w:line="137" w:lineRule="exact"/>
        <w:rPr>
          <w:sz w:val="20"/>
          <w:szCs w:val="20"/>
          <w:color w:val="auto"/>
        </w:rPr>
      </w:pPr>
    </w:p>
    <w:p>
      <w:pPr>
        <w:ind w:right="40"/>
        <w:spacing w:after="0" w:line="222" w:lineRule="auto"/>
        <w:rPr>
          <w:sz w:val="20"/>
          <w:szCs w:val="20"/>
          <w:color w:val="auto"/>
        </w:rPr>
      </w:pPr>
      <w:r>
        <w:rPr>
          <w:rFonts w:ascii="Arial" w:cs="Arial" w:eastAsia="Arial" w:hAnsi="Arial"/>
          <w:sz w:val="18"/>
          <w:szCs w:val="18"/>
          <w:color w:val="161616"/>
        </w:rPr>
        <w:t>I</w:t>
      </w:r>
      <w:r>
        <w:rPr>
          <w:rFonts w:ascii="Arial" w:cs="Arial" w:eastAsia="Arial" w:hAnsi="Arial"/>
          <w:sz w:val="18"/>
          <w:szCs w:val="18"/>
          <w:color w:val="000000"/>
        </w:rPr>
        <w:t>n addition, by statute, a single person or entity may have an attributable interest in an unlimited number of television stations nationwide, as</w:t>
      </w:r>
      <w:r>
        <w:rPr>
          <w:rFonts w:ascii="Arial" w:cs="Arial" w:eastAsia="Arial" w:hAnsi="Arial"/>
          <w:sz w:val="18"/>
          <w:szCs w:val="18"/>
          <w:color w:val="161616"/>
        </w:rPr>
        <w:t xml:space="preserve"> </w:t>
      </w:r>
      <w:r>
        <w:rPr>
          <w:rFonts w:ascii="Arial" w:cs="Arial" w:eastAsia="Arial" w:hAnsi="Arial"/>
          <w:sz w:val="18"/>
          <w:szCs w:val="18"/>
          <w:color w:val="000000"/>
        </w:rPr>
        <w:t>long as the aggregate audience reach of such stations does not exceed 39% of nationwide television households and as long as such interest complies with the FCC’s other ownership restrictions. In a December 2017 Notice of Proposed Rulemaking, the FCC sought comments regarding its authority to modify or eliminate this national ownership cap. The FCC also sought comments regarding the potential elimination of the 50% “Ultra High Frequency (UHF) discount,” under which stations broadcasting on UHF channels are credited with only half the number of households in their market for purposes of calculating compliance with the 39% cap. The FCC in 2016 eliminated the UHF discount, but it reversed that decision in early 2017, concluding that the UHF discount should not be altered except in connection with a broader review of the national ownership cap. Both the FCC’s earlier elimination of the UHF discount and its order restoring the provision have been challenged in court. The Company cannot predict the outcome of these proceedings, which could affect the ability of GMG and its competitors to enter into certain transactions in the future.</w:t>
      </w:r>
    </w:p>
    <w:p>
      <w:pPr>
        <w:spacing w:after="0" w:line="116" w:lineRule="exact"/>
        <w:rPr>
          <w:sz w:val="20"/>
          <w:szCs w:val="20"/>
          <w:color w:val="auto"/>
        </w:rPr>
      </w:pPr>
    </w:p>
    <w:p>
      <w:pPr>
        <w:spacing w:after="0" w:line="228" w:lineRule="auto"/>
        <w:rPr>
          <w:sz w:val="20"/>
          <w:szCs w:val="20"/>
          <w:color w:val="auto"/>
        </w:rPr>
      </w:pPr>
      <w:r>
        <w:rPr>
          <w:rFonts w:ascii="Arial" w:cs="Arial" w:eastAsia="Arial" w:hAnsi="Arial"/>
          <w:sz w:val="18"/>
          <w:szCs w:val="18"/>
          <w:b w:val="1"/>
          <w:bCs w:val="1"/>
          <w:i w:val="1"/>
          <w:iCs w:val="1"/>
          <w:color w:val="auto"/>
        </w:rPr>
        <w:t xml:space="preserve">Programming. </w:t>
      </w:r>
      <w:r>
        <w:rPr>
          <w:rFonts w:ascii="Arial" w:cs="Arial" w:eastAsia="Arial" w:hAnsi="Arial"/>
          <w:sz w:val="18"/>
          <w:szCs w:val="18"/>
          <w:color w:val="auto"/>
        </w:rPr>
        <w:t>Six of GMG’s seven stations are affiliated with one or more of the national television networks that provide a substantial amount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of programming to their television station affiliates. The expiration dates of GMG’s affiliation agreements are set forth at the beginning of this Television Broadcasting section. WJXT, one of GMG’s Jacksonville stations, has operated as an independent station since 2002. In addition, each of the GMG stations receives programming from syndicators and other third-party programming providers. GMG’s performance depends, in part, on the quality and availability of third-party programming, and any substantial decline in the quality or availability of this programming could materially affect the ability of GMG and its competitors to enter into certain transactions in the future.</w:t>
      </w:r>
    </w:p>
    <w:p>
      <w:pPr>
        <w:spacing w:after="0" w:line="117" w:lineRule="exact"/>
        <w:rPr>
          <w:sz w:val="20"/>
          <w:szCs w:val="20"/>
          <w:color w:val="auto"/>
        </w:rPr>
      </w:pPr>
    </w:p>
    <w:p>
      <w:pPr>
        <w:ind w:right="120"/>
        <w:spacing w:after="0" w:line="258" w:lineRule="auto"/>
        <w:rPr>
          <w:sz w:val="20"/>
          <w:szCs w:val="20"/>
          <w:color w:val="auto"/>
        </w:rPr>
      </w:pPr>
      <w:r>
        <w:rPr>
          <w:rFonts w:ascii="Arial" w:cs="Arial" w:eastAsia="Arial" w:hAnsi="Arial"/>
          <w:sz w:val="17"/>
          <w:szCs w:val="17"/>
          <w:b w:val="1"/>
          <w:bCs w:val="1"/>
          <w:i w:val="1"/>
          <w:iCs w:val="1"/>
          <w:color w:val="auto"/>
        </w:rPr>
        <w:t xml:space="preserve">Public Interest Obligations. </w:t>
      </w:r>
      <w:r>
        <w:rPr>
          <w:rFonts w:ascii="Arial" w:cs="Arial" w:eastAsia="Arial" w:hAnsi="Arial"/>
          <w:sz w:val="17"/>
          <w:szCs w:val="17"/>
          <w:color w:val="auto"/>
        </w:rPr>
        <w:t>To satisfy FCC requirements, stations generally are expected to air a specified number of hours of programming</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intended to serve the educational and informational needs of children and to complete reports on a quarterly basis concerning children’s programming. In addition, the FCC requires stations to limit the amount of advertising that appears during certain children’s programs.</w:t>
      </w:r>
    </w:p>
    <w:p>
      <w:pPr>
        <w:spacing w:after="0" w:line="121" w:lineRule="exact"/>
        <w:rPr>
          <w:sz w:val="20"/>
          <w:szCs w:val="20"/>
          <w:color w:val="auto"/>
        </w:rPr>
      </w:pPr>
    </w:p>
    <w:p>
      <w:pPr>
        <w:ind w:right="40"/>
        <w:spacing w:after="0" w:line="225" w:lineRule="auto"/>
        <w:rPr>
          <w:sz w:val="20"/>
          <w:szCs w:val="20"/>
          <w:color w:val="auto"/>
        </w:rPr>
      </w:pPr>
      <w:r>
        <w:rPr>
          <w:rFonts w:ascii="Arial" w:cs="Arial" w:eastAsia="Arial" w:hAnsi="Arial"/>
          <w:sz w:val="18"/>
          <w:szCs w:val="18"/>
          <w:color w:val="auto"/>
        </w:rPr>
        <w:t>The FCC has other regulations and policies to ensure that broadcast licensees operate in the public interest, including rules requiring the disclosure of certain information and documents in an online public inspection file; rules requiring the closed-captioning of programming to assist television viewing by the hearing impaired; video description rules to assist television viewing by the visually impaired; rules concerning the captioning of video programming distributed via the Internet; and rules concerning the volume of commercials. Compliance with these rules imposes additional costs on the GMG stations that could affect GMG’s operations.</w:t>
      </w:r>
    </w:p>
    <w:p>
      <w:pPr>
        <w:spacing w:after="0" w:line="115" w:lineRule="exact"/>
        <w:rPr>
          <w:sz w:val="20"/>
          <w:szCs w:val="20"/>
          <w:color w:val="auto"/>
        </w:rPr>
      </w:pPr>
    </w:p>
    <w:p>
      <w:pPr>
        <w:ind w:right="240"/>
        <w:spacing w:after="0" w:line="238" w:lineRule="auto"/>
        <w:rPr>
          <w:sz w:val="20"/>
          <w:szCs w:val="20"/>
          <w:color w:val="auto"/>
        </w:rPr>
      </w:pPr>
      <w:r>
        <w:rPr>
          <w:rFonts w:ascii="Arial" w:cs="Arial" w:eastAsia="Arial" w:hAnsi="Arial"/>
          <w:sz w:val="18"/>
          <w:szCs w:val="18"/>
          <w:b w:val="1"/>
          <w:bCs w:val="1"/>
          <w:i w:val="1"/>
          <w:iCs w:val="1"/>
          <w:color w:val="auto"/>
        </w:rPr>
        <w:t xml:space="preserve">Political Advertising. </w:t>
      </w:r>
      <w:r>
        <w:rPr>
          <w:rFonts w:ascii="Arial" w:cs="Arial" w:eastAsia="Arial" w:hAnsi="Arial"/>
          <w:sz w:val="18"/>
          <w:szCs w:val="18"/>
          <w:color w:val="auto"/>
        </w:rPr>
        <w:t>The FCC regulates the sale of advertising by GMG’s stations to candidates for public office and imposes other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obligations regarding the broadcast of political announcements more generally. The application of these regulations may limit the advertising revenues of GMG’s television stations during the periods preceding elections.</w:t>
      </w:r>
    </w:p>
    <w:p>
      <w:pPr>
        <w:spacing w:after="0" w:line="114" w:lineRule="exact"/>
        <w:rPr>
          <w:sz w:val="20"/>
          <w:szCs w:val="20"/>
          <w:color w:val="auto"/>
        </w:rPr>
      </w:pPr>
    </w:p>
    <w:p>
      <w:pPr>
        <w:ind w:right="120"/>
        <w:spacing w:after="0" w:line="226" w:lineRule="auto"/>
        <w:rPr>
          <w:sz w:val="20"/>
          <w:szCs w:val="20"/>
          <w:color w:val="auto"/>
        </w:rPr>
      </w:pPr>
      <w:r>
        <w:rPr>
          <w:rFonts w:ascii="Arial" w:cs="Arial" w:eastAsia="Arial" w:hAnsi="Arial"/>
          <w:sz w:val="18"/>
          <w:szCs w:val="18"/>
          <w:b w:val="1"/>
          <w:bCs w:val="1"/>
          <w:i w:val="1"/>
          <w:iCs w:val="1"/>
          <w:color w:val="auto"/>
        </w:rPr>
        <w:t xml:space="preserve">Broadcast Indecency. </w:t>
      </w:r>
      <w:r>
        <w:rPr>
          <w:rFonts w:ascii="Arial" w:cs="Arial" w:eastAsia="Arial" w:hAnsi="Arial"/>
          <w:sz w:val="18"/>
          <w:szCs w:val="18"/>
          <w:color w:val="auto"/>
        </w:rPr>
        <w:t>The FCC’s policies prohibit the broadcast of indecent and profane material during certain hours of the day, and the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FCC regularly imposes monetary forfeitures when it determines that a television station has violated that policy. Broadcasters have repeatedly challenged these rules in court, arguing, among other things, that the FCC has failed to justify its indecency decisions adequately, that the FCC’s policy is too subjective to guide broadcasters’ programming decisions and that its enforcement approach otherwise violates the First Amendment. In June 2012, the U.S. Supreme Court held that certain fines against broadcasters for “fleeting expletives” were unconstitutional because the FCC failed to provide advance notice to broadcasters of what the FCC deemed to be indecent, but it also upheld the FCC’s authority to regulate broadcast decency. The Company cannot predict how GMG’s stations may be affected by the FCC’s current or future interpretation and enforcement of its indecency policies.</w:t>
      </w:r>
    </w:p>
    <w:p>
      <w:pPr>
        <w:spacing w:after="0" w:line="137" w:lineRule="exact"/>
        <w:rPr>
          <w:sz w:val="20"/>
          <w:szCs w:val="20"/>
          <w:color w:val="auto"/>
        </w:rPr>
      </w:pPr>
    </w:p>
    <w:p>
      <w:pPr>
        <w:ind w:right="360"/>
        <w:spacing w:after="0" w:line="258" w:lineRule="auto"/>
        <w:rPr>
          <w:sz w:val="20"/>
          <w:szCs w:val="20"/>
          <w:color w:val="auto"/>
        </w:rPr>
      </w:pPr>
      <w:r>
        <w:rPr>
          <w:rFonts w:ascii="Arial" w:cs="Arial" w:eastAsia="Arial" w:hAnsi="Arial"/>
          <w:sz w:val="17"/>
          <w:szCs w:val="17"/>
          <w:color w:val="auto"/>
        </w:rPr>
        <w:t>The FCC is conducting proceedings concerning various matters in addition to those described in this section. The outcome of these proceedings and other matters described in this section could adversely affect the profitability of GMG’s television broadcasting operations.</w:t>
      </w:r>
    </w:p>
    <w:p>
      <w:pPr>
        <w:spacing w:after="0" w:line="200" w:lineRule="exact"/>
        <w:rPr>
          <w:sz w:val="20"/>
          <w:szCs w:val="20"/>
          <w:color w:val="auto"/>
        </w:rPr>
      </w:pPr>
    </w:p>
    <w:p>
      <w:pPr>
        <w:spacing w:after="0" w:line="28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400"/>
          </w:cols>
          <w:pgMar w:left="240" w:top="746" w:right="259" w:bottom="1440" w:gutter="0" w:footer="0" w:header="0"/>
        </w:sectPr>
      </w:pPr>
    </w:p>
    <w:bookmarkStart w:id="20" w:name="page21"/>
    <w:bookmarkEnd w:id="20"/>
    <w:p>
      <w:pPr>
        <w:jc w:val="center"/>
        <w:ind w:right="-19"/>
        <w:spacing w:after="0"/>
        <w:rPr>
          <w:sz w:val="20"/>
          <w:szCs w:val="20"/>
          <w:color w:val="auto"/>
        </w:rPr>
      </w:pPr>
      <w:r>
        <w:rPr>
          <w:rFonts w:ascii="Arial" w:cs="Arial" w:eastAsia="Arial" w:hAnsi="Arial"/>
          <w:sz w:val="18"/>
          <w:szCs w:val="18"/>
          <w:b w:val="1"/>
          <w:bCs w:val="1"/>
          <w:color w:val="auto"/>
        </w:rPr>
        <w:t>Other Activities</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 Slate Group</w:t>
      </w:r>
    </w:p>
    <w:p>
      <w:pPr>
        <w:spacing w:after="0" w:line="148" w:lineRule="exact"/>
        <w:rPr>
          <w:sz w:val="20"/>
          <w:szCs w:val="20"/>
          <w:color w:val="auto"/>
        </w:rPr>
      </w:pPr>
    </w:p>
    <w:p>
      <w:pPr>
        <w:spacing w:after="0" w:line="223" w:lineRule="auto"/>
        <w:rPr>
          <w:sz w:val="20"/>
          <w:szCs w:val="20"/>
          <w:color w:val="auto"/>
        </w:rPr>
      </w:pPr>
      <w:r>
        <w:rPr>
          <w:rFonts w:ascii="Arial" w:cs="Arial" w:eastAsia="Arial" w:hAnsi="Arial"/>
          <w:sz w:val="18"/>
          <w:szCs w:val="18"/>
          <w:color w:val="auto"/>
        </w:rPr>
        <w:t xml:space="preserve">The Slate Group LLC (The Slate Group) publishes </w:t>
      </w:r>
      <w:r>
        <w:rPr>
          <w:rFonts w:ascii="Arial" w:cs="Arial" w:eastAsia="Arial" w:hAnsi="Arial"/>
          <w:sz w:val="18"/>
          <w:szCs w:val="18"/>
          <w:i w:val="1"/>
          <w:iCs w:val="1"/>
          <w:color w:val="auto"/>
        </w:rPr>
        <w:t>Slate</w:t>
      </w:r>
      <w:r>
        <w:rPr>
          <w:rFonts w:ascii="Arial" w:cs="Arial" w:eastAsia="Arial" w:hAnsi="Arial"/>
          <w:sz w:val="18"/>
          <w:szCs w:val="18"/>
          <w:color w:val="auto"/>
        </w:rPr>
        <w:t xml:space="preserve">, an online magazine. </w:t>
      </w:r>
      <w:r>
        <w:rPr>
          <w:rFonts w:ascii="Arial" w:cs="Arial" w:eastAsia="Arial" w:hAnsi="Arial"/>
          <w:sz w:val="18"/>
          <w:szCs w:val="18"/>
          <w:i w:val="1"/>
          <w:iCs w:val="1"/>
          <w:color w:val="auto"/>
        </w:rPr>
        <w:t>Slate</w:t>
      </w:r>
      <w:r>
        <w:rPr>
          <w:rFonts w:ascii="Arial" w:cs="Arial" w:eastAsia="Arial" w:hAnsi="Arial"/>
          <w:sz w:val="18"/>
          <w:szCs w:val="18"/>
          <w:color w:val="auto"/>
        </w:rPr>
        <w:t xml:space="preserve"> features articles and podcasts analyzing news, politics and contemporary culture and adds new material on a daily basis. Content is supplied by the magazine’s own editorial staff, as well as by independent contributors. As measured by The Slate Group, </w:t>
      </w:r>
      <w:r>
        <w:rPr>
          <w:rFonts w:ascii="Arial" w:cs="Arial" w:eastAsia="Arial" w:hAnsi="Arial"/>
          <w:sz w:val="18"/>
          <w:szCs w:val="18"/>
          <w:i w:val="1"/>
          <w:iCs w:val="1"/>
          <w:color w:val="auto"/>
        </w:rPr>
        <w:t>Slate</w:t>
      </w:r>
      <w:r>
        <w:rPr>
          <w:rFonts w:ascii="Arial" w:cs="Arial" w:eastAsia="Arial" w:hAnsi="Arial"/>
          <w:sz w:val="18"/>
          <w:szCs w:val="18"/>
          <w:color w:val="auto"/>
        </w:rPr>
        <w:t xml:space="preserve"> had an average of more than 25 million unique visitors per month and averaged more than 100 million page views per month across desktop and mobile platforms in 2017. Panoply Media (Panoply) is an ad-supported podcast network that creates original audio programming in partnership with leading publishers and thinkers. In addition to producing and marketing podcasts, Panoply Media also licenses a proprietary SAAS platform, Megaphone, that provides content management services to podcasters. The company has also recently launched an audio-centric advertising network, the Megaphone Targeted Marketplace (MTM), for users of the Megaphone platform. MTM allows advertisers to target across a variety of podcasts to reach audiences by segment, demographics, purchase intent and a variety of other characteristics. In 2017, Panoply launched Pinna, a subscription-based audio service for families with children ages 4 to 12 years old. The Slate Group owns an interest in E2J2 SAS, a company incorporated in France that produces two French-language news magazine websites at </w:t>
      </w:r>
      <w:r>
        <w:rPr>
          <w:rFonts w:ascii="Arial" w:cs="Arial" w:eastAsia="Arial" w:hAnsi="Arial"/>
          <w:sz w:val="18"/>
          <w:szCs w:val="18"/>
          <w:i w:val="1"/>
          <w:iCs w:val="1"/>
          <w:color w:val="auto"/>
        </w:rPr>
        <w:t>slate.fr</w:t>
      </w:r>
      <w:r>
        <w:rPr>
          <w:rFonts w:ascii="Arial" w:cs="Arial" w:eastAsia="Arial" w:hAnsi="Arial"/>
          <w:sz w:val="18"/>
          <w:szCs w:val="18"/>
          <w:color w:val="auto"/>
        </w:rPr>
        <w:t xml:space="preserve"> and </w:t>
      </w:r>
      <w:r>
        <w:rPr>
          <w:rFonts w:ascii="Arial" w:cs="Arial" w:eastAsia="Arial" w:hAnsi="Arial"/>
          <w:sz w:val="18"/>
          <w:szCs w:val="18"/>
          <w:i w:val="1"/>
          <w:iCs w:val="1"/>
          <w:color w:val="auto"/>
        </w:rPr>
        <w:t>slateafrique.com</w:t>
      </w:r>
      <w:r>
        <w:rPr>
          <w:rFonts w:ascii="Arial" w:cs="Arial" w:eastAsia="Arial" w:hAnsi="Arial"/>
          <w:sz w:val="18"/>
          <w:szCs w:val="18"/>
          <w:color w:val="auto"/>
        </w:rPr>
        <w:t>. The Slate Group provides content, technology and branding support.</w:t>
      </w:r>
    </w:p>
    <w:p>
      <w:pPr>
        <w:spacing w:after="0" w:line="1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 FP Group</w:t>
      </w:r>
    </w:p>
    <w:p>
      <w:pPr>
        <w:spacing w:after="0" w:line="148" w:lineRule="exact"/>
        <w:rPr>
          <w:sz w:val="20"/>
          <w:szCs w:val="20"/>
          <w:color w:val="auto"/>
        </w:rPr>
      </w:pPr>
    </w:p>
    <w:p>
      <w:pPr>
        <w:ind w:right="220"/>
        <w:spacing w:after="0" w:line="229" w:lineRule="auto"/>
        <w:rPr>
          <w:sz w:val="20"/>
          <w:szCs w:val="20"/>
          <w:color w:val="auto"/>
        </w:rPr>
      </w:pPr>
      <w:r>
        <w:rPr>
          <w:rFonts w:ascii="Arial" w:cs="Arial" w:eastAsia="Arial" w:hAnsi="Arial"/>
          <w:sz w:val="18"/>
          <w:szCs w:val="18"/>
          <w:color w:val="auto"/>
        </w:rPr>
        <w:t xml:space="preserve">The FP Group produces </w:t>
      </w:r>
      <w:r>
        <w:rPr>
          <w:rFonts w:ascii="Arial" w:cs="Arial" w:eastAsia="Arial" w:hAnsi="Arial"/>
          <w:sz w:val="18"/>
          <w:szCs w:val="18"/>
          <w:i w:val="1"/>
          <w:iCs w:val="1"/>
          <w:color w:val="auto"/>
        </w:rPr>
        <w:t>Foreign Policy</w:t>
      </w:r>
      <w:r>
        <w:rPr>
          <w:rFonts w:ascii="Arial" w:cs="Arial" w:eastAsia="Arial" w:hAnsi="Arial"/>
          <w:sz w:val="18"/>
          <w:szCs w:val="18"/>
          <w:color w:val="auto"/>
        </w:rPr>
        <w:t xml:space="preserve"> magazine and the </w:t>
      </w:r>
      <w:r>
        <w:rPr>
          <w:rFonts w:ascii="Arial" w:cs="Arial" w:eastAsia="Arial" w:hAnsi="Arial"/>
          <w:sz w:val="18"/>
          <w:szCs w:val="18"/>
          <w:i w:val="1"/>
          <w:iCs w:val="1"/>
          <w:color w:val="auto"/>
        </w:rPr>
        <w:t>ForeignPolicy.com</w:t>
      </w:r>
      <w:r>
        <w:rPr>
          <w:rFonts w:ascii="Arial" w:cs="Arial" w:eastAsia="Arial" w:hAnsi="Arial"/>
          <w:sz w:val="18"/>
          <w:szCs w:val="18"/>
          <w:color w:val="auto"/>
        </w:rPr>
        <w:t xml:space="preserve"> website, which cover developments in national security, international politics, global economics and related issues. The site features blogs, unique news content and specialized channels and newsletters focusing on regions and topics of interest. The FP Group provides insight and analysis into global affairs for government, military, business, media and academic leaders. FP Events also produces a growing range of live programs, bringing together government, military, business and investment leaders to discuss important regional and topical developments and their implications.</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SocialCode</w:t>
      </w:r>
    </w:p>
    <w:p>
      <w:pPr>
        <w:spacing w:after="0" w:line="166" w:lineRule="exact"/>
        <w:rPr>
          <w:sz w:val="20"/>
          <w:szCs w:val="20"/>
          <w:color w:val="auto"/>
        </w:rPr>
      </w:pPr>
    </w:p>
    <w:p>
      <w:pPr>
        <w:ind w:right="460"/>
        <w:spacing w:after="0" w:line="227" w:lineRule="auto"/>
        <w:rPr>
          <w:sz w:val="20"/>
          <w:szCs w:val="20"/>
          <w:color w:val="auto"/>
        </w:rPr>
      </w:pPr>
      <w:r>
        <w:rPr>
          <w:rFonts w:ascii="Arial" w:cs="Arial" w:eastAsia="Arial" w:hAnsi="Arial"/>
          <w:sz w:val="18"/>
          <w:szCs w:val="18"/>
          <w:color w:val="auto"/>
        </w:rPr>
        <w:t>Social Code LLC (SocialCode) is a marketing and insights company that manages digital advertising for global brands and early stage companies. It delivers software and service to transform consumer and performance data into planning, content, media activation and measurement to maximize ROI. SocialCode works across platforms such as Facebook, Instagram, Twitter, Pinterest, Snapchat, YouTube, Google and Amazon.</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Graham Healthcare Group</w:t>
      </w:r>
    </w:p>
    <w:p>
      <w:pPr>
        <w:spacing w:after="0" w:line="166" w:lineRule="exact"/>
        <w:rPr>
          <w:sz w:val="20"/>
          <w:szCs w:val="20"/>
          <w:color w:val="auto"/>
        </w:rPr>
      </w:pPr>
    </w:p>
    <w:p>
      <w:pPr>
        <w:spacing w:after="0" w:line="221" w:lineRule="auto"/>
        <w:rPr>
          <w:sz w:val="20"/>
          <w:szCs w:val="20"/>
          <w:color w:val="auto"/>
        </w:rPr>
      </w:pPr>
      <w:r>
        <w:rPr>
          <w:rFonts w:ascii="Arial" w:cs="Arial" w:eastAsia="Arial" w:hAnsi="Arial"/>
          <w:sz w:val="18"/>
          <w:szCs w:val="18"/>
          <w:color w:val="auto"/>
        </w:rPr>
        <w:t>Graham Healthcare Group (GHG) provides home health and hospice services in three states: Michigan, Pennsylvania and Illinois. The companies that compose Graham Healthcare Group are Celtic Healthcare, Inc. (Celtic) and Residential Healthcare Group, Inc. (Residential). Each company is a Medicare-certified provider of home health and/or hospice services. In addition, each GHG company offers care coordination, healthcare solutions and clinical expertise. Through its subsidiaries, Celtic is licensed to provide home health and hospice services throughout Pennsylvania. These services include skilled nursing, physical therapy, occupational therapy, speech therapy, social work, nutrition and chaplain services. Residential is headquartered in Troy, MI, and provides care to patients across Michigan and Illinois. Services and support are offered in a variety of settings, including patients’ homes, nursing facilities and hospitals. Residential’s home health operation is Medicare-certified and ACHC-accredited. It has developed a number of innovative, evidence-based clinical programs to reduce avoidable hospital readmissions, particularly for chronically ill seniors. Residential’s hospice subsidiary is also ACHC-accredited. GHG, for its wholly owned entities, derives 90% of its revenue for home health and hospice from Medicare. The remaining sources of revenue for each GHG company are from Medicaid, commercial insurance and private payers. In June 2017, GHG expanded its market presence for both home health and hospice when it purchased Hometown Home Health Care, Inc.</w:t>
      </w:r>
    </w:p>
    <w:p>
      <w:pPr>
        <w:spacing w:after="0" w:line="12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Hoover Treated Wood Products, Inc.</w:t>
      </w:r>
    </w:p>
    <w:p>
      <w:pPr>
        <w:spacing w:after="0" w:line="166" w:lineRule="exact"/>
        <w:rPr>
          <w:sz w:val="20"/>
          <w:szCs w:val="20"/>
          <w:color w:val="auto"/>
        </w:rPr>
      </w:pPr>
    </w:p>
    <w:p>
      <w:pPr>
        <w:jc w:val="both"/>
        <w:ind w:right="180"/>
        <w:spacing w:after="0" w:line="245" w:lineRule="auto"/>
        <w:rPr>
          <w:sz w:val="20"/>
          <w:szCs w:val="20"/>
          <w:color w:val="auto"/>
        </w:rPr>
      </w:pPr>
      <w:r>
        <w:rPr>
          <w:rFonts w:ascii="Arial" w:cs="Arial" w:eastAsia="Arial" w:hAnsi="Arial"/>
          <w:sz w:val="17"/>
          <w:szCs w:val="17"/>
          <w:color w:val="333333"/>
        </w:rPr>
        <w:t>Hoover Treated Wood Products, Inc. (Hoover) is a supplier of pressure impregnated kiln-dried lumber and plywood products for fire-retardant and preservative applications. Hoover, founded in 1955 and acquired by the Company in 2017, is headquartered in Thomson, GA; It operates nine facilities across the country and services a stocking distributor network of more than 100 locations spanning the U.S. and Canada.</w:t>
      </w:r>
    </w:p>
    <w:p>
      <w:pPr>
        <w:spacing w:after="0" w:line="10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Group Dekko Inc.</w:t>
      </w:r>
    </w:p>
    <w:p>
      <w:pPr>
        <w:spacing w:after="0" w:line="166" w:lineRule="exact"/>
        <w:rPr>
          <w:sz w:val="20"/>
          <w:szCs w:val="20"/>
          <w:color w:val="auto"/>
        </w:rPr>
      </w:pPr>
    </w:p>
    <w:p>
      <w:pPr>
        <w:ind w:right="440"/>
        <w:spacing w:after="0" w:line="229" w:lineRule="auto"/>
        <w:rPr>
          <w:sz w:val="20"/>
          <w:szCs w:val="20"/>
          <w:color w:val="auto"/>
        </w:rPr>
      </w:pPr>
      <w:r>
        <w:rPr>
          <w:rFonts w:ascii="Arial" w:cs="Arial" w:eastAsia="Arial" w:hAnsi="Arial"/>
          <w:sz w:val="18"/>
          <w:szCs w:val="18"/>
          <w:color w:val="auto"/>
        </w:rPr>
        <w:t>Group Dekko Inc. (Dekko) is an electrical solutions company that focuses on innovative power charging and data systems; industrial and commercial indoor lighting solutions; and the manufacture of electrical components and assemblies for medical equipment, transportation, industrial and appliance products. Dekko, founded in 1952, is</w:t>
      </w:r>
    </w:p>
    <w:p>
      <w:pPr>
        <w:spacing w:after="0" w:line="200" w:lineRule="exact"/>
        <w:rPr>
          <w:sz w:val="20"/>
          <w:szCs w:val="20"/>
          <w:color w:val="auto"/>
        </w:rPr>
      </w:pPr>
    </w:p>
    <w:p>
      <w:pPr>
        <w:spacing w:after="0" w:line="30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420"/>
          </w:cols>
          <w:pgMar w:left="240" w:top="724" w:right="239" w:bottom="1440" w:gutter="0" w:footer="0" w:header="0"/>
        </w:sectPr>
      </w:pPr>
    </w:p>
    <w:bookmarkStart w:id="21" w:name="page22"/>
    <w:bookmarkEnd w:id="21"/>
    <w:p>
      <w:pPr>
        <w:ind w:right="340"/>
        <w:spacing w:after="0" w:line="235" w:lineRule="auto"/>
        <w:rPr>
          <w:sz w:val="20"/>
          <w:szCs w:val="20"/>
          <w:color w:val="auto"/>
        </w:rPr>
      </w:pPr>
      <w:r>
        <w:rPr>
          <w:rFonts w:ascii="Arial" w:cs="Arial" w:eastAsia="Arial" w:hAnsi="Arial"/>
          <w:sz w:val="18"/>
          <w:szCs w:val="18"/>
          <w:color w:val="auto"/>
        </w:rPr>
        <w:t>headquartered in Garrett, IN, and operates nine facilities in four states and Mexico. Dekko acquired Electri-Cable Assemblies in September 2016.</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Joyce/Dayton Corp.</w:t>
      </w:r>
    </w:p>
    <w:p>
      <w:pPr>
        <w:spacing w:after="0" w:line="166" w:lineRule="exact"/>
        <w:rPr>
          <w:sz w:val="20"/>
          <w:szCs w:val="20"/>
          <w:color w:val="auto"/>
        </w:rPr>
      </w:pPr>
    </w:p>
    <w:p>
      <w:pPr>
        <w:jc w:val="both"/>
        <w:ind w:right="380"/>
        <w:spacing w:after="0" w:line="229" w:lineRule="auto"/>
        <w:rPr>
          <w:sz w:val="20"/>
          <w:szCs w:val="20"/>
          <w:color w:val="auto"/>
        </w:rPr>
      </w:pPr>
      <w:r>
        <w:rPr>
          <w:rFonts w:ascii="Arial" w:cs="Arial" w:eastAsia="Arial" w:hAnsi="Arial"/>
          <w:sz w:val="18"/>
          <w:szCs w:val="18"/>
          <w:color w:val="auto"/>
        </w:rPr>
        <w:t>Joyce/Dayton Corp. (Joyce/Dayton) is a leading manufacturer of screw jacks, linear actuators and related linear motion products and lifting systems in North America. Joyce/Dayton provides its lifting and positioning products to customers across a diverse range of industrial end markets, including renewable energy, metals and metalworking, oil and gas, satellite antennae and material handling sectors.</w:t>
      </w:r>
    </w:p>
    <w:p>
      <w:pPr>
        <w:spacing w:after="0" w:line="1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Forney Corporation</w:t>
      </w:r>
    </w:p>
    <w:p>
      <w:pPr>
        <w:spacing w:after="0" w:line="166" w:lineRule="exact"/>
        <w:rPr>
          <w:sz w:val="20"/>
          <w:szCs w:val="20"/>
          <w:color w:val="auto"/>
        </w:rPr>
      </w:pPr>
    </w:p>
    <w:p>
      <w:pPr>
        <w:jc w:val="both"/>
        <w:ind w:right="480"/>
        <w:spacing w:after="0" w:line="229" w:lineRule="auto"/>
        <w:rPr>
          <w:sz w:val="20"/>
          <w:szCs w:val="20"/>
          <w:color w:val="auto"/>
        </w:rPr>
      </w:pPr>
      <w:r>
        <w:rPr>
          <w:rFonts w:ascii="Arial" w:cs="Arial" w:eastAsia="Arial" w:hAnsi="Arial"/>
          <w:sz w:val="18"/>
          <w:szCs w:val="18"/>
          <w:color w:val="auto"/>
        </w:rPr>
        <w:t>Forney Corporation (Forney) is a global supplier of burners, igniters, dampers and controls for combustion processes in electric utility and industrial applications. Forney is headquartered in Addison, TX, and its manufacturing plant is in Monterrey, Mexico. Forney’s customers include power plants and industrial systems around the world.</w:t>
      </w:r>
    </w:p>
    <w:p>
      <w:pPr>
        <w:spacing w:after="0" w:line="1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CyberVista LLC</w:t>
      </w:r>
    </w:p>
    <w:p>
      <w:pPr>
        <w:spacing w:after="0" w:line="166" w:lineRule="exact"/>
        <w:rPr>
          <w:sz w:val="20"/>
          <w:szCs w:val="20"/>
          <w:color w:val="auto"/>
        </w:rPr>
      </w:pPr>
    </w:p>
    <w:p>
      <w:pPr>
        <w:ind w:right="720"/>
        <w:spacing w:after="0" w:line="235" w:lineRule="auto"/>
        <w:rPr>
          <w:sz w:val="20"/>
          <w:szCs w:val="20"/>
          <w:color w:val="auto"/>
        </w:rPr>
      </w:pPr>
      <w:r>
        <w:rPr>
          <w:rFonts w:ascii="Arial" w:cs="Arial" w:eastAsia="Arial" w:hAnsi="Arial"/>
          <w:sz w:val="18"/>
          <w:szCs w:val="18"/>
          <w:color w:val="auto"/>
        </w:rPr>
        <w:t>The Company launched CyberVista LLC (CyberVista) in 2015. CyberVista develops cybersecurity training and workforce development education programs.</w:t>
      </w:r>
    </w:p>
    <w:p>
      <w:pPr>
        <w:spacing w:after="0" w:line="113"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Competition</w:t>
      </w:r>
    </w:p>
    <w:p>
      <w:pPr>
        <w:spacing w:after="0" w:line="166" w:lineRule="exact"/>
        <w:rPr>
          <w:sz w:val="20"/>
          <w:szCs w:val="20"/>
          <w:color w:val="auto"/>
        </w:rPr>
      </w:pPr>
    </w:p>
    <w:p>
      <w:pPr>
        <w:ind w:right="80"/>
        <w:spacing w:after="0" w:line="223" w:lineRule="auto"/>
        <w:rPr>
          <w:sz w:val="20"/>
          <w:szCs w:val="20"/>
          <w:color w:val="auto"/>
        </w:rPr>
      </w:pPr>
      <w:r>
        <w:rPr>
          <w:rFonts w:ascii="Arial" w:cs="Arial" w:eastAsia="Arial" w:hAnsi="Arial"/>
          <w:sz w:val="18"/>
          <w:szCs w:val="18"/>
          <w:color w:val="auto"/>
        </w:rPr>
        <w:t>Kaplan’s businesses operate in fragmented and competitive markets. KU competes with both facilities-based and other distance-learning providers of similar educational services, including not-for-profit colleges and universities and for-profit businesses. PACE competes in each of its professional lines with other companies that provide preparation for exams required for professional licenses, certifications and designations. KTP competes with a variety of regional and national test preparation businesses, with individual tutors and with in-school preparation for standardized tests. Overseas, each of Kaplan’s businesses competes with other for-profit companies and, in certain instances, with government-supported schools and institutions that provide similar training and educational programs. Students choose among providers based on program offerings, convenience, quality of instruction, reputation, placement rates, student services and cost.</w:t>
      </w:r>
    </w:p>
    <w:p>
      <w:pPr>
        <w:spacing w:after="0" w:line="139" w:lineRule="exact"/>
        <w:rPr>
          <w:sz w:val="20"/>
          <w:szCs w:val="20"/>
          <w:color w:val="auto"/>
        </w:rPr>
      </w:pPr>
    </w:p>
    <w:p>
      <w:pPr>
        <w:ind w:right="120"/>
        <w:spacing w:after="0" w:line="222" w:lineRule="auto"/>
        <w:rPr>
          <w:sz w:val="20"/>
          <w:szCs w:val="20"/>
          <w:color w:val="auto"/>
        </w:rPr>
      </w:pPr>
      <w:r>
        <w:rPr>
          <w:rFonts w:ascii="Arial" w:cs="Arial" w:eastAsia="Arial" w:hAnsi="Arial"/>
          <w:sz w:val="18"/>
          <w:szCs w:val="18"/>
          <w:color w:val="auto"/>
        </w:rPr>
        <w:t>GMG competes for audiences and advertising revenues with television and radio stations, cable systems and video services offered by telephone companies serving the same or nearby areas; with DBS services; and, to a lesser degree, with other media, such as newspapers and magazines. Cable systems operate in substantially all of the areas served by the Company’s television stations, where they compete for television viewers by importing out-of-market television signals; by distributing pay-cable, advertiser-supported and other programming that is originated for cable systems; and by offering movies and other programming on a pay-per-view basis. In addition, DBS services provide nationwide distribution of television programming, including pay-per-view programming and programming packages unique to DBS, using digital transmission technologies. Moreover, to the extent that competing television stations in the Company’s television markets transition to ATSC 3.0, such stations may pose an increased competitive challenge to the Company’s stations, such as by offering an increased number of multicast channels and/or by offering advanced features.</w:t>
      </w:r>
    </w:p>
    <w:p>
      <w:pPr>
        <w:spacing w:after="0" w:line="141" w:lineRule="exact"/>
        <w:rPr>
          <w:sz w:val="20"/>
          <w:szCs w:val="20"/>
          <w:color w:val="auto"/>
        </w:rPr>
      </w:pPr>
    </w:p>
    <w:p>
      <w:pPr>
        <w:spacing w:after="0" w:line="222" w:lineRule="auto"/>
        <w:rPr>
          <w:sz w:val="20"/>
          <w:szCs w:val="20"/>
          <w:color w:val="auto"/>
        </w:rPr>
      </w:pPr>
      <w:r>
        <w:rPr>
          <w:rFonts w:ascii="Arial" w:cs="Arial" w:eastAsia="Arial" w:hAnsi="Arial"/>
          <w:sz w:val="18"/>
          <w:szCs w:val="18"/>
          <w:color w:val="auto"/>
        </w:rPr>
        <w:t>Competition also continues to increase from established and emerging online distribution platforms. Movies and television programming increasingly are available on an on-demand basis through a variety of online platforms, which include free access on the websites of the major TV networks, ad-supported viewing on platforms such as Hulu and subscription-based access through services such as Netflix. In addition, online-only subscription services offering live television services have been launched both by traditional pay-TV competitors (such as DISH and DirecTV) and new entrants (such as Sony). The Company has entered into agreements for some of its stations to be distributed via certain of these services, typically through opt-in agreements negotiated by the stations’ affiliated networks. Participation in these services has given the Company’s stations access to new distribution platforms. At the same time, competition from these various platforms could adversely affect the viewership of the Company’s television stations via traditional platforms and/or the Company’s strategic position in negotiations with pay-TV services. In addition, the networks’ increased role in negotiating online distribution arrangements for their affiliated stations may have broader effects on the overall network-affiliate relationship, which the Company cannot predict.</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color w:val="auto"/>
        </w:rPr>
        <w:t>The home health and hospice industries are extremely competitive and fragmented, consisting of both for-profit and non-profit companies.</w:t>
      </w:r>
    </w:p>
    <w:p>
      <w:pPr>
        <w:spacing w:after="0"/>
        <w:rPr>
          <w:sz w:val="20"/>
          <w:szCs w:val="20"/>
          <w:color w:val="auto"/>
        </w:rPr>
      </w:pPr>
      <w:r>
        <w:rPr>
          <w:rFonts w:ascii="Arial" w:cs="Arial" w:eastAsia="Arial" w:hAnsi="Arial"/>
          <w:sz w:val="18"/>
          <w:szCs w:val="18"/>
          <w:color w:val="auto"/>
        </w:rPr>
        <w:t>Graham Healthcare Group competes primarily with privately-owned and hospital-operated home health and hospice service providers.</w:t>
      </w:r>
    </w:p>
    <w:p>
      <w:pPr>
        <w:spacing w:after="0" w:line="200" w:lineRule="exact"/>
        <w:rPr>
          <w:sz w:val="20"/>
          <w:szCs w:val="20"/>
          <w:color w:val="auto"/>
        </w:rPr>
      </w:pPr>
    </w:p>
    <w:p>
      <w:pPr>
        <w:spacing w:after="0" w:line="30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400"/>
          </w:cols>
          <w:pgMar w:left="240" w:top="746" w:right="259" w:bottom="1440" w:gutter="0" w:footer="0" w:header="0"/>
        </w:sectPr>
      </w:pPr>
    </w:p>
    <w:bookmarkStart w:id="22" w:name="page23"/>
    <w:bookmarkEnd w:id="22"/>
    <w:p>
      <w:pPr>
        <w:ind w:left="4920"/>
        <w:spacing w:after="0"/>
        <w:rPr>
          <w:sz w:val="20"/>
          <w:szCs w:val="20"/>
          <w:color w:val="auto"/>
        </w:rPr>
      </w:pPr>
      <w:r>
        <w:rPr>
          <w:rFonts w:ascii="Arial" w:cs="Arial" w:eastAsia="Arial" w:hAnsi="Arial"/>
          <w:sz w:val="18"/>
          <w:szCs w:val="18"/>
          <w:b w:val="1"/>
          <w:bCs w:val="1"/>
          <w:color w:val="auto"/>
        </w:rPr>
        <w:t>Executive Officers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color w:val="auto"/>
        </w:rPr>
        <w:t>The executive officers of the Company, each of whom is elected annually by the Board of Directors, are as follows:</w:t>
      </w:r>
    </w:p>
    <w:p>
      <w:pPr>
        <w:spacing w:after="0" w:line="144" w:lineRule="exact"/>
        <w:rPr>
          <w:sz w:val="20"/>
          <w:szCs w:val="20"/>
          <w:color w:val="auto"/>
        </w:rPr>
      </w:pPr>
    </w:p>
    <w:p>
      <w:pPr>
        <w:spacing w:after="0" w:line="227" w:lineRule="auto"/>
        <w:rPr>
          <w:sz w:val="20"/>
          <w:szCs w:val="20"/>
          <w:color w:val="auto"/>
        </w:rPr>
      </w:pPr>
      <w:r>
        <w:rPr>
          <w:rFonts w:ascii="Arial" w:cs="Arial" w:eastAsia="Arial" w:hAnsi="Arial"/>
          <w:sz w:val="18"/>
          <w:szCs w:val="18"/>
          <w:color w:val="auto"/>
        </w:rPr>
        <w:t xml:space="preserve">Donald E. Graham, age 72, has been Chairman of the Board of the Company since September 1993 and served as Chief Executive Officer of the Company from May 1991 until November 2015. Mr. Graham served as President of the Company from May 1991 until September 1993 and prior to that had been a Vice President of the Company for more than five years. Mr. Graham also served as Publisher of the Washington Post (the </w:t>
      </w:r>
      <w:r>
        <w:rPr>
          <w:rFonts w:ascii="Arial" w:cs="Arial" w:eastAsia="Arial" w:hAnsi="Arial"/>
          <w:sz w:val="18"/>
          <w:szCs w:val="18"/>
          <w:i w:val="1"/>
          <w:iCs w:val="1"/>
          <w:color w:val="auto"/>
        </w:rPr>
        <w:t>Post)</w:t>
      </w:r>
      <w:r>
        <w:rPr>
          <w:rFonts w:ascii="Arial" w:cs="Arial" w:eastAsia="Arial" w:hAnsi="Arial"/>
          <w:sz w:val="18"/>
          <w:szCs w:val="18"/>
          <w:color w:val="auto"/>
        </w:rPr>
        <w:t xml:space="preserve"> from 1979 until September 2000 and as Chairman of the </w:t>
      </w:r>
      <w:r>
        <w:rPr>
          <w:rFonts w:ascii="Arial" w:cs="Arial" w:eastAsia="Arial" w:hAnsi="Arial"/>
          <w:sz w:val="18"/>
          <w:szCs w:val="18"/>
          <w:i w:val="1"/>
          <w:iCs w:val="1"/>
          <w:color w:val="auto"/>
        </w:rPr>
        <w:t>Post</w:t>
      </w:r>
      <w:r>
        <w:rPr>
          <w:rFonts w:ascii="Arial" w:cs="Arial" w:eastAsia="Arial" w:hAnsi="Arial"/>
          <w:sz w:val="18"/>
          <w:szCs w:val="18"/>
          <w:color w:val="auto"/>
        </w:rPr>
        <w:t xml:space="preserve"> from September 2000 to February 2008.</w:t>
      </w:r>
    </w:p>
    <w:p>
      <w:pPr>
        <w:spacing w:after="0" w:line="135" w:lineRule="exact"/>
        <w:rPr>
          <w:sz w:val="20"/>
          <w:szCs w:val="20"/>
          <w:color w:val="auto"/>
        </w:rPr>
      </w:pPr>
    </w:p>
    <w:p>
      <w:pPr>
        <w:ind w:right="40"/>
        <w:spacing w:after="0" w:line="227" w:lineRule="auto"/>
        <w:rPr>
          <w:sz w:val="20"/>
          <w:szCs w:val="20"/>
          <w:color w:val="auto"/>
        </w:rPr>
      </w:pPr>
      <w:r>
        <w:rPr>
          <w:rFonts w:ascii="Arial" w:cs="Arial" w:eastAsia="Arial" w:hAnsi="Arial"/>
          <w:sz w:val="18"/>
          <w:szCs w:val="18"/>
          <w:color w:val="333333"/>
        </w:rPr>
        <w:t xml:space="preserve">Timothy J. O’Shaughnessy, age 36, became Chief Executive Officer in November 2015. From November 2014 until November 2015, he served as President of the Company. He was elected to the Board of Directors in November 2014. From 2007 to August 2014, Mr. O’Shaughnessy served as chief executive officer of LivingSocial, an </w:t>
      </w:r>
      <w:r>
        <w:rPr>
          <w:rFonts w:ascii="Arial" w:cs="Arial" w:eastAsia="Arial" w:hAnsi="Arial"/>
          <w:sz w:val="18"/>
          <w:szCs w:val="18"/>
          <w:color w:val="000000"/>
        </w:rPr>
        <w:t>e-commerce and marketing company that</w:t>
      </w:r>
      <w:r>
        <w:rPr>
          <w:rFonts w:ascii="Arial" w:cs="Arial" w:eastAsia="Arial" w:hAnsi="Arial"/>
          <w:sz w:val="18"/>
          <w:szCs w:val="18"/>
          <w:color w:val="333333"/>
        </w:rPr>
        <w:t xml:space="preserve"> he co-founded in 2007. Mr. O’Shaughnessy is the son-in-law of Donald E. Graham, Chairman of the Company.</w:t>
      </w:r>
    </w:p>
    <w:p>
      <w:pPr>
        <w:spacing w:after="0" w:line="135" w:lineRule="exact"/>
        <w:rPr>
          <w:sz w:val="20"/>
          <w:szCs w:val="20"/>
          <w:color w:val="auto"/>
        </w:rPr>
      </w:pPr>
    </w:p>
    <w:p>
      <w:pPr>
        <w:jc w:val="both"/>
        <w:ind w:right="420"/>
        <w:spacing w:after="0" w:line="258" w:lineRule="auto"/>
        <w:rPr>
          <w:sz w:val="20"/>
          <w:szCs w:val="20"/>
          <w:color w:val="auto"/>
        </w:rPr>
      </w:pPr>
      <w:r>
        <w:rPr>
          <w:rFonts w:ascii="Arial" w:cs="Arial" w:eastAsia="Arial" w:hAnsi="Arial"/>
          <w:sz w:val="17"/>
          <w:szCs w:val="17"/>
          <w:color w:val="auto"/>
        </w:rPr>
        <w:t>Wallace R. Cooney, age 55, became Senior Vice President–Finance and Chief Financial Officer of the Company in April 2017. Mr. Cooney served as the Company’s Vice President–Finance and Chief Accounting Officer since 2008. He joined the Company in 2001 as Controller.</w:t>
      </w:r>
    </w:p>
    <w:p>
      <w:pPr>
        <w:spacing w:after="0" w:line="120" w:lineRule="exact"/>
        <w:rPr>
          <w:sz w:val="20"/>
          <w:szCs w:val="20"/>
          <w:color w:val="auto"/>
        </w:rPr>
      </w:pPr>
    </w:p>
    <w:p>
      <w:pPr>
        <w:ind w:right="100"/>
        <w:spacing w:after="0" w:line="229" w:lineRule="auto"/>
        <w:rPr>
          <w:sz w:val="20"/>
          <w:szCs w:val="20"/>
          <w:color w:val="auto"/>
        </w:rPr>
      </w:pPr>
      <w:r>
        <w:rPr>
          <w:rFonts w:ascii="Arial" w:cs="Arial" w:eastAsia="Arial" w:hAnsi="Arial"/>
          <w:sz w:val="18"/>
          <w:szCs w:val="18"/>
          <w:color w:val="auto"/>
        </w:rPr>
        <w:t>Marcel A. Snyman, age 43, became Vice President and Chief Accounting Officer of the Company on January 18, 2018. Mr. Snyman served as Controller of the Company since January 2016, prior to which he served as Assistant Controller beginning in April 2014 and Director of Accounting Policy beginning in July 2008.</w:t>
      </w:r>
    </w:p>
    <w:p>
      <w:pPr>
        <w:spacing w:after="0" w:line="137" w:lineRule="exact"/>
        <w:rPr>
          <w:sz w:val="20"/>
          <w:szCs w:val="20"/>
          <w:color w:val="auto"/>
        </w:rPr>
      </w:pPr>
    </w:p>
    <w:p>
      <w:pPr>
        <w:ind w:right="40"/>
        <w:spacing w:after="0" w:line="229" w:lineRule="auto"/>
        <w:rPr>
          <w:sz w:val="20"/>
          <w:szCs w:val="20"/>
          <w:color w:val="auto"/>
        </w:rPr>
      </w:pPr>
      <w:r>
        <w:rPr>
          <w:rFonts w:ascii="Arial" w:cs="Arial" w:eastAsia="Arial" w:hAnsi="Arial"/>
          <w:sz w:val="18"/>
          <w:szCs w:val="18"/>
          <w:color w:val="auto"/>
        </w:rPr>
        <w:t>Denise Demeter, age 57, became Vice President–Chief Human Resources Officer of the Company in September 2014. Ms. Demeter joined the Company in 1986 and has served in a variety of roles, including Vice President, Human Resources, and Senior Director, Pension &amp; Savings Plans.</w:t>
      </w:r>
    </w:p>
    <w:p>
      <w:pPr>
        <w:spacing w:after="0" w:line="137" w:lineRule="exact"/>
        <w:rPr>
          <w:sz w:val="20"/>
          <w:szCs w:val="20"/>
          <w:color w:val="auto"/>
        </w:rPr>
      </w:pPr>
    </w:p>
    <w:p>
      <w:pPr>
        <w:ind w:right="560"/>
        <w:spacing w:after="0" w:line="229" w:lineRule="auto"/>
        <w:rPr>
          <w:sz w:val="20"/>
          <w:szCs w:val="20"/>
          <w:color w:val="auto"/>
        </w:rPr>
      </w:pPr>
      <w:r>
        <w:rPr>
          <w:rFonts w:ascii="Arial" w:cs="Arial" w:eastAsia="Arial" w:hAnsi="Arial"/>
          <w:sz w:val="18"/>
          <w:szCs w:val="18"/>
          <w:color w:val="auto"/>
        </w:rPr>
        <w:t>Jacob M. Maas, age 41, became Senior Vice President–Planning and Development of the Company in October 2015. Prior to joining the Company, he served as executive vice president of operations and head of corporate development at LivingSocial, an e-commerce and marketing company that he joined as chief financial officer in 2008.</w:t>
      </w:r>
    </w:p>
    <w:p>
      <w:pPr>
        <w:spacing w:after="0" w:line="137" w:lineRule="exact"/>
        <w:rPr>
          <w:sz w:val="20"/>
          <w:szCs w:val="20"/>
          <w:color w:val="auto"/>
        </w:rPr>
      </w:pPr>
    </w:p>
    <w:p>
      <w:pPr>
        <w:ind w:right="100"/>
        <w:spacing w:after="0" w:line="235" w:lineRule="auto"/>
        <w:rPr>
          <w:sz w:val="20"/>
          <w:szCs w:val="20"/>
          <w:color w:val="auto"/>
        </w:rPr>
      </w:pPr>
      <w:r>
        <w:rPr>
          <w:rFonts w:ascii="Arial" w:cs="Arial" w:eastAsia="Arial" w:hAnsi="Arial"/>
          <w:sz w:val="18"/>
          <w:szCs w:val="18"/>
          <w:color w:val="auto"/>
        </w:rPr>
        <w:t>Nicole M. Maddrey, age 53, became Senior Vice President, General Counsel and Secretary of the Company in April 2015. Ms. Maddrey joined the Company in 2007 as Associate General Counsel.</w:t>
      </w:r>
    </w:p>
    <w:p>
      <w:pPr>
        <w:spacing w:after="0" w:line="135" w:lineRule="exact"/>
        <w:rPr>
          <w:sz w:val="20"/>
          <w:szCs w:val="20"/>
          <w:color w:val="auto"/>
        </w:rPr>
      </w:pPr>
    </w:p>
    <w:p>
      <w:pPr>
        <w:spacing w:after="0" w:line="225" w:lineRule="auto"/>
        <w:rPr>
          <w:sz w:val="20"/>
          <w:szCs w:val="20"/>
          <w:color w:val="auto"/>
        </w:rPr>
      </w:pPr>
      <w:r>
        <w:rPr>
          <w:rFonts w:ascii="Arial" w:cs="Arial" w:eastAsia="Arial" w:hAnsi="Arial"/>
          <w:sz w:val="18"/>
          <w:szCs w:val="18"/>
          <w:color w:val="auto"/>
        </w:rPr>
        <w:t xml:space="preserve">Andrew S. Rosen, age 57, became Executive Vice President of the Company in April 2014. He became Chairman of Kaplan, Inc. in November 2008, and served as Chief Executive Officer of Kaplan, Inc. from November 2008 to April 2014 and from August 2015 to the present. Mr. Rosen has spent nearly 32 years at the Company and its affiliates. He joined the Company in 1986 as a staff attorney with the </w:t>
      </w:r>
      <w:r>
        <w:rPr>
          <w:rFonts w:ascii="Arial" w:cs="Arial" w:eastAsia="Arial" w:hAnsi="Arial"/>
          <w:sz w:val="18"/>
          <w:szCs w:val="18"/>
          <w:i w:val="1"/>
          <w:iCs w:val="1"/>
          <w:color w:val="auto"/>
        </w:rPr>
        <w:t>Post</w:t>
      </w:r>
      <w:r>
        <w:rPr>
          <w:rFonts w:ascii="Arial" w:cs="Arial" w:eastAsia="Arial" w:hAnsi="Arial"/>
          <w:sz w:val="18"/>
          <w:szCs w:val="18"/>
          <w:color w:val="auto"/>
        </w:rPr>
        <w:t xml:space="preserve"> and later served as assistant counsel at Newsweek. He moved to Kaplan in 1992 and held numerous leadership positions there before being named Chairman and Chief Executive Officer of Kaplan, Inc.</w:t>
      </w:r>
    </w:p>
    <w:p>
      <w:pPr>
        <w:spacing w:after="0" w:line="115" w:lineRule="exact"/>
        <w:rPr>
          <w:sz w:val="20"/>
          <w:szCs w:val="20"/>
          <w:color w:val="auto"/>
        </w:rPr>
      </w:pPr>
    </w:p>
    <w:p>
      <w:pPr>
        <w:ind w:left="5240"/>
        <w:spacing w:after="0"/>
        <w:rPr>
          <w:sz w:val="20"/>
          <w:szCs w:val="20"/>
          <w:color w:val="auto"/>
        </w:rPr>
      </w:pPr>
      <w:r>
        <w:rPr>
          <w:rFonts w:ascii="Arial" w:cs="Arial" w:eastAsia="Arial" w:hAnsi="Arial"/>
          <w:sz w:val="18"/>
          <w:szCs w:val="18"/>
          <w:b w:val="1"/>
          <w:bCs w:val="1"/>
          <w:color w:val="auto"/>
        </w:rPr>
        <w:t>Employees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color w:val="auto"/>
        </w:rPr>
        <w:t>The Company and its subsidiaries employ approximately 11,900 people on a full-time basis.</w:t>
      </w:r>
    </w:p>
    <w:p>
      <w:pPr>
        <w:spacing w:after="0" w:line="144" w:lineRule="exact"/>
        <w:rPr>
          <w:sz w:val="20"/>
          <w:szCs w:val="20"/>
          <w:color w:val="auto"/>
        </w:rPr>
      </w:pPr>
    </w:p>
    <w:p>
      <w:pPr>
        <w:ind w:right="20"/>
        <w:spacing w:after="0" w:line="227" w:lineRule="auto"/>
        <w:rPr>
          <w:sz w:val="20"/>
          <w:szCs w:val="20"/>
          <w:color w:val="auto"/>
        </w:rPr>
      </w:pPr>
      <w:r>
        <w:rPr>
          <w:rFonts w:ascii="Arial" w:cs="Arial" w:eastAsia="Arial" w:hAnsi="Arial"/>
          <w:sz w:val="18"/>
          <w:szCs w:val="18"/>
          <w:color w:val="auto"/>
        </w:rPr>
        <w:t>Worldwide, Kaplan employs approximately 6,682 people on a full-time basis. Kaplan also employs substantial numbers of part-time employees who serve in instructional and administrative capacities. Kaplan’s part-time workforce is approximately 8,563 employees. Collectively, in the U.S., U.K. and Canada, approximately 100 Kaplan employees are represented by a union. Kaplan believes there are represented employees in Australia where union membership is not recorded.</w:t>
      </w:r>
    </w:p>
    <w:p>
      <w:pPr>
        <w:spacing w:after="0" w:line="135" w:lineRule="exact"/>
        <w:rPr>
          <w:sz w:val="20"/>
          <w:szCs w:val="20"/>
          <w:color w:val="auto"/>
        </w:rPr>
      </w:pPr>
    </w:p>
    <w:p>
      <w:pPr>
        <w:jc w:val="both"/>
        <w:ind w:right="140"/>
        <w:spacing w:after="0" w:line="235" w:lineRule="auto"/>
        <w:rPr>
          <w:sz w:val="20"/>
          <w:szCs w:val="20"/>
          <w:color w:val="auto"/>
        </w:rPr>
      </w:pPr>
      <w:r>
        <w:rPr>
          <w:rFonts w:ascii="Arial" w:cs="Arial" w:eastAsia="Arial" w:hAnsi="Arial"/>
          <w:sz w:val="18"/>
          <w:szCs w:val="18"/>
          <w:color w:val="auto"/>
        </w:rPr>
        <w:t>GMG has approximately 973 full-time employees, of whom about 104 are represented by a union. Of the six collective-bargaining agreements covering union-represented employees, one has expired and is being renegotiated. Two collective-bargaining agreements will expire in 2018.</w:t>
      </w:r>
    </w:p>
    <w:p>
      <w:pPr>
        <w:spacing w:after="0" w:line="135" w:lineRule="exact"/>
        <w:rPr>
          <w:sz w:val="20"/>
          <w:szCs w:val="20"/>
          <w:color w:val="auto"/>
        </w:rPr>
      </w:pPr>
    </w:p>
    <w:p>
      <w:pPr>
        <w:ind w:right="180"/>
        <w:spacing w:after="0" w:line="227" w:lineRule="auto"/>
        <w:rPr>
          <w:sz w:val="20"/>
          <w:szCs w:val="20"/>
          <w:color w:val="auto"/>
        </w:rPr>
      </w:pPr>
      <w:r>
        <w:rPr>
          <w:rFonts w:ascii="Arial" w:cs="Arial" w:eastAsia="Arial" w:hAnsi="Arial"/>
          <w:sz w:val="18"/>
          <w:szCs w:val="18"/>
          <w:color w:val="auto"/>
        </w:rPr>
        <w:t>The Slate Group has approximately 185 full-time employees, of which Slate has approximately 128 full-time employees and Panoply has approximately 57 full-time employees. In January 2018, employees of Slate voted to elect the Writers Guild of America East (WGAE) to serve as their representative. As a result, 53 eligible Slate editorial employees are represented by the WGAE for purposes of collective bargaining. None of Panoply’s employees are represented by a union.</w:t>
      </w:r>
    </w:p>
    <w:p>
      <w:pPr>
        <w:spacing w:after="0" w:line="135" w:lineRule="exact"/>
        <w:rPr>
          <w:sz w:val="20"/>
          <w:szCs w:val="20"/>
          <w:color w:val="auto"/>
        </w:rPr>
      </w:pPr>
    </w:p>
    <w:p>
      <w:pPr>
        <w:spacing w:after="0"/>
        <w:rPr>
          <w:sz w:val="20"/>
          <w:szCs w:val="20"/>
          <w:color w:val="auto"/>
        </w:rPr>
      </w:pPr>
      <w:r>
        <w:rPr>
          <w:rFonts w:ascii="Arial" w:cs="Arial" w:eastAsia="Arial" w:hAnsi="Arial"/>
          <w:sz w:val="18"/>
          <w:szCs w:val="18"/>
          <w:color w:val="auto"/>
        </w:rPr>
        <w:t>GHG has approximately 1,497 full-time employees. None of these employees is represented by a union.</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color w:val="auto"/>
        </w:rPr>
        <w:t>Forney has approximately 134 full-time employees, of whom 55 are represented by a union.</w:t>
      </w:r>
    </w:p>
    <w:p>
      <w:pPr>
        <w:spacing w:after="0" w:line="200" w:lineRule="exact"/>
        <w:rPr>
          <w:sz w:val="20"/>
          <w:szCs w:val="20"/>
          <w:color w:val="auto"/>
        </w:rPr>
      </w:pPr>
    </w:p>
    <w:p>
      <w:pPr>
        <w:spacing w:after="0" w:line="30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420"/>
          </w:cols>
          <w:pgMar w:left="240" w:top="724" w:right="239" w:bottom="1440" w:gutter="0" w:footer="0" w:header="0"/>
        </w:sectPr>
      </w:pPr>
    </w:p>
    <w:bookmarkStart w:id="23" w:name="page24"/>
    <w:bookmarkEnd w:id="23"/>
    <w:p>
      <w:pPr>
        <w:spacing w:after="0"/>
        <w:rPr>
          <w:sz w:val="20"/>
          <w:szCs w:val="20"/>
          <w:color w:val="auto"/>
        </w:rPr>
      </w:pPr>
      <w:r>
        <w:rPr>
          <w:rFonts w:ascii="Arial" w:cs="Arial" w:eastAsia="Arial" w:hAnsi="Arial"/>
          <w:sz w:val="18"/>
          <w:szCs w:val="18"/>
          <w:color w:val="auto"/>
        </w:rPr>
        <w:t>Joyce/Dayton has approximately 147 full-time employees, none of whom is represented by a union.</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color w:val="auto"/>
        </w:rPr>
        <w:t>SocialCode has approximately 315 full-time employees, none of whom is represented by a union.</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color w:val="auto"/>
        </w:rPr>
        <w:t>Dekko has approximately 1,479 full-time employees, none of whom is represented by a union.</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color w:val="auto"/>
        </w:rPr>
        <w:t>Hoover has approximately 339 full-time employees, of whom 39 are represented by a union.</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color w:val="auto"/>
        </w:rPr>
        <w:t>The FP Group and CyberVista each employ fewer than 50 people. Approximately 10 FP Group employees are represented by a union.</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color w:val="auto"/>
        </w:rPr>
        <w:t>The parent Company has approximately 70 full-time employees, none of whom is represented by a union.</w:t>
      </w:r>
    </w:p>
    <w:p>
      <w:pPr>
        <w:spacing w:after="0" w:line="122" w:lineRule="exact"/>
        <w:rPr>
          <w:sz w:val="20"/>
          <w:szCs w:val="20"/>
          <w:color w:val="auto"/>
        </w:rPr>
      </w:pPr>
    </w:p>
    <w:p>
      <w:pPr>
        <w:ind w:left="4460"/>
        <w:spacing w:after="0"/>
        <w:rPr>
          <w:sz w:val="20"/>
          <w:szCs w:val="20"/>
          <w:color w:val="auto"/>
        </w:rPr>
      </w:pPr>
      <w:r>
        <w:rPr>
          <w:rFonts w:ascii="Arial" w:cs="Arial" w:eastAsia="Arial" w:hAnsi="Arial"/>
          <w:sz w:val="18"/>
          <w:szCs w:val="18"/>
          <w:b w:val="1"/>
          <w:bCs w:val="1"/>
          <w:color w:val="auto"/>
        </w:rPr>
        <w:t>Forward-Looking Statements</w:t>
      </w:r>
    </w:p>
    <w:p>
      <w:pPr>
        <w:spacing w:after="0" w:line="166" w:lineRule="exact"/>
        <w:rPr>
          <w:sz w:val="20"/>
          <w:szCs w:val="20"/>
          <w:color w:val="auto"/>
        </w:rPr>
      </w:pPr>
    </w:p>
    <w:p>
      <w:pPr>
        <w:spacing w:after="0" w:line="222" w:lineRule="auto"/>
        <w:rPr>
          <w:sz w:val="20"/>
          <w:szCs w:val="20"/>
          <w:color w:val="auto"/>
        </w:rPr>
      </w:pPr>
      <w:r>
        <w:rPr>
          <w:rFonts w:ascii="Arial" w:cs="Arial" w:eastAsia="Arial" w:hAnsi="Arial"/>
          <w:sz w:val="18"/>
          <w:szCs w:val="18"/>
          <w:color w:val="auto"/>
        </w:rPr>
        <w:t>All public statements made by the Company and its representatives that are not statements of historical fact, including certain statements in this Annual Report on Form 10-K and elsewhere in the Company’s 2017 Annual Report to Stockholders, are “forward-looking statements” within the meaning of the Private Securities Litigation Reform Act of 1995. Forward-looking statements include comments about the Company’s business strategies and objectives, the prospects for growth in the Company’s various business operations and the Company’s future financial performance. As with any projection or forecast, forward-looking statements are subject to various risks and uncertainties, including the risks and uncertainties described in Item 1A of this Annual Report on Form 10-K, that could cause actual results or events to differ materially from those anticipated in such statements. Accordingly, undue reliance should not be placed on any forward-looking statement made by or on behalf of the Company. The Company assumes no obligation to update any forward-looking statement after the date on which such statement is made, even if new information subsequently becomes available.</w:t>
      </w:r>
    </w:p>
    <w:p>
      <w:pPr>
        <w:spacing w:after="0" w:line="11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Available Information</w:t>
      </w:r>
    </w:p>
    <w:p>
      <w:pPr>
        <w:spacing w:after="0" w:line="166" w:lineRule="exact"/>
        <w:rPr>
          <w:sz w:val="20"/>
          <w:szCs w:val="20"/>
          <w:color w:val="auto"/>
        </w:rPr>
      </w:pPr>
    </w:p>
    <w:p>
      <w:pPr>
        <w:ind w:right="40"/>
        <w:spacing w:after="0" w:line="222" w:lineRule="auto"/>
        <w:rPr>
          <w:sz w:val="20"/>
          <w:szCs w:val="20"/>
          <w:color w:val="auto"/>
        </w:rPr>
      </w:pPr>
      <w:r>
        <w:rPr>
          <w:rFonts w:ascii="Arial" w:cs="Arial" w:eastAsia="Arial" w:hAnsi="Arial"/>
          <w:sz w:val="18"/>
          <w:szCs w:val="18"/>
          <w:color w:val="auto"/>
        </w:rPr>
        <w:t>The Company’s Internet address is www.ghco.com. The Company makes available free of charge through its website its Annual Report on Form 10-K, quarterly reports on Form 10-Q, current reports on Form 8-K, definitive proxy statements on Schedule 14A and amendments to those reports filed or furnished pursuant to Section 13(a) or 15(d) of the Securities Exchange Act of 1934 (Exchange Act) as soon as reasonably practicable after such documents are electronically filed with the Securities and Exchange Commission (SEC). In addition, the Company’s Certificate of Incorporation, its Corporate Governance Guidelines, the Charters of the Audit and Compensation Committees of the Company’s Board of Directors and the codes of conduct adopted by the Company and referred to in Item 10 of this Annual Report on Form 10-K are all available on the Company’s website; printed copies of such documents may be obtained by any stockholder upon written request to the Secretary, Graham Holdings Company at 1300 North 17th Street, Arlington, VA 22209. The contents of the Company’s website are not incorporated by reference into this Form 10-K and shall not be deemed “filed” under the Exchange Act.</w:t>
      </w:r>
    </w:p>
    <w:p>
      <w:pPr>
        <w:spacing w:after="0" w:line="141" w:lineRule="exact"/>
        <w:rPr>
          <w:sz w:val="20"/>
          <w:szCs w:val="20"/>
          <w:color w:val="auto"/>
        </w:rPr>
      </w:pPr>
    </w:p>
    <w:p>
      <w:pPr>
        <w:ind w:right="60"/>
        <w:spacing w:after="0" w:line="227" w:lineRule="auto"/>
        <w:rPr>
          <w:sz w:val="20"/>
          <w:szCs w:val="20"/>
          <w:color w:val="auto"/>
        </w:rPr>
      </w:pPr>
      <w:r>
        <w:rPr>
          <w:rFonts w:ascii="Arial" w:cs="Arial" w:eastAsia="Arial" w:hAnsi="Arial"/>
          <w:sz w:val="18"/>
          <w:szCs w:val="18"/>
          <w:color w:val="auto"/>
        </w:rPr>
        <w:t>The SEC website, www.sec.gov, contains the reports, proxy statements and information statements and other information regarding issuers that file electronically with the SEC. Also, the public may read and copy any materials that the Company files with the SEC at the SEC’s Public Reference Room at 100 F Street, NE, Washington, DC 20549. Information on the operation of the Public Reference Room may be obtained by calling the SEC at 1-800-SEC-0330.</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166" w:lineRule="exact"/>
        <w:rPr>
          <w:sz w:val="20"/>
          <w:szCs w:val="20"/>
          <w:color w:val="auto"/>
        </w:rPr>
      </w:pPr>
    </w:p>
    <w:p>
      <w:pPr>
        <w:ind w:right="140"/>
        <w:spacing w:after="0" w:line="238" w:lineRule="auto"/>
        <w:rPr>
          <w:sz w:val="20"/>
          <w:szCs w:val="20"/>
          <w:color w:val="auto"/>
        </w:rPr>
      </w:pPr>
      <w:r>
        <w:rPr>
          <w:rFonts w:ascii="Arial" w:cs="Arial" w:eastAsia="Arial" w:hAnsi="Arial"/>
          <w:sz w:val="17"/>
          <w:szCs w:val="17"/>
          <w:color w:val="auto"/>
        </w:rPr>
        <w:t>The Company faces a number of significant risks and uncertainties in connection with its operations. The most significant of these are described below. These risks and uncertainties may not be the only ones facing the Company. Additional risks and uncertainties not presently known, or currently deemed immaterial, may adversely affect the Company in the future. In addition to the other information included in this Annual Report on Form 10-K, investors should carefully consider the following risk factors. If any of the events or developments described below occurs, it could have a material adverse effect on the Company’s business, financial condition or results of operations.</w:t>
      </w:r>
    </w:p>
    <w:p>
      <w:pPr>
        <w:spacing w:after="0" w:line="116" w:lineRule="exact"/>
        <w:rPr>
          <w:sz w:val="20"/>
          <w:szCs w:val="20"/>
          <w:color w:val="auto"/>
        </w:rPr>
      </w:pPr>
    </w:p>
    <w:p>
      <w:pPr>
        <w:ind w:left="260" w:hanging="252"/>
        <w:spacing w:after="0" w:line="238" w:lineRule="auto"/>
        <w:tabs>
          <w:tab w:leader="none" w:pos="260" w:val="left"/>
        </w:tabs>
        <w:numPr>
          <w:ilvl w:val="0"/>
          <w:numId w:val="5"/>
        </w:numPr>
        <w:rPr>
          <w:rFonts w:ascii="Arial" w:cs="Arial" w:eastAsia="Arial" w:hAnsi="Arial"/>
          <w:sz w:val="18"/>
          <w:szCs w:val="18"/>
          <w:b w:val="1"/>
          <w:bCs w:val="1"/>
          <w:color w:val="auto"/>
        </w:rPr>
      </w:pPr>
      <w:r>
        <w:rPr>
          <w:rFonts w:ascii="Arial" w:cs="Arial" w:eastAsia="Arial" w:hAnsi="Arial"/>
          <w:sz w:val="18"/>
          <w:szCs w:val="18"/>
          <w:b w:val="1"/>
          <w:bCs w:val="1"/>
          <w:color w:val="auto"/>
        </w:rPr>
        <w:t>The Proposed Transfer of Kaplan University Is Subject to Receipt of Regulatory Approvals That If Not Obtained, Could Delay or Prevent Consummation of the Proposed Transaction and Could Disrupt the Business of Kaplan University During the Pendency of the Transaction</w:t>
      </w:r>
    </w:p>
    <w:p>
      <w:pPr>
        <w:spacing w:after="0" w:line="136" w:lineRule="exact"/>
        <w:rPr>
          <w:sz w:val="20"/>
          <w:szCs w:val="20"/>
          <w:color w:val="auto"/>
        </w:rPr>
      </w:pPr>
    </w:p>
    <w:p>
      <w:pPr>
        <w:ind w:right="140"/>
        <w:spacing w:after="0" w:line="227" w:lineRule="auto"/>
        <w:rPr>
          <w:sz w:val="20"/>
          <w:szCs w:val="20"/>
          <w:color w:val="auto"/>
        </w:rPr>
      </w:pPr>
      <w:r>
        <w:rPr>
          <w:rFonts w:ascii="Arial" w:cs="Arial" w:eastAsia="Arial" w:hAnsi="Arial"/>
          <w:sz w:val="18"/>
          <w:szCs w:val="18"/>
          <w:color w:val="auto"/>
        </w:rPr>
        <w:t>On April 27, 2017, certain Kaplan subsidiaries entered into a Contribution and Transfer Agreement (Transfer Agreement) to contribute the institutional assets and operations of KU to a new, non-profit, public-benefit corporation affiliated with Purdue University (Purdue) in exchange for a Transition and Operations Support Agreement (TOSA), whereby Kaplan will provide key non-academic operations support to the new university. The proposed transfer of KU is subject to various closing conditions, including, among others, regulatory approvals from</w:t>
      </w:r>
    </w:p>
    <w:p>
      <w:pPr>
        <w:spacing w:after="0" w:line="200" w:lineRule="exact"/>
        <w:rPr>
          <w:sz w:val="20"/>
          <w:szCs w:val="20"/>
          <w:color w:val="auto"/>
        </w:rPr>
      </w:pPr>
    </w:p>
    <w:p>
      <w:pPr>
        <w:spacing w:after="0" w:line="30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400"/>
          </w:cols>
          <w:pgMar w:left="240" w:top="746" w:right="259" w:bottom="1440" w:gutter="0" w:footer="0" w:header="0"/>
        </w:sectPr>
      </w:pPr>
    </w:p>
    <w:bookmarkStart w:id="24" w:name="page25"/>
    <w:bookmarkEnd w:id="24"/>
    <w:p>
      <w:pPr>
        <w:ind w:right="80"/>
        <w:spacing w:after="0" w:line="224" w:lineRule="auto"/>
        <w:rPr>
          <w:sz w:val="20"/>
          <w:szCs w:val="20"/>
          <w:color w:val="auto"/>
        </w:rPr>
      </w:pPr>
      <w:r>
        <w:rPr>
          <w:rFonts w:ascii="Arial" w:cs="Arial" w:eastAsia="Arial" w:hAnsi="Arial"/>
          <w:sz w:val="18"/>
          <w:szCs w:val="18"/>
          <w:color w:val="auto"/>
        </w:rPr>
        <w:t>the ED, the Indiana Commission for Higher Education (ICHE) and HLC, which is the regional accreditor of both Purdue and KU, as well as certain other state educational agencies and accreditors of programs. ICHE approved the transaction on August 10, 2017, and confirmed that the new university will be considered by the state of Indiana to be a public postsecondary institution. HLC has indicated that it will review the application at its board meeting in late February 2018 after a full staff review. The parties also submitted a pre-acquisition application to the ED seeking approval for the change of control of KU. On September 13, 2017, the ED responded to the pre-acquisition application stating that as of such date it did not see any impediment to approval of the transaction subject to certain conditions on which its ultimate approval relies.</w:t>
      </w:r>
    </w:p>
    <w:p>
      <w:pPr>
        <w:spacing w:after="0" w:line="137" w:lineRule="exact"/>
        <w:rPr>
          <w:sz w:val="20"/>
          <w:szCs w:val="20"/>
          <w:color w:val="auto"/>
        </w:rPr>
      </w:pPr>
    </w:p>
    <w:p>
      <w:pPr>
        <w:ind w:right="20"/>
        <w:spacing w:after="0" w:line="221" w:lineRule="auto"/>
        <w:rPr>
          <w:sz w:val="20"/>
          <w:szCs w:val="20"/>
          <w:color w:val="auto"/>
        </w:rPr>
      </w:pPr>
      <w:r>
        <w:rPr>
          <w:rFonts w:ascii="Arial" w:cs="Arial" w:eastAsia="Arial" w:hAnsi="Arial"/>
          <w:sz w:val="18"/>
          <w:szCs w:val="18"/>
          <w:color w:val="auto"/>
        </w:rPr>
        <w:t>There can be no assurances that these regulatory approvals will be obtained on the currently contemplated timeline or at all. In addition, as a condition to granting these regulatory approvals, a regulatory authority may require changes to the agreement pursuant to which Kaplan will provide post-closing support services, and these changes may negatively impact Kaplan’s financial condition and results of operations. A material delay in obtaining such approvals may create uncertainty or otherwise have negative consequences, including adverse changes in our relationships with our students, vendors and faculty; adverse impacts on employee recruiting and retention efforts; and diversion of management’s attention and internal resources from ongoing business, any of which may materially and adversely affect our financial condition and results of operations. In addition, during the pendency of the transaction, Kaplan will be required to operate its business in the ordinary course of business consistent with past practice and will be restricted from taking certain actions with respect to its business. We cannot predict with certainty whether and when any of the required closing conditions will be satisfied. Whether or not the proposed transfer to Purdue is consummated, while it is pending, Kaplan will continue to incur costs, fees, expenses and charges related to the proposed transfer of KU. Moreover, if the proposed transfer of KU is consummated, Kaplan may not be able to achieve the expected benefits of the proposed transaction and may be required to advance amounts to the new university, including any priority payment to the new university during the first five years following closing.</w:t>
      </w:r>
    </w:p>
    <w:p>
      <w:pPr>
        <w:spacing w:after="0" w:line="120" w:lineRule="exact"/>
        <w:rPr>
          <w:sz w:val="20"/>
          <w:szCs w:val="20"/>
          <w:color w:val="auto"/>
        </w:rPr>
      </w:pPr>
    </w:p>
    <w:p>
      <w:pPr>
        <w:ind w:left="260" w:right="260" w:hanging="252"/>
        <w:spacing w:after="0" w:line="256" w:lineRule="auto"/>
        <w:tabs>
          <w:tab w:leader="none" w:pos="260" w:val="left"/>
        </w:tabs>
        <w:numPr>
          <w:ilvl w:val="0"/>
          <w:numId w:val="6"/>
        </w:numPr>
        <w:rPr>
          <w:rFonts w:ascii="Arial" w:cs="Arial" w:eastAsia="Arial" w:hAnsi="Arial"/>
          <w:sz w:val="18"/>
          <w:szCs w:val="18"/>
          <w:b w:val="1"/>
          <w:bCs w:val="1"/>
          <w:color w:val="auto"/>
        </w:rPr>
      </w:pPr>
      <w:r>
        <w:rPr>
          <w:rFonts w:ascii="Arial" w:cs="Arial" w:eastAsia="Arial" w:hAnsi="Arial"/>
          <w:sz w:val="18"/>
          <w:szCs w:val="18"/>
          <w:b w:val="1"/>
          <w:bCs w:val="1"/>
          <w:color w:val="auto"/>
        </w:rPr>
        <w:t>If the Proposed Transfer of Kaplan University Is Consummated, Kaplan Would Face Risks as a Third-Party Service Provider to a New University</w:t>
      </w:r>
    </w:p>
    <w:p>
      <w:pPr>
        <w:spacing w:after="0" w:line="121" w:lineRule="exact"/>
        <w:rPr>
          <w:sz w:val="20"/>
          <w:szCs w:val="20"/>
          <w:color w:val="auto"/>
        </w:rPr>
      </w:pPr>
    </w:p>
    <w:p>
      <w:pPr>
        <w:spacing w:after="0" w:line="222" w:lineRule="auto"/>
        <w:rPr>
          <w:sz w:val="20"/>
          <w:szCs w:val="20"/>
          <w:color w:val="auto"/>
        </w:rPr>
      </w:pPr>
      <w:r>
        <w:rPr>
          <w:rFonts w:ascii="Arial" w:cs="Arial" w:eastAsia="Arial" w:hAnsi="Arial"/>
          <w:sz w:val="18"/>
          <w:szCs w:val="18"/>
          <w:color w:val="auto"/>
        </w:rPr>
        <w:t>If the proposed transfer of KU occurs and Kaplan acts as a third-party servicer to a new university, Kaplan will face risks associated with the operation of the new university, including adverse effects on Kaplan’s business and operations from a reduction or loss in Kaplan’s revenues under its service agreement if the new university loses or has limits placed on its Title IV eligibility, accreditation or state licensure or the new university is subject to fines, repayment obligations or other adverse actions due to non-compliance by the new university or Kaplan with Title IV, accreditor, or state agency requirements; the imposition on Kaplan of fines or repayment obligations to the ED or the termination or limitation on Kaplan’s eligibility to provide services to the new university if Kaplan fails to comply with statutory or regulatory requirements applicable to service providers; liability under the service agreement for non-compliance with federal, state or accreditation requirements arising from conduct by Kaplan; and liability for non-compliance with Title IV or other federal or state requirements occurring prior to the closing of the proposed transfer. In addition, Kaplan will face risks related to its business and operations in the event of weak student enrollment and other factors.</w:t>
      </w:r>
    </w:p>
    <w:p>
      <w:pPr>
        <w:spacing w:after="0" w:line="138" w:lineRule="exact"/>
        <w:rPr>
          <w:sz w:val="20"/>
          <w:szCs w:val="20"/>
          <w:color w:val="auto"/>
        </w:rPr>
      </w:pPr>
    </w:p>
    <w:p>
      <w:pPr>
        <w:ind w:right="20"/>
        <w:spacing w:after="0" w:line="235" w:lineRule="auto"/>
        <w:rPr>
          <w:sz w:val="20"/>
          <w:szCs w:val="20"/>
          <w:color w:val="auto"/>
        </w:rPr>
      </w:pPr>
      <w:r>
        <w:rPr>
          <w:rFonts w:ascii="Arial" w:cs="Arial" w:eastAsia="Arial" w:hAnsi="Arial"/>
          <w:sz w:val="18"/>
          <w:szCs w:val="18"/>
          <w:color w:val="auto"/>
        </w:rPr>
        <w:t>If the proposed transfer of KU does not occur, Kaplan will continue to face risks associated with the operations of KU. These risks include those risks noted below.</w:t>
      </w:r>
    </w:p>
    <w:p>
      <w:pPr>
        <w:spacing w:after="0" w:line="113" w:lineRule="exact"/>
        <w:rPr>
          <w:sz w:val="20"/>
          <w:szCs w:val="20"/>
          <w:color w:val="auto"/>
        </w:rPr>
      </w:pPr>
    </w:p>
    <w:p>
      <w:pPr>
        <w:ind w:left="260" w:right="40" w:hanging="252"/>
        <w:spacing w:after="0" w:line="256" w:lineRule="auto"/>
        <w:tabs>
          <w:tab w:leader="none" w:pos="260" w:val="left"/>
        </w:tabs>
        <w:numPr>
          <w:ilvl w:val="0"/>
          <w:numId w:val="7"/>
        </w:numPr>
        <w:rPr>
          <w:rFonts w:ascii="Arial" w:cs="Arial" w:eastAsia="Arial" w:hAnsi="Arial"/>
          <w:sz w:val="18"/>
          <w:szCs w:val="18"/>
          <w:b w:val="1"/>
          <w:bCs w:val="1"/>
          <w:color w:val="auto"/>
        </w:rPr>
      </w:pPr>
      <w:r>
        <w:rPr>
          <w:rFonts w:ascii="Arial" w:cs="Arial" w:eastAsia="Arial" w:hAnsi="Arial"/>
          <w:sz w:val="18"/>
          <w:szCs w:val="18"/>
          <w:b w:val="1"/>
          <w:bCs w:val="1"/>
          <w:color w:val="auto"/>
        </w:rPr>
        <w:t>Failure to Comply With Statutory and Regulatory Requirements Could Result in Loss of Access to U.S. Federal Student Loans and Grants Under Title IV, a Requirement to Pay Fines or Monetary Liabilities or Other Sanctions</w:t>
      </w:r>
    </w:p>
    <w:p>
      <w:pPr>
        <w:spacing w:after="0" w:line="121" w:lineRule="exact"/>
        <w:rPr>
          <w:sz w:val="20"/>
          <w:szCs w:val="20"/>
          <w:color w:val="auto"/>
        </w:rPr>
      </w:pPr>
    </w:p>
    <w:p>
      <w:pPr>
        <w:ind w:right="40"/>
        <w:spacing w:after="0" w:line="221" w:lineRule="auto"/>
        <w:rPr>
          <w:sz w:val="20"/>
          <w:szCs w:val="20"/>
          <w:color w:val="auto"/>
        </w:rPr>
      </w:pPr>
      <w:r>
        <w:rPr>
          <w:rFonts w:ascii="Arial" w:cs="Arial" w:eastAsia="Arial" w:hAnsi="Arial"/>
          <w:sz w:val="18"/>
          <w:szCs w:val="18"/>
          <w:color w:val="auto"/>
        </w:rPr>
        <w:t>To maintain Title IV eligibility, KU must comply with the extensive statutory and regulatory requirements of the Higher Education Act and other laws and accrediting standards relating to its financial aid management, educational programs, financial strength, facilities, recruiting practices, representations made by the school and various other matters. Failure to comply with these requirements could result in the loss or limitation of the eligibility of KU to participate in Title IV programs; a requirement to pay fines or to repay Title IV program funds; a denial or refusal by the ED to consider a school’s application for renewal of its certification to participate in the Title IV programs or for approval to add a new campus or educational program; a requirement to submit a letter of credit; the placement of the institution on the heightened cash-monitoring or reimbursement method of payment; the placement of the institution on provisional certification; the imposition of civil or criminal penalties; or other sanctions. On December 17, 2015, KU received notice from the ED that it had been placed on provisional certification status until September 30, 2018. During the period of provisional certification, KU must obtain prior ED approval to open a new location, add an educational program, acquire another school or make any other significant change. Provisional certification status carries fewer due process protections than full certification. As a result, the ED may withdraw an institution’s provisional certification more easily than if it is fully certified. Provisional certification does not otherwise limit access to Title IV program funds by students attending the institution.</w:t>
      </w:r>
    </w:p>
    <w:p>
      <w:pPr>
        <w:spacing w:after="0" w:line="200" w:lineRule="exact"/>
        <w:rPr>
          <w:sz w:val="20"/>
          <w:szCs w:val="20"/>
          <w:color w:val="auto"/>
        </w:rPr>
      </w:pPr>
    </w:p>
    <w:p>
      <w:pPr>
        <w:spacing w:after="0" w:line="30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420"/>
          </w:cols>
          <w:pgMar w:left="240" w:top="746" w:right="239" w:bottom="1440" w:gutter="0" w:footer="0" w:header="0"/>
        </w:sectPr>
      </w:pPr>
    </w:p>
    <w:bookmarkStart w:id="25" w:name="page26"/>
    <w:bookmarkEnd w:id="25"/>
    <w:p>
      <w:pPr>
        <w:spacing w:after="0" w:line="229" w:lineRule="auto"/>
        <w:rPr>
          <w:sz w:val="20"/>
          <w:szCs w:val="20"/>
          <w:color w:val="auto"/>
        </w:rPr>
      </w:pPr>
      <w:r>
        <w:rPr>
          <w:rFonts w:ascii="Arial" w:cs="Arial" w:eastAsia="Arial" w:hAnsi="Arial"/>
          <w:sz w:val="18"/>
          <w:szCs w:val="18"/>
          <w:color w:val="auto"/>
        </w:rPr>
        <w:t>No assurance can be given that KU programs currently participating in Title IV programs will maintain their Title IV eligibility, accreditation and state authorization in the future or that the ED might not successfully assert that one or more of such programs have previously failed to comply with Title IV requirements. The loss of Title IV eligibility by KU would have a material adverse effect on Kaplan’s operating results.</w:t>
      </w:r>
    </w:p>
    <w:p>
      <w:pPr>
        <w:spacing w:after="0" w:line="137" w:lineRule="exact"/>
        <w:rPr>
          <w:sz w:val="20"/>
          <w:szCs w:val="20"/>
          <w:color w:val="auto"/>
        </w:rPr>
      </w:pPr>
    </w:p>
    <w:p>
      <w:pPr>
        <w:spacing w:after="0" w:line="235" w:lineRule="auto"/>
        <w:rPr>
          <w:sz w:val="20"/>
          <w:szCs w:val="20"/>
          <w:color w:val="auto"/>
        </w:rPr>
      </w:pPr>
      <w:r>
        <w:rPr>
          <w:rFonts w:ascii="Arial" w:cs="Arial" w:eastAsia="Arial" w:hAnsi="Arial"/>
          <w:sz w:val="18"/>
          <w:szCs w:val="18"/>
          <w:color w:val="auto"/>
        </w:rPr>
        <w:t>If the transfer of KU is consummated, Kaplan would no longer own or operate KU and would no longer participate in the Title IV programs as an institution. However, Kaplan would face the risks discussed above in connection with providing services to the new university.</w:t>
      </w:r>
    </w:p>
    <w:p>
      <w:pPr>
        <w:spacing w:after="0" w:line="113" w:lineRule="exact"/>
        <w:rPr>
          <w:sz w:val="20"/>
          <w:szCs w:val="20"/>
          <w:color w:val="auto"/>
        </w:rPr>
      </w:pPr>
    </w:p>
    <w:p>
      <w:pPr>
        <w:ind w:left="260" w:right="200" w:hanging="252"/>
        <w:spacing w:after="0"/>
        <w:tabs>
          <w:tab w:leader="none" w:pos="260" w:val="left"/>
        </w:tabs>
        <w:numPr>
          <w:ilvl w:val="0"/>
          <w:numId w:val="8"/>
        </w:numPr>
        <w:rPr>
          <w:rFonts w:ascii="Arial" w:cs="Arial" w:eastAsia="Arial" w:hAnsi="Arial"/>
          <w:sz w:val="18"/>
          <w:szCs w:val="18"/>
          <w:b w:val="1"/>
          <w:bCs w:val="1"/>
          <w:color w:val="auto"/>
        </w:rPr>
      </w:pPr>
      <w:r>
        <w:rPr>
          <w:rFonts w:ascii="Arial" w:cs="Arial" w:eastAsia="Arial" w:hAnsi="Arial"/>
          <w:sz w:val="18"/>
          <w:szCs w:val="18"/>
          <w:b w:val="1"/>
          <w:bCs w:val="1"/>
          <w:color w:val="auto"/>
        </w:rPr>
        <w:t>Program Reviews, Audits, Investigations and Other Reviews of KHE Schools Could Result in Findings of Failure to Comply With Statutory and Regulatory Requirements</w:t>
      </w:r>
    </w:p>
    <w:p>
      <w:pPr>
        <w:spacing w:after="0" w:line="67" w:lineRule="exact"/>
        <w:rPr>
          <w:sz w:val="20"/>
          <w:szCs w:val="20"/>
          <w:color w:val="auto"/>
        </w:rPr>
      </w:pPr>
    </w:p>
    <w:p>
      <w:pPr>
        <w:ind w:right="80"/>
        <w:spacing w:after="0" w:line="222" w:lineRule="auto"/>
        <w:rPr>
          <w:sz w:val="20"/>
          <w:szCs w:val="20"/>
          <w:color w:val="auto"/>
        </w:rPr>
      </w:pPr>
      <w:r>
        <w:rPr>
          <w:rFonts w:ascii="Arial" w:cs="Arial" w:eastAsia="Arial" w:hAnsi="Arial"/>
          <w:sz w:val="18"/>
          <w:szCs w:val="18"/>
          <w:color w:val="auto"/>
        </w:rPr>
        <w:t>KU is subject to program reviews, audits, investigations and other compliance reviews conducted by various regulatory agencies and auditors, including, among others, the ED, the ED’s Office of the Inspector General, accrediting bodies and state and various other federal agencies, as well as annual audits by an independent certified public accountant of the OPEID unit’s compliance with Title IV statutory and regulatory requirements. These compliance reviews can result in findings of non-compliance with statutory and regulatory requirements that can, in turn, result in proceedings to impose fines, liabilities, civil or criminal penalties or other sanctions against the school, including loss or limitation of its eligibility to participate in Title IV programs or in other federal or state financial assistance programs. Certain former KHE schools are the subject of ongoing compliance reviews and lawsuits related to their compliance with statutory and regulatory requirements and may be subject to future compliance reviews or lawsuits. Although substantially all of the assets of KHE on-ground schools were sold on September 3, 2015, Kaplan retained liability for the pre-sale conduct of those schools, and there are outstanding program reviews at two of these former schools.</w:t>
      </w:r>
    </w:p>
    <w:p>
      <w:pPr>
        <w:spacing w:after="0" w:line="141" w:lineRule="exact"/>
        <w:rPr>
          <w:sz w:val="20"/>
          <w:szCs w:val="20"/>
          <w:color w:val="auto"/>
        </w:rPr>
      </w:pPr>
    </w:p>
    <w:p>
      <w:pPr>
        <w:ind w:right="200"/>
        <w:spacing w:after="0" w:line="229" w:lineRule="auto"/>
        <w:rPr>
          <w:sz w:val="20"/>
          <w:szCs w:val="20"/>
          <w:color w:val="auto"/>
        </w:rPr>
      </w:pPr>
      <w:r>
        <w:rPr>
          <w:rFonts w:ascii="Arial" w:cs="Arial" w:eastAsia="Arial" w:hAnsi="Arial"/>
          <w:sz w:val="18"/>
          <w:szCs w:val="18"/>
          <w:color w:val="auto"/>
        </w:rPr>
        <w:t>KHE schools have been, and may in the future be, subject to complaints and lawsuits by present or former students or employees or other people related to compliance with statutory, common law and regulatory requirements that, if successful, could result in monetary liabilities or fines or other sanctions.</w:t>
      </w:r>
    </w:p>
    <w:p>
      <w:pPr>
        <w:spacing w:after="0" w:line="115" w:lineRule="exact"/>
        <w:rPr>
          <w:sz w:val="20"/>
          <w:szCs w:val="20"/>
          <w:color w:val="auto"/>
        </w:rPr>
      </w:pPr>
    </w:p>
    <w:p>
      <w:pPr>
        <w:ind w:left="260" w:right="220" w:hanging="252"/>
        <w:spacing w:after="0" w:line="228" w:lineRule="auto"/>
        <w:tabs>
          <w:tab w:leader="none" w:pos="260" w:val="left"/>
        </w:tabs>
        <w:numPr>
          <w:ilvl w:val="0"/>
          <w:numId w:val="9"/>
        </w:numPr>
        <w:rPr>
          <w:rFonts w:ascii="Arial" w:cs="Arial" w:eastAsia="Arial" w:hAnsi="Arial"/>
          <w:sz w:val="18"/>
          <w:szCs w:val="18"/>
          <w:b w:val="1"/>
          <w:bCs w:val="1"/>
          <w:color w:val="auto"/>
        </w:rPr>
      </w:pPr>
      <w:r>
        <w:rPr>
          <w:rFonts w:ascii="Arial" w:cs="Arial" w:eastAsia="Arial" w:hAnsi="Arial"/>
          <w:sz w:val="18"/>
          <w:szCs w:val="18"/>
          <w:b w:val="1"/>
          <w:bCs w:val="1"/>
          <w:color w:val="auto"/>
        </w:rPr>
        <w:t>Reductions in the Amount of Funds Available to Students, Including Under Title IV Programs, in KU, Changes in the Terms on Which Such Funds Are Made Available or Loss or Limitation of Eligibility to Receive Such Funds Could Have a Material Adverse Effect on Kaplan’s Business and Operations</w:t>
      </w:r>
    </w:p>
    <w:p>
      <w:pPr>
        <w:spacing w:after="0" w:line="67" w:lineRule="exact"/>
        <w:rPr>
          <w:sz w:val="20"/>
          <w:szCs w:val="20"/>
          <w:color w:val="auto"/>
        </w:rPr>
      </w:pPr>
    </w:p>
    <w:p>
      <w:pPr>
        <w:ind w:right="200"/>
        <w:spacing w:after="0" w:line="224" w:lineRule="auto"/>
        <w:rPr>
          <w:sz w:val="20"/>
          <w:szCs w:val="20"/>
          <w:color w:val="auto"/>
        </w:rPr>
      </w:pPr>
      <w:r>
        <w:rPr>
          <w:rFonts w:ascii="Arial" w:cs="Arial" w:eastAsia="Arial" w:hAnsi="Arial"/>
          <w:sz w:val="18"/>
          <w:szCs w:val="18"/>
          <w:color w:val="auto"/>
        </w:rPr>
        <w:t>During the Company’s 2017 fiscal year, funds provided under the student financial aid programs created under Title IV accounted for approximately $374 million of KHE revenues, and 25% of Kaplan Inc. revenues. Any legislative, regulatory or other development that has the effect of materially reducing the amount of Title IV financial assistance or other funds available to the students of those schools would have a material adverse effect on Kaplan’s business and operations. In addition, any development that has the effect of making the terms on which Title IV financial assistance or other funds are available to students of those schools materially less attractive could have a material adverse effect on Kaplan’s business and operations.</w:t>
      </w:r>
    </w:p>
    <w:p>
      <w:pPr>
        <w:spacing w:after="0" w:line="137" w:lineRule="exact"/>
        <w:rPr>
          <w:sz w:val="20"/>
          <w:szCs w:val="20"/>
          <w:color w:val="auto"/>
        </w:rPr>
      </w:pPr>
    </w:p>
    <w:p>
      <w:pPr>
        <w:jc w:val="both"/>
        <w:ind w:right="260"/>
        <w:spacing w:after="0" w:line="229" w:lineRule="auto"/>
        <w:rPr>
          <w:sz w:val="20"/>
          <w:szCs w:val="20"/>
          <w:color w:val="auto"/>
        </w:rPr>
      </w:pPr>
      <w:r>
        <w:rPr>
          <w:rFonts w:ascii="Arial" w:cs="Arial" w:eastAsia="Arial" w:hAnsi="Arial"/>
          <w:sz w:val="18"/>
          <w:szCs w:val="18"/>
          <w:color w:val="auto"/>
        </w:rPr>
        <w:t>If the transfer of KU is consummated, revenues from Kaplan’s service agreement with the new university could be adversely impacted to the extent legislative, regulatory or other developments have the effect of materially reducing tuition revenues by reducing the amount of Title IV financial assistance or other funds available to the students of the new university.</w:t>
      </w:r>
    </w:p>
    <w:p>
      <w:pPr>
        <w:spacing w:after="0" w:line="115" w:lineRule="exact"/>
        <w:rPr>
          <w:sz w:val="20"/>
          <w:szCs w:val="20"/>
          <w:color w:val="auto"/>
        </w:rPr>
      </w:pPr>
    </w:p>
    <w:p>
      <w:pPr>
        <w:ind w:left="260" w:hanging="252"/>
        <w:spacing w:after="0"/>
        <w:tabs>
          <w:tab w:leader="none" w:pos="260" w:val="left"/>
        </w:tabs>
        <w:numPr>
          <w:ilvl w:val="0"/>
          <w:numId w:val="10"/>
        </w:numPr>
        <w:rPr>
          <w:rFonts w:ascii="Arial" w:cs="Arial" w:eastAsia="Arial" w:hAnsi="Arial"/>
          <w:sz w:val="18"/>
          <w:szCs w:val="18"/>
          <w:b w:val="1"/>
          <w:bCs w:val="1"/>
          <w:color w:val="auto"/>
        </w:rPr>
      </w:pPr>
      <w:r>
        <w:rPr>
          <w:rFonts w:ascii="Arial" w:cs="Arial" w:eastAsia="Arial" w:hAnsi="Arial"/>
          <w:sz w:val="18"/>
          <w:szCs w:val="18"/>
          <w:b w:val="1"/>
          <w:bCs w:val="1"/>
          <w:color w:val="auto"/>
        </w:rPr>
        <w:t>ED Rules Regarding Borrower Defense to Repayment Could Have a Material Adverse Effect on Kaplan’s Business and Operations</w:t>
      </w:r>
    </w:p>
    <w:p>
      <w:pPr>
        <w:spacing w:after="0" w:line="99" w:lineRule="exact"/>
        <w:rPr>
          <w:sz w:val="20"/>
          <w:szCs w:val="20"/>
          <w:color w:val="auto"/>
        </w:rPr>
      </w:pPr>
    </w:p>
    <w:p>
      <w:pPr>
        <w:ind w:right="20"/>
        <w:spacing w:after="0" w:line="221" w:lineRule="auto"/>
        <w:rPr>
          <w:sz w:val="20"/>
          <w:szCs w:val="20"/>
          <w:color w:val="auto"/>
        </w:rPr>
      </w:pPr>
      <w:r>
        <w:rPr>
          <w:rFonts w:ascii="Arial" w:cs="Arial" w:eastAsia="Arial" w:hAnsi="Arial"/>
          <w:sz w:val="18"/>
          <w:szCs w:val="18"/>
          <w:color w:val="auto"/>
        </w:rPr>
        <w:t>On November 1, 2016, the ED issued final rules that were scheduled to go into effect on July 1, 2017, that expand the bases on which borrowers may obtain ED discharge of their federal financial aid loans and establish a process for the ED to commence a separate proceeding against the institution to recover the discharged amounts. In June 2017, the ED announced a delay until further notice in the effective date of the majority of these regulations. The ED also announced its intent to convene a negotiated rulemaking committee to develop proposed regulations to revise the regulations on borrower defenses to repayment of Federal student loans and other matters published on November 1, 2016. On October 24, 2017, the ED published an interim final rule that delayed until at least July 1, 2018, the effective date of the majority of these regulations. On the same date, the ED also published a notice of proposed rulemaking that proposed to further delay, until July 1, 2019, the effective date of the majority of the regulations to ensure that there is adequate time to conduct negotiated rulemaking and, as necessary, develop revised regulations. Comments on the proposal were due by November 24, 2017. The ED convened the first meeting of the negotiated rulemaking committee in November 2017 and convened additional meetings in early 2018. The ED intends to issue proposed regulations for public comment during the first half of 2018, but the ED has not established a final schedule. Any regulations published in final form by November 1, 2018, typically would take effect on July 1, 2019, but there is no assurance as to the timing or content of any such regulations. On February 14, 2018, the ED issued a final regulation delaying the effective date of most of the provisions with respect to borrower defense until November 1, 2019. The ED has indicated that, in the meantime, it will continue to accept claims with respect to borrower defense and process them under pre-2016 policies and practices.</w:t>
      </w:r>
    </w:p>
    <w:p>
      <w:pPr>
        <w:spacing w:after="0" w:line="200" w:lineRule="exact"/>
        <w:rPr>
          <w:sz w:val="20"/>
          <w:szCs w:val="20"/>
          <w:color w:val="auto"/>
        </w:rPr>
      </w:pPr>
    </w:p>
    <w:p>
      <w:pPr>
        <w:spacing w:after="0" w:line="30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400"/>
          </w:cols>
          <w:pgMar w:left="240" w:top="746" w:right="259" w:bottom="1440" w:gutter="0" w:footer="0" w:header="0"/>
        </w:sectPr>
      </w:pPr>
    </w:p>
    <w:bookmarkStart w:id="26" w:name="page27"/>
    <w:bookmarkEnd w:id="26"/>
    <w:p>
      <w:pPr>
        <w:ind w:right="160"/>
        <w:spacing w:after="0" w:line="222" w:lineRule="auto"/>
        <w:rPr>
          <w:sz w:val="20"/>
          <w:szCs w:val="20"/>
          <w:color w:val="auto"/>
        </w:rPr>
      </w:pPr>
      <w:r>
        <w:rPr>
          <w:rFonts w:ascii="Arial" w:cs="Arial" w:eastAsia="Arial" w:hAnsi="Arial"/>
          <w:sz w:val="18"/>
          <w:szCs w:val="18"/>
          <w:color w:val="auto"/>
        </w:rPr>
        <w:t>The currently delayed rules permit loan discharges based on substantial misrepresentations, breaches of contract, or judgments against the school; in some cases, by classes of students as well as individual students. In addition, the final rules amend the ED’s financial responsibility regulations by, among other things, imposing two sets of triggers for determining whether the ED may require the institution to furnish the ED with a letter of credit or other form of acceptable financial protection and to accept other requirements the ED might impose. The rules also require schools not meeting a loan “repayment rate” threshold calculation to provide an ED-prepared warning to current and prospective students and to include the warning on its website and in promotional materials and advertisements. The rules also include new provisions related to arbitration and class-action lawsuits, including prohibitions regarding an institution’s use of pre-dispute arbitration agreements and class-action waivers. The Company cannot predict how the ED would interpret and enforce the new borrower defense to repayment rules if they are no longer delayed; however, the new rules could have a material adverse effect on Kaplan’s business and results of operations.</w:t>
      </w:r>
    </w:p>
    <w:p>
      <w:pPr>
        <w:spacing w:after="0" w:line="141" w:lineRule="exact"/>
        <w:rPr>
          <w:sz w:val="20"/>
          <w:szCs w:val="20"/>
          <w:color w:val="auto"/>
        </w:rPr>
      </w:pPr>
    </w:p>
    <w:p>
      <w:pPr>
        <w:ind w:right="200"/>
        <w:spacing w:after="0" w:line="235" w:lineRule="auto"/>
        <w:rPr>
          <w:sz w:val="20"/>
          <w:szCs w:val="20"/>
          <w:color w:val="auto"/>
        </w:rPr>
      </w:pPr>
      <w:r>
        <w:rPr>
          <w:rFonts w:ascii="Arial" w:cs="Arial" w:eastAsia="Arial" w:hAnsi="Arial"/>
          <w:sz w:val="18"/>
          <w:szCs w:val="18"/>
          <w:color w:val="auto"/>
        </w:rPr>
        <w:t>If the proposed transfer of KU is consummated, Kaplan would no longer own or operate KU and would no longer be subject to loan discharge actions as an institution. However, Kaplan would face the risks discussed above in connection with providing services to the new university.</w:t>
      </w:r>
    </w:p>
    <w:p>
      <w:pPr>
        <w:spacing w:after="0" w:line="113" w:lineRule="exact"/>
        <w:rPr>
          <w:sz w:val="20"/>
          <w:szCs w:val="20"/>
          <w:color w:val="auto"/>
        </w:rPr>
      </w:pPr>
    </w:p>
    <w:p>
      <w:pPr>
        <w:ind w:left="260" w:hanging="252"/>
        <w:spacing w:after="0"/>
        <w:tabs>
          <w:tab w:leader="none" w:pos="260" w:val="left"/>
        </w:tabs>
        <w:numPr>
          <w:ilvl w:val="0"/>
          <w:numId w:val="11"/>
        </w:numPr>
        <w:rPr>
          <w:rFonts w:ascii="Arial" w:cs="Arial" w:eastAsia="Arial" w:hAnsi="Arial"/>
          <w:sz w:val="18"/>
          <w:szCs w:val="18"/>
          <w:b w:val="1"/>
          <w:bCs w:val="1"/>
          <w:color w:val="auto"/>
        </w:rPr>
      </w:pPr>
      <w:r>
        <w:rPr>
          <w:rFonts w:ascii="Arial" w:cs="Arial" w:eastAsia="Arial" w:hAnsi="Arial"/>
          <w:sz w:val="18"/>
          <w:szCs w:val="18"/>
          <w:b w:val="1"/>
          <w:bCs w:val="1"/>
          <w:color w:val="auto"/>
        </w:rPr>
        <w:t>Regulatory Changes Could Have a Material Adverse Effect on Kaplan’s Business and Operations</w:t>
      </w:r>
    </w:p>
    <w:p>
      <w:pPr>
        <w:spacing w:after="0" w:line="99" w:lineRule="exact"/>
        <w:rPr>
          <w:sz w:val="20"/>
          <w:szCs w:val="20"/>
          <w:color w:val="auto"/>
        </w:rPr>
      </w:pPr>
    </w:p>
    <w:p>
      <w:pPr>
        <w:ind w:right="100"/>
        <w:spacing w:after="0" w:line="225" w:lineRule="auto"/>
        <w:rPr>
          <w:sz w:val="20"/>
          <w:szCs w:val="20"/>
          <w:color w:val="auto"/>
        </w:rPr>
      </w:pPr>
      <w:r>
        <w:rPr>
          <w:rFonts w:ascii="Arial" w:cs="Arial" w:eastAsia="Arial" w:hAnsi="Arial"/>
          <w:sz w:val="18"/>
          <w:szCs w:val="18"/>
          <w:color w:val="auto"/>
        </w:rPr>
        <w:t>The implementation of new Title IV and other regulations have required and will require Kaplan to change its practices to comply with new requirements. These changes have increased and will continue to increase its administrative costs and overall risk. Changes to its practices or Kaplan’s inability to comply with the final regulations could have a material adverse effect on Kaplan’s business and results of operations. Moreover, the ED or other U.S. or international regulatory bodies could implement new regulations or amend existing regulations in a manner that could have a material adverse effect on Kaplan’s business and results of operations.</w:t>
      </w:r>
    </w:p>
    <w:p>
      <w:pPr>
        <w:spacing w:after="0" w:line="115" w:lineRule="exact"/>
        <w:rPr>
          <w:sz w:val="20"/>
          <w:szCs w:val="20"/>
          <w:color w:val="auto"/>
        </w:rPr>
      </w:pPr>
    </w:p>
    <w:p>
      <w:pPr>
        <w:ind w:left="260" w:right="760" w:hanging="252"/>
        <w:spacing w:after="0"/>
        <w:tabs>
          <w:tab w:leader="none" w:pos="260" w:val="left"/>
        </w:tabs>
        <w:numPr>
          <w:ilvl w:val="0"/>
          <w:numId w:val="12"/>
        </w:numPr>
        <w:rPr>
          <w:rFonts w:ascii="Arial" w:cs="Arial" w:eastAsia="Arial" w:hAnsi="Arial"/>
          <w:sz w:val="18"/>
          <w:szCs w:val="18"/>
          <w:b w:val="1"/>
          <w:bCs w:val="1"/>
          <w:color w:val="auto"/>
        </w:rPr>
      </w:pPr>
      <w:r>
        <w:rPr>
          <w:rFonts w:ascii="Arial" w:cs="Arial" w:eastAsia="Arial" w:hAnsi="Arial"/>
          <w:sz w:val="18"/>
          <w:szCs w:val="18"/>
          <w:b w:val="1"/>
          <w:bCs w:val="1"/>
          <w:color w:val="auto"/>
        </w:rPr>
        <w:t>Changes to the Regulations Regarding Incentive Compensation Make It Difficult for Kaplan to Attract Students and Retain Qualified Personnel and Add Compliance Risk</w:t>
      </w:r>
    </w:p>
    <w:p>
      <w:pPr>
        <w:spacing w:after="0" w:line="67" w:lineRule="exact"/>
        <w:rPr>
          <w:sz w:val="20"/>
          <w:szCs w:val="20"/>
          <w:color w:val="auto"/>
        </w:rPr>
      </w:pPr>
    </w:p>
    <w:p>
      <w:pPr>
        <w:ind w:right="80"/>
        <w:spacing w:after="0" w:line="221" w:lineRule="auto"/>
        <w:rPr>
          <w:sz w:val="20"/>
          <w:szCs w:val="20"/>
          <w:color w:val="auto"/>
        </w:rPr>
      </w:pPr>
      <w:r>
        <w:rPr>
          <w:rFonts w:ascii="Arial" w:cs="Arial" w:eastAsia="Arial" w:hAnsi="Arial"/>
          <w:sz w:val="18"/>
          <w:szCs w:val="18"/>
          <w:color w:val="auto"/>
        </w:rPr>
        <w:t>Under the incentive compensation rule, an institution participating in the Title IV programs may not provide any commission, bonus or other incentive payment to any person or entity engaged in any student recruiting or admission activities or in making decisions regarding the awarding of Title IV funds if such payment is based directly or indirectly on success in securing enrollments or financial aid. On July 1, 2011, regulations went into effect that amended the incentive compensation rule by reducing the scope of permissible payments under the rule and expanding the scope of payments and employees subject to the rule. KHE modified some of its compensation practices as a result of the revisions to the incentive compensation rule. Due to a lack of clear guidance from the ED, there is no assurance that these modifications will in all cases be found to be in compliance with the ED’s interpretation of the regulations. Additionally, these changes to compensation arrangements make it difficult to attract students and to provide adequate incentives to promote superior job performance and retain qualified personnel. The Company believes that this change in Kaplan’s approach to recruiting has adversely impacted, and will continue to adversely impact, Kaplan’s enrollment rates, operating costs, business and results of operations. The Company cannot predict how the ED will interpret and enforce all aspects of the revised incentive compensation rule in the future, and any changes in this regard could have a material adverse effect on Kaplan’s business and results of operations.</w:t>
      </w:r>
    </w:p>
    <w:p>
      <w:pPr>
        <w:spacing w:after="0" w:line="122" w:lineRule="exact"/>
        <w:rPr>
          <w:sz w:val="20"/>
          <w:szCs w:val="20"/>
          <w:color w:val="auto"/>
        </w:rPr>
      </w:pPr>
    </w:p>
    <w:p>
      <w:pPr>
        <w:ind w:left="260" w:right="200" w:hanging="252"/>
        <w:spacing w:after="0" w:line="256" w:lineRule="auto"/>
        <w:tabs>
          <w:tab w:leader="none" w:pos="260" w:val="left"/>
        </w:tabs>
        <w:numPr>
          <w:ilvl w:val="0"/>
          <w:numId w:val="13"/>
        </w:numPr>
        <w:rPr>
          <w:rFonts w:ascii="Arial" w:cs="Arial" w:eastAsia="Arial" w:hAnsi="Arial"/>
          <w:sz w:val="18"/>
          <w:szCs w:val="18"/>
          <w:b w:val="1"/>
          <w:bCs w:val="1"/>
          <w:color w:val="auto"/>
        </w:rPr>
      </w:pPr>
      <w:r>
        <w:rPr>
          <w:rFonts w:ascii="Arial" w:cs="Arial" w:eastAsia="Arial" w:hAnsi="Arial"/>
          <w:sz w:val="18"/>
          <w:szCs w:val="18"/>
          <w:b w:val="1"/>
          <w:bCs w:val="1"/>
          <w:color w:val="auto"/>
        </w:rPr>
        <w:t>ED Rules Regarding Gainful Employment Have Had and Could Continue to Have a Material Adverse Effect on Kaplan’s Business and Operations</w:t>
      </w:r>
    </w:p>
    <w:p>
      <w:pPr>
        <w:spacing w:after="0" w:line="121" w:lineRule="exact"/>
        <w:rPr>
          <w:sz w:val="20"/>
          <w:szCs w:val="20"/>
          <w:color w:val="auto"/>
        </w:rPr>
      </w:pPr>
    </w:p>
    <w:p>
      <w:pPr>
        <w:spacing w:after="0" w:line="221" w:lineRule="auto"/>
        <w:rPr>
          <w:sz w:val="20"/>
          <w:szCs w:val="20"/>
          <w:color w:val="auto"/>
        </w:rPr>
      </w:pPr>
      <w:r>
        <w:rPr>
          <w:rFonts w:ascii="Arial" w:cs="Arial" w:eastAsia="Arial" w:hAnsi="Arial"/>
          <w:sz w:val="18"/>
          <w:szCs w:val="18"/>
          <w:color w:val="auto"/>
        </w:rPr>
        <w:t>Under the Higher Education Act, certain education programs, including all programs offered by KU, are required to lead to gainful employment in a recognized occupation in order to be eligible to participate in the Title IV programs. The ED has defined the phrase “gainful employment” to mean employment with earnings high enough to meet specific student debt-to-income ratios. The ED tied an education program’s Title IV eligibility to whether the program meets that definition. These regulations are known as the “gainful employment” rules or “GE” rules. Under these regulations, the ED calculates two debt-to-earnings rates for each program subject to the GE regulations: an annual debt-to-earnings rate and a discretionary debt-to-earnings rate. Under the debt-to-earnings rates for Kaplan’s programs that were released in January 2017 for the 2014–2015 award year, which are the first rates to be issued under the GE rules, none of KU’s active programs currently accepting students failed the GE test. KU has five other programs that failed the GE test. Of these five programs, two have been discontinued, have no students and are no longer being offered, and the remaining three are not currently accepting enrollments. KU also has 16 programs in the warning zone status. Four of these programs are active and currently accepting students. These four programs accounted for approximately $51.1 million and $44.5 million in revenue for 2016 and for 2017, respectively. Of the remaining 12 programs in the warning zone, five have been discontinued, have no students and are no longer being offered, and seven of these programs are active but not currently accepting enrollments. The ED has stated that it has the ability to combine, for future GE debt-to-earnings calculations, any new programs that it determines to be “substantially similar” to other current or past programs. KU started a number of new programs after the effective date of the GE rules. If the ED determines that these new programs are substantially similar and combines the new</w:t>
      </w:r>
    </w:p>
    <w:p>
      <w:pPr>
        <w:spacing w:after="0" w:line="200" w:lineRule="exact"/>
        <w:rPr>
          <w:sz w:val="20"/>
          <w:szCs w:val="20"/>
          <w:color w:val="auto"/>
        </w:rPr>
      </w:pPr>
    </w:p>
    <w:p>
      <w:pPr>
        <w:spacing w:after="0" w:line="30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420"/>
          </w:cols>
          <w:pgMar w:left="240" w:top="746" w:right="239" w:bottom="1440" w:gutter="0" w:footer="0" w:header="0"/>
        </w:sectPr>
      </w:pPr>
    </w:p>
    <w:bookmarkStart w:id="27" w:name="page28"/>
    <w:bookmarkEnd w:id="27"/>
    <w:p>
      <w:pPr>
        <w:ind w:right="120"/>
        <w:spacing w:after="0" w:line="235" w:lineRule="auto"/>
        <w:rPr>
          <w:sz w:val="20"/>
          <w:szCs w:val="20"/>
          <w:color w:val="auto"/>
        </w:rPr>
      </w:pPr>
      <w:r>
        <w:rPr>
          <w:rFonts w:ascii="Arial" w:cs="Arial" w:eastAsia="Arial" w:hAnsi="Arial"/>
          <w:sz w:val="18"/>
          <w:szCs w:val="18"/>
          <w:color w:val="auto"/>
        </w:rPr>
        <w:t>programs with programs that are currently in the warning zone or that failed the GE test, eligibility of the new programs to participate in Title IV programs and revenues from such programs would be materially adversely affected.</w:t>
      </w:r>
    </w:p>
    <w:p>
      <w:pPr>
        <w:spacing w:after="0" w:line="135" w:lineRule="exact"/>
        <w:rPr>
          <w:sz w:val="20"/>
          <w:szCs w:val="20"/>
          <w:color w:val="auto"/>
        </w:rPr>
      </w:pPr>
    </w:p>
    <w:p>
      <w:pPr>
        <w:ind w:right="140"/>
        <w:spacing w:after="0" w:line="225" w:lineRule="auto"/>
        <w:rPr>
          <w:sz w:val="20"/>
          <w:szCs w:val="20"/>
          <w:color w:val="auto"/>
        </w:rPr>
      </w:pPr>
      <w:r>
        <w:rPr>
          <w:rFonts w:ascii="Arial" w:cs="Arial" w:eastAsia="Arial" w:hAnsi="Arial"/>
          <w:sz w:val="18"/>
          <w:szCs w:val="18"/>
          <w:color w:val="auto"/>
        </w:rPr>
        <w:t>The GE rules allow for an appeal of these rates if the institution can provide alternative earnings data for each appealed program showing an improvement in the GE rates and moving the program from fail to warning zone or from warning zone to pass. KU has appealed the rates for the 16 programs in the warning zone, including the four programs that are active and currently accepting students and the remaining 12 programs that are discontinued and/or not accepting students. Although none of the five failing programs is active and accepting students, KU has appealed their rates as well. KU cannot predict the outcome of these appeals.</w:t>
      </w:r>
    </w:p>
    <w:p>
      <w:pPr>
        <w:spacing w:after="0" w:line="137" w:lineRule="exact"/>
        <w:rPr>
          <w:sz w:val="20"/>
          <w:szCs w:val="20"/>
          <w:color w:val="auto"/>
        </w:rPr>
      </w:pPr>
    </w:p>
    <w:p>
      <w:pPr>
        <w:ind w:right="320"/>
        <w:spacing w:after="0" w:line="229" w:lineRule="auto"/>
        <w:rPr>
          <w:sz w:val="20"/>
          <w:szCs w:val="20"/>
          <w:color w:val="auto"/>
        </w:rPr>
      </w:pPr>
      <w:r>
        <w:rPr>
          <w:rFonts w:ascii="Arial" w:cs="Arial" w:eastAsia="Arial" w:hAnsi="Arial"/>
          <w:sz w:val="18"/>
          <w:szCs w:val="18"/>
          <w:color w:val="auto"/>
        </w:rPr>
        <w:t>The ultimate outcome of future GE rates and their impact on Kaplan’s operations cannot be predicted. The GE rules have caused Kaplan to eliminate or limit enrollments in certain educational programs at some of its schools; may result in the loss of student access to Title IV programs; and has had and may continue to have a material adverse effect on KHE’s revenues, operating income and cash flows.</w:t>
      </w:r>
    </w:p>
    <w:p>
      <w:pPr>
        <w:spacing w:after="0" w:line="137" w:lineRule="exact"/>
        <w:rPr>
          <w:sz w:val="20"/>
          <w:szCs w:val="20"/>
          <w:color w:val="auto"/>
        </w:rPr>
      </w:pPr>
    </w:p>
    <w:p>
      <w:pPr>
        <w:ind w:right="20"/>
        <w:spacing w:after="0" w:line="225" w:lineRule="auto"/>
        <w:rPr>
          <w:sz w:val="20"/>
          <w:szCs w:val="20"/>
          <w:color w:val="auto"/>
        </w:rPr>
      </w:pPr>
      <w:r>
        <w:rPr>
          <w:rFonts w:ascii="Arial" w:cs="Arial" w:eastAsia="Arial" w:hAnsi="Arial"/>
          <w:sz w:val="18"/>
          <w:szCs w:val="18"/>
          <w:color w:val="auto"/>
        </w:rPr>
        <w:t>The regulations also contain requirements related to public disclosure of program information and outcomes, reporting data to the ED, including the debt-to-earnings rates, and certification requirements. On October 9, 2015, KU received a letter from the ED indicating that it had failed to report data on a significant number of programs that were listed as active in the ED’s system. The letter stated that until this issue is resolved, KU cannot start any new programs, and failure to resolve the issue could result in administrative actions. There is no assurance that the ED will accept Kaplan’s corrected data, will not find additional issues or will not take further action against KU.</w:t>
      </w:r>
    </w:p>
    <w:p>
      <w:pPr>
        <w:spacing w:after="0" w:line="137" w:lineRule="exact"/>
        <w:rPr>
          <w:sz w:val="20"/>
          <w:szCs w:val="20"/>
          <w:color w:val="auto"/>
        </w:rPr>
      </w:pPr>
    </w:p>
    <w:p>
      <w:pPr>
        <w:ind w:right="60"/>
        <w:spacing w:after="0" w:line="225" w:lineRule="auto"/>
        <w:rPr>
          <w:sz w:val="20"/>
          <w:szCs w:val="20"/>
          <w:color w:val="auto"/>
        </w:rPr>
      </w:pPr>
      <w:r>
        <w:rPr>
          <w:rFonts w:ascii="Arial" w:cs="Arial" w:eastAsia="Arial" w:hAnsi="Arial"/>
          <w:sz w:val="18"/>
          <w:szCs w:val="18"/>
          <w:color w:val="auto"/>
        </w:rPr>
        <w:t>On June 15, 2017, the ED announced its intent to convene a negotiated rulemaking committee to develop proposed regulations to revise the gainful employment regulations. The committee convened in December 2017, will continue to meet in early 2018 and may issue proposed regulations for public comment during the first half of 2018, but the ED has not established a final schedule for publication of proposed or final regulations. Any regulations published in final form by November 1, 2018, typically would take effect in July 1, 2019, but we cannot provide any assurances as to the timing or content of any such regulations.</w:t>
      </w:r>
    </w:p>
    <w:p>
      <w:pPr>
        <w:spacing w:after="0" w:line="137" w:lineRule="exact"/>
        <w:rPr>
          <w:sz w:val="20"/>
          <w:szCs w:val="20"/>
          <w:color w:val="auto"/>
        </w:rPr>
      </w:pPr>
    </w:p>
    <w:p>
      <w:pPr>
        <w:spacing w:after="0" w:line="222" w:lineRule="auto"/>
        <w:rPr>
          <w:sz w:val="20"/>
          <w:szCs w:val="20"/>
          <w:color w:val="auto"/>
        </w:rPr>
      </w:pPr>
      <w:r>
        <w:rPr>
          <w:rFonts w:ascii="Arial" w:cs="Arial" w:eastAsia="Arial" w:hAnsi="Arial"/>
          <w:sz w:val="18"/>
          <w:szCs w:val="18"/>
          <w:color w:val="auto"/>
        </w:rPr>
        <w:t>On June 30, 2017, the ED announced the extension of the compliance date for certain gainful employment disclosure requirements from July 1, 2017, to July 1, 2018. The ED stated that institutions were still required to comply with other gainful employment disclosure requirements by July 1, 2017. On August 18, 2017, the ED announced in the Federal Register new deadlines for submitting notices of intent to file alternate earnings appeals of gainful employment rates and for submitting alternate earnings appeals of those rates. The deadline to file a notice of intent to file an appeal was October 6, 2017, and the deadline to file the alternate earnings appeal was February 1, 2018. The ED has not announced a delay or suspension in the enforcement of any other gainful employment regulations. However, on August 8, 2017, ED officials announced that the ED did not have a timetable for the issuance of lists of students who completed programs, which is the first step toward generating the data for calculating new gainful employment rates. Consequently, we cannot predict when the ED will begin the process of calculating and issuing new draft or final gainful employment rates in the future. We also cannot predict whether the initiation of gainful employment rulemaking or the extension of certain gainful employment deadlines may result in the ED delaying the issuance of new draft or final gainful employment rates in the future.</w:t>
      </w:r>
    </w:p>
    <w:p>
      <w:pPr>
        <w:spacing w:after="0" w:line="114" w:lineRule="exact"/>
        <w:rPr>
          <w:sz w:val="20"/>
          <w:szCs w:val="20"/>
          <w:color w:val="auto"/>
        </w:rPr>
      </w:pPr>
    </w:p>
    <w:p>
      <w:pPr>
        <w:ind w:left="260" w:right="160" w:hanging="252"/>
        <w:spacing w:after="0" w:line="228" w:lineRule="auto"/>
        <w:tabs>
          <w:tab w:leader="none" w:pos="260" w:val="left"/>
        </w:tabs>
        <w:numPr>
          <w:ilvl w:val="0"/>
          <w:numId w:val="14"/>
        </w:numPr>
        <w:rPr>
          <w:rFonts w:ascii="Arial" w:cs="Arial" w:eastAsia="Arial" w:hAnsi="Arial"/>
          <w:sz w:val="18"/>
          <w:szCs w:val="18"/>
          <w:b w:val="1"/>
          <w:bCs w:val="1"/>
          <w:color w:val="auto"/>
        </w:rPr>
      </w:pPr>
      <w:r>
        <w:rPr>
          <w:rFonts w:ascii="Arial" w:cs="Arial" w:eastAsia="Arial" w:hAnsi="Arial"/>
          <w:sz w:val="18"/>
          <w:szCs w:val="18"/>
          <w:b w:val="1"/>
          <w:bCs w:val="1"/>
          <w:color w:val="auto"/>
        </w:rPr>
        <w:t>Congressional Examination of For-Profit Education and Other Governmental Scrutiny by the ED and Other Federal and State Regulators Could Lead to Legislation or Other Governmental Action That May Materially and Adversely Affect Kaplan’s Business and Operations</w:t>
      </w:r>
    </w:p>
    <w:p>
      <w:pPr>
        <w:spacing w:after="0" w:line="67" w:lineRule="exact"/>
        <w:rPr>
          <w:sz w:val="20"/>
          <w:szCs w:val="20"/>
          <w:color w:val="auto"/>
        </w:rPr>
      </w:pPr>
    </w:p>
    <w:p>
      <w:pPr>
        <w:ind w:right="40"/>
        <w:spacing w:after="0" w:line="225" w:lineRule="auto"/>
        <w:rPr>
          <w:sz w:val="20"/>
          <w:szCs w:val="20"/>
          <w:color w:val="auto"/>
        </w:rPr>
      </w:pPr>
      <w:r>
        <w:rPr>
          <w:rFonts w:ascii="Arial" w:cs="Arial" w:eastAsia="Arial" w:hAnsi="Arial"/>
          <w:sz w:val="18"/>
          <w:szCs w:val="18"/>
          <w:color w:val="auto"/>
        </w:rPr>
        <w:t>There has been increased attention by Congress on the role that for-profit educational institutions play in higher education, including their participation in Title IV programs and tuition assistance programs for military service members attending for-profit colleges. Beginning in June 2010, the HELP Committee held a series of hearings to examine the for-profit education sector and requested information from various for-profit institutions, including KHE institutions. In July 2012, the majority staff of the HELP Committee issued a final report to conclude the review. The final report included observations and recommendations for Federal policy.</w:t>
      </w:r>
    </w:p>
    <w:p>
      <w:pPr>
        <w:spacing w:after="0" w:line="137" w:lineRule="exact"/>
        <w:rPr>
          <w:sz w:val="20"/>
          <w:szCs w:val="20"/>
          <w:color w:val="auto"/>
        </w:rPr>
      </w:pPr>
    </w:p>
    <w:p>
      <w:pPr>
        <w:spacing w:after="0" w:line="223" w:lineRule="auto"/>
        <w:rPr>
          <w:sz w:val="20"/>
          <w:szCs w:val="20"/>
          <w:color w:val="auto"/>
        </w:rPr>
      </w:pPr>
      <w:r>
        <w:rPr>
          <w:rFonts w:ascii="Arial" w:cs="Arial" w:eastAsia="Arial" w:hAnsi="Arial"/>
          <w:sz w:val="18"/>
          <w:szCs w:val="18"/>
          <w:color w:val="auto"/>
        </w:rPr>
        <w:t>Other committees of Congress have also held hearings to look into, among other things, the standards and procedures of accrediting agencies, credit hours and program length and the portion of U.S. Federal student financial aid going to for-profit institutions. Several legislators have requested the U.S. Government Accountability Office to review and make recommendations regarding, among other things, student recruitment practices; educational quality; student outcomes; the sufficiency of integrity safeguards against waste, fraud and abuse in Title IV programs; and the percentage of proprietary institutions’ revenue coming from Title IV and other U.S. Federal funding sources. Congress is expected to consider reauthorization of the Higher Education Act in 2018, but the Company cannot predict if or when this process will be completed. This increased activity, and other current and future activity, may result in legislation, further rulemaking and other governmental actions affecting Kaplan’s participation in Title IV programs or the amount of student financial assistance for which Kaplan’s students are</w:t>
      </w:r>
    </w:p>
    <w:p>
      <w:pPr>
        <w:spacing w:after="0" w:line="200" w:lineRule="exact"/>
        <w:rPr>
          <w:sz w:val="20"/>
          <w:szCs w:val="20"/>
          <w:color w:val="auto"/>
        </w:rPr>
      </w:pPr>
    </w:p>
    <w:p>
      <w:pPr>
        <w:spacing w:after="0" w:line="30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420"/>
          </w:cols>
          <w:pgMar w:left="240" w:top="746" w:right="239" w:bottom="1440" w:gutter="0" w:footer="0" w:header="0"/>
        </w:sectPr>
      </w:pPr>
    </w:p>
    <w:bookmarkStart w:id="28" w:name="page29"/>
    <w:bookmarkEnd w:id="28"/>
    <w:p>
      <w:pPr>
        <w:ind w:right="280"/>
        <w:spacing w:after="0" w:line="235" w:lineRule="auto"/>
        <w:rPr>
          <w:sz w:val="20"/>
          <w:szCs w:val="20"/>
          <w:color w:val="auto"/>
        </w:rPr>
      </w:pPr>
      <w:r>
        <w:rPr>
          <w:rFonts w:ascii="Arial" w:cs="Arial" w:eastAsia="Arial" w:hAnsi="Arial"/>
          <w:sz w:val="18"/>
          <w:szCs w:val="18"/>
          <w:color w:val="auto"/>
        </w:rPr>
        <w:t>eligible. In addition, concerns generated by congressional or other activity, or negative media reports, may adversely affect enrollment in for-profit educational institutions.</w:t>
      </w:r>
    </w:p>
    <w:p>
      <w:pPr>
        <w:spacing w:after="0" w:line="135" w:lineRule="exact"/>
        <w:rPr>
          <w:sz w:val="20"/>
          <w:szCs w:val="20"/>
          <w:color w:val="auto"/>
        </w:rPr>
      </w:pPr>
    </w:p>
    <w:p>
      <w:pPr>
        <w:ind w:right="80"/>
        <w:spacing w:after="0" w:line="223" w:lineRule="auto"/>
        <w:rPr>
          <w:sz w:val="20"/>
          <w:szCs w:val="20"/>
          <w:color w:val="auto"/>
        </w:rPr>
      </w:pPr>
      <w:r>
        <w:rPr>
          <w:rFonts w:ascii="Arial" w:cs="Arial" w:eastAsia="Arial" w:hAnsi="Arial"/>
          <w:sz w:val="18"/>
          <w:szCs w:val="18"/>
          <w:color w:val="auto"/>
        </w:rPr>
        <w:t>The increased scrutiny of for-profit schools also has resulted in additional enforcement actions, investigations and lawsuits by the ED, other federal agencies, state Attorneys General and state licensing agencies. These actions and allegations have attracted significant negative media coverage. Recent enforcement actions have resulted in institutions being required to post substantial letters of credit, liabilities, restrictions and sanctions and, in some cases, have led to the loss of Title IV eligibility and closure of institutions. Allegations and enforcement actions against the overall postsecondary education sectors may impact general public perceptions of private-sector educational institutions, including Kaplan, in a negative manner. Negative media coverage regarding other educational institutions or regarding Kaplan directly could damage Kaplan’s reputation, reduce student demand for Kaplan programs or lead to increased regulatory scrutiny and could negatively impact Kaplan’s operating results.</w:t>
      </w:r>
    </w:p>
    <w:p>
      <w:pPr>
        <w:spacing w:after="0" w:line="136" w:lineRule="exact"/>
        <w:rPr>
          <w:sz w:val="20"/>
          <w:szCs w:val="20"/>
          <w:color w:val="auto"/>
        </w:rPr>
      </w:pPr>
    </w:p>
    <w:p>
      <w:pPr>
        <w:ind w:right="320"/>
        <w:spacing w:after="0" w:line="227" w:lineRule="auto"/>
        <w:rPr>
          <w:sz w:val="20"/>
          <w:szCs w:val="20"/>
          <w:color w:val="auto"/>
        </w:rPr>
      </w:pPr>
      <w:r>
        <w:rPr>
          <w:rFonts w:ascii="Arial" w:cs="Arial" w:eastAsia="Arial" w:hAnsi="Arial"/>
          <w:sz w:val="18"/>
          <w:szCs w:val="18"/>
          <w:color w:val="auto"/>
        </w:rPr>
        <w:t>The Company cannot predict the extent to which these activities could result in further investigations, legislation or rulemaking affecting its participation in Title IV programs, other governmental actions and/or actions by state agencies or legislators or by accreditors. If any laws or regulations are adopted that significantly limit Kaplan’s participation in Title IV programs or the amount of student financial aid for which Kaplan’s students are eligible, Kaplan’s results of operations and cash flows would be adversely and materially impacted.</w:t>
      </w:r>
    </w:p>
    <w:p>
      <w:pPr>
        <w:spacing w:after="0" w:line="113" w:lineRule="exact"/>
        <w:rPr>
          <w:sz w:val="20"/>
          <w:szCs w:val="20"/>
          <w:color w:val="auto"/>
        </w:rPr>
      </w:pPr>
    </w:p>
    <w:p>
      <w:pPr>
        <w:ind w:left="260" w:hanging="252"/>
        <w:spacing w:after="0"/>
        <w:tabs>
          <w:tab w:leader="none" w:pos="260" w:val="left"/>
        </w:tabs>
        <w:numPr>
          <w:ilvl w:val="0"/>
          <w:numId w:val="15"/>
        </w:numPr>
        <w:rPr>
          <w:rFonts w:ascii="Arial" w:cs="Arial" w:eastAsia="Arial" w:hAnsi="Arial"/>
          <w:sz w:val="18"/>
          <w:szCs w:val="18"/>
          <w:b w:val="1"/>
          <w:bCs w:val="1"/>
          <w:color w:val="auto"/>
        </w:rPr>
      </w:pPr>
      <w:r>
        <w:rPr>
          <w:rFonts w:ascii="Arial" w:cs="Arial" w:eastAsia="Arial" w:hAnsi="Arial"/>
          <w:sz w:val="18"/>
          <w:szCs w:val="18"/>
          <w:b w:val="1"/>
          <w:bCs w:val="1"/>
          <w:color w:val="auto"/>
        </w:rPr>
        <w:t>Student Loan Defaults Could Result in Loss of Eligibility to Participate in Title IV Programs</w:t>
      </w:r>
    </w:p>
    <w:p>
      <w:pPr>
        <w:spacing w:after="0" w:line="99" w:lineRule="exact"/>
        <w:rPr>
          <w:sz w:val="20"/>
          <w:szCs w:val="20"/>
          <w:color w:val="auto"/>
        </w:rPr>
      </w:pPr>
    </w:p>
    <w:p>
      <w:pPr>
        <w:ind w:right="80"/>
        <w:spacing w:after="0" w:line="222" w:lineRule="auto"/>
        <w:rPr>
          <w:sz w:val="20"/>
          <w:szCs w:val="20"/>
          <w:color w:val="auto"/>
        </w:rPr>
      </w:pPr>
      <w:r>
        <w:rPr>
          <w:rFonts w:ascii="Arial" w:cs="Arial" w:eastAsia="Arial" w:hAnsi="Arial"/>
          <w:sz w:val="18"/>
          <w:szCs w:val="18"/>
          <w:color w:val="auto"/>
        </w:rPr>
        <w:t>A school may lose its eligibility to participate in Title IV programs if student defaults on the repayment of Title IV loans exceed specified rates, referred to as “cohort default rates.” The ED calculates a cohort default rate for each OPEID number. KU has one OPEID number. The schools in an OPEID number whose cohort default rate exceeds 40% for any single year lose their eligibility to participate in the Direct Loan programs for at least two fiscal years, effective 30 days after notification from the ED. The schools in an OPEID number whose cohort default rate equals or exceeds 30% for three consecutive years lose their Title IV eligibility to participate in the Direct Loan and U.S. Federal Pell Grant programs effective 30 days after notification from the ED and for at least two fiscal years. The schools in an OPEID number whose cohort default rate equals or exceeds 30% in two of the three most recent fiscal years for which rates have been issued by the ED may be placed on provisional certification by the ED and could be required by the ED to submit a letter of credit under the borrower defense to repayment regulations. The loss of Title IV eligibility by KU due to cohort default rates that exceed specified rates would have a material adverse effect on Kaplan’s operating results.</w:t>
      </w:r>
    </w:p>
    <w:p>
      <w:pPr>
        <w:spacing w:after="0" w:line="116" w:lineRule="exact"/>
        <w:rPr>
          <w:sz w:val="20"/>
          <w:szCs w:val="20"/>
          <w:color w:val="auto"/>
        </w:rPr>
      </w:pPr>
    </w:p>
    <w:p>
      <w:pPr>
        <w:ind w:left="260" w:hanging="252"/>
        <w:spacing w:after="0"/>
        <w:tabs>
          <w:tab w:leader="none" w:pos="260" w:val="left"/>
        </w:tabs>
        <w:numPr>
          <w:ilvl w:val="0"/>
          <w:numId w:val="16"/>
        </w:numPr>
        <w:rPr>
          <w:rFonts w:ascii="Arial" w:cs="Arial" w:eastAsia="Arial" w:hAnsi="Arial"/>
          <w:sz w:val="18"/>
          <w:szCs w:val="18"/>
          <w:b w:val="1"/>
          <w:bCs w:val="1"/>
          <w:color w:val="auto"/>
        </w:rPr>
      </w:pPr>
      <w:r>
        <w:rPr>
          <w:rFonts w:ascii="Arial" w:cs="Arial" w:eastAsia="Arial" w:hAnsi="Arial"/>
          <w:sz w:val="18"/>
          <w:szCs w:val="18"/>
          <w:b w:val="1"/>
          <w:bCs w:val="1"/>
          <w:color w:val="auto"/>
        </w:rPr>
        <w:t>Title IV Revenues in Excess of U.S. Federally Set Percentage Could Lead to Loss of Eligibility to Participate in Title IV Programs</w:t>
      </w:r>
    </w:p>
    <w:p>
      <w:pPr>
        <w:spacing w:after="0" w:line="99" w:lineRule="exact"/>
        <w:rPr>
          <w:sz w:val="20"/>
          <w:szCs w:val="20"/>
          <w:color w:val="auto"/>
        </w:rPr>
      </w:pPr>
    </w:p>
    <w:p>
      <w:pPr>
        <w:spacing w:after="0" w:line="222" w:lineRule="auto"/>
        <w:rPr>
          <w:sz w:val="20"/>
          <w:szCs w:val="20"/>
          <w:color w:val="auto"/>
        </w:rPr>
      </w:pPr>
      <w:r>
        <w:rPr>
          <w:rFonts w:ascii="Arial" w:cs="Arial" w:eastAsia="Arial" w:hAnsi="Arial"/>
          <w:sz w:val="18"/>
          <w:szCs w:val="18"/>
          <w:color w:val="auto"/>
        </w:rPr>
        <w:t>Under regulations referred to as the 90/10 rule, an institution could lose its eligibility to participate in Title IV programs if it derives more than 90% of its receipts from Title IV programs, as calculated on a cash basis in accordance with the Higher Education Act and applicable ED regulations, in each of two consecutive fiscal years. Any institution with Title IV receipts exceeding 90% for a single fiscal year would be placed on provisional certification and may be subject to other enforcement measures, including a potential requirement to submit to the ED a letter of credit under the borrower defense to repayment regulations that were to take effect on July 1, 2017, but were subsequently delayed. The enactment of the U.S. Federal Ensuring Continued Access to Student Loans Act of 2008 increased student loan limits and the maximum amount of Pell Grants, which resulted in an increase in the percentage of KU’s receipts from Title IV programs. These increases, and any future increases or changes in the 90/10 calculation formula or any ED interpretation of what revenue may be included in the calculation, would make it more difficult for institutions to comply with the 90/10 rule.</w:t>
      </w:r>
    </w:p>
    <w:p>
      <w:pPr>
        <w:spacing w:after="0" w:line="141" w:lineRule="exact"/>
        <w:rPr>
          <w:sz w:val="20"/>
          <w:szCs w:val="20"/>
          <w:color w:val="auto"/>
        </w:rPr>
      </w:pPr>
    </w:p>
    <w:p>
      <w:pPr>
        <w:ind w:right="460"/>
        <w:spacing w:after="0" w:line="227" w:lineRule="auto"/>
        <w:rPr>
          <w:sz w:val="20"/>
          <w:szCs w:val="20"/>
          <w:color w:val="auto"/>
        </w:rPr>
      </w:pPr>
      <w:r>
        <w:rPr>
          <w:rFonts w:ascii="Arial" w:cs="Arial" w:eastAsia="Arial" w:hAnsi="Arial"/>
          <w:sz w:val="18"/>
          <w:szCs w:val="18"/>
          <w:color w:val="auto"/>
        </w:rPr>
        <w:t>Kaplan has taken steps to ensure that revenue from programs acquired by KU is eligible to be counted in that campus’s 90/10 calculation. However, there can be no guarantee that the ED will not challenge the inclusion of revenue from any acquired program in KU’s 90/10 calculations or will not issue an interpretation of the 90/10 rule that would exclude such revenue from the calculation. There can be no guarantee that these measures will be adequate to prevent the 90/10 ratio at KU from exceeding 90% in the future.</w:t>
      </w:r>
    </w:p>
    <w:p>
      <w:pPr>
        <w:spacing w:after="0" w:line="135" w:lineRule="exact"/>
        <w:rPr>
          <w:sz w:val="20"/>
          <w:szCs w:val="20"/>
          <w:color w:val="auto"/>
        </w:rPr>
      </w:pPr>
    </w:p>
    <w:p>
      <w:pPr>
        <w:ind w:right="120"/>
        <w:spacing w:after="0" w:line="229" w:lineRule="auto"/>
        <w:rPr>
          <w:sz w:val="20"/>
          <w:szCs w:val="20"/>
          <w:color w:val="auto"/>
        </w:rPr>
      </w:pPr>
      <w:r>
        <w:rPr>
          <w:rFonts w:ascii="Arial" w:cs="Arial" w:eastAsia="Arial" w:hAnsi="Arial"/>
          <w:sz w:val="18"/>
          <w:szCs w:val="18"/>
          <w:color w:val="auto"/>
        </w:rPr>
        <w:t>In addition, certain legislators have proposed amendments to the Higher Education Act that would lower the threshold percentage in the 90/10 rule to 85%, treat non-Title IV federal funds as Title IV funds in the 90/10 calculation and make other refinements to the calculation. If these proposals or similar laws or regulations are adopted, they would make it more difficult for KU to comply with the 90/10 rule.</w:t>
      </w:r>
    </w:p>
    <w:p>
      <w:pPr>
        <w:spacing w:after="0" w:line="137" w:lineRule="exact"/>
        <w:rPr>
          <w:sz w:val="20"/>
          <w:szCs w:val="20"/>
          <w:color w:val="auto"/>
        </w:rPr>
      </w:pPr>
    </w:p>
    <w:p>
      <w:pPr>
        <w:spacing w:after="0"/>
        <w:rPr>
          <w:sz w:val="20"/>
          <w:szCs w:val="20"/>
          <w:color w:val="auto"/>
        </w:rPr>
      </w:pPr>
      <w:r>
        <w:rPr>
          <w:rFonts w:ascii="Arial" w:cs="Arial" w:eastAsia="Arial" w:hAnsi="Arial"/>
          <w:sz w:val="18"/>
          <w:szCs w:val="18"/>
          <w:color w:val="auto"/>
        </w:rPr>
        <w:t>The loss of Title IV eligibility by KU due to a violation of the 90/10 rule would have a material adverse effect on Kaplan’s operating results.</w:t>
      </w:r>
    </w:p>
    <w:p>
      <w:pPr>
        <w:spacing w:after="0" w:line="144" w:lineRule="exact"/>
        <w:rPr>
          <w:sz w:val="20"/>
          <w:szCs w:val="20"/>
          <w:color w:val="auto"/>
        </w:rPr>
      </w:pPr>
    </w:p>
    <w:p>
      <w:pPr>
        <w:jc w:val="both"/>
        <w:ind w:right="360"/>
        <w:spacing w:after="0" w:line="229" w:lineRule="auto"/>
        <w:rPr>
          <w:sz w:val="20"/>
          <w:szCs w:val="20"/>
          <w:color w:val="auto"/>
        </w:rPr>
      </w:pPr>
      <w:r>
        <w:rPr>
          <w:rFonts w:ascii="Arial" w:cs="Arial" w:eastAsia="Arial" w:hAnsi="Arial"/>
          <w:sz w:val="18"/>
          <w:szCs w:val="18"/>
          <w:color w:val="auto"/>
        </w:rPr>
        <w:t>If the transfer of KU is consummated, Kaplan would no longer own or operate a Title IV-eligible institution but would be required to report its 90/10 percentages in the first fiscal year following approval of the transfer and submit a 90/10 audit for the fiscal year ending December 31, 2017, by June 30, 2018. Assuming that the transaction is</w:t>
      </w:r>
    </w:p>
    <w:p>
      <w:pPr>
        <w:spacing w:after="0" w:line="200" w:lineRule="exact"/>
        <w:rPr>
          <w:sz w:val="20"/>
          <w:szCs w:val="20"/>
          <w:color w:val="auto"/>
        </w:rPr>
      </w:pPr>
    </w:p>
    <w:p>
      <w:pPr>
        <w:spacing w:after="0" w:line="30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420"/>
          </w:cols>
          <w:pgMar w:left="240" w:top="746" w:right="239" w:bottom="1440" w:gutter="0" w:footer="0" w:header="0"/>
        </w:sectPr>
      </w:pPr>
    </w:p>
    <w:bookmarkStart w:id="29" w:name="page30"/>
    <w:bookmarkEnd w:id="29"/>
    <w:p>
      <w:pPr>
        <w:ind w:right="180"/>
        <w:spacing w:after="0" w:line="235" w:lineRule="auto"/>
        <w:rPr>
          <w:sz w:val="20"/>
          <w:szCs w:val="20"/>
          <w:color w:val="auto"/>
        </w:rPr>
      </w:pPr>
      <w:r>
        <w:rPr>
          <w:rFonts w:ascii="Arial" w:cs="Arial" w:eastAsia="Arial" w:hAnsi="Arial"/>
          <w:sz w:val="18"/>
          <w:szCs w:val="18"/>
          <w:color w:val="auto"/>
        </w:rPr>
        <w:t>consummated, that KU has a passing 90/10 audit and that the ED imposes no further requirements on the new university related to the 90/10 rule, then we expect that the new university would no longer be required to comply with the 90/10 rule.</w:t>
      </w:r>
    </w:p>
    <w:p>
      <w:pPr>
        <w:spacing w:after="0" w:line="113" w:lineRule="exact"/>
        <w:rPr>
          <w:sz w:val="20"/>
          <w:szCs w:val="20"/>
          <w:color w:val="auto"/>
        </w:rPr>
      </w:pPr>
    </w:p>
    <w:p>
      <w:pPr>
        <w:ind w:left="260" w:hanging="252"/>
        <w:spacing w:after="0"/>
        <w:tabs>
          <w:tab w:leader="none" w:pos="260" w:val="left"/>
        </w:tabs>
        <w:numPr>
          <w:ilvl w:val="0"/>
          <w:numId w:val="17"/>
        </w:numPr>
        <w:rPr>
          <w:rFonts w:ascii="Arial" w:cs="Arial" w:eastAsia="Arial" w:hAnsi="Arial"/>
          <w:sz w:val="18"/>
          <w:szCs w:val="18"/>
          <w:b w:val="1"/>
          <w:bCs w:val="1"/>
          <w:color w:val="auto"/>
        </w:rPr>
      </w:pPr>
      <w:r>
        <w:rPr>
          <w:rFonts w:ascii="Arial" w:cs="Arial" w:eastAsia="Arial" w:hAnsi="Arial"/>
          <w:sz w:val="18"/>
          <w:szCs w:val="18"/>
          <w:b w:val="1"/>
          <w:bCs w:val="1"/>
          <w:color w:val="auto"/>
        </w:rPr>
        <w:t>Failure to Maintain Institutional Accreditation Could Lead to Loss of Ability to Participate in Title IV Programs</w:t>
      </w:r>
    </w:p>
    <w:p>
      <w:pPr>
        <w:spacing w:after="0" w:line="99" w:lineRule="exact"/>
        <w:rPr>
          <w:sz w:val="20"/>
          <w:szCs w:val="20"/>
          <w:color w:val="auto"/>
        </w:rPr>
      </w:pPr>
    </w:p>
    <w:p>
      <w:pPr>
        <w:ind w:right="80"/>
        <w:spacing w:after="0" w:line="224" w:lineRule="auto"/>
        <w:rPr>
          <w:sz w:val="20"/>
          <w:szCs w:val="20"/>
          <w:color w:val="auto"/>
        </w:rPr>
      </w:pPr>
      <w:r>
        <w:rPr>
          <w:rFonts w:ascii="Arial" w:cs="Arial" w:eastAsia="Arial" w:hAnsi="Arial"/>
          <w:sz w:val="18"/>
          <w:szCs w:val="18"/>
          <w:color w:val="auto"/>
        </w:rPr>
        <w:t>KU’s online university and all of its ground campuses are institutionally accredited by a regional accreditor recognized by the ED. Accreditation by an accrediting agency recognized by the ED is required for an institution to become and remain eligible to participate in Title IV programs. KU’s institutional accreditor conducts reviews from time to time for a variety of reasons. Failure to resolve any concerns that may arise during such reviews could result in a loss of accreditation at the school. The loss of accreditation would, among other things, render the affected school and programs ineligible to participate in Title IV programs and would have a material adverse effect on Kaplan’s business and operations.</w:t>
      </w:r>
    </w:p>
    <w:p>
      <w:pPr>
        <w:spacing w:after="0" w:line="115" w:lineRule="exact"/>
        <w:rPr>
          <w:sz w:val="20"/>
          <w:szCs w:val="20"/>
          <w:color w:val="auto"/>
        </w:rPr>
      </w:pPr>
    </w:p>
    <w:p>
      <w:pPr>
        <w:ind w:left="260" w:right="140" w:hanging="252"/>
        <w:spacing w:after="0"/>
        <w:tabs>
          <w:tab w:leader="none" w:pos="260" w:val="left"/>
        </w:tabs>
        <w:numPr>
          <w:ilvl w:val="0"/>
          <w:numId w:val="18"/>
        </w:numPr>
        <w:rPr>
          <w:rFonts w:ascii="Arial" w:cs="Arial" w:eastAsia="Arial" w:hAnsi="Arial"/>
          <w:sz w:val="18"/>
          <w:szCs w:val="18"/>
          <w:b w:val="1"/>
          <w:bCs w:val="1"/>
          <w:color w:val="auto"/>
        </w:rPr>
      </w:pPr>
      <w:r>
        <w:rPr>
          <w:rFonts w:ascii="Arial" w:cs="Arial" w:eastAsia="Arial" w:hAnsi="Arial"/>
          <w:sz w:val="18"/>
          <w:szCs w:val="18"/>
          <w:b w:val="1"/>
          <w:bCs w:val="1"/>
          <w:color w:val="auto"/>
        </w:rPr>
        <w:t>Failure to Maintain Programmatic Accreditation Could Lead to Loss of Ability to Provide Certain Education Programs and Failure to Obtain Programmatic Accreditation May Lead to Declines in Enrollments in Unaccredited Programs</w:t>
      </w:r>
    </w:p>
    <w:p>
      <w:pPr>
        <w:spacing w:after="0" w:line="67" w:lineRule="exact"/>
        <w:rPr>
          <w:sz w:val="20"/>
          <w:szCs w:val="20"/>
          <w:color w:val="auto"/>
        </w:rPr>
      </w:pPr>
    </w:p>
    <w:p>
      <w:pPr>
        <w:ind w:right="160"/>
        <w:spacing w:after="0" w:line="225" w:lineRule="auto"/>
        <w:rPr>
          <w:sz w:val="20"/>
          <w:szCs w:val="20"/>
          <w:color w:val="auto"/>
        </w:rPr>
      </w:pPr>
      <w:r>
        <w:rPr>
          <w:rFonts w:ascii="Arial" w:cs="Arial" w:eastAsia="Arial" w:hAnsi="Arial"/>
          <w:sz w:val="18"/>
          <w:szCs w:val="18"/>
          <w:color w:val="auto"/>
        </w:rPr>
        <w:t>Programmatic accreditation is the process through which specific programs are reviewed and approved by industry</w:t>
      </w:r>
      <w:r>
        <w:rPr>
          <w:rFonts w:ascii="Arial" w:cs="Arial" w:eastAsia="Arial" w:hAnsi="Arial"/>
          <w:sz w:val="18"/>
          <w:szCs w:val="18"/>
          <w:color w:val="1F497D"/>
        </w:rPr>
        <w:t>-</w:t>
      </w:r>
      <w:r>
        <w:rPr>
          <w:rFonts w:ascii="Arial" w:cs="Arial" w:eastAsia="Arial" w:hAnsi="Arial"/>
          <w:sz w:val="18"/>
          <w:szCs w:val="18"/>
          <w:color w:val="auto"/>
        </w:rPr>
        <w:t>specific and program</w:t>
      </w:r>
      <w:r>
        <w:rPr>
          <w:rFonts w:ascii="Arial" w:cs="Arial" w:eastAsia="Arial" w:hAnsi="Arial"/>
          <w:sz w:val="18"/>
          <w:szCs w:val="18"/>
          <w:color w:val="1F497D"/>
        </w:rPr>
        <w:t>-</w:t>
      </w:r>
      <w:r>
        <w:rPr>
          <w:rFonts w:ascii="Arial" w:cs="Arial" w:eastAsia="Arial" w:hAnsi="Arial"/>
          <w:sz w:val="18"/>
          <w:szCs w:val="18"/>
          <w:color w:val="auto"/>
        </w:rPr>
        <w:t>specific accrediting entities. Although programmatic accreditation is not generally necessary for Title IV eligibility, such accreditation may be required to allow students to sit for certain licensure exams or to work in a particular profession or career. Failure to obtain or maintain such programmatic accreditation may lead schools to discontinue programs that would not provide appropriate outcomes without that accreditation or may lead to a decline in enrollments in programs because of a perceived or real reduction in program value.</w:t>
      </w:r>
    </w:p>
    <w:p>
      <w:pPr>
        <w:spacing w:after="0" w:line="115" w:lineRule="exact"/>
        <w:rPr>
          <w:sz w:val="20"/>
          <w:szCs w:val="20"/>
          <w:color w:val="auto"/>
        </w:rPr>
      </w:pPr>
    </w:p>
    <w:p>
      <w:pPr>
        <w:ind w:left="260" w:right="320" w:hanging="252"/>
        <w:spacing w:after="0"/>
        <w:tabs>
          <w:tab w:leader="none" w:pos="260" w:val="left"/>
        </w:tabs>
        <w:numPr>
          <w:ilvl w:val="0"/>
          <w:numId w:val="19"/>
        </w:numPr>
        <w:rPr>
          <w:rFonts w:ascii="Arial" w:cs="Arial" w:eastAsia="Arial" w:hAnsi="Arial"/>
          <w:sz w:val="18"/>
          <w:szCs w:val="18"/>
          <w:b w:val="1"/>
          <w:bCs w:val="1"/>
          <w:color w:val="auto"/>
        </w:rPr>
      </w:pPr>
      <w:r>
        <w:rPr>
          <w:rFonts w:ascii="Arial" w:cs="Arial" w:eastAsia="Arial" w:hAnsi="Arial"/>
          <w:sz w:val="18"/>
          <w:szCs w:val="18"/>
          <w:b w:val="1"/>
          <w:bCs w:val="1"/>
          <w:color w:val="auto"/>
        </w:rPr>
        <w:t>Failure to Maintain State Authorizations Could Cause Loss of Ability to Operate and to Participate in Title IV Programs in Some States</w:t>
      </w:r>
    </w:p>
    <w:p>
      <w:pPr>
        <w:spacing w:after="0" w:line="67" w:lineRule="exact"/>
        <w:rPr>
          <w:sz w:val="20"/>
          <w:szCs w:val="20"/>
          <w:color w:val="auto"/>
        </w:rPr>
      </w:pPr>
    </w:p>
    <w:p>
      <w:pPr>
        <w:spacing w:after="0" w:line="225" w:lineRule="auto"/>
        <w:rPr>
          <w:sz w:val="20"/>
          <w:szCs w:val="20"/>
          <w:color w:val="auto"/>
        </w:rPr>
      </w:pPr>
      <w:r>
        <w:rPr>
          <w:rFonts w:ascii="Arial" w:cs="Arial" w:eastAsia="Arial" w:hAnsi="Arial"/>
          <w:sz w:val="18"/>
          <w:szCs w:val="18"/>
          <w:color w:val="auto"/>
        </w:rPr>
        <w:t>Kaplan’s institutions and programs are subject to state-level regulation and oversight by state licensing agencies, whose approval is necessary to allow an institution to operate and grant degrees or diplomas in the state. Institutions that participate in Title IV programs must be legally authorized to operate in the state in which the institution is physically located. The loss of such authorization would preclude the institution from offering postsecondary education and render students ineligible to participate in Title IV programs. Loss of authorization at campus locations or, in states that require it, for KU’s online programs would have a material adverse effect on KU’s business and operations.</w:t>
      </w:r>
    </w:p>
    <w:p>
      <w:pPr>
        <w:spacing w:after="0" w:line="137" w:lineRule="exact"/>
        <w:rPr>
          <w:sz w:val="20"/>
          <w:szCs w:val="20"/>
          <w:color w:val="auto"/>
        </w:rPr>
      </w:pPr>
    </w:p>
    <w:p>
      <w:pPr>
        <w:ind w:right="300"/>
        <w:spacing w:after="0" w:line="224" w:lineRule="auto"/>
        <w:rPr>
          <w:sz w:val="20"/>
          <w:szCs w:val="20"/>
          <w:color w:val="auto"/>
        </w:rPr>
      </w:pPr>
      <w:r>
        <w:rPr>
          <w:rFonts w:ascii="Arial" w:cs="Arial" w:eastAsia="Arial" w:hAnsi="Arial"/>
          <w:sz w:val="18"/>
          <w:szCs w:val="18"/>
          <w:color w:val="auto"/>
        </w:rPr>
        <w:t>Some states have sought to assert jurisdiction over online education institutions that offer education services to residents in the state or to institutions that advertise or recruit in the state, notwithstanding the lack of a physical location in the state. State regulatory requirements for online education vary among the states, are not well developed in many states, are imprecise or unclear in some states and are subject to change. If KU is found not to be in compliance with an applicable state regulation and a state seeks to restrict one or more of KU’s business activities within its boundaries, KU may not be able to recruit or enroll students in that state and may have to cease providing services and recruiting in that state.</w:t>
      </w:r>
    </w:p>
    <w:p>
      <w:pPr>
        <w:spacing w:after="0" w:line="137" w:lineRule="exact"/>
        <w:rPr>
          <w:sz w:val="20"/>
          <w:szCs w:val="20"/>
          <w:color w:val="auto"/>
        </w:rPr>
      </w:pPr>
    </w:p>
    <w:p>
      <w:pPr>
        <w:spacing w:after="0" w:line="224" w:lineRule="auto"/>
        <w:rPr>
          <w:sz w:val="20"/>
          <w:szCs w:val="20"/>
          <w:color w:val="auto"/>
        </w:rPr>
      </w:pPr>
      <w:r>
        <w:rPr>
          <w:rFonts w:ascii="Arial" w:cs="Arial" w:eastAsia="Arial" w:hAnsi="Arial"/>
          <w:sz w:val="18"/>
          <w:szCs w:val="18"/>
          <w:color w:val="auto"/>
        </w:rPr>
        <w:t>ED regulations that went into effect on July 1, 2011, expanded the requirements for an institution to be considered legally authorized in the state in which it is physically located for Title IV purposes. In some cases, the regulations require states to revise their current requirements and/or to license schools in order for institutions to be deemed legally authorized in those states and, in turn, to participate in the Title IV programs. If the states do not amend their requirements where necessary and if schools do not receive approvals where necessary that comply with these requirements, the institution could be deemed to lack the state authorization necessary to participate in the Title IV programs, which would have a material adverse effect on Kaplan’s business and operations.</w:t>
      </w:r>
    </w:p>
    <w:p>
      <w:pPr>
        <w:spacing w:after="0" w:line="137" w:lineRule="exact"/>
        <w:rPr>
          <w:sz w:val="20"/>
          <w:szCs w:val="20"/>
          <w:color w:val="auto"/>
        </w:rPr>
      </w:pPr>
    </w:p>
    <w:p>
      <w:pPr>
        <w:spacing w:after="0" w:line="222" w:lineRule="auto"/>
        <w:rPr>
          <w:sz w:val="20"/>
          <w:szCs w:val="20"/>
          <w:color w:val="auto"/>
        </w:rPr>
      </w:pPr>
      <w:r>
        <w:rPr>
          <w:rFonts w:ascii="Arial" w:cs="Arial" w:eastAsia="Arial" w:hAnsi="Arial"/>
          <w:sz w:val="18"/>
          <w:szCs w:val="18"/>
          <w:color w:val="auto"/>
        </w:rPr>
        <w:t>On December 19, 2016, the ED issued final regulations regarding distance-education state authorization requirements that would require KU to be authorized in additional states, as well as regulations applicable to institutions with Title IV participating locations in a foreign country. Specifically, the regulations will require an institution that offers postsecondary education through distance education in a state in which the institution is not physically located, or in which the state determines that the institution is otherwise subject to the state’s jurisdiction, to meet the state’s authorization requirements for offering postsecondary distance education in that state. The regulations also will require the institution to document that there is a state process for review and appropriate action on complaints from enrolled students in each such state. In addition, the regulations will require the institution to provide public disclosures regarding various matters relating to its state authorization and to provide individualized disclosures to each prospective student regarding certain matters, including whether the student’s program does not meet licensure or certification prerequisites in the state in which the student resides. The regulations in certain circumstances consider an institution to be authorized in states that participate in a state authorization reciprocity agreement that covers the institution. The regulations are not scheduled to take effect until July 1, 2018. If Kaplan is unable to obtain the required approvals for distance-education programs by the effective</w:t>
      </w:r>
    </w:p>
    <w:p>
      <w:pPr>
        <w:spacing w:after="0" w:line="200" w:lineRule="exact"/>
        <w:rPr>
          <w:sz w:val="20"/>
          <w:szCs w:val="20"/>
          <w:color w:val="auto"/>
        </w:rPr>
      </w:pPr>
    </w:p>
    <w:p>
      <w:pPr>
        <w:spacing w:after="0" w:line="30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400"/>
          </w:cols>
          <w:pgMar w:left="240" w:top="746" w:right="259" w:bottom="1440" w:gutter="0" w:footer="0" w:header="0"/>
        </w:sectPr>
      </w:pPr>
    </w:p>
    <w:bookmarkStart w:id="30" w:name="page31"/>
    <w:bookmarkEnd w:id="30"/>
    <w:p>
      <w:pPr>
        <w:ind w:right="160"/>
        <w:spacing w:after="0" w:line="229" w:lineRule="auto"/>
        <w:rPr>
          <w:sz w:val="20"/>
          <w:szCs w:val="20"/>
          <w:color w:val="auto"/>
        </w:rPr>
      </w:pPr>
      <w:r>
        <w:rPr>
          <w:rFonts w:ascii="Arial" w:cs="Arial" w:eastAsia="Arial" w:hAnsi="Arial"/>
          <w:sz w:val="18"/>
          <w:szCs w:val="18"/>
          <w:color w:val="auto"/>
        </w:rPr>
        <w:t>date of the new regulations, then Kaplan students residing in the state for which approval was not obtained may be unable to receive Title IV funds, which could have a material adverse effect on Kaplan’s business and operations. Additionally, these rules may impact Concord’s ability to enroll students into its Juris Doctor program outside of California.</w:t>
      </w:r>
    </w:p>
    <w:p>
      <w:pPr>
        <w:spacing w:after="0" w:line="115" w:lineRule="exact"/>
        <w:rPr>
          <w:sz w:val="20"/>
          <w:szCs w:val="20"/>
          <w:color w:val="auto"/>
        </w:rPr>
      </w:pPr>
    </w:p>
    <w:p>
      <w:pPr>
        <w:ind w:left="260" w:right="380" w:hanging="252"/>
        <w:spacing w:after="0"/>
        <w:tabs>
          <w:tab w:leader="none" w:pos="260" w:val="left"/>
        </w:tabs>
        <w:numPr>
          <w:ilvl w:val="0"/>
          <w:numId w:val="20"/>
        </w:numPr>
        <w:rPr>
          <w:rFonts w:ascii="Arial" w:cs="Arial" w:eastAsia="Arial" w:hAnsi="Arial"/>
          <w:sz w:val="18"/>
          <w:szCs w:val="18"/>
          <w:b w:val="1"/>
          <w:bCs w:val="1"/>
          <w:color w:val="auto"/>
        </w:rPr>
      </w:pPr>
      <w:r>
        <w:rPr>
          <w:rFonts w:ascii="Arial" w:cs="Arial" w:eastAsia="Arial" w:hAnsi="Arial"/>
          <w:sz w:val="18"/>
          <w:szCs w:val="18"/>
          <w:b w:val="1"/>
          <w:bCs w:val="1"/>
          <w:color w:val="auto"/>
        </w:rPr>
        <w:t>Failure to Correctly Calculate or Timely Return Title IV Funds for Students Who Withdraw Prior to Completing Programs Could Result in a Requirement to Post a Letter of Credit or Other Sanctions</w:t>
      </w:r>
    </w:p>
    <w:p>
      <w:pPr>
        <w:spacing w:after="0" w:line="67" w:lineRule="exact"/>
        <w:rPr>
          <w:sz w:val="20"/>
          <w:szCs w:val="20"/>
          <w:color w:val="auto"/>
        </w:rPr>
      </w:pPr>
    </w:p>
    <w:p>
      <w:pPr>
        <w:ind w:right="40"/>
        <w:spacing w:after="0" w:line="223" w:lineRule="auto"/>
        <w:rPr>
          <w:sz w:val="20"/>
          <w:szCs w:val="20"/>
          <w:color w:val="auto"/>
        </w:rPr>
      </w:pPr>
      <w:r>
        <w:rPr>
          <w:rFonts w:ascii="Arial" w:cs="Arial" w:eastAsia="Arial" w:hAnsi="Arial"/>
          <w:sz w:val="18"/>
          <w:szCs w:val="18"/>
          <w:color w:val="auto"/>
        </w:rPr>
        <w:t>ED regulations require schools participating in Title IV programs to calculate correctly and return on a timely basis unearned Title IV funds disbursed to students who withdraw from a program of study prior to completion. These funds must be returned in a timely manner, generally within 45 days of the date the school determines that the student has withdrawn. Under ED regulations, failure to make timely returns of Title IV program funds for 5% or more of students sampled in a school’s annual compliance audit, or in a program review or OIG audit, could result in a requirement that the school post a letter of credit in an amount equal to 25% of its prior-year returns of Title IV program funds. If unearned funds are not properly calculated and returned in a timely manner, an institution may be subject to monetary liabilities, fines or other sanctions by the ED, including restrictions on its participation as a third-party servicer, that could have a material adverse effect on Kaplan’s results of operations.</w:t>
      </w:r>
    </w:p>
    <w:p>
      <w:pPr>
        <w:spacing w:after="0" w:line="118" w:lineRule="exact"/>
        <w:rPr>
          <w:sz w:val="20"/>
          <w:szCs w:val="20"/>
          <w:color w:val="auto"/>
        </w:rPr>
      </w:pPr>
    </w:p>
    <w:p>
      <w:pPr>
        <w:spacing w:after="0"/>
        <w:rPr>
          <w:sz w:val="20"/>
          <w:szCs w:val="20"/>
          <w:color w:val="auto"/>
        </w:rPr>
      </w:pPr>
      <w:r>
        <w:rPr>
          <w:rFonts w:ascii="Arial" w:cs="Arial" w:eastAsia="Arial" w:hAnsi="Arial"/>
          <w:sz w:val="18"/>
          <w:szCs w:val="18"/>
          <w:color w:val="auto"/>
        </w:rPr>
        <w:t>Kaplan recently determined that a procedural change that was implemented with respect to student financial aid refunds may not have been in</w:t>
      </w:r>
    </w:p>
    <w:p>
      <w:pPr>
        <w:spacing w:after="0" w:line="219" w:lineRule="auto"/>
        <w:rPr>
          <w:sz w:val="20"/>
          <w:szCs w:val="20"/>
          <w:color w:val="auto"/>
        </w:rPr>
      </w:pPr>
      <w:r>
        <w:rPr>
          <w:rFonts w:ascii="Arial" w:cs="Arial" w:eastAsia="Arial" w:hAnsi="Arial"/>
          <w:sz w:val="18"/>
          <w:szCs w:val="18"/>
          <w:color w:val="auto"/>
        </w:rPr>
        <w:t xml:space="preserve">accordance with the regulation governing return of financial aid for </w:t>
      </w:r>
      <w:r>
        <w:rPr>
          <w:rFonts w:ascii="Arial" w:cs="Arial" w:eastAsia="Arial" w:hAnsi="Arial"/>
          <w:sz w:val="18"/>
          <w:szCs w:val="18"/>
          <w:color w:val="222222"/>
        </w:rPr>
        <w:t>students who withdraw from a program prior to completion</w:t>
      </w:r>
      <w:r>
        <w:rPr>
          <w:rFonts w:ascii="Arial" w:cs="Arial" w:eastAsia="Arial" w:hAnsi="Arial"/>
          <w:sz w:val="18"/>
          <w:szCs w:val="18"/>
          <w:color w:val="auto"/>
        </w:rPr>
        <w:t>. Consequently,</w:t>
      </w:r>
    </w:p>
    <w:p>
      <w:pPr>
        <w:spacing w:after="0" w:line="219" w:lineRule="auto"/>
        <w:rPr>
          <w:sz w:val="20"/>
          <w:szCs w:val="20"/>
          <w:color w:val="auto"/>
        </w:rPr>
      </w:pPr>
      <w:r>
        <w:rPr>
          <w:rFonts w:ascii="Arial" w:cs="Arial" w:eastAsia="Arial" w:hAnsi="Arial"/>
          <w:sz w:val="18"/>
          <w:szCs w:val="18"/>
          <w:color w:val="auto"/>
        </w:rPr>
        <w:t>$8.4 million in estimated unreturned funds from prior periods was recorded in Kaplan’s fourth quarter 2017 results; this estimated refund liability</w:t>
      </w:r>
    </w:p>
    <w:p>
      <w:pPr>
        <w:spacing w:after="0" w:line="219" w:lineRule="auto"/>
        <w:rPr>
          <w:sz w:val="20"/>
          <w:szCs w:val="20"/>
          <w:color w:val="auto"/>
        </w:rPr>
      </w:pPr>
      <w:r>
        <w:rPr>
          <w:rFonts w:ascii="Arial" w:cs="Arial" w:eastAsia="Arial" w:hAnsi="Arial"/>
          <w:sz w:val="18"/>
          <w:szCs w:val="18"/>
          <w:color w:val="auto"/>
        </w:rPr>
        <w:t>is included in current liabilities on the Company’s consolidated balance sheet at December 31, 2017. No restatement of prior period financial</w:t>
      </w:r>
    </w:p>
    <w:p>
      <w:pPr>
        <w:spacing w:after="0" w:line="219" w:lineRule="auto"/>
        <w:rPr>
          <w:sz w:val="20"/>
          <w:szCs w:val="20"/>
          <w:color w:val="auto"/>
        </w:rPr>
      </w:pPr>
      <w:r>
        <w:rPr>
          <w:rFonts w:ascii="Arial" w:cs="Arial" w:eastAsia="Arial" w:hAnsi="Arial"/>
          <w:sz w:val="18"/>
          <w:szCs w:val="18"/>
          <w:color w:val="auto"/>
        </w:rPr>
        <w:t>statements and no change in previously reported financial results was required due to the immateriality of the adjustment for the periods</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presented. Kaplan has self-reported this matter to the ED.</w:t>
      </w:r>
    </w:p>
    <w:p>
      <w:pPr>
        <w:spacing w:after="0" w:line="144" w:lineRule="exact"/>
        <w:rPr>
          <w:sz w:val="20"/>
          <w:szCs w:val="20"/>
          <w:color w:val="auto"/>
        </w:rPr>
      </w:pPr>
    </w:p>
    <w:p>
      <w:pPr>
        <w:ind w:right="200"/>
        <w:spacing w:after="0" w:line="227" w:lineRule="auto"/>
        <w:rPr>
          <w:sz w:val="20"/>
          <w:szCs w:val="20"/>
          <w:color w:val="auto"/>
        </w:rPr>
      </w:pPr>
      <w:r>
        <w:rPr>
          <w:rFonts w:ascii="Arial" w:cs="Arial" w:eastAsia="Arial" w:hAnsi="Arial"/>
          <w:sz w:val="18"/>
          <w:szCs w:val="18"/>
          <w:color w:val="auto"/>
        </w:rPr>
        <w:t>If the transfer of KU is consummated, Kaplan would no longer own or operate KU, however, Kaplan would face the risks discussed above in connection with providing services to the new university. In addition, as a third-party servicer, Kaplan will be responsible for certain aspects of financial aid administration and could face adverse actions by the ED and potential claims under Kaplan’s service agreement with the new university if it fails to correctly calculate or timely return funds on behalf of the new university.</w:t>
      </w:r>
    </w:p>
    <w:p>
      <w:pPr>
        <w:spacing w:after="0" w:line="113" w:lineRule="exact"/>
        <w:rPr>
          <w:sz w:val="20"/>
          <w:szCs w:val="20"/>
          <w:color w:val="auto"/>
        </w:rPr>
      </w:pPr>
    </w:p>
    <w:p>
      <w:pPr>
        <w:ind w:left="260" w:right="520" w:hanging="252"/>
        <w:spacing w:after="0"/>
        <w:tabs>
          <w:tab w:leader="none" w:pos="260" w:val="left"/>
        </w:tabs>
        <w:numPr>
          <w:ilvl w:val="0"/>
          <w:numId w:val="21"/>
        </w:numPr>
        <w:rPr>
          <w:rFonts w:ascii="Arial" w:cs="Arial" w:eastAsia="Arial" w:hAnsi="Arial"/>
          <w:sz w:val="18"/>
          <w:szCs w:val="18"/>
          <w:b w:val="1"/>
          <w:bCs w:val="1"/>
          <w:color w:val="auto"/>
        </w:rPr>
      </w:pPr>
      <w:r>
        <w:rPr>
          <w:rFonts w:ascii="Arial" w:cs="Arial" w:eastAsia="Arial" w:hAnsi="Arial"/>
          <w:sz w:val="18"/>
          <w:szCs w:val="18"/>
          <w:b w:val="1"/>
          <w:bCs w:val="1"/>
          <w:color w:val="auto"/>
        </w:rPr>
        <w:t>Failure to Demonstrate Financial Responsibility Could Result in a Requirement to Submit Letters of Credit to the ED, Loss of Eligibility to Participate in Title IV Programs or Other Sanctions</w:t>
      </w:r>
    </w:p>
    <w:p>
      <w:pPr>
        <w:spacing w:after="0" w:line="67" w:lineRule="exact"/>
        <w:rPr>
          <w:sz w:val="20"/>
          <w:szCs w:val="20"/>
          <w:color w:val="auto"/>
        </w:rPr>
      </w:pPr>
    </w:p>
    <w:p>
      <w:pPr>
        <w:spacing w:after="0" w:line="232" w:lineRule="auto"/>
        <w:rPr>
          <w:sz w:val="20"/>
          <w:szCs w:val="20"/>
          <w:color w:val="auto"/>
        </w:rPr>
      </w:pPr>
      <w:r>
        <w:rPr>
          <w:rFonts w:ascii="Arial" w:cs="Arial" w:eastAsia="Arial" w:hAnsi="Arial"/>
          <w:sz w:val="18"/>
          <w:szCs w:val="18"/>
          <w:color w:val="auto"/>
        </w:rPr>
        <w:t>An institution participating in Title IV programs must maintain a certain level of financial responsibility as determined under the Higher Education Act and under ED regulations. The ED measures an institution’s financial responsibility by compiling a composite score, ranging from -0.1 to 3.0, pursuant to a formula that incorporates various financial data from annual financial statements submitted to the ED. An institution with a composite score of 1.5 or higher passes the composite test. An institution with a composite score of at least 1.0 and less than 1.5 is in the warning zone. If an institution’s composite score is in the warning zone and the institution complies with other financial responsibility standards, the ED typically permits the institution to continue participating in the Title IV programs under certain conditions, including imposing certain monitoring and reporting requirements, placing the institution on provisional certification and transferring the institution from the advance system of Title IV payment to a heightened cash-monitoring or reimbursement system of payment. An institution fails the composite score test with a score of less than 1.0. The ED may permit such institutions to continue participating in the Title IV programs under the aforementioned conditions and potentially other conditions, as well as a requirement to submit to the ED a letter of credit in an amount equal to at least 10% of the annual Title IV program funds received by the institution during its most recently completed fiscal year, although the ED could require a letter of credit based on a higher percentage of the institution’s annual Title IV program funds. The borrower defense to repayment regulations that were to take effect on July 1, 2017, but were subsequently delayed, expand the list of circumstances that could require an institution to provide the ED with a letter of credit or other form of acceptable financial protection. Moreover, the delayed borrower defense to repayment regulations may increase the required minimum letter of credit amount beyond 10% of annual Title IV funds to include additional amounts that the ED determines are needed to fully cover any estimated potential losses. If an institution is unable to submit a required letter of credit or to comply with ED imposed conditions, the institution could be subject to loss of Title IV eligibility, financial penalties and other conditions or sanctions. For the 2017 fiscal year, KU expects to have a composite score of 1.9, based on its own assessment using ED methodology. However, the ED will make its own determination once it receives and reviews KU’s audited financial statements for the 2017 fiscal year.</w:t>
      </w:r>
    </w:p>
    <w:p>
      <w:pPr>
        <w:spacing w:after="0" w:line="142" w:lineRule="exact"/>
        <w:rPr>
          <w:sz w:val="20"/>
          <w:szCs w:val="20"/>
          <w:color w:val="auto"/>
        </w:rPr>
      </w:pPr>
    </w:p>
    <w:p>
      <w:pPr>
        <w:spacing w:after="0" w:line="227" w:lineRule="auto"/>
        <w:rPr>
          <w:sz w:val="20"/>
          <w:szCs w:val="20"/>
          <w:color w:val="auto"/>
        </w:rPr>
      </w:pPr>
      <w:r>
        <w:rPr>
          <w:rFonts w:ascii="Arial" w:cs="Arial" w:eastAsia="Arial" w:hAnsi="Arial"/>
          <w:sz w:val="18"/>
          <w:szCs w:val="18"/>
          <w:color w:val="auto"/>
        </w:rPr>
        <w:t>If KU fails to meet the composite score standard or any of the other financial responsibility standards, it may be required to post a letter of credit in favor of the ED and possibly may be subject to other sanctions, including limitation or termination of its participation in Title IV programs. A requirement to post a letter of credit or the imposition of any one or more other sanctions by the ED could have a material adverse effect on Kaplan’s results of operations.</w:t>
      </w:r>
    </w:p>
    <w:p>
      <w:pPr>
        <w:spacing w:after="0" w:line="200" w:lineRule="exact"/>
        <w:rPr>
          <w:sz w:val="20"/>
          <w:szCs w:val="20"/>
          <w:color w:val="auto"/>
        </w:rPr>
      </w:pPr>
    </w:p>
    <w:p>
      <w:pPr>
        <w:spacing w:after="0" w:line="30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420"/>
          </w:cols>
          <w:pgMar w:left="240" w:top="746" w:right="239" w:bottom="1440" w:gutter="0" w:footer="0" w:header="0"/>
        </w:sectPr>
      </w:pPr>
    </w:p>
    <w:bookmarkStart w:id="31" w:name="page32"/>
    <w:bookmarkEnd w:id="31"/>
    <w:p>
      <w:pPr>
        <w:ind w:left="260" w:right="380" w:hanging="252"/>
        <w:spacing w:after="0"/>
        <w:tabs>
          <w:tab w:leader="none" w:pos="260" w:val="left"/>
        </w:tabs>
        <w:numPr>
          <w:ilvl w:val="0"/>
          <w:numId w:val="22"/>
        </w:numPr>
        <w:rPr>
          <w:rFonts w:ascii="Arial" w:cs="Arial" w:eastAsia="Arial" w:hAnsi="Arial"/>
          <w:sz w:val="18"/>
          <w:szCs w:val="18"/>
          <w:b w:val="1"/>
          <w:bCs w:val="1"/>
          <w:color w:val="auto"/>
        </w:rPr>
      </w:pPr>
      <w:r>
        <w:rPr>
          <w:rFonts w:ascii="Arial" w:cs="Arial" w:eastAsia="Arial" w:hAnsi="Arial"/>
          <w:sz w:val="18"/>
          <w:szCs w:val="18"/>
          <w:b w:val="1"/>
          <w:bCs w:val="1"/>
          <w:color w:val="auto"/>
        </w:rPr>
        <w:t>Failure to Demonstrate Administrative Capability Could Result in Loss of Eligibility to Participate in Title IV Programs or Other Sanctions</w:t>
      </w:r>
    </w:p>
    <w:p>
      <w:pPr>
        <w:spacing w:after="0" w:line="67" w:lineRule="exact"/>
        <w:rPr>
          <w:sz w:val="20"/>
          <w:szCs w:val="20"/>
          <w:color w:val="auto"/>
        </w:rPr>
      </w:pPr>
    </w:p>
    <w:p>
      <w:pPr>
        <w:ind w:right="100"/>
        <w:spacing w:after="0" w:line="223" w:lineRule="auto"/>
        <w:rPr>
          <w:sz w:val="20"/>
          <w:szCs w:val="20"/>
          <w:color w:val="auto"/>
        </w:rPr>
      </w:pPr>
      <w:r>
        <w:rPr>
          <w:rFonts w:ascii="Arial" w:cs="Arial" w:eastAsia="Arial" w:hAnsi="Arial"/>
          <w:sz w:val="18"/>
          <w:szCs w:val="18"/>
          <w:color w:val="auto"/>
        </w:rPr>
        <w:t>ED regulations specify extensive criteria that an institution must satisfy to establish that it has the required “administrative capability” to participate in Title IV programs. These criteria include, but are not limited to, requirements relating to the institution’s compliance with all applicable Title IV requirements; the institution’s administration of Title IV programs; the institution’s compliance with certain reporting, disclosure and record-keeping obligations; and the institution’s ability to maintain cohort default rates below prescribed thresholds. Failure to comply with these criteria could result in the loss or limitation of the eligibility of KU to participate in the Title IV programs, a requirement to pay fines or to repay Title IV program funds, a denial or refusal by the ED to consider a school’s application for renewal of its certification to participate in the Title IV programs, civil or criminal penalties or other sanctions. Any one or more of these actions by the ED could have a material adverse effect on Kaplan’s results of operations.</w:t>
      </w:r>
    </w:p>
    <w:p>
      <w:pPr>
        <w:spacing w:after="0" w:line="114" w:lineRule="exact"/>
        <w:rPr>
          <w:sz w:val="20"/>
          <w:szCs w:val="20"/>
          <w:color w:val="auto"/>
        </w:rPr>
      </w:pPr>
    </w:p>
    <w:p>
      <w:pPr>
        <w:ind w:left="260" w:right="540" w:hanging="252"/>
        <w:spacing w:after="0"/>
        <w:tabs>
          <w:tab w:leader="none" w:pos="260" w:val="left"/>
        </w:tabs>
        <w:numPr>
          <w:ilvl w:val="0"/>
          <w:numId w:val="23"/>
        </w:numPr>
        <w:rPr>
          <w:rFonts w:ascii="Arial" w:cs="Arial" w:eastAsia="Arial" w:hAnsi="Arial"/>
          <w:sz w:val="18"/>
          <w:szCs w:val="18"/>
          <w:b w:val="1"/>
          <w:bCs w:val="1"/>
          <w:color w:val="auto"/>
        </w:rPr>
      </w:pPr>
      <w:r>
        <w:rPr>
          <w:rFonts w:ascii="Arial" w:cs="Arial" w:eastAsia="Arial" w:hAnsi="Arial"/>
          <w:sz w:val="18"/>
          <w:szCs w:val="18"/>
          <w:b w:val="1"/>
          <w:bCs w:val="1"/>
          <w:color w:val="auto"/>
        </w:rPr>
        <w:t>Failure to Obtain Regulatory Approval of Transactions Involving a Change of Control May Result in the Loss of the Ability to Operate Schools or to Participate in U.S. Federal Student Financial Aid Programs</w:t>
      </w:r>
    </w:p>
    <w:p>
      <w:pPr>
        <w:spacing w:after="0" w:line="67" w:lineRule="exact"/>
        <w:rPr>
          <w:sz w:val="20"/>
          <w:szCs w:val="20"/>
          <w:color w:val="auto"/>
        </w:rPr>
      </w:pPr>
    </w:p>
    <w:p>
      <w:pPr>
        <w:ind w:right="60"/>
        <w:spacing w:after="0" w:line="223" w:lineRule="auto"/>
        <w:rPr>
          <w:sz w:val="20"/>
          <w:szCs w:val="20"/>
          <w:color w:val="auto"/>
        </w:rPr>
      </w:pPr>
      <w:r>
        <w:rPr>
          <w:rFonts w:ascii="Arial" w:cs="Arial" w:eastAsia="Arial" w:hAnsi="Arial"/>
          <w:sz w:val="18"/>
          <w:szCs w:val="18"/>
          <w:color w:val="auto"/>
        </w:rPr>
        <w:t>If KU experiences a change of control under the standards of applicable state agencies, accrediting agencies or the ED, it must seek the approval of the relevant agencies. An institution that undergoes a change of control, which may include a change of control of the institution’s parent corporation or other owners, must be reviewed and recertified by the ED and obtain approvals from certain state agencies and accrediting bodies, in some cases prior to the change of control. The failure of KU to reestablish its state authorization, accreditation or ED certification following a change of control as defined by the applicable agency could result in a suspension of operating authority or suspension or loss of U.S. Federal student financial aid funding, which could have a material adverse effect on KU’s student population and revenue. As discussed above, the potential transfer of KU is subject to regulatory approval by the ED, HLC and certain other education agencies.</w:t>
      </w:r>
    </w:p>
    <w:p>
      <w:pPr>
        <w:spacing w:after="0" w:line="117" w:lineRule="exact"/>
        <w:rPr>
          <w:sz w:val="20"/>
          <w:szCs w:val="20"/>
          <w:color w:val="auto"/>
        </w:rPr>
      </w:pPr>
    </w:p>
    <w:p>
      <w:pPr>
        <w:ind w:left="260" w:right="120" w:hanging="252"/>
        <w:spacing w:after="0"/>
        <w:tabs>
          <w:tab w:leader="none" w:pos="260" w:val="left"/>
        </w:tabs>
        <w:numPr>
          <w:ilvl w:val="0"/>
          <w:numId w:val="24"/>
        </w:numPr>
        <w:rPr>
          <w:rFonts w:ascii="Arial" w:cs="Arial" w:eastAsia="Arial" w:hAnsi="Arial"/>
          <w:sz w:val="18"/>
          <w:szCs w:val="18"/>
          <w:b w:val="1"/>
          <w:bCs w:val="1"/>
          <w:color w:val="auto"/>
        </w:rPr>
      </w:pPr>
      <w:r>
        <w:rPr>
          <w:rFonts w:ascii="Arial" w:cs="Arial" w:eastAsia="Arial" w:hAnsi="Arial"/>
          <w:sz w:val="18"/>
          <w:szCs w:val="18"/>
          <w:b w:val="1"/>
          <w:bCs w:val="1"/>
          <w:color w:val="auto"/>
        </w:rPr>
        <w:t>Changes in the Extent to Which Standardized Tests Are Used in the Admissions Process by Colleges or Graduate Schools Could Reduce Demand for KTP Offerings</w:t>
      </w:r>
    </w:p>
    <w:p>
      <w:pPr>
        <w:spacing w:after="0" w:line="67" w:lineRule="exact"/>
        <w:rPr>
          <w:sz w:val="20"/>
          <w:szCs w:val="20"/>
          <w:color w:val="auto"/>
        </w:rPr>
      </w:pPr>
    </w:p>
    <w:p>
      <w:pPr>
        <w:spacing w:after="0" w:line="224" w:lineRule="auto"/>
        <w:rPr>
          <w:sz w:val="20"/>
          <w:szCs w:val="20"/>
          <w:color w:val="auto"/>
        </w:rPr>
      </w:pPr>
      <w:r>
        <w:rPr>
          <w:rFonts w:ascii="Arial" w:cs="Arial" w:eastAsia="Arial" w:hAnsi="Arial"/>
          <w:sz w:val="18"/>
          <w:szCs w:val="18"/>
          <w:color w:val="auto"/>
        </w:rPr>
        <w:t>A substantial portion of Kaplan’s revenue is generated by KTP. The source of this income is fees charged for courses that prepare students for a broad range of admissions examinations that are required for admission to colleges and graduate schools. Historically, colleges and graduate schools have required standardized tests as part of the admissions process. There has been some movement away from this historical reliance on standardized admissions tests among a small number of colleges that have adopted “test-optional” admissions policies. Any significant reduction in the use of standardized tests in the college or graduate school admissions process could have an adverse effect on Kaplan’s operating results.</w:t>
      </w:r>
    </w:p>
    <w:p>
      <w:pPr>
        <w:spacing w:after="0" w:line="115" w:lineRule="exact"/>
        <w:rPr>
          <w:sz w:val="20"/>
          <w:szCs w:val="20"/>
          <w:color w:val="auto"/>
        </w:rPr>
      </w:pPr>
    </w:p>
    <w:p>
      <w:pPr>
        <w:ind w:left="260" w:right="680" w:hanging="252"/>
        <w:spacing w:after="0"/>
        <w:tabs>
          <w:tab w:leader="none" w:pos="260" w:val="left"/>
        </w:tabs>
        <w:numPr>
          <w:ilvl w:val="0"/>
          <w:numId w:val="25"/>
        </w:numPr>
        <w:rPr>
          <w:rFonts w:ascii="Arial" w:cs="Arial" w:eastAsia="Arial" w:hAnsi="Arial"/>
          <w:sz w:val="18"/>
          <w:szCs w:val="18"/>
          <w:b w:val="1"/>
          <w:bCs w:val="1"/>
          <w:color w:val="auto"/>
        </w:rPr>
      </w:pPr>
      <w:r>
        <w:rPr>
          <w:rFonts w:ascii="Arial" w:cs="Arial" w:eastAsia="Arial" w:hAnsi="Arial"/>
          <w:sz w:val="18"/>
          <w:szCs w:val="18"/>
          <w:b w:val="1"/>
          <w:bCs w:val="1"/>
          <w:color w:val="auto"/>
        </w:rPr>
        <w:t>Changes in the Extent to Which Licensing and Proficiency Examinations Are Used to Qualify Individuals to Pursue Certain Careers Could Reduce Demand for Kaplan Offerings</w:t>
      </w:r>
    </w:p>
    <w:p>
      <w:pPr>
        <w:spacing w:after="0" w:line="67" w:lineRule="exact"/>
        <w:rPr>
          <w:sz w:val="20"/>
          <w:szCs w:val="20"/>
          <w:color w:val="auto"/>
        </w:rPr>
      </w:pPr>
    </w:p>
    <w:p>
      <w:pPr>
        <w:ind w:right="160"/>
        <w:spacing w:after="0" w:line="229" w:lineRule="auto"/>
        <w:rPr>
          <w:sz w:val="20"/>
          <w:szCs w:val="20"/>
          <w:color w:val="auto"/>
        </w:rPr>
      </w:pPr>
      <w:r>
        <w:rPr>
          <w:rFonts w:ascii="Arial" w:cs="Arial" w:eastAsia="Arial" w:hAnsi="Arial"/>
          <w:sz w:val="18"/>
          <w:szCs w:val="18"/>
          <w:color w:val="auto"/>
        </w:rPr>
        <w:t>A substantial portion of PACE and Kaplan International’s revenue comes from preparing individuals for licensing or technical proficiency examinations in various fields. Any significant relaxation or elimination of licensing or technical proficiency requirements in those fields served by PACE and Kaplan International’s businesses could negatively impact Kaplan’s operating results.</w:t>
      </w:r>
    </w:p>
    <w:p>
      <w:pPr>
        <w:spacing w:after="0" w:line="115" w:lineRule="exact"/>
        <w:rPr>
          <w:sz w:val="20"/>
          <w:szCs w:val="20"/>
          <w:color w:val="auto"/>
        </w:rPr>
      </w:pPr>
    </w:p>
    <w:p>
      <w:pPr>
        <w:ind w:left="260" w:hanging="252"/>
        <w:spacing w:after="0"/>
        <w:tabs>
          <w:tab w:leader="none" w:pos="260" w:val="left"/>
        </w:tabs>
        <w:numPr>
          <w:ilvl w:val="0"/>
          <w:numId w:val="26"/>
        </w:numPr>
        <w:rPr>
          <w:rFonts w:ascii="Arial" w:cs="Arial" w:eastAsia="Arial" w:hAnsi="Arial"/>
          <w:sz w:val="18"/>
          <w:szCs w:val="18"/>
          <w:b w:val="1"/>
          <w:bCs w:val="1"/>
          <w:color w:val="auto"/>
        </w:rPr>
      </w:pPr>
      <w:r>
        <w:rPr>
          <w:rFonts w:ascii="Arial" w:cs="Arial" w:eastAsia="Arial" w:hAnsi="Arial"/>
          <w:sz w:val="18"/>
          <w:szCs w:val="18"/>
          <w:b w:val="1"/>
          <w:bCs w:val="1"/>
          <w:color w:val="auto"/>
        </w:rPr>
        <w:t>Difficulties of Managing Foreign Operations Could Negatively Affect Kaplan’s Business</w:t>
      </w:r>
    </w:p>
    <w:p>
      <w:pPr>
        <w:spacing w:after="0" w:line="99" w:lineRule="exact"/>
        <w:rPr>
          <w:sz w:val="20"/>
          <w:szCs w:val="20"/>
          <w:color w:val="auto"/>
        </w:rPr>
      </w:pPr>
    </w:p>
    <w:p>
      <w:pPr>
        <w:ind w:right="60"/>
        <w:spacing w:after="0" w:line="224" w:lineRule="auto"/>
        <w:rPr>
          <w:sz w:val="20"/>
          <w:szCs w:val="20"/>
          <w:color w:val="auto"/>
        </w:rPr>
      </w:pPr>
      <w:r>
        <w:rPr>
          <w:rFonts w:ascii="Arial" w:cs="Arial" w:eastAsia="Arial" w:hAnsi="Arial"/>
          <w:sz w:val="18"/>
          <w:szCs w:val="18"/>
          <w:color w:val="auto"/>
        </w:rPr>
        <w:t>Kaplan has operations and investments in a growing number of foreign countries, including Australia, Canada, China, Colombia, France, Hong Kong, India, Ireland, Japan, New Zealand, Nigeria, Singapore, the U.K. and Venezuela. Kaplan also conducts business in the Middle East. Operating in foreign countries presents a number of inherent risks, including the difficulties of complying with unfamiliar laws and regulations, effectively managing and staffing foreign operations, successfully navigating local customs and practices, preparing for potential political and economic instability and adapting to currency exchange rate fluctuations. Failure to effectively manage these risks could have a material adverse effect on Kaplan’s operating results.</w:t>
      </w:r>
    </w:p>
    <w:p>
      <w:pPr>
        <w:spacing w:after="0" w:line="115" w:lineRule="exact"/>
        <w:rPr>
          <w:sz w:val="20"/>
          <w:szCs w:val="20"/>
          <w:color w:val="auto"/>
        </w:rPr>
      </w:pPr>
    </w:p>
    <w:p>
      <w:pPr>
        <w:ind w:left="260" w:right="1020" w:hanging="252"/>
        <w:spacing w:after="0"/>
        <w:tabs>
          <w:tab w:leader="none" w:pos="260" w:val="left"/>
        </w:tabs>
        <w:numPr>
          <w:ilvl w:val="0"/>
          <w:numId w:val="27"/>
        </w:numPr>
        <w:rPr>
          <w:rFonts w:ascii="Arial" w:cs="Arial" w:eastAsia="Arial" w:hAnsi="Arial"/>
          <w:sz w:val="18"/>
          <w:szCs w:val="18"/>
          <w:b w:val="1"/>
          <w:bCs w:val="1"/>
          <w:color w:val="auto"/>
        </w:rPr>
      </w:pPr>
      <w:r>
        <w:rPr>
          <w:rFonts w:ascii="Arial" w:cs="Arial" w:eastAsia="Arial" w:hAnsi="Arial"/>
          <w:sz w:val="18"/>
          <w:szCs w:val="18"/>
          <w:b w:val="1"/>
          <w:bCs w:val="1"/>
          <w:color w:val="auto"/>
        </w:rPr>
        <w:t>Changes in International Regulatory and Physical Environments and Failure to Comply With Regulations Applicable to International Operations Could Negatively Affect International Student Enrollments and Kaplan’s Business</w:t>
      </w:r>
    </w:p>
    <w:p>
      <w:pPr>
        <w:spacing w:after="0" w:line="67" w:lineRule="exact"/>
        <w:rPr>
          <w:sz w:val="20"/>
          <w:szCs w:val="20"/>
          <w:color w:val="auto"/>
        </w:rPr>
      </w:pPr>
    </w:p>
    <w:p>
      <w:pPr>
        <w:ind w:right="100"/>
        <w:spacing w:after="0" w:line="227" w:lineRule="auto"/>
        <w:rPr>
          <w:sz w:val="20"/>
          <w:szCs w:val="20"/>
          <w:color w:val="auto"/>
        </w:rPr>
      </w:pPr>
      <w:r>
        <w:rPr>
          <w:rFonts w:ascii="Arial" w:cs="Arial" w:eastAsia="Arial" w:hAnsi="Arial"/>
          <w:sz w:val="18"/>
          <w:szCs w:val="18"/>
          <w:color w:val="auto"/>
        </w:rPr>
        <w:t>Any significant changes to the regulatory environment, or other factors, including geopolitical instability, imposition of international sanctions or a natural disaster or pandemic in either the students’ countries of origin or countries in which they desire to study, could negatively affect Kaplan’s ability to attract and retain students and negatively affect Kaplan’s operating results. In addition, any significant changes to the tax environment in a country in which KI operates could negatively affect its operating results.</w:t>
      </w:r>
    </w:p>
    <w:p>
      <w:pPr>
        <w:spacing w:after="0" w:line="135" w:lineRule="exact"/>
        <w:rPr>
          <w:sz w:val="20"/>
          <w:szCs w:val="20"/>
          <w:color w:val="auto"/>
        </w:rPr>
      </w:pPr>
    </w:p>
    <w:p>
      <w:pPr>
        <w:jc w:val="both"/>
        <w:ind w:right="100"/>
        <w:spacing w:after="0" w:line="229" w:lineRule="auto"/>
        <w:rPr>
          <w:sz w:val="20"/>
          <w:szCs w:val="20"/>
          <w:color w:val="auto"/>
        </w:rPr>
      </w:pPr>
      <w:r>
        <w:rPr>
          <w:rFonts w:ascii="Arial" w:cs="Arial" w:eastAsia="Arial" w:hAnsi="Arial"/>
          <w:sz w:val="18"/>
          <w:szCs w:val="18"/>
          <w:color w:val="auto"/>
        </w:rPr>
        <w:t>Kaplan is subject to a wide range of regulations relating to its international operations. These include domestic laws with extra-territorial reach, such as the U.S. Foreign Corrupt Practices Act; international laws, such as the U.K. Bribery Act; as well as the local regulatory regimes of the countries in which Kaplan operates. These regulations</w:t>
      </w:r>
    </w:p>
    <w:p>
      <w:pPr>
        <w:spacing w:after="0" w:line="200" w:lineRule="exact"/>
        <w:rPr>
          <w:sz w:val="20"/>
          <w:szCs w:val="20"/>
          <w:color w:val="auto"/>
        </w:rPr>
      </w:pPr>
    </w:p>
    <w:p>
      <w:pPr>
        <w:spacing w:after="0" w:line="30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400"/>
          </w:cols>
          <w:pgMar w:left="240" w:top="724" w:right="259" w:bottom="1440" w:gutter="0" w:footer="0" w:header="0"/>
        </w:sectPr>
      </w:pPr>
    </w:p>
    <w:bookmarkStart w:id="32" w:name="page33"/>
    <w:bookmarkEnd w:id="32"/>
    <w:p>
      <w:pPr>
        <w:jc w:val="both"/>
        <w:ind w:right="380"/>
        <w:spacing w:after="0" w:line="229" w:lineRule="auto"/>
        <w:rPr>
          <w:sz w:val="20"/>
          <w:szCs w:val="20"/>
          <w:color w:val="auto"/>
        </w:rPr>
      </w:pPr>
      <w:r>
        <w:rPr>
          <w:rFonts w:ascii="Arial" w:cs="Arial" w:eastAsia="Arial" w:hAnsi="Arial"/>
          <w:sz w:val="18"/>
          <w:szCs w:val="18"/>
          <w:color w:val="auto"/>
        </w:rPr>
        <w:t>change frequently. Compliance with these regulations requires utmost vigilance. Failure to comply can result in the imposition of significant penalties or revocation of Kaplan’s authority to operate in the applicable jurisdiction, each of which could have a material adverse effect on Kaplan’s operating results.</w:t>
      </w:r>
    </w:p>
    <w:p>
      <w:pPr>
        <w:spacing w:after="0" w:line="137" w:lineRule="exact"/>
        <w:rPr>
          <w:sz w:val="20"/>
          <w:szCs w:val="20"/>
          <w:color w:val="auto"/>
        </w:rPr>
      </w:pPr>
    </w:p>
    <w:p>
      <w:pPr>
        <w:ind w:right="60"/>
        <w:spacing w:after="0" w:line="224" w:lineRule="auto"/>
        <w:rPr>
          <w:sz w:val="20"/>
          <w:szCs w:val="20"/>
          <w:color w:val="auto"/>
        </w:rPr>
      </w:pPr>
      <w:r>
        <w:rPr>
          <w:rFonts w:ascii="Arial" w:cs="Arial" w:eastAsia="Arial" w:hAnsi="Arial"/>
          <w:sz w:val="18"/>
          <w:szCs w:val="18"/>
          <w:color w:val="auto"/>
        </w:rPr>
        <w:t>Kaplan International’s operations, institutions and programs in the United States may be subject to state-level regulation and oversight by state regulatory agencies, whose approval or exemption from approval is necessary to allow an institution to operate in the state. These agencies may establish standards for instruction, qualifications of faculty, location and nature of facilities, financial policies and responsibility, and other operational matters. Institutions that seek to admit international students are required to be federally certified and legally authorized to operate in the state in which the institution is physically located in order to be allowed to issue the relevant documentation to permit international students to obtain a visa.</w:t>
      </w:r>
    </w:p>
    <w:p>
      <w:pPr>
        <w:spacing w:after="0" w:line="137" w:lineRule="exact"/>
        <w:rPr>
          <w:sz w:val="20"/>
          <w:szCs w:val="20"/>
          <w:color w:val="auto"/>
        </w:rPr>
      </w:pPr>
    </w:p>
    <w:p>
      <w:pPr>
        <w:spacing w:after="0" w:line="221" w:lineRule="auto"/>
        <w:rPr>
          <w:sz w:val="20"/>
          <w:szCs w:val="20"/>
          <w:color w:val="auto"/>
        </w:rPr>
      </w:pPr>
      <w:r>
        <w:rPr>
          <w:rFonts w:ascii="Arial" w:cs="Arial" w:eastAsia="Arial" w:hAnsi="Arial"/>
          <w:sz w:val="18"/>
          <w:szCs w:val="18"/>
          <w:color w:val="auto"/>
        </w:rPr>
        <w:t>A substantial portion of Kaplan International’s revenue comes from programs that prepare international students to study and travel in English-speaking countries, principally the U.S., the U.K., Australia and Singapore. Kaplan International’s ability to enroll students in these programs is directly dependent on its ability to comply with complex regulatory environments. For example, on June 23, 2016, the U.K. held a referendum in which voters approved a proposal that the U.K. leave the EU, commonly referred to as “Brexit.” The impact on Kaplan International from Brexit will depend, in part, on the outcome of future negotiations regarding the terms of the U.K.’s withdrawal from the EU, possibly including any transition period. The timing of the negotiations and their impact on recruitment of international students is uncertain. The outcome may disrupt the free movement of students and employees. It is possible that EU nationals’ ability to enter the U.K. for long- or short-term study will change or that changes in laws affecting EU nationals could also apply to international students presently covered by the Tier 4 (KI Pathways) or student visitor visa regime (KI English). It is also unclear how international student recruitment agents and prospective international students will view the U.K. as a study destination after the EU exit negotiations and the U.K.’s eventual departure from the EU. If the U.K. exit from the EU and related perceptions of the U.K. as a study destination have a significant negative impact on Kaplan’s ability to recruit international students, Kaplan’s results of operations and cash flows could be materially and adversely impacted.</w:t>
      </w:r>
    </w:p>
    <w:p>
      <w:pPr>
        <w:spacing w:after="0" w:line="144" w:lineRule="exact"/>
        <w:rPr>
          <w:sz w:val="20"/>
          <w:szCs w:val="20"/>
          <w:color w:val="auto"/>
        </w:rPr>
      </w:pPr>
    </w:p>
    <w:p>
      <w:pPr>
        <w:ind w:right="60"/>
        <w:spacing w:after="0" w:line="224" w:lineRule="auto"/>
        <w:rPr>
          <w:sz w:val="20"/>
          <w:szCs w:val="20"/>
          <w:color w:val="auto"/>
        </w:rPr>
      </w:pPr>
      <w:r>
        <w:rPr>
          <w:rFonts w:ascii="Arial" w:cs="Arial" w:eastAsia="Arial" w:hAnsi="Arial"/>
          <w:sz w:val="18"/>
          <w:szCs w:val="18"/>
          <w:color w:val="auto"/>
        </w:rPr>
        <w:t>On January 27, 2017, President Trump signed an executive order barring citizens from Syria, Iraq, Iran, Yemen, Libya, Somalia, and Sudan from entering the U.S. for a certain period of time. In December 2017, the U.S. Supreme Court permitted a modified version of the order to become effective with respect to citizens of Chad, Iran, Libya, Somalia, Syria and Yemen, together with North Korea and certain nationals from Venezuela. This order has been the subject of significant international press interest. Negative perceptions regarding travel to the U.S. could have a significant negative impact on Kaplan’s ability to recruit international students, and Kaplan’s business could be adversely and materially impacted.</w:t>
      </w:r>
    </w:p>
    <w:p>
      <w:pPr>
        <w:spacing w:after="0" w:line="137" w:lineRule="exact"/>
        <w:rPr>
          <w:sz w:val="20"/>
          <w:szCs w:val="20"/>
          <w:color w:val="auto"/>
        </w:rPr>
      </w:pPr>
    </w:p>
    <w:p>
      <w:pPr>
        <w:spacing w:after="0" w:line="224" w:lineRule="auto"/>
        <w:rPr>
          <w:sz w:val="20"/>
          <w:szCs w:val="20"/>
          <w:color w:val="auto"/>
        </w:rPr>
      </w:pPr>
      <w:r>
        <w:rPr>
          <w:rFonts w:ascii="Arial" w:cs="Arial" w:eastAsia="Arial" w:hAnsi="Arial"/>
          <w:sz w:val="18"/>
          <w:szCs w:val="18"/>
          <w:color w:val="auto"/>
        </w:rPr>
        <w:t>In December 2017, the Australian government established a Royal Commission into Misconduct in the Banking Superannuation and Financial Services Industry. The Commission is expected to issue an interim report by September 30, 2018, and a final report by February 2019. This could impact the Kaplan Professional business in Australia as local financial services firms will devote resources and funds to responding to the Commission, diverting resources from training programs and other discretionary spending. The Commission could further make recommendations concerning new laws and regulatory requirements across the affected industries, which would further increase the compliance burden on affected firms and thus impact spending on training.</w:t>
      </w:r>
    </w:p>
    <w:p>
      <w:pPr>
        <w:spacing w:after="0" w:line="115" w:lineRule="exact"/>
        <w:rPr>
          <w:sz w:val="20"/>
          <w:szCs w:val="20"/>
          <w:color w:val="auto"/>
        </w:rPr>
      </w:pPr>
    </w:p>
    <w:p>
      <w:pPr>
        <w:ind w:left="260" w:right="80" w:hanging="252"/>
        <w:spacing w:after="0" w:line="256" w:lineRule="auto"/>
        <w:tabs>
          <w:tab w:leader="none" w:pos="260" w:val="left"/>
        </w:tabs>
        <w:numPr>
          <w:ilvl w:val="0"/>
          <w:numId w:val="28"/>
        </w:numPr>
        <w:rPr>
          <w:rFonts w:ascii="Arial" w:cs="Arial" w:eastAsia="Arial" w:hAnsi="Arial"/>
          <w:sz w:val="18"/>
          <w:szCs w:val="18"/>
          <w:b w:val="1"/>
          <w:bCs w:val="1"/>
          <w:color w:val="auto"/>
        </w:rPr>
      </w:pPr>
      <w:r>
        <w:rPr>
          <w:rFonts w:ascii="Arial" w:cs="Arial" w:eastAsia="Arial" w:hAnsi="Arial"/>
          <w:sz w:val="18"/>
          <w:szCs w:val="18"/>
          <w:b w:val="1"/>
          <w:bCs w:val="1"/>
          <w:color w:val="auto"/>
        </w:rPr>
        <w:t>System Disruptions and Security Threats to the Company’s Information Technology Infrastructure Could Have a Material Adverse Effect on Its Businesses</w:t>
      </w:r>
    </w:p>
    <w:p>
      <w:pPr>
        <w:spacing w:after="0" w:line="121" w:lineRule="exact"/>
        <w:rPr>
          <w:sz w:val="20"/>
          <w:szCs w:val="20"/>
          <w:color w:val="auto"/>
        </w:rPr>
      </w:pPr>
    </w:p>
    <w:p>
      <w:pPr>
        <w:ind w:right="60"/>
        <w:spacing w:after="0" w:line="225" w:lineRule="auto"/>
        <w:rPr>
          <w:sz w:val="20"/>
          <w:szCs w:val="20"/>
          <w:color w:val="auto"/>
        </w:rPr>
      </w:pPr>
      <w:r>
        <w:rPr>
          <w:rFonts w:ascii="Arial" w:cs="Arial" w:eastAsia="Arial" w:hAnsi="Arial"/>
          <w:sz w:val="18"/>
          <w:szCs w:val="18"/>
          <w:color w:val="auto"/>
        </w:rPr>
        <w:t>Kaplan’s reputation and ability to attract and retain students is highly dependent on the performance and reliability of its information technology platforms with respect to its online and campus-based education offerings. Kaplan’s delivery of these programs could be negatively affected due to events beyond its control, including natural disasters and network and telecommunications failures. Any such computer system error or failure could result in a significant outage that materially disrupts Kaplan’s online and on-ground operations and could have a material adverse effect on Kaplan’s business.</w:t>
      </w:r>
    </w:p>
    <w:p>
      <w:pPr>
        <w:spacing w:after="0" w:line="137" w:lineRule="exact"/>
        <w:rPr>
          <w:sz w:val="20"/>
          <w:szCs w:val="20"/>
          <w:color w:val="auto"/>
        </w:rPr>
      </w:pPr>
    </w:p>
    <w:p>
      <w:pPr>
        <w:ind w:right="20"/>
        <w:spacing w:after="0" w:line="223" w:lineRule="auto"/>
        <w:rPr>
          <w:sz w:val="20"/>
          <w:szCs w:val="20"/>
          <w:color w:val="auto"/>
        </w:rPr>
      </w:pPr>
      <w:r>
        <w:rPr>
          <w:rFonts w:ascii="Arial" w:cs="Arial" w:eastAsia="Arial" w:hAnsi="Arial"/>
          <w:sz w:val="18"/>
          <w:szCs w:val="18"/>
          <w:color w:val="auto"/>
        </w:rPr>
        <w:t>The Company’s computer networks may also be vulnerable to unauthorized access, computer hackers, computer viruses and other security threats. Despite the Company’s efforts to prevent security breaches, including unauthorized access to student and patient data, personally identifiable information and information of certain counterparties that share information with the Company, its systems may still be vulnerable to these threats. A user who circumvents security measures could misappropriate proprietary information or information of certain counterparties that share information with the Company, or cause disruptions or malfunctions in operations. To the extent such vulnerabilities require remediation, such remedial measures could require significant resources and may not be implemented before such vulnerabilities are exploited. As the cybersecurity landscape evolves, we may also find it necessary to make significant further investments to protect data and infrastructure. Any of these events could have a material adverse effect on the Company’s business and results of operations.</w:t>
      </w:r>
    </w:p>
    <w:p>
      <w:pPr>
        <w:spacing w:after="0" w:line="200" w:lineRule="exact"/>
        <w:rPr>
          <w:sz w:val="20"/>
          <w:szCs w:val="20"/>
          <w:color w:val="auto"/>
        </w:rPr>
      </w:pPr>
    </w:p>
    <w:p>
      <w:pPr>
        <w:spacing w:after="0" w:line="30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400"/>
          </w:cols>
          <w:pgMar w:left="240" w:top="746" w:right="259" w:bottom="1440" w:gutter="0" w:footer="0" w:header="0"/>
        </w:sectPr>
      </w:pPr>
    </w:p>
    <w:bookmarkStart w:id="33" w:name="page34"/>
    <w:bookmarkEnd w:id="33"/>
    <w:p>
      <w:pPr>
        <w:ind w:left="260" w:hanging="252"/>
        <w:spacing w:after="0"/>
        <w:tabs>
          <w:tab w:leader="none" w:pos="260" w:val="left"/>
        </w:tabs>
        <w:numPr>
          <w:ilvl w:val="0"/>
          <w:numId w:val="29"/>
        </w:numPr>
        <w:rPr>
          <w:rFonts w:ascii="Arial" w:cs="Arial" w:eastAsia="Arial" w:hAnsi="Arial"/>
          <w:sz w:val="18"/>
          <w:szCs w:val="18"/>
          <w:b w:val="1"/>
          <w:bCs w:val="1"/>
          <w:color w:val="auto"/>
        </w:rPr>
      </w:pPr>
      <w:r>
        <w:rPr>
          <w:rFonts w:ascii="Arial" w:cs="Arial" w:eastAsia="Arial" w:hAnsi="Arial"/>
          <w:sz w:val="18"/>
          <w:szCs w:val="18"/>
          <w:b w:val="1"/>
          <w:bCs w:val="1"/>
          <w:color w:val="auto"/>
        </w:rPr>
        <w:t>Failure to Successfully Assimilate Acquired Businesses Could Negatively Affect the Company’s Business</w:t>
      </w:r>
    </w:p>
    <w:p>
      <w:pPr>
        <w:spacing w:after="0" w:line="166" w:lineRule="exact"/>
        <w:rPr>
          <w:sz w:val="20"/>
          <w:szCs w:val="20"/>
          <w:color w:val="auto"/>
        </w:rPr>
      </w:pPr>
    </w:p>
    <w:p>
      <w:pPr>
        <w:spacing w:after="0" w:line="223" w:lineRule="auto"/>
        <w:rPr>
          <w:sz w:val="20"/>
          <w:szCs w:val="20"/>
          <w:color w:val="auto"/>
        </w:rPr>
      </w:pPr>
      <w:r>
        <w:rPr>
          <w:rFonts w:ascii="Arial" w:cs="Arial" w:eastAsia="Arial" w:hAnsi="Arial"/>
          <w:sz w:val="18"/>
          <w:szCs w:val="18"/>
          <w:color w:val="auto"/>
        </w:rPr>
        <w:t>The Company’s Kaplan subsidiary has historically been an active acquirer of businesses that provide educational services. Kaplan completed two acquisitions in 2017 and expects to continue to acquire businesses from time to time, as do the Company and its other subsidiaries. Acquisitions involve various inherent risks and uncertainties, including difficulties in efficiently integrating the service offerings, accounting and other administrative systems of an acquired business; the challenges of assimilating and retaining key personnel; the consequences of diverting the attention of senior management from existing operations; the possibility that an acquired business does not meet or exceed the financial projections that supported the purchase price; and the possible failure of the due diligence process to identify significant business risks or undisclosed liabilities associated with the acquired business. A failure to effectively manage growth and integrate acquired businesses could have a material adverse effect on the Company</w:t>
      </w:r>
      <w:r>
        <w:rPr>
          <w:rFonts w:ascii="Arial" w:cs="Arial" w:eastAsia="Arial" w:hAnsi="Arial"/>
          <w:sz w:val="14"/>
          <w:szCs w:val="14"/>
          <w:b w:val="1"/>
          <w:bCs w:val="1"/>
          <w:color w:val="auto"/>
        </w:rPr>
        <w:t>’</w:t>
      </w:r>
      <w:r>
        <w:rPr>
          <w:rFonts w:ascii="Arial" w:cs="Arial" w:eastAsia="Arial" w:hAnsi="Arial"/>
          <w:sz w:val="18"/>
          <w:szCs w:val="18"/>
          <w:color w:val="auto"/>
        </w:rPr>
        <w:t>s operating results.</w:t>
      </w:r>
    </w:p>
    <w:p>
      <w:pPr>
        <w:spacing w:after="0" w:line="114" w:lineRule="exact"/>
        <w:rPr>
          <w:sz w:val="20"/>
          <w:szCs w:val="20"/>
          <w:color w:val="auto"/>
        </w:rPr>
      </w:pPr>
    </w:p>
    <w:p>
      <w:pPr>
        <w:ind w:left="260" w:right="460" w:hanging="252"/>
        <w:spacing w:after="0"/>
        <w:tabs>
          <w:tab w:leader="none" w:pos="260" w:val="left"/>
        </w:tabs>
        <w:numPr>
          <w:ilvl w:val="0"/>
          <w:numId w:val="30"/>
        </w:numPr>
        <w:rPr>
          <w:rFonts w:ascii="Arial" w:cs="Arial" w:eastAsia="Arial" w:hAnsi="Arial"/>
          <w:sz w:val="18"/>
          <w:szCs w:val="18"/>
          <w:b w:val="1"/>
          <w:bCs w:val="1"/>
          <w:color w:val="auto"/>
        </w:rPr>
      </w:pPr>
      <w:r>
        <w:rPr>
          <w:rFonts w:ascii="Arial" w:cs="Arial" w:eastAsia="Arial" w:hAnsi="Arial"/>
          <w:sz w:val="18"/>
          <w:szCs w:val="18"/>
          <w:b w:val="1"/>
          <w:bCs w:val="1"/>
          <w:color w:val="auto"/>
        </w:rPr>
        <w:t>Changing Perceptions About the Effectiveness of Television Broadcasting in Delivering Advertising May Adversely Affect the Profitability of Television Broadcasting</w:t>
      </w:r>
    </w:p>
    <w:p>
      <w:pPr>
        <w:spacing w:after="0" w:line="67" w:lineRule="exact"/>
        <w:rPr>
          <w:sz w:val="20"/>
          <w:szCs w:val="20"/>
          <w:color w:val="auto"/>
        </w:rPr>
      </w:pPr>
    </w:p>
    <w:p>
      <w:pPr>
        <w:ind w:right="200"/>
        <w:spacing w:after="0" w:line="245" w:lineRule="auto"/>
        <w:rPr>
          <w:sz w:val="20"/>
          <w:szCs w:val="20"/>
          <w:color w:val="auto"/>
        </w:rPr>
      </w:pPr>
      <w:r>
        <w:rPr>
          <w:rFonts w:ascii="Arial" w:cs="Arial" w:eastAsia="Arial" w:hAnsi="Arial"/>
          <w:sz w:val="17"/>
          <w:szCs w:val="17"/>
          <w:color w:val="auto"/>
        </w:rPr>
        <w:t>Historically, television broadcasting has been viewed as a cost-effective method of delivering various forms of advertising. There can be no guarantee that this historical perception will guide future decisions by advertisers. To the extent that advertisers shift advertising expenditures away from television to other media outlets, the profitability of the Company’s television broadcasting business could be adversely affected.</w:t>
      </w:r>
    </w:p>
    <w:p>
      <w:pPr>
        <w:spacing w:after="0" w:line="109" w:lineRule="exact"/>
        <w:rPr>
          <w:sz w:val="20"/>
          <w:szCs w:val="20"/>
          <w:color w:val="auto"/>
        </w:rPr>
      </w:pPr>
    </w:p>
    <w:p>
      <w:pPr>
        <w:ind w:left="260" w:right="540" w:hanging="252"/>
        <w:spacing w:after="0"/>
        <w:tabs>
          <w:tab w:leader="none" w:pos="260" w:val="left"/>
        </w:tabs>
        <w:numPr>
          <w:ilvl w:val="0"/>
          <w:numId w:val="31"/>
        </w:numPr>
        <w:rPr>
          <w:rFonts w:ascii="Arial" w:cs="Arial" w:eastAsia="Arial" w:hAnsi="Arial"/>
          <w:sz w:val="18"/>
          <w:szCs w:val="18"/>
          <w:b w:val="1"/>
          <w:bCs w:val="1"/>
          <w:color w:val="auto"/>
        </w:rPr>
      </w:pPr>
      <w:r>
        <w:rPr>
          <w:rFonts w:ascii="Arial" w:cs="Arial" w:eastAsia="Arial" w:hAnsi="Arial"/>
          <w:sz w:val="18"/>
          <w:szCs w:val="18"/>
          <w:b w:val="1"/>
          <w:bCs w:val="1"/>
          <w:color w:val="auto"/>
        </w:rPr>
        <w:t>Increased Competition Resulting From Technological Innovations in News, Information and Video Programming Distribution Systems and Changing Consumer Behavior Could Adversely Affect the Company’s Operating Results</w:t>
      </w:r>
    </w:p>
    <w:p>
      <w:pPr>
        <w:spacing w:after="0" w:line="67" w:lineRule="exact"/>
        <w:rPr>
          <w:sz w:val="20"/>
          <w:szCs w:val="20"/>
          <w:color w:val="auto"/>
        </w:rPr>
      </w:pPr>
    </w:p>
    <w:p>
      <w:pPr>
        <w:ind w:right="40"/>
        <w:spacing w:after="0" w:line="223" w:lineRule="auto"/>
        <w:rPr>
          <w:sz w:val="20"/>
          <w:szCs w:val="20"/>
          <w:color w:val="auto"/>
        </w:rPr>
      </w:pPr>
      <w:r>
        <w:rPr>
          <w:rFonts w:ascii="Arial" w:cs="Arial" w:eastAsia="Arial" w:hAnsi="Arial"/>
          <w:sz w:val="18"/>
          <w:szCs w:val="18"/>
          <w:color w:val="auto"/>
        </w:rPr>
        <w:t>The continuing growth and technological expansion of Internet-based services has increased competitive pressure on the Company’s media businesses. Examples of such developments include online delivery of programming, technologies that enable users to fast-forward or skip advertisements and devices that allow users to consume content on demand and in remote locations, while avoiding traditional commercial advertisements or subscription payments. Changing consumer behavior may also put pressure on the Company’s media businesses to change traditional distribution methods. Anticipating and adapting to changes in technology and consumer behavior on a timely basis will affect the Company’s media businesses’ ability to continue to increase their revenue. The development and deployment of new technologies and changing consumer behavior have the potential to negatively and significantly affect the Company’s media businesses in ways that cannot now be reliably predicted and that may have a material adverse effect on the Company’s operating results.</w:t>
      </w:r>
    </w:p>
    <w:p>
      <w:pPr>
        <w:spacing w:after="0" w:line="114" w:lineRule="exact"/>
        <w:rPr>
          <w:sz w:val="20"/>
          <w:szCs w:val="20"/>
          <w:color w:val="auto"/>
        </w:rPr>
      </w:pPr>
    </w:p>
    <w:p>
      <w:pPr>
        <w:ind w:left="260" w:right="400" w:hanging="252"/>
        <w:spacing w:after="0"/>
        <w:tabs>
          <w:tab w:leader="none" w:pos="260" w:val="left"/>
        </w:tabs>
        <w:numPr>
          <w:ilvl w:val="0"/>
          <w:numId w:val="32"/>
        </w:numPr>
        <w:rPr>
          <w:rFonts w:ascii="Arial" w:cs="Arial" w:eastAsia="Arial" w:hAnsi="Arial"/>
          <w:sz w:val="18"/>
          <w:szCs w:val="18"/>
          <w:b w:val="1"/>
          <w:bCs w:val="1"/>
          <w:color w:val="auto"/>
        </w:rPr>
      </w:pPr>
      <w:r>
        <w:rPr>
          <w:rFonts w:ascii="Arial" w:cs="Arial" w:eastAsia="Arial" w:hAnsi="Arial"/>
          <w:sz w:val="18"/>
          <w:szCs w:val="18"/>
          <w:b w:val="1"/>
          <w:bCs w:val="1"/>
          <w:color w:val="auto"/>
        </w:rPr>
        <w:t>Changes in the Nature and Extent of Government Regulations Could Adversely Affect the Company’s Television Broadcasting Business and Other Businesses</w:t>
      </w:r>
    </w:p>
    <w:p>
      <w:pPr>
        <w:spacing w:after="0" w:line="67" w:lineRule="exact"/>
        <w:rPr>
          <w:sz w:val="20"/>
          <w:szCs w:val="20"/>
          <w:color w:val="auto"/>
        </w:rPr>
      </w:pPr>
    </w:p>
    <w:p>
      <w:pPr>
        <w:ind w:right="40"/>
        <w:spacing w:after="0" w:line="223" w:lineRule="auto"/>
        <w:rPr>
          <w:sz w:val="20"/>
          <w:szCs w:val="20"/>
          <w:color w:val="auto"/>
        </w:rPr>
      </w:pPr>
      <w:r>
        <w:rPr>
          <w:rFonts w:ascii="Arial" w:cs="Arial" w:eastAsia="Arial" w:hAnsi="Arial"/>
          <w:sz w:val="18"/>
          <w:szCs w:val="18"/>
          <w:color w:val="auto"/>
        </w:rPr>
        <w:t>The Company’s television broadcasting business operates in a highly regulated environment. Complying with applicable regulations has significantly increased, and may continue to increase, the costs and has reduced the revenues of the business. Changes in regulations have the potential to negatively impact the television broadcasting business, not only by increasing compliance costs and reducing revenues through restrictions on certain types of advertising, limitations on pricing flexibility or other means, but also by possibly creating more favorable regulatory environments for the providers of competing services. In addition, changes to the FCC’s rules governing broadcast ownership may affect the Company’s ability to expand its television broadcasting business and/or may enable the Company’s competitors to improve their market positions through consolidation. More generally, all of the Company’s businesses could have their profitability or their competitive positions adversely affected by significant changes in applicable regulations.</w:t>
      </w:r>
    </w:p>
    <w:p>
      <w:pPr>
        <w:spacing w:after="0" w:line="114" w:lineRule="exact"/>
        <w:rPr>
          <w:sz w:val="20"/>
          <w:szCs w:val="20"/>
          <w:color w:val="auto"/>
        </w:rPr>
      </w:pPr>
    </w:p>
    <w:p>
      <w:pPr>
        <w:ind w:left="260" w:right="820" w:hanging="252"/>
        <w:spacing w:after="0" w:line="256" w:lineRule="auto"/>
        <w:tabs>
          <w:tab w:leader="none" w:pos="260" w:val="left"/>
        </w:tabs>
        <w:numPr>
          <w:ilvl w:val="0"/>
          <w:numId w:val="33"/>
        </w:numPr>
        <w:rPr>
          <w:rFonts w:ascii="Arial" w:cs="Arial" w:eastAsia="Arial" w:hAnsi="Arial"/>
          <w:sz w:val="18"/>
          <w:szCs w:val="18"/>
          <w:b w:val="1"/>
          <w:bCs w:val="1"/>
          <w:color w:val="auto"/>
        </w:rPr>
      </w:pPr>
      <w:r>
        <w:rPr>
          <w:rFonts w:ascii="Arial" w:cs="Arial" w:eastAsia="Arial" w:hAnsi="Arial"/>
          <w:sz w:val="18"/>
          <w:szCs w:val="18"/>
          <w:b w:val="1"/>
          <w:bCs w:val="1"/>
          <w:color w:val="auto"/>
        </w:rPr>
        <w:t>Transition to the New Technical Standard for Broadcast Television Stations May Alter the Competitive Environment in the Company’s Stations’ Markets or Cause the Company to Incur Increased Costs</w:t>
      </w:r>
    </w:p>
    <w:p>
      <w:pPr>
        <w:spacing w:after="0" w:line="121" w:lineRule="exact"/>
        <w:rPr>
          <w:sz w:val="20"/>
          <w:szCs w:val="20"/>
          <w:color w:val="auto"/>
        </w:rPr>
      </w:pPr>
    </w:p>
    <w:p>
      <w:pPr>
        <w:ind w:right="60"/>
        <w:spacing w:after="0" w:line="223" w:lineRule="auto"/>
        <w:rPr>
          <w:sz w:val="20"/>
          <w:szCs w:val="20"/>
          <w:color w:val="auto"/>
        </w:rPr>
      </w:pPr>
      <w:r>
        <w:rPr>
          <w:rFonts w:ascii="Arial" w:cs="Arial" w:eastAsia="Arial" w:hAnsi="Arial"/>
          <w:sz w:val="18"/>
          <w:szCs w:val="18"/>
          <w:color w:val="auto"/>
        </w:rPr>
        <w:t>The Company cannot predict how the market will react to the new broadcast television station technical standard, ATSC 3.0, as voluntary transition to the new standard has only recently been approved. ATSC 3.0-capable consumer devices are not yet widely available in the United States, and stations have not yet begun to transition. Competing stations that transition to ATSC 3.0 may increase competition for the Company’s stations and/or create competitive pressure for the Company’s stations to launch ATSC 3.0 streams. Any transition to ATSC 3.0 may cause the Company to incur substantial costs. In the event the Company transitions any or all of its stations to ATSC 3.0, there can be no guarantee that the Company would successfully earn sufficient additional revenues to offset such costs. More generally, the deployment of ATSC 3.0 may have other material effects on the Company’s media businesses that cannot now be reliably predicted and that may have a material adverse effect on the Company’s operating results.</w:t>
      </w:r>
    </w:p>
    <w:p>
      <w:pPr>
        <w:spacing w:after="0" w:line="200" w:lineRule="exact"/>
        <w:rPr>
          <w:sz w:val="20"/>
          <w:szCs w:val="20"/>
          <w:color w:val="auto"/>
        </w:rPr>
      </w:pPr>
    </w:p>
    <w:p>
      <w:pPr>
        <w:spacing w:after="0" w:line="30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420"/>
          </w:cols>
          <w:pgMar w:left="240" w:top="724" w:right="239" w:bottom="1440" w:gutter="0" w:footer="0" w:header="0"/>
        </w:sectPr>
      </w:pPr>
    </w:p>
    <w:bookmarkStart w:id="34" w:name="page35"/>
    <w:bookmarkEnd w:id="34"/>
    <w:p>
      <w:pPr>
        <w:ind w:left="260" w:hanging="252"/>
        <w:spacing w:after="0"/>
        <w:tabs>
          <w:tab w:leader="none" w:pos="260" w:val="left"/>
        </w:tabs>
        <w:numPr>
          <w:ilvl w:val="0"/>
          <w:numId w:val="34"/>
        </w:numPr>
        <w:rPr>
          <w:rFonts w:ascii="Arial" w:cs="Arial" w:eastAsia="Arial" w:hAnsi="Arial"/>
          <w:sz w:val="18"/>
          <w:szCs w:val="18"/>
          <w:b w:val="1"/>
          <w:bCs w:val="1"/>
          <w:color w:val="auto"/>
        </w:rPr>
      </w:pPr>
      <w:r>
        <w:rPr>
          <w:rFonts w:ascii="Arial" w:cs="Arial" w:eastAsia="Arial" w:hAnsi="Arial"/>
          <w:sz w:val="18"/>
          <w:szCs w:val="18"/>
          <w:b w:val="1"/>
          <w:bCs w:val="1"/>
          <w:color w:val="auto"/>
        </w:rPr>
        <w:t>Potential Liability for Intellectual Property Infringement Could Adversely Affect the Company’s Businesses</w:t>
      </w:r>
    </w:p>
    <w:p>
      <w:pPr>
        <w:spacing w:after="0" w:line="99" w:lineRule="exact"/>
        <w:rPr>
          <w:sz w:val="20"/>
          <w:szCs w:val="20"/>
          <w:color w:val="auto"/>
        </w:rPr>
      </w:pPr>
    </w:p>
    <w:p>
      <w:pPr>
        <w:ind w:right="60"/>
        <w:spacing w:after="0" w:line="223" w:lineRule="auto"/>
        <w:rPr>
          <w:sz w:val="20"/>
          <w:szCs w:val="20"/>
          <w:color w:val="auto"/>
        </w:rPr>
      </w:pPr>
      <w:r>
        <w:rPr>
          <w:rFonts w:ascii="Arial" w:cs="Arial" w:eastAsia="Arial" w:hAnsi="Arial"/>
          <w:sz w:val="18"/>
          <w:szCs w:val="18"/>
          <w:color w:val="auto"/>
        </w:rPr>
        <w:t>The Company periodically receives claims from third parties alleging that the Company’s businesses infringe on the intellectual property rights of others. It is likely that the Company will continue to be subject to similar claims, particularly as they relate to its media businesses. Other parts of the Company’s business could also be subject to such claims. Addressing intellectual product claims is a time-consuming and expensive endeavor, regardless of the merits of the claims. In order to resolve such claims, the Company may have to change its method of doing business, enter into licensing agreements or incur substantial monetary liability. It is also possible that one of the Company’s businesses could be enjoined from using the intellectual property at issue, causing it to significantly alter its operations. Although the Company cannot predict the impact at this time, if any such claim is successful, the outcome would likely affect the business utilizing the intellectual property at issue and could have a material adverse effect on that business’s operating results or prospects.</w:t>
      </w:r>
    </w:p>
    <w:p>
      <w:pPr>
        <w:spacing w:after="0" w:line="114" w:lineRule="exact"/>
        <w:rPr>
          <w:sz w:val="20"/>
          <w:szCs w:val="20"/>
          <w:color w:val="auto"/>
        </w:rPr>
      </w:pPr>
    </w:p>
    <w:p>
      <w:pPr>
        <w:ind w:left="260" w:hanging="252"/>
        <w:spacing w:after="0"/>
        <w:tabs>
          <w:tab w:leader="none" w:pos="260" w:val="left"/>
        </w:tabs>
        <w:numPr>
          <w:ilvl w:val="0"/>
          <w:numId w:val="35"/>
        </w:numPr>
        <w:rPr>
          <w:rFonts w:ascii="Arial" w:cs="Arial" w:eastAsia="Arial" w:hAnsi="Arial"/>
          <w:sz w:val="18"/>
          <w:szCs w:val="18"/>
          <w:b w:val="1"/>
          <w:bCs w:val="1"/>
          <w:color w:val="auto"/>
        </w:rPr>
      </w:pPr>
      <w:r>
        <w:rPr>
          <w:rFonts w:ascii="Arial" w:cs="Arial" w:eastAsia="Arial" w:hAnsi="Arial"/>
          <w:sz w:val="18"/>
          <w:szCs w:val="18"/>
          <w:b w:val="1"/>
          <w:bCs w:val="1"/>
          <w:color w:val="auto"/>
        </w:rPr>
        <w:t>Failure to Comply With Privacy Laws or Regulations Could Have an Adverse Effect on the Company’s Business</w:t>
      </w:r>
    </w:p>
    <w:p>
      <w:pPr>
        <w:spacing w:after="0" w:line="99" w:lineRule="exact"/>
        <w:rPr>
          <w:sz w:val="20"/>
          <w:szCs w:val="20"/>
          <w:color w:val="auto"/>
        </w:rPr>
      </w:pPr>
    </w:p>
    <w:p>
      <w:pPr>
        <w:spacing w:after="0" w:line="222" w:lineRule="auto"/>
        <w:rPr>
          <w:sz w:val="20"/>
          <w:szCs w:val="20"/>
          <w:color w:val="auto"/>
        </w:rPr>
      </w:pPr>
      <w:r>
        <w:rPr>
          <w:rFonts w:ascii="Arial" w:cs="Arial" w:eastAsia="Arial" w:hAnsi="Arial"/>
          <w:sz w:val="18"/>
          <w:szCs w:val="18"/>
          <w:color w:val="auto"/>
        </w:rPr>
        <w:t>Various federal, state and international laws and regulations govern the collection, use, retention, sharing and security of consumer data. This area of the law is evolving, and interpretations of applicable laws and regulations differ. Legislative activity in the privacy area may result in new laws that are relevant to the Company’s operations, for example, use of consumer data for marketing or advertising and new general data privacy regulations adopted by the European Union known as the General Data Protection Regulation (GDPR), which goes into effect in May 2018. The GDPR is expected to impose a significant compliance burden on many companies with operations in the EU, and it includes fines of up to 20 million euros or up to 4% of the annual global revenues of the infringer for failures to comply. Complying with the enhanced obligations imposed by the GDPR has resulted in additional costs to the Company’s business and required the Company to amend certain of its business practices. Claims of failure to comply with the Company’s privacy policies or applicable laws or regulations could form the basis of governmental or private-party actions against the Company and could result in significant penalties. Such claims and actions could cause damage to the Company’s reputation and could have an adverse effect on the Company’s business.</w:t>
      </w:r>
    </w:p>
    <w:p>
      <w:pPr>
        <w:spacing w:after="0" w:line="116" w:lineRule="exact"/>
        <w:rPr>
          <w:sz w:val="20"/>
          <w:szCs w:val="20"/>
          <w:color w:val="auto"/>
        </w:rPr>
      </w:pPr>
    </w:p>
    <w:p>
      <w:pPr>
        <w:ind w:left="260" w:right="360" w:hanging="252"/>
        <w:spacing w:after="0"/>
        <w:tabs>
          <w:tab w:leader="none" w:pos="260" w:val="left"/>
        </w:tabs>
        <w:numPr>
          <w:ilvl w:val="0"/>
          <w:numId w:val="36"/>
        </w:numPr>
        <w:rPr>
          <w:rFonts w:ascii="Arial" w:cs="Arial" w:eastAsia="Arial" w:hAnsi="Arial"/>
          <w:sz w:val="18"/>
          <w:szCs w:val="18"/>
          <w:b w:val="1"/>
          <w:bCs w:val="1"/>
          <w:color w:val="auto"/>
        </w:rPr>
      </w:pPr>
      <w:r>
        <w:rPr>
          <w:rFonts w:ascii="Arial" w:cs="Arial" w:eastAsia="Arial" w:hAnsi="Arial"/>
          <w:sz w:val="18"/>
          <w:szCs w:val="18"/>
          <w:b w:val="1"/>
          <w:bCs w:val="1"/>
          <w:color w:val="auto"/>
        </w:rPr>
        <w:t>Extensive Regulation of the Healthcare Industry Could Adversely Affect the Company’s Healthcare Businesses and Results of Operations</w:t>
      </w:r>
    </w:p>
    <w:p>
      <w:pPr>
        <w:spacing w:after="0" w:line="67" w:lineRule="exact"/>
        <w:rPr>
          <w:sz w:val="20"/>
          <w:szCs w:val="20"/>
          <w:color w:val="auto"/>
        </w:rPr>
      </w:pPr>
    </w:p>
    <w:p>
      <w:pPr>
        <w:ind w:right="200"/>
        <w:spacing w:after="0" w:line="223" w:lineRule="auto"/>
        <w:rPr>
          <w:sz w:val="20"/>
          <w:szCs w:val="20"/>
          <w:color w:val="auto"/>
        </w:rPr>
      </w:pPr>
      <w:r>
        <w:rPr>
          <w:rFonts w:ascii="Arial" w:cs="Arial" w:eastAsia="Arial" w:hAnsi="Arial"/>
          <w:sz w:val="18"/>
          <w:szCs w:val="18"/>
          <w:color w:val="auto"/>
        </w:rPr>
        <w:t>The home health and hospice industries are subject to extensive federal, state and local laws, with regulations affecting a wide range of matters, including licensure and certification, quality of services, qualifications of personnel, confidentiality and security of medical records, relationships with physicians and other referral sources, operating policies and procedures, and billing and coding practices. These laws and regulations change frequently, and the manner in which they will be interpreted is subject to change in ways that may not be predicted. For example, on January 13, 2018, extensive revisions to the Medicare rules governing home health agency operations, the Medicare Home Health Conditions of Participation, became effective, the impact of which, particularly on licensure and clinical operations, is still uncertain. In addition, there remains significant uncertainty regarding the future of the Patient Protection and Affordable Care Act of 2010, as well as other regulations affecting the home health and hospice industries.</w:t>
      </w:r>
    </w:p>
    <w:p>
      <w:pPr>
        <w:spacing w:after="0" w:line="136" w:lineRule="exact"/>
        <w:rPr>
          <w:sz w:val="20"/>
          <w:szCs w:val="20"/>
          <w:color w:val="auto"/>
        </w:rPr>
      </w:pPr>
    </w:p>
    <w:p>
      <w:pPr>
        <w:ind w:right="180"/>
        <w:spacing w:after="0" w:line="229" w:lineRule="auto"/>
        <w:rPr>
          <w:sz w:val="20"/>
          <w:szCs w:val="20"/>
          <w:color w:val="auto"/>
        </w:rPr>
      </w:pPr>
      <w:r>
        <w:rPr>
          <w:rFonts w:ascii="Arial" w:cs="Arial" w:eastAsia="Arial" w:hAnsi="Arial"/>
          <w:sz w:val="18"/>
          <w:szCs w:val="18"/>
          <w:color w:val="auto"/>
        </w:rPr>
        <w:t>Reimbursement for services by third-party payers, including Medicare, Medicaid and private health insurance providers, continues to decline, while authorization, audit and compliance requirements continue to add to the cost of providing those services. In 2017, an anticipated extensive overhaul of Medicare reimbursement for the home health benefit was delayed, but is likely to be revisited in the future.</w:t>
      </w:r>
    </w:p>
    <w:p>
      <w:pPr>
        <w:spacing w:after="0" w:line="137" w:lineRule="exact"/>
        <w:rPr>
          <w:sz w:val="20"/>
          <w:szCs w:val="20"/>
          <w:color w:val="auto"/>
        </w:rPr>
      </w:pPr>
    </w:p>
    <w:p>
      <w:pPr>
        <w:ind w:right="60"/>
        <w:spacing w:after="0" w:line="225" w:lineRule="auto"/>
        <w:rPr>
          <w:sz w:val="20"/>
          <w:szCs w:val="20"/>
          <w:color w:val="auto"/>
        </w:rPr>
      </w:pPr>
      <w:r>
        <w:rPr>
          <w:rFonts w:ascii="Arial" w:cs="Arial" w:eastAsia="Arial" w:hAnsi="Arial"/>
          <w:sz w:val="18"/>
          <w:szCs w:val="18"/>
          <w:color w:val="auto"/>
        </w:rPr>
        <w:t>Managed-care organizations, hospitals, physician practices and other third-party payers continue to consolidate in response to the evolving regulatory environment, thereby enhancing their ability to influence the delivery of healthcare services and decreasing the number of organizations serving patients. This consolidation could adversely impact Graham Healthcare Group’s businesses if they are unable to maintain their ability to participate in established networks. Changes in existing laws or regulations, in their interpretation and enforcement and the enactment of new laws or regulations could have a material adverse effect on the Company’s healthcare businesses’ operations.</w:t>
      </w:r>
    </w:p>
    <w:p>
      <w:pPr>
        <w:spacing w:after="0" w:line="115" w:lineRule="exact"/>
        <w:rPr>
          <w:sz w:val="20"/>
          <w:szCs w:val="20"/>
          <w:color w:val="auto"/>
        </w:rPr>
      </w:pPr>
    </w:p>
    <w:p>
      <w:pPr>
        <w:ind w:left="260" w:right="320" w:hanging="252"/>
        <w:spacing w:after="0"/>
        <w:tabs>
          <w:tab w:leader="none" w:pos="260" w:val="left"/>
        </w:tabs>
        <w:numPr>
          <w:ilvl w:val="0"/>
          <w:numId w:val="37"/>
        </w:numPr>
        <w:rPr>
          <w:rFonts w:ascii="Arial" w:cs="Arial" w:eastAsia="Arial" w:hAnsi="Arial"/>
          <w:sz w:val="18"/>
          <w:szCs w:val="18"/>
          <w:b w:val="1"/>
          <w:bCs w:val="1"/>
          <w:color w:val="auto"/>
        </w:rPr>
      </w:pPr>
      <w:r>
        <w:rPr>
          <w:rFonts w:ascii="Arial" w:cs="Arial" w:eastAsia="Arial" w:hAnsi="Arial"/>
          <w:sz w:val="18"/>
          <w:szCs w:val="18"/>
          <w:b w:val="1"/>
          <w:bCs w:val="1"/>
          <w:color w:val="auto"/>
        </w:rPr>
        <w:t>Failure to Comply With Environmental, Health, Safety and Other Laws Applicable to The Company’s Manufacturing Operations Could Negatively Impact the Company</w:t>
      </w:r>
      <w:r>
        <w:rPr>
          <w:rFonts w:ascii="Arial" w:cs="Arial" w:eastAsia="Arial" w:hAnsi="Arial"/>
          <w:sz w:val="18"/>
          <w:szCs w:val="18"/>
          <w:color w:val="auto"/>
        </w:rPr>
        <w:t>’</w:t>
      </w:r>
      <w:r>
        <w:rPr>
          <w:rFonts w:ascii="Arial" w:cs="Arial" w:eastAsia="Arial" w:hAnsi="Arial"/>
          <w:sz w:val="18"/>
          <w:szCs w:val="18"/>
          <w:b w:val="1"/>
          <w:bCs w:val="1"/>
          <w:color w:val="auto"/>
        </w:rPr>
        <w:t>s Business</w:t>
      </w:r>
    </w:p>
    <w:p>
      <w:pPr>
        <w:spacing w:after="0" w:line="67" w:lineRule="exact"/>
        <w:rPr>
          <w:sz w:val="20"/>
          <w:szCs w:val="20"/>
          <w:color w:val="auto"/>
        </w:rPr>
      </w:pPr>
    </w:p>
    <w:p>
      <w:pPr>
        <w:ind w:right="60"/>
        <w:spacing w:after="0" w:line="225" w:lineRule="auto"/>
        <w:rPr>
          <w:sz w:val="20"/>
          <w:szCs w:val="20"/>
          <w:color w:val="auto"/>
        </w:rPr>
      </w:pPr>
      <w:r>
        <w:rPr>
          <w:rFonts w:ascii="Arial" w:cs="Arial" w:eastAsia="Arial" w:hAnsi="Arial"/>
          <w:sz w:val="18"/>
          <w:szCs w:val="18"/>
          <w:color w:val="auto"/>
        </w:rPr>
        <w:t>The Company’s manufacturing operations are subject to extensive federal, state and local laws and regulations relating to the environment, as well as health and workplace safety, including those set forth by the Occupational Safety and Health Administration (OSHA) and the Environmental Protection Agency and state and local regulatory authorities in the U.S. and by similar government agencies in Mexico. Such laws and regulations affect manufacturing operations and require compliance with various environmental registrations, licenses, permits, inspections and other approvals. The Company incurs substantial costs to comply with these regulations and any</w:t>
      </w:r>
    </w:p>
    <w:p>
      <w:pPr>
        <w:spacing w:after="0" w:line="200" w:lineRule="exact"/>
        <w:rPr>
          <w:sz w:val="20"/>
          <w:szCs w:val="20"/>
          <w:color w:val="auto"/>
        </w:rPr>
      </w:pPr>
    </w:p>
    <w:p>
      <w:pPr>
        <w:spacing w:after="0" w:line="30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380"/>
          </w:cols>
          <w:pgMar w:left="240" w:top="724" w:right="279" w:bottom="1440" w:gutter="0" w:footer="0" w:header="0"/>
        </w:sectPr>
      </w:pPr>
    </w:p>
    <w:bookmarkStart w:id="35" w:name="page36"/>
    <w:bookmarkEnd w:id="35"/>
    <w:p>
      <w:pPr>
        <w:ind w:right="160"/>
        <w:spacing w:after="0" w:line="235" w:lineRule="auto"/>
        <w:rPr>
          <w:sz w:val="20"/>
          <w:szCs w:val="20"/>
          <w:color w:val="auto"/>
        </w:rPr>
      </w:pPr>
      <w:r>
        <w:rPr>
          <w:rFonts w:ascii="Arial" w:cs="Arial" w:eastAsia="Arial" w:hAnsi="Arial"/>
          <w:sz w:val="18"/>
          <w:szCs w:val="18"/>
          <w:color w:val="auto"/>
        </w:rPr>
        <w:t>failure to comply may expose the Company to civil, criminal and administrative fees, fines, penalties and interruptions in operations that could have a material adverse impact on the Company’s results of operations, financial position or cash flows.</w:t>
      </w:r>
    </w:p>
    <w:p>
      <w:pPr>
        <w:spacing w:after="0" w:line="113" w:lineRule="exact"/>
        <w:rPr>
          <w:sz w:val="20"/>
          <w:szCs w:val="20"/>
          <w:color w:val="auto"/>
        </w:rPr>
      </w:pPr>
    </w:p>
    <w:p>
      <w:pPr>
        <w:ind w:left="260" w:hanging="252"/>
        <w:spacing w:after="0"/>
        <w:tabs>
          <w:tab w:leader="none" w:pos="260" w:val="left"/>
        </w:tabs>
        <w:numPr>
          <w:ilvl w:val="0"/>
          <w:numId w:val="38"/>
        </w:numPr>
        <w:rPr>
          <w:rFonts w:ascii="Arial" w:cs="Arial" w:eastAsia="Arial" w:hAnsi="Arial"/>
          <w:sz w:val="18"/>
          <w:szCs w:val="18"/>
          <w:b w:val="1"/>
          <w:bCs w:val="1"/>
          <w:color w:val="auto"/>
        </w:rPr>
      </w:pPr>
      <w:r>
        <w:rPr>
          <w:rFonts w:ascii="Arial" w:cs="Arial" w:eastAsia="Arial" w:hAnsi="Arial"/>
          <w:sz w:val="18"/>
          <w:szCs w:val="18"/>
          <w:b w:val="1"/>
          <w:bCs w:val="1"/>
          <w:color w:val="auto"/>
        </w:rPr>
        <w:t>The Company May Be Subject to Liability Claims That Could Have a Material Adverse Effect on Its Business</w:t>
      </w:r>
    </w:p>
    <w:p>
      <w:pPr>
        <w:spacing w:after="0" w:line="99" w:lineRule="exact"/>
        <w:rPr>
          <w:sz w:val="20"/>
          <w:szCs w:val="20"/>
          <w:color w:val="auto"/>
        </w:rPr>
      </w:pPr>
    </w:p>
    <w:p>
      <w:pPr>
        <w:spacing w:after="0" w:line="224" w:lineRule="auto"/>
        <w:rPr>
          <w:sz w:val="20"/>
          <w:szCs w:val="20"/>
          <w:color w:val="auto"/>
        </w:rPr>
      </w:pPr>
      <w:r>
        <w:rPr>
          <w:rFonts w:ascii="Arial" w:cs="Arial" w:eastAsia="Arial" w:hAnsi="Arial"/>
          <w:sz w:val="18"/>
          <w:szCs w:val="18"/>
          <w:color w:val="auto"/>
        </w:rPr>
        <w:t>The Company’s manufacturing operations are subject to hazards inherent in manufacturing and production-related facilities. An accident involving these operations or equipment may result in losses due to personal injury; loss of life; damage or destruction of property, equipment or the environment; or a suspension of operations. Insurance may not protect the Company against liability for certain kinds of events, including events involving pollution, or against losses resulting from business interruption. Any damages caused by the Company’s operations that are not covered by insurance, or are in excess of policy limits, could materially adversely affect the Company’s result of operations, financial position or cash flows.</w:t>
      </w:r>
    </w:p>
    <w:p>
      <w:pPr>
        <w:spacing w:after="0" w:line="115" w:lineRule="exact"/>
        <w:rPr>
          <w:sz w:val="20"/>
          <w:szCs w:val="20"/>
          <w:color w:val="auto"/>
        </w:rPr>
      </w:pPr>
    </w:p>
    <w:p>
      <w:pPr>
        <w:ind w:left="260" w:hanging="252"/>
        <w:spacing w:after="0"/>
        <w:tabs>
          <w:tab w:leader="none" w:pos="260" w:val="left"/>
        </w:tabs>
        <w:numPr>
          <w:ilvl w:val="0"/>
          <w:numId w:val="39"/>
        </w:numPr>
        <w:rPr>
          <w:rFonts w:ascii="Arial" w:cs="Arial" w:eastAsia="Arial" w:hAnsi="Arial"/>
          <w:sz w:val="18"/>
          <w:szCs w:val="18"/>
          <w:b w:val="1"/>
          <w:bCs w:val="1"/>
          <w:color w:val="auto"/>
        </w:rPr>
      </w:pPr>
      <w:r>
        <w:rPr>
          <w:rFonts w:ascii="Arial" w:cs="Arial" w:eastAsia="Arial" w:hAnsi="Arial"/>
          <w:sz w:val="18"/>
          <w:szCs w:val="18"/>
          <w:b w:val="1"/>
          <w:bCs w:val="1"/>
          <w:color w:val="auto"/>
        </w:rPr>
        <w:t>Changes in Business Conditions May Cause Goodwill and Other Intangible Assets to Become Impaired</w:t>
      </w:r>
    </w:p>
    <w:p>
      <w:pPr>
        <w:spacing w:after="0" w:line="99" w:lineRule="exact"/>
        <w:rPr>
          <w:sz w:val="20"/>
          <w:szCs w:val="20"/>
          <w:color w:val="auto"/>
        </w:rPr>
      </w:pPr>
    </w:p>
    <w:p>
      <w:pPr>
        <w:ind w:right="200"/>
        <w:spacing w:after="0" w:line="222" w:lineRule="auto"/>
        <w:rPr>
          <w:sz w:val="20"/>
          <w:szCs w:val="20"/>
          <w:color w:val="auto"/>
        </w:rPr>
      </w:pPr>
      <w:r>
        <w:rPr>
          <w:rFonts w:ascii="Arial" w:cs="Arial" w:eastAsia="Arial" w:hAnsi="Arial"/>
          <w:sz w:val="18"/>
          <w:szCs w:val="18"/>
          <w:color w:val="auto"/>
        </w:rPr>
        <w:t>Goodwill generally represents the purchase price paid in excess of the fair value of net tangible and intangible assets acquired in a business combination. Goodwill is not amortized and remains on the Company’s balance sheet indefinitely unless there is an impairment or a sale of a portion of the business. Goodwill is subject to an impairment test on an annual basis and when circumstances indicate that an impairment is more likely than not. Such circumstances include an adverse change in the business climate for one of the Company’s businesses or a decision to dispose of a business or a significant portion of a business. The Company’s businesses each face uncertainty in their business environment due to a variety of factors. The Company may experience unforeseen circumstances that adversely affect the value of the Company’s goodwill or intangible assets and trigger an evaluation of the amount of the recorded goodwill and intangible assets. Future write-offs of goodwill or other intangible assets as a result of an impairment in the business could adversely affect the Company’s results of operations and financial condition.</w:t>
      </w:r>
    </w:p>
    <w:p>
      <w:pPr>
        <w:spacing w:after="0" w:line="119" w:lineRule="exact"/>
        <w:rPr>
          <w:sz w:val="20"/>
          <w:szCs w:val="20"/>
          <w:color w:val="auto"/>
        </w:rPr>
      </w:pPr>
    </w:p>
    <w:p>
      <w:pPr>
        <w:ind w:left="260" w:hanging="252"/>
        <w:spacing w:after="0"/>
        <w:tabs>
          <w:tab w:leader="none" w:pos="260" w:val="left"/>
        </w:tabs>
        <w:numPr>
          <w:ilvl w:val="0"/>
          <w:numId w:val="40"/>
        </w:numPr>
        <w:rPr>
          <w:rFonts w:ascii="Arial" w:cs="Arial" w:eastAsia="Arial" w:hAnsi="Arial"/>
          <w:sz w:val="18"/>
          <w:szCs w:val="18"/>
          <w:b w:val="1"/>
          <w:bCs w:val="1"/>
          <w:color w:val="auto"/>
        </w:rPr>
      </w:pPr>
      <w:r>
        <w:rPr>
          <w:rFonts w:ascii="Arial" w:cs="Arial" w:eastAsia="Arial" w:hAnsi="Arial"/>
          <w:sz w:val="18"/>
          <w:szCs w:val="18"/>
          <w:b w:val="1"/>
          <w:bCs w:val="1"/>
          <w:color w:val="auto"/>
        </w:rPr>
        <w:t>The Spin-Off of Cable ONE Could Result in Significant Tax Liability to the Company and Its Stockholders</w:t>
      </w:r>
    </w:p>
    <w:p>
      <w:pPr>
        <w:spacing w:after="0" w:line="99" w:lineRule="exact"/>
        <w:rPr>
          <w:sz w:val="20"/>
          <w:szCs w:val="20"/>
          <w:color w:val="auto"/>
        </w:rPr>
      </w:pPr>
    </w:p>
    <w:p>
      <w:pPr>
        <w:jc w:val="both"/>
        <w:ind w:right="40"/>
        <w:spacing w:after="0" w:line="258" w:lineRule="auto"/>
        <w:rPr>
          <w:sz w:val="20"/>
          <w:szCs w:val="20"/>
          <w:color w:val="auto"/>
        </w:rPr>
      </w:pPr>
      <w:r>
        <w:rPr>
          <w:rFonts w:ascii="Arial" w:cs="Arial" w:eastAsia="Arial" w:hAnsi="Arial"/>
          <w:sz w:val="17"/>
          <w:szCs w:val="17"/>
          <w:color w:val="auto"/>
        </w:rPr>
        <w:t>In connection with the Company’s spin-off of Cable ONE, it received a written opinion of counsel to the effect that the distribution of Cable ONE common stock in the spin-off (Distribution) should qualify for non-recognition of gain and loss under Section 355 of the Internal Revenue Code.</w:t>
      </w:r>
    </w:p>
    <w:p>
      <w:pPr>
        <w:spacing w:after="0" w:line="120" w:lineRule="exact"/>
        <w:rPr>
          <w:sz w:val="20"/>
          <w:szCs w:val="20"/>
          <w:color w:val="auto"/>
        </w:rPr>
      </w:pPr>
    </w:p>
    <w:p>
      <w:pPr>
        <w:ind w:right="20"/>
        <w:spacing w:after="0" w:line="227" w:lineRule="auto"/>
        <w:rPr>
          <w:sz w:val="20"/>
          <w:szCs w:val="20"/>
          <w:color w:val="auto"/>
        </w:rPr>
      </w:pPr>
      <w:r>
        <w:rPr>
          <w:rFonts w:ascii="Arial" w:cs="Arial" w:eastAsia="Arial" w:hAnsi="Arial"/>
          <w:sz w:val="18"/>
          <w:szCs w:val="18"/>
          <w:color w:val="auto"/>
        </w:rPr>
        <w:t>The opinion assumed that the spin-off was completed according to the terms of the transaction documents for the spin-off and relied on the facts as stated in those documents and a number of other documents. The opinion cannot be relied on if any of these assumptions or statements is incorrect, incomplete or inaccurate in any material respect. The opinion of counsel is not binding on the Internal Revenue Service or the courts, and there can be no assurance that the Internal Revenue Service or a court will not take a contrary position.</w:t>
      </w:r>
    </w:p>
    <w:p>
      <w:pPr>
        <w:spacing w:after="0" w:line="135" w:lineRule="exact"/>
        <w:rPr>
          <w:sz w:val="20"/>
          <w:szCs w:val="20"/>
          <w:color w:val="auto"/>
        </w:rPr>
      </w:pPr>
    </w:p>
    <w:p>
      <w:pPr>
        <w:ind w:right="320"/>
        <w:spacing w:after="0" w:line="235" w:lineRule="auto"/>
        <w:rPr>
          <w:sz w:val="20"/>
          <w:szCs w:val="20"/>
          <w:color w:val="auto"/>
        </w:rPr>
      </w:pPr>
      <w:r>
        <w:rPr>
          <w:rFonts w:ascii="Arial" w:cs="Arial" w:eastAsia="Arial" w:hAnsi="Arial"/>
          <w:sz w:val="18"/>
          <w:szCs w:val="18"/>
          <w:color w:val="auto"/>
        </w:rPr>
        <w:t>If the Distribution were determined not to qualify for non-recognition of gain and loss, the Company, its stockholders who received shares of Cable ONE common stock in the Distribution, or both, could be subject to tax. Any such tax liability could be material.</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1B. Unresolved Staff Comments.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12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Properties.</w:t>
      </w:r>
    </w:p>
    <w:p>
      <w:pPr>
        <w:spacing w:after="0" w:line="166" w:lineRule="exact"/>
        <w:rPr>
          <w:sz w:val="20"/>
          <w:szCs w:val="20"/>
          <w:color w:val="auto"/>
        </w:rPr>
      </w:pPr>
    </w:p>
    <w:p>
      <w:pPr>
        <w:ind w:right="240"/>
        <w:spacing w:after="0" w:line="235" w:lineRule="auto"/>
        <w:rPr>
          <w:sz w:val="20"/>
          <w:szCs w:val="20"/>
          <w:color w:val="auto"/>
        </w:rPr>
      </w:pPr>
      <w:r>
        <w:rPr>
          <w:rFonts w:ascii="Arial" w:cs="Arial" w:eastAsia="Arial" w:hAnsi="Arial"/>
          <w:sz w:val="18"/>
          <w:szCs w:val="18"/>
          <w:color w:val="auto"/>
        </w:rPr>
        <w:t>The Company leases space for its corporate offices in Arlington, VA. The space consists of 33,815 square feet of office space, and the lease expires in 2024, subject to an option of the Company to extend.</w:t>
      </w:r>
    </w:p>
    <w:p>
      <w:pPr>
        <w:spacing w:after="0" w:line="135" w:lineRule="exact"/>
        <w:rPr>
          <w:sz w:val="20"/>
          <w:szCs w:val="20"/>
          <w:color w:val="auto"/>
        </w:rPr>
      </w:pPr>
    </w:p>
    <w:p>
      <w:pPr>
        <w:ind w:right="80"/>
        <w:spacing w:after="0" w:line="225" w:lineRule="auto"/>
        <w:rPr>
          <w:sz w:val="20"/>
          <w:szCs w:val="20"/>
          <w:color w:val="auto"/>
        </w:rPr>
      </w:pPr>
      <w:r>
        <w:rPr>
          <w:rFonts w:ascii="Arial" w:cs="Arial" w:eastAsia="Arial" w:hAnsi="Arial"/>
          <w:sz w:val="18"/>
          <w:szCs w:val="18"/>
          <w:color w:val="auto"/>
        </w:rPr>
        <w:t>Directly or through its subsidiaries, Kaplan owns a total of four properties: a 36,000-square-foot, six-story building located at 131 West 56th Street in New York City, used by the Kaplan Test Preparation division as an education center primarily for medical students; a redeveloped 47,410-square-foot, four-story brick building in Lincoln, NE, used by KU; a 4,000-square-foot office condominium in Chapel Hill, NC, utilized by KTP; and a 15,000-square-foot, three-story building in Berkeley, CA, used by KTP and KIC North America. KI has also entered into a 135-year lease of land in Liverpool, U.K., intended for the construction of college and dormitory space totaling 128,015 square feet.</w:t>
      </w:r>
    </w:p>
    <w:p>
      <w:pPr>
        <w:spacing w:after="0" w:line="137" w:lineRule="exact"/>
        <w:rPr>
          <w:sz w:val="20"/>
          <w:szCs w:val="20"/>
          <w:color w:val="auto"/>
        </w:rPr>
      </w:pPr>
    </w:p>
    <w:p>
      <w:pPr>
        <w:spacing w:after="0" w:line="224" w:lineRule="auto"/>
        <w:rPr>
          <w:sz w:val="20"/>
          <w:szCs w:val="20"/>
          <w:color w:val="auto"/>
        </w:rPr>
      </w:pPr>
      <w:r>
        <w:rPr>
          <w:rFonts w:ascii="Arial" w:cs="Arial" w:eastAsia="Arial" w:hAnsi="Arial"/>
          <w:sz w:val="18"/>
          <w:szCs w:val="18"/>
          <w:color w:val="auto"/>
        </w:rPr>
        <w:t>In the U.S., Kaplan, Inc. and KHE lease corporate offices, together with a data center, call center and employee-training facilities, in two 97,000-square-foot buildings located on adjacent lots in Fort Lauderdale, FL. Both of those leases will expire in 2024. Kaplan, Inc. and KHE share corporate office space in a 23,364-square-foot office building in Alpharetta, GA, under a lease that expires in 2021. KHE leases 62,500 square feet of corporate office space in Chicago, IL, under a lease that will expire in 2022 (of which approximately 21,000 square feet have been subleased through the remainder of the term). KHE also separately leases 76,500 square feet of office space in Chicago, IL; however, the location has been entirely subleased through the remainder of the lease term. In addition, KHE</w:t>
      </w:r>
    </w:p>
    <w:p>
      <w:pPr>
        <w:spacing w:after="0" w:line="200" w:lineRule="exact"/>
        <w:rPr>
          <w:sz w:val="20"/>
          <w:szCs w:val="20"/>
          <w:color w:val="auto"/>
        </w:rPr>
      </w:pPr>
    </w:p>
    <w:p>
      <w:pPr>
        <w:spacing w:after="0" w:line="30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1400"/>
          </w:cols>
          <w:pgMar w:left="240" w:top="746" w:right="259" w:bottom="1440" w:gutter="0" w:footer="0" w:header="0"/>
        </w:sectPr>
      </w:pPr>
    </w:p>
    <w:bookmarkStart w:id="36" w:name="page37"/>
    <w:bookmarkEnd w:id="36"/>
    <w:p>
      <w:pPr>
        <w:ind w:right="20"/>
        <w:spacing w:after="0" w:line="223" w:lineRule="auto"/>
        <w:rPr>
          <w:sz w:val="20"/>
          <w:szCs w:val="20"/>
          <w:color w:val="auto"/>
        </w:rPr>
      </w:pPr>
      <w:r>
        <w:rPr>
          <w:rFonts w:ascii="Arial" w:cs="Arial" w:eastAsia="Arial" w:hAnsi="Arial"/>
          <w:sz w:val="18"/>
          <w:szCs w:val="18"/>
          <w:color w:val="auto"/>
        </w:rPr>
        <w:t>separately leases two corporate offices, totaling 64,128 square feet, in La Crosse, WI, under leases that will expire in 2022; a two-story, 124,500-square-foot building in Orlando, FL, that is used as an additional support center (of which approximately 70,000 square feet have been subleased to a third party), pursuant to a lease that will expire in 2021; and 88,800 square feet of corporate office space in Plantation, FL (which has been entirely subleased to a third party), for a term that expires in 2021. Kaplan, Inc. and KTP have signed a sublease for 84,500 square feet in New York (expiring in May 2021). Kaplan, Inc. and KTP also separately lease 159,540 square feet in New York; however, the location has been entirely subleased to a third party through the remainder of the lease term. KTP has an additional 63 leases comprising approximately 190,119 square feet of office and instructional space. KTP also delivers classes at schools, colleges, hotels and other premises for which Kaplan is not a leaseholder.</w:t>
      </w:r>
    </w:p>
    <w:p>
      <w:pPr>
        <w:spacing w:after="0" w:line="136" w:lineRule="exact"/>
        <w:rPr>
          <w:sz w:val="20"/>
          <w:szCs w:val="20"/>
          <w:color w:val="auto"/>
        </w:rPr>
      </w:pPr>
    </w:p>
    <w:p>
      <w:pPr>
        <w:ind w:right="160"/>
        <w:spacing w:after="0" w:line="235" w:lineRule="auto"/>
        <w:rPr>
          <w:sz w:val="20"/>
          <w:szCs w:val="20"/>
          <w:color w:val="auto"/>
        </w:rPr>
      </w:pPr>
      <w:r>
        <w:rPr>
          <w:rFonts w:ascii="Arial" w:cs="Arial" w:eastAsia="Arial" w:hAnsi="Arial"/>
          <w:sz w:val="18"/>
          <w:szCs w:val="18"/>
          <w:color w:val="auto"/>
        </w:rPr>
        <w:t>In addition, the KI English business maintains more than 24 leases in the U.S., comprising an aggregate of over 300,000 square feet of office, instructional and dormitory space.</w:t>
      </w:r>
    </w:p>
    <w:p>
      <w:pPr>
        <w:spacing w:after="0" w:line="135" w:lineRule="exact"/>
        <w:rPr>
          <w:sz w:val="20"/>
          <w:szCs w:val="20"/>
          <w:color w:val="auto"/>
        </w:rPr>
      </w:pPr>
    </w:p>
    <w:p>
      <w:pPr>
        <w:ind w:right="180"/>
        <w:spacing w:after="0" w:line="223" w:lineRule="auto"/>
        <w:rPr>
          <w:sz w:val="20"/>
          <w:szCs w:val="20"/>
          <w:color w:val="auto"/>
        </w:rPr>
      </w:pPr>
      <w:r>
        <w:rPr>
          <w:rFonts w:ascii="Arial" w:cs="Arial" w:eastAsia="Arial" w:hAnsi="Arial"/>
          <w:sz w:val="18"/>
          <w:szCs w:val="18"/>
          <w:color w:val="auto"/>
        </w:rPr>
        <w:t>Overseas, Dublin Business School’s facilities in Dublin, Ireland, are located in five buildings, aggregating approximately 74,000 square feet of space, that are rented under leases expiring between 2018 and 2029. Kaplan Publishing has an office and distribution warehouse in Wokingham, Berkshire, U.K., of 27,000 square feet, under a lease expiring in 2027. Kaplan Financial’s largest leaseholds are office and instructional spaces in London, U.K., of 33,000 square feet (expiring in 2033) and 50,200 square feet (comprising two leases) obtained in January 2015 and expiring in 2030; office and instructional space in Birmingham, U.K., of 23,600 square feet (expiring in 2027); office and instructional space in Manchester, U.K., of 15,900 square feet (comprising four separate leases, expiring in 2022); office and instructional space in Singapore, of 162,000 square feet (comprising five separate leases, expiring between 2019 and 2021); and office and instructional space in Hong Kong, of 30,850 square feet.</w:t>
      </w:r>
    </w:p>
    <w:p>
      <w:pPr>
        <w:spacing w:after="0" w:line="136" w:lineRule="exact"/>
        <w:rPr>
          <w:sz w:val="20"/>
          <w:szCs w:val="20"/>
          <w:color w:val="auto"/>
        </w:rPr>
      </w:pPr>
    </w:p>
    <w:p>
      <w:pPr>
        <w:ind w:right="180"/>
        <w:spacing w:after="0" w:line="227" w:lineRule="auto"/>
        <w:rPr>
          <w:sz w:val="20"/>
          <w:szCs w:val="20"/>
          <w:color w:val="auto"/>
        </w:rPr>
      </w:pPr>
      <w:r>
        <w:rPr>
          <w:rFonts w:ascii="Arial" w:cs="Arial" w:eastAsia="Arial" w:hAnsi="Arial"/>
          <w:sz w:val="18"/>
          <w:szCs w:val="18"/>
          <w:color w:val="auto"/>
        </w:rPr>
        <w:t>Palace House in London, U.K., is primarily occupied by the KIC Pathways business with 20,200 square feet of space (comprising three separate leases, expiring in 2032). The KIC Pathways business has also entered into a separate lease agreement under which it will agree to take further additional leases in Palace House also expiring in 2032 totaling approximately 22,281 square feet once certain works are completed in the building. Once the additional leases are complete, the Palace House leases will total approximately 44,078 square feet.</w:t>
      </w:r>
    </w:p>
    <w:p>
      <w:pPr>
        <w:spacing w:after="0" w:line="135" w:lineRule="exact"/>
        <w:rPr>
          <w:sz w:val="20"/>
          <w:szCs w:val="20"/>
          <w:color w:val="auto"/>
        </w:rPr>
      </w:pPr>
    </w:p>
    <w:p>
      <w:pPr>
        <w:ind w:right="20"/>
        <w:spacing w:after="0" w:line="222" w:lineRule="auto"/>
        <w:rPr>
          <w:sz w:val="20"/>
          <w:szCs w:val="20"/>
          <w:color w:val="auto"/>
        </w:rPr>
      </w:pPr>
      <w:r>
        <w:rPr>
          <w:rFonts w:ascii="Arial" w:cs="Arial" w:eastAsia="Arial" w:hAnsi="Arial"/>
          <w:sz w:val="18"/>
          <w:szCs w:val="18"/>
          <w:color w:val="auto"/>
        </w:rPr>
        <w:t>Kaplan has a new lease expiring in 2026 for education space in Nottingham, U.K., totaling 16,455 square feet. In addition, Kaplan has entered into two separate leases in Glasgow, Scotland, for 58,000 square feet and 22,400 square feet, respectively, of dormitory space that was constructed and opened to students in 2012. These leases expire in 2032. In addition, Kaplan leases approximately 143,000 square feet of dormitory space as the main tenant of a student residential building in Nottingham, U.K. Kaplan has further entered into a lease for a residential college in Bournemouth, England, which comprises approximately 175,000 square feet. Kaplan has entered into an agreement for a lease in Brighton, U.K., for dormitory space totaling 128,779 square feet. This lease, once granted, is anticipated to expire in 2040, subject to possible permitted delays, which could extend the expiry date to 2041 or 2042. Kaplan has further entered into a conditional agreement for a lease in Bath, U.K., of newly constructed dormitory and education space totaling 151,353 square feet once conditions are met and construction has been completed. Once granted, the term of the lease will be 21 years and seven days.</w:t>
      </w:r>
    </w:p>
    <w:p>
      <w:pPr>
        <w:spacing w:after="0" w:line="141" w:lineRule="exact"/>
        <w:rPr>
          <w:sz w:val="20"/>
          <w:szCs w:val="20"/>
          <w:color w:val="auto"/>
        </w:rPr>
      </w:pPr>
    </w:p>
    <w:p>
      <w:pPr>
        <w:ind w:right="120"/>
        <w:spacing w:after="0" w:line="223" w:lineRule="auto"/>
        <w:rPr>
          <w:sz w:val="20"/>
          <w:szCs w:val="20"/>
          <w:color w:val="auto"/>
        </w:rPr>
      </w:pPr>
      <w:r>
        <w:rPr>
          <w:rFonts w:ascii="Arial" w:cs="Arial" w:eastAsia="Arial" w:hAnsi="Arial"/>
          <w:sz w:val="18"/>
          <w:szCs w:val="18"/>
          <w:color w:val="auto"/>
        </w:rPr>
        <w:t>In Australia, Kaplan leases one location in Melbourne, with an aggregate of approximately 76,000 square feet; four locations in Sydney, of approximately 57,000 square feet; one location in Brisbane, of 39,000 square feet; and three locations in Adelaide, of 24,750 square feet. These leases expire at various times, from 2018 through 2022. The University of Adelaide College (formerly Bradford College), in Adelaide, Australia, leases one location, with an aggregate of 22,184 square feet; and Murdoch Institute of Technology is housed in one location on the Murdoch University campus, under a license agreement, of 3,750 square feet. In New Zealand, Kaplan leases two locations of approximately 10,300 square feet. These leases expire in 2018 and 2021. All other Kaplan facilities in the U.S. and overseas (including administrative offices and instructional locations) occupy leased premises that are for less space than those listed above.</w:t>
      </w:r>
    </w:p>
    <w:p>
      <w:pPr>
        <w:spacing w:after="0" w:line="139" w:lineRule="exact"/>
        <w:rPr>
          <w:sz w:val="20"/>
          <w:szCs w:val="20"/>
          <w:color w:val="auto"/>
        </w:rPr>
      </w:pPr>
    </w:p>
    <w:p>
      <w:pPr>
        <w:jc w:val="both"/>
        <w:ind w:right="340"/>
        <w:spacing w:after="0" w:line="229" w:lineRule="auto"/>
        <w:rPr>
          <w:sz w:val="20"/>
          <w:szCs w:val="20"/>
          <w:color w:val="auto"/>
        </w:rPr>
      </w:pPr>
      <w:r>
        <w:rPr>
          <w:rFonts w:ascii="Arial" w:cs="Arial" w:eastAsia="Arial" w:hAnsi="Arial"/>
          <w:sz w:val="18"/>
          <w:szCs w:val="18"/>
          <w:color w:val="auto"/>
        </w:rPr>
        <w:t>The offices of the Company’s broadcasting operations are located in leased space in Chicago, IL. The operations of each of the Company’s television stations are owned by subsidiaries of the Company, as are the related tower sites (except in Houston, Orlando and Jacksonville, where the tower sites are 50% owned).</w:t>
      </w:r>
    </w:p>
    <w:p>
      <w:pPr>
        <w:spacing w:after="0" w:line="137" w:lineRule="exact"/>
        <w:rPr>
          <w:sz w:val="20"/>
          <w:szCs w:val="20"/>
          <w:color w:val="auto"/>
        </w:rPr>
      </w:pPr>
    </w:p>
    <w:p>
      <w:pPr>
        <w:spacing w:after="0" w:line="223" w:lineRule="auto"/>
        <w:rPr>
          <w:sz w:val="20"/>
          <w:szCs w:val="20"/>
          <w:color w:val="auto"/>
        </w:rPr>
      </w:pPr>
      <w:r>
        <w:rPr>
          <w:rFonts w:ascii="Arial" w:cs="Arial" w:eastAsia="Arial" w:hAnsi="Arial"/>
          <w:sz w:val="18"/>
          <w:szCs w:val="18"/>
          <w:color w:val="auto"/>
        </w:rPr>
        <w:t>GHG’s Celtic headquarters are located in leased space in Mars, PA. This lease expires in 2022. In addition to its headquarters, Celtic leases 10 small office spaces in its various service territories: Carlisle, PA; Mechanicsburg, PA; Williamsport, PA; Harrisburg, PA; Kingston, PA; Milford, PA; Stroudsburg, PA; Shiloh, IL; Marion, IL; and Mt. Vernon, IL. Additionally, Celtic leases space for a hospice inpatient unit in Wilkes-Barre, PA. Celtic also owns a total of four properties located in Carlinville, IL; Centralia, IL; Murphysboro, IL; and Benton, IL. GHG’s Residential Michigan corporate office is located in leased space in Troy, MI. Residential also leases office space in Grand Rapids, MI; Lapeer, MI; Detroit, MI; and Lansing, MI. In Illinois, GHG’s Residential corporate office is located in Downer’s Grove, IL. Residential also leases space in Naperville and Elmhurst, IL.</w:t>
      </w:r>
    </w:p>
    <w:p>
      <w:pPr>
        <w:spacing w:after="0" w:line="200" w:lineRule="exact"/>
        <w:rPr>
          <w:sz w:val="20"/>
          <w:szCs w:val="20"/>
          <w:color w:val="auto"/>
        </w:rPr>
      </w:pPr>
    </w:p>
    <w:p>
      <w:pPr>
        <w:spacing w:after="0" w:line="3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1420"/>
          </w:cols>
          <w:pgMar w:left="240" w:top="746" w:right="239" w:bottom="1440" w:gutter="0" w:footer="0" w:header="0"/>
        </w:sectPr>
      </w:pPr>
    </w:p>
    <w:bookmarkStart w:id="37" w:name="page38"/>
    <w:bookmarkEnd w:id="37"/>
    <w:p>
      <w:pPr>
        <w:ind w:right="120"/>
        <w:spacing w:after="0" w:line="227" w:lineRule="auto"/>
        <w:rPr>
          <w:sz w:val="20"/>
          <w:szCs w:val="20"/>
          <w:color w:val="auto"/>
        </w:rPr>
      </w:pPr>
      <w:r>
        <w:rPr>
          <w:rFonts w:ascii="Arial" w:cs="Arial" w:eastAsia="Arial" w:hAnsi="Arial"/>
          <w:sz w:val="18"/>
          <w:szCs w:val="18"/>
          <w:color w:val="auto"/>
        </w:rPr>
        <w:t>Forney has 20,000 square feet of corporate office space in Addison, TX. That lease began in April 2014 and expires in 2024. Forney’s manufacturing facility is located in Monterrey, Mexico, in a building that contains 85,169 square feet of office and manufacturing space under a lease that expires in 2020. Forney also leases sales offices in Shanghai, Beijing and Singapore; the combined office space is less than 3,000 square feet, and the leases are renewable annually.</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Joyce/Dayton owns three properties: its corporate headquarters in Kettering, OH, and manufacturing facilities in Portland, IN, and Clayton, OH.</w:t>
      </w:r>
    </w:p>
    <w:p>
      <w:pPr>
        <w:spacing w:after="0"/>
        <w:rPr>
          <w:sz w:val="20"/>
          <w:szCs w:val="20"/>
          <w:color w:val="auto"/>
        </w:rPr>
      </w:pPr>
      <w:r>
        <w:rPr>
          <w:rFonts w:ascii="Arial" w:cs="Arial" w:eastAsia="Arial" w:hAnsi="Arial"/>
          <w:sz w:val="18"/>
          <w:szCs w:val="18"/>
          <w:color w:val="auto"/>
        </w:rPr>
        <w:t>It also leases a manufacturing facility in West Hartford, CT.</w:t>
      </w:r>
    </w:p>
    <w:p>
      <w:pPr>
        <w:spacing w:after="0" w:line="144" w:lineRule="exact"/>
        <w:rPr>
          <w:sz w:val="20"/>
          <w:szCs w:val="20"/>
          <w:color w:val="auto"/>
        </w:rPr>
      </w:pPr>
    </w:p>
    <w:p>
      <w:pPr>
        <w:spacing w:after="0" w:line="222" w:lineRule="auto"/>
        <w:rPr>
          <w:sz w:val="20"/>
          <w:szCs w:val="20"/>
          <w:color w:val="auto"/>
        </w:rPr>
      </w:pPr>
      <w:r>
        <w:rPr>
          <w:rFonts w:ascii="Arial" w:cs="Arial" w:eastAsia="Arial" w:hAnsi="Arial"/>
          <w:sz w:val="18"/>
          <w:szCs w:val="18"/>
          <w:color w:val="auto"/>
        </w:rPr>
        <w:t>Dekko owns seven U.S. properties: a 200,600-square-foot headquarters office and manufacturing building in Garrett, IN; a 77,200-square-foot manufacturing building in Avilla, IN; 64,500 square feet of manufacturing and warehouse space in Ardmore, AL; 61,750 square feet of warehouse space in El Paso, TX; and a 22,500-square-foot new product development center in LaOtto, IN. In addition, Dekko owns 132,150 square feet of manufacturing and office space in Juarez, Mexico. In the U.S., Dekko leases 46,370 square feet of manufacturing and warehouse space in North Webster, IN, under a lease that expires in 2018; a 30,000-square-foot warehouse building in Kendallville, IN, under a lease expiring in 2018; and a data/training facility in Kendallville, IN, under a lease expiring in 2020. Dekko also separately leases two office condominiums in Chicago, IL, and Grand Rapids, MI. Both of those leases will expire in 2018. Electri-Cable Assemblies leases 33,208 square feet of manufacturing and warehouse space in Shelton, CT, under a lease that expires in 2021 and 24,324 square feet of manufacturing and warehouse space in Shelton, CT, under a lease that expires in 2020.</w:t>
      </w:r>
    </w:p>
    <w:p>
      <w:pPr>
        <w:spacing w:after="0" w:line="141" w:lineRule="exact"/>
        <w:rPr>
          <w:sz w:val="20"/>
          <w:szCs w:val="20"/>
          <w:color w:val="auto"/>
        </w:rPr>
      </w:pPr>
    </w:p>
    <w:p>
      <w:pPr>
        <w:jc w:val="both"/>
        <w:ind w:right="20"/>
        <w:spacing w:after="0" w:line="219" w:lineRule="auto"/>
        <w:rPr>
          <w:sz w:val="20"/>
          <w:szCs w:val="20"/>
          <w:color w:val="auto"/>
        </w:rPr>
      </w:pPr>
      <w:r>
        <w:rPr>
          <w:rFonts w:ascii="Arial" w:cs="Arial" w:eastAsia="Arial" w:hAnsi="Arial"/>
          <w:sz w:val="18"/>
          <w:szCs w:val="18"/>
          <w:color w:val="auto"/>
        </w:rPr>
        <w:t>Hoover owns eight U.S. properties: a 29-acre site in Thomson, GA; a 35-acre site in Pine Bluff, AR; a 60-acre site in Milford, VA; a 15-acre site in Detroit, MI; a 14-acre site in Bakersfield, CA; a 17-acre site in Oxford, PA; a 15-acre site in Halifax, NC; and an 11-acre site in Belington, WV. In addition Hoover leases a 10-acre site in Winston, OR, on a long-term lease with renewal terms available through December 31, 2044.</w:t>
      </w:r>
    </w:p>
    <w:p>
      <w:pPr>
        <w:spacing w:after="0" w:line="1" w:lineRule="exact"/>
        <w:rPr>
          <w:sz w:val="20"/>
          <w:szCs w:val="20"/>
          <w:color w:val="auto"/>
        </w:rPr>
      </w:pPr>
    </w:p>
    <w:p>
      <w:pPr>
        <w:ind w:right="340"/>
        <w:spacing w:after="0" w:line="235" w:lineRule="auto"/>
        <w:rPr>
          <w:sz w:val="20"/>
          <w:szCs w:val="20"/>
          <w:color w:val="auto"/>
        </w:rPr>
      </w:pPr>
      <w:r>
        <w:rPr>
          <w:rFonts w:ascii="Arial" w:cs="Arial" w:eastAsia="Arial" w:hAnsi="Arial"/>
          <w:sz w:val="18"/>
          <w:szCs w:val="18"/>
          <w:color w:val="auto"/>
        </w:rPr>
        <w:t>Hoover’s corporate, sales and accounting office, and research, engineering and development offices are also located on the Thomson, GA, campus.</w:t>
      </w:r>
    </w:p>
    <w:p>
      <w:pPr>
        <w:spacing w:after="0" w:line="135" w:lineRule="exact"/>
        <w:rPr>
          <w:sz w:val="20"/>
          <w:szCs w:val="20"/>
          <w:color w:val="auto"/>
        </w:rPr>
      </w:pPr>
    </w:p>
    <w:p>
      <w:pPr>
        <w:spacing w:after="0"/>
        <w:rPr>
          <w:sz w:val="20"/>
          <w:szCs w:val="20"/>
          <w:color w:val="auto"/>
        </w:rPr>
      </w:pPr>
      <w:r>
        <w:rPr>
          <w:rFonts w:ascii="Arial" w:cs="Arial" w:eastAsia="Arial" w:hAnsi="Arial"/>
          <w:sz w:val="18"/>
          <w:szCs w:val="18"/>
          <w:color w:val="auto"/>
        </w:rPr>
        <w:t>The Slate Group leases office space in Brooklyn, NY, and Washington, DC.</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color w:val="auto"/>
        </w:rPr>
        <w:t>SocialCode leases office space in Washington, DC; New York, NY; San Francisco, CA; Los Angeles, CA; Chicago, IL; and Austin, TX.</w:t>
      </w:r>
    </w:p>
    <w:p>
      <w:pPr>
        <w:spacing w:after="0" w:line="12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Legal Proceedings.</w:t>
      </w:r>
    </w:p>
    <w:p>
      <w:pPr>
        <w:spacing w:after="0" w:line="166" w:lineRule="exact"/>
        <w:rPr>
          <w:sz w:val="20"/>
          <w:szCs w:val="20"/>
          <w:color w:val="auto"/>
        </w:rPr>
      </w:pPr>
    </w:p>
    <w:p>
      <w:pPr>
        <w:ind w:right="180"/>
        <w:spacing w:after="0" w:line="223" w:lineRule="auto"/>
        <w:rPr>
          <w:sz w:val="20"/>
          <w:szCs w:val="20"/>
          <w:color w:val="auto"/>
        </w:rPr>
      </w:pPr>
      <w:r>
        <w:rPr>
          <w:rFonts w:ascii="Arial" w:cs="Arial" w:eastAsia="Arial" w:hAnsi="Arial"/>
          <w:sz w:val="18"/>
          <w:szCs w:val="18"/>
          <w:color w:val="auto"/>
        </w:rPr>
        <w:t>On February 6, 2008, a purported class-action lawsuit was filed in the U.S. District Court for the Central District of California by purchasers of BAR/BRI bar review courses, from July 2006 onward, alleging antitrust claims against Kaplan and West Publishing Corporation, BAR/BRI’s former owner. On April 10, 2008, the court granted defendants’ motion to dismiss, a decision that was reversed by the Ninth Circuit Court of Appeals on November 7, 2011. The Ninth Circuit also referred the matter to a mediator for the purpose of exploring a settlement. In the fourth quarter of 2012, the parties reached a comprehensive agreement to settle the matter. The settlement was approved by the District Court in September 2013 but has not yet been administered due to appeals relating to attorneys’ fees. In the fourth quarter of 2017, the Ninth Circuit remanded to the district court, which, once again, set attorneys’ fees on January 11, 2018. Absent another appeal, administration and disbursement of the settlement should proceed, though Kaplan cannot predict when.</w:t>
      </w:r>
    </w:p>
    <w:p>
      <w:pPr>
        <w:spacing w:after="0" w:line="136" w:lineRule="exact"/>
        <w:rPr>
          <w:sz w:val="20"/>
          <w:szCs w:val="20"/>
          <w:color w:val="auto"/>
        </w:rPr>
      </w:pPr>
    </w:p>
    <w:p>
      <w:pPr>
        <w:ind w:right="220"/>
        <w:spacing w:after="0" w:line="221" w:lineRule="auto"/>
        <w:rPr>
          <w:sz w:val="20"/>
          <w:szCs w:val="20"/>
          <w:color w:val="auto"/>
        </w:rPr>
      </w:pPr>
      <w:r>
        <w:rPr>
          <w:rFonts w:ascii="Arial" w:cs="Arial" w:eastAsia="Arial" w:hAnsi="Arial"/>
          <w:sz w:val="18"/>
          <w:szCs w:val="18"/>
          <w:color w:val="auto"/>
        </w:rPr>
        <w:t>On or about January 17, 2008, an Assistant U.S. Attorney in the Civil Division of the U.S. Attorney’s Office for the Eastern District of Pennsylvania contacted KHE’s former Broomall campus and made inquiries about the Surgical Technology program, including the program’s eligibility for Title IV U.S. Federal financial aid, the program’s student loan defaults, licensing and accreditation. Kaplan responded to the information requests and fully cooperated with the inquiry. The ED also conducted a program review at the Broomall campus, and Kaplan likewise cooperated with the program review. On July 22, 2011, the U.S. Attorney’s Office for the Eastern District of Pennsylvania announced that it had entered into a comprehensive settlement agreement with Kaplan that resolved the U.S. Attorney’s inquiry, provided for the conclusion of the ED’s program review and also settled a previously sealed U.S. Federal False Claims Act (False Claims Act) complaint that had been filed by a former employee of the CHI-Broomall campus. The total amount of all required payments by Broomall under the agreements was $1.6 million. Pursuant to the comprehensive settlement agreement, the U.S. Attorney inquiry has been closed; the False Claims Act complaint (</w:t>
      </w:r>
      <w:r>
        <w:rPr>
          <w:rFonts w:ascii="Arial" w:cs="Arial" w:eastAsia="Arial" w:hAnsi="Arial"/>
          <w:sz w:val="18"/>
          <w:szCs w:val="18"/>
          <w:i w:val="1"/>
          <w:iCs w:val="1"/>
          <w:color w:val="auto"/>
        </w:rPr>
        <w:t>United States of America</w:t>
      </w:r>
      <w:r>
        <w:rPr>
          <w:rFonts w:ascii="Arial" w:cs="Arial" w:eastAsia="Arial" w:hAnsi="Arial"/>
          <w:sz w:val="18"/>
          <w:szCs w:val="18"/>
          <w:color w:val="auto"/>
        </w:rPr>
        <w:t xml:space="preserve"> ex rel. </w:t>
      </w:r>
      <w:r>
        <w:rPr>
          <w:rFonts w:ascii="Arial" w:cs="Arial" w:eastAsia="Arial" w:hAnsi="Arial"/>
          <w:sz w:val="18"/>
          <w:szCs w:val="18"/>
          <w:i w:val="1"/>
          <w:iCs w:val="1"/>
          <w:color w:val="auto"/>
        </w:rPr>
        <w:t>David Goodstein</w:t>
      </w:r>
      <w:r>
        <w:rPr>
          <w:rFonts w:ascii="Arial" w:cs="Arial" w:eastAsia="Arial" w:hAnsi="Arial"/>
          <w:sz w:val="18"/>
          <w:szCs w:val="18"/>
          <w:color w:val="auto"/>
        </w:rPr>
        <w:t xml:space="preserve"> v. </w:t>
      </w:r>
      <w:r>
        <w:rPr>
          <w:rFonts w:ascii="Arial" w:cs="Arial" w:eastAsia="Arial" w:hAnsi="Arial"/>
          <w:sz w:val="18"/>
          <w:szCs w:val="18"/>
          <w:i w:val="1"/>
          <w:iCs w:val="1"/>
          <w:color w:val="auto"/>
        </w:rPr>
        <w:t>Kaplan, Inc.</w:t>
      </w:r>
      <w:r>
        <w:rPr>
          <w:rFonts w:ascii="Arial" w:cs="Arial" w:eastAsia="Arial" w:hAnsi="Arial"/>
          <w:sz w:val="18"/>
          <w:szCs w:val="18"/>
          <w:color w:val="auto"/>
        </w:rPr>
        <w:t xml:space="preserve"> et al.) was dismissed with prejudice; and the ED will issue a final program review determination. However, to date, the ED has not issued the final report. At this time, Kaplan cannot predict the contents of the pending final program review determination or the ultimate impact the proceedings may have on Kaplan.</w:t>
      </w:r>
    </w:p>
    <w:p>
      <w:pPr>
        <w:spacing w:after="0" w:line="144" w:lineRule="exact"/>
        <w:rPr>
          <w:sz w:val="20"/>
          <w:szCs w:val="20"/>
          <w:color w:val="auto"/>
        </w:rPr>
      </w:pPr>
    </w:p>
    <w:p>
      <w:pPr>
        <w:jc w:val="both"/>
        <w:ind w:right="420"/>
        <w:spacing w:after="0" w:line="229" w:lineRule="auto"/>
        <w:rPr>
          <w:sz w:val="20"/>
          <w:szCs w:val="20"/>
          <w:color w:val="auto"/>
        </w:rPr>
      </w:pPr>
      <w:r>
        <w:rPr>
          <w:rFonts w:ascii="Arial" w:cs="Arial" w:eastAsia="Arial" w:hAnsi="Arial"/>
          <w:sz w:val="18"/>
          <w:szCs w:val="18"/>
          <w:color w:val="auto"/>
        </w:rPr>
        <w:t>During 2014, certain Kaplan subsidiaries were subject to unsealed cases filed by former employees that include, among other allegations, claims under the False Claims Act relating to eligibility for Title IV funding. The U.S. Government declined to intervene in all cases, and, as previously reported, court decisions either dismissed the</w:t>
      </w:r>
    </w:p>
    <w:p>
      <w:pPr>
        <w:spacing w:after="0" w:line="200" w:lineRule="exact"/>
        <w:rPr>
          <w:sz w:val="20"/>
          <w:szCs w:val="20"/>
          <w:color w:val="auto"/>
        </w:rPr>
      </w:pPr>
    </w:p>
    <w:p>
      <w:pPr>
        <w:spacing w:after="0" w:line="30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1420"/>
          </w:cols>
          <w:pgMar w:left="240" w:top="746" w:right="239" w:bottom="1440" w:gutter="0" w:footer="0" w:header="0"/>
        </w:sectPr>
      </w:pPr>
    </w:p>
    <w:bookmarkStart w:id="38" w:name="page39"/>
    <w:bookmarkEnd w:id="38"/>
    <w:p>
      <w:pPr>
        <w:spacing w:after="0" w:line="222" w:lineRule="auto"/>
        <w:rPr>
          <w:sz w:val="20"/>
          <w:szCs w:val="20"/>
          <w:color w:val="auto"/>
        </w:rPr>
      </w:pPr>
      <w:r>
        <w:rPr>
          <w:rFonts w:ascii="Arial" w:cs="Arial" w:eastAsia="Arial" w:hAnsi="Arial"/>
          <w:sz w:val="18"/>
          <w:szCs w:val="18"/>
          <w:color w:val="auto"/>
        </w:rPr>
        <w:t xml:space="preserve">cases in their entirety or narrowed the scope of their allegations. The remaining case is captioned </w:t>
      </w:r>
      <w:r>
        <w:rPr>
          <w:rFonts w:ascii="Arial" w:cs="Arial" w:eastAsia="Arial" w:hAnsi="Arial"/>
          <w:sz w:val="18"/>
          <w:szCs w:val="18"/>
          <w:i w:val="1"/>
          <w:iCs w:val="1"/>
          <w:color w:val="auto"/>
        </w:rPr>
        <w:t>United States of America</w:t>
      </w:r>
      <w:r>
        <w:rPr>
          <w:rFonts w:ascii="Arial" w:cs="Arial" w:eastAsia="Arial" w:hAnsi="Arial"/>
          <w:sz w:val="18"/>
          <w:szCs w:val="18"/>
          <w:color w:val="auto"/>
        </w:rPr>
        <w:t xml:space="preserve"> ex rel. </w:t>
      </w:r>
      <w:r>
        <w:rPr>
          <w:rFonts w:ascii="Arial" w:cs="Arial" w:eastAsia="Arial" w:hAnsi="Arial"/>
          <w:sz w:val="18"/>
          <w:szCs w:val="18"/>
          <w:i w:val="1"/>
          <w:iCs w:val="1"/>
          <w:color w:val="auto"/>
        </w:rPr>
        <w:t>Carlos</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Urquilla-Diaz </w:t>
      </w:r>
      <w:r>
        <w:rPr>
          <w:rFonts w:ascii="Arial" w:cs="Arial" w:eastAsia="Arial" w:hAnsi="Arial"/>
          <w:sz w:val="18"/>
          <w:szCs w:val="18"/>
          <w:color w:val="auto"/>
        </w:rPr>
        <w:t>et al. v.</w:t>
      </w:r>
      <w:r>
        <w:rPr>
          <w:rFonts w:ascii="Arial" w:cs="Arial" w:eastAsia="Arial" w:hAnsi="Arial"/>
          <w:sz w:val="18"/>
          <w:szCs w:val="18"/>
          <w:i w:val="1"/>
          <w:iCs w:val="1"/>
          <w:color w:val="auto"/>
        </w:rPr>
        <w:t xml:space="preserve"> Kaplan University </w:t>
      </w:r>
      <w:r>
        <w:rPr>
          <w:rFonts w:ascii="Arial" w:cs="Arial" w:eastAsia="Arial" w:hAnsi="Arial"/>
          <w:sz w:val="18"/>
          <w:szCs w:val="18"/>
          <w:color w:val="auto"/>
        </w:rPr>
        <w:t>et al. (unsealed March 25, 2008). On August 17, 2011, the U.S. District Court for the Southern District</w:t>
      </w:r>
      <w:r>
        <w:rPr>
          <w:rFonts w:ascii="Arial" w:cs="Arial" w:eastAsia="Arial" w:hAnsi="Arial"/>
          <w:sz w:val="18"/>
          <w:szCs w:val="18"/>
          <w:i w:val="1"/>
          <w:iCs w:val="1"/>
          <w:color w:val="auto"/>
        </w:rPr>
        <w:t xml:space="preserve"> </w:t>
      </w:r>
      <w:r>
        <w:rPr>
          <w:rFonts w:ascii="Arial" w:cs="Arial" w:eastAsia="Arial" w:hAnsi="Arial"/>
          <w:sz w:val="18"/>
          <w:szCs w:val="18"/>
          <w:color w:val="auto"/>
        </w:rPr>
        <w:t>of Florida issued a series of rulings in the Diaz case, which included three separate complaints: Diaz, Wilcox and Gillespie. The court dismissed the Wilcox complaint in its entirety; dismissed all False Claims Act allegations in the Diaz complaint, leaving only an individual employment claim; and dismissed in part the Gillespie complaint, thereby limiting the scope and time frame of its False Claims Act allegations regarding compliance with the U.S. Federal Rehabilitation Act. On October 31, 2012, the court entered summary judgment in favor of the Company as to the sole remaining employment claim in the Diaz complaint. On July 16, 2013, the court likewise entered summary judgment in favor of the Company on all remaining claims in the Gillespie complaint. Diaz and Gillespie each appealed to the U.S. Court of Appeals for the Eleventh Judicial Circuit. Arguments on both appeals were heard on February 3, 2015. On March 11, 2015, the appellate court issued a decision affirming the lower court’s dismissal of all of Gillespie’s claims. The appellate court also dismissed three of the four Diaz claims, but reversed and remanded on Diaz’s claim that incentive compensation for admissions representatives was improperly based solely on enrollment counts. Kaplan filed an answer to Diaz’s amended complaint on September 11, 2015. Kaplan filed a motion to dismiss Diaz’s claims, and a hearing was held on December 17, 2015. On March 24, 2016, the Court denied the motion to dismiss. Discovery in the case closed in January 2017. Kaplan filed a motion for summary judgment on February 21, 2017. Summary judgment was granted in full and entered on July 13, 2017. Diaz filed a notice of appeal in September 2017 and has until February 28, 2018, to file appellate briefs.</w:t>
      </w:r>
    </w:p>
    <w:p>
      <w:pPr>
        <w:spacing w:after="0" w:line="144" w:lineRule="exact"/>
        <w:rPr>
          <w:sz w:val="20"/>
          <w:szCs w:val="20"/>
          <w:color w:val="auto"/>
        </w:rPr>
      </w:pPr>
    </w:p>
    <w:p>
      <w:pPr>
        <w:ind w:right="20"/>
        <w:spacing w:after="0" w:line="225" w:lineRule="auto"/>
        <w:rPr>
          <w:sz w:val="20"/>
          <w:szCs w:val="20"/>
          <w:color w:val="auto"/>
        </w:rPr>
      </w:pPr>
      <w:r>
        <w:rPr>
          <w:rFonts w:ascii="Arial" w:cs="Arial" w:eastAsia="Arial" w:hAnsi="Arial"/>
          <w:sz w:val="18"/>
          <w:szCs w:val="18"/>
          <w:color w:val="auto"/>
        </w:rPr>
        <w:t>On February 7, 2011, KHE received a Civil Investigative Demand from the Office of the Attorney General of the State of Illinois. The demand primarily sought information pertaining to KU’s online students who are residents of Illinois. KHE has cooperated with the Illinois Attorney General and provided the requested information. Although the matter is not technically closed and KHE may receive further requests for information from the Illinois Attorney General, there has been no such further correspondence over the past seven years to date. The Company cannot predict the outcome of this inquiry.</w:t>
      </w:r>
    </w:p>
    <w:p>
      <w:pPr>
        <w:spacing w:after="0" w:line="137" w:lineRule="exact"/>
        <w:rPr>
          <w:sz w:val="20"/>
          <w:szCs w:val="20"/>
          <w:color w:val="auto"/>
        </w:rPr>
      </w:pPr>
    </w:p>
    <w:p>
      <w:pPr>
        <w:ind w:right="200"/>
        <w:spacing w:after="0" w:line="225" w:lineRule="auto"/>
        <w:rPr>
          <w:sz w:val="20"/>
          <w:szCs w:val="20"/>
          <w:color w:val="auto"/>
        </w:rPr>
      </w:pPr>
      <w:r>
        <w:rPr>
          <w:rFonts w:ascii="Arial" w:cs="Arial" w:eastAsia="Arial" w:hAnsi="Arial"/>
          <w:sz w:val="18"/>
          <w:szCs w:val="18"/>
          <w:color w:val="auto"/>
        </w:rPr>
        <w:t>On July 20, 2011, KHE received a subpoena from the Office of the Attorney General of the State of Delaware. The demand primarily sought information pertaining to KU’s online students and Kaplan Higher Education Campuses’ former students who are residents of Delaware. KHE has cooperated with the Delaware Attorney General and provided the information requested in the subpoena. Although the matter is not technically closed and KHE may receive further requests for information from the Delaware Attorney General, there has been no such further correspondence over the past seven years to date. The Company cannot predict the outcome of this inquiry.</w:t>
      </w:r>
    </w:p>
    <w:p>
      <w:pPr>
        <w:spacing w:after="0" w:line="137" w:lineRule="exact"/>
        <w:rPr>
          <w:sz w:val="20"/>
          <w:szCs w:val="20"/>
          <w:color w:val="auto"/>
        </w:rPr>
      </w:pPr>
    </w:p>
    <w:p>
      <w:pPr>
        <w:ind w:right="80"/>
        <w:spacing w:after="0" w:line="227" w:lineRule="auto"/>
        <w:rPr>
          <w:sz w:val="20"/>
          <w:szCs w:val="20"/>
          <w:color w:val="auto"/>
        </w:rPr>
      </w:pPr>
      <w:r>
        <w:rPr>
          <w:rFonts w:ascii="Arial" w:cs="Arial" w:eastAsia="Arial" w:hAnsi="Arial"/>
          <w:sz w:val="18"/>
          <w:szCs w:val="18"/>
          <w:color w:val="auto"/>
        </w:rPr>
        <w:t>On January 16, 2012, prior to Kaplan’s sale of the Kidum Group in Israel, the Kidum Group received notice of a putative class-action complaint against the Kidum Group’s Wall Street Institute business, alleging violations of Israeli consumer protection law in connection with certain enrollment and refund policies. Wall Street Institute and the plaintiffs are attempting to settle the dispute. Kaplan no longer has any obligations to the purchaser under the terms of the agreement of sale.</w:t>
      </w:r>
    </w:p>
    <w:p>
      <w:pPr>
        <w:spacing w:after="0" w:line="135" w:lineRule="exact"/>
        <w:rPr>
          <w:sz w:val="20"/>
          <w:szCs w:val="20"/>
          <w:color w:val="auto"/>
        </w:rPr>
      </w:pPr>
    </w:p>
    <w:p>
      <w:pPr>
        <w:ind w:right="40"/>
        <w:spacing w:after="0" w:line="224" w:lineRule="auto"/>
        <w:rPr>
          <w:sz w:val="20"/>
          <w:szCs w:val="20"/>
          <w:color w:val="auto"/>
        </w:rPr>
      </w:pPr>
      <w:r>
        <w:rPr>
          <w:rFonts w:ascii="Arial" w:cs="Arial" w:eastAsia="Arial" w:hAnsi="Arial"/>
          <w:sz w:val="18"/>
          <w:szCs w:val="18"/>
          <w:color w:val="auto"/>
        </w:rPr>
        <w:t>On September 30, 2016, a purported class-action lawsuit was filed against KHE and Education Corporation of America d/b/a Brightwood College, in Alameda County Superior Court, in Oakland, CA, by Donna Hillman alleging violations of California wage and hour laws as they apply to “adjunct” or part-time faculty. The complaint seeks a declaratory judgment that Kaplan violated the California Labor Code and an award of damages for allegedly unpaid wages, penalties under the California Labor Code, interest and attorney’s fees. A response and general denial was filed on November 2, 2016, after which KHE moved to transfer the venue to Sacramento, CA. The parties reached an agreement to settle this matter, and in December 2017, the settlement was approved by the court.</w:t>
      </w:r>
    </w:p>
    <w:p>
      <w:pPr>
        <w:spacing w:after="0" w:line="137" w:lineRule="exact"/>
        <w:rPr>
          <w:sz w:val="20"/>
          <w:szCs w:val="20"/>
          <w:color w:val="auto"/>
        </w:rPr>
      </w:pPr>
    </w:p>
    <w:p>
      <w:pPr>
        <w:ind w:right="180"/>
        <w:spacing w:after="0" w:line="229" w:lineRule="auto"/>
        <w:rPr>
          <w:sz w:val="20"/>
          <w:szCs w:val="20"/>
          <w:color w:val="auto"/>
        </w:rPr>
      </w:pPr>
      <w:r>
        <w:rPr>
          <w:rFonts w:ascii="Arial" w:cs="Arial" w:eastAsia="Arial" w:hAnsi="Arial"/>
          <w:sz w:val="18"/>
          <w:szCs w:val="18"/>
          <w:color w:val="auto"/>
        </w:rPr>
        <w:t>In October 2017, Kaplan received a citation from the California Bureau for Private Postsecondary Education (BPPE) that non-employees may not be used to recruit students for its English-language programs operating in California. Kaplan has accepted the citation and amended its business practices.</w:t>
      </w:r>
    </w:p>
    <w:p>
      <w:pPr>
        <w:spacing w:after="0" w:line="137" w:lineRule="exact"/>
        <w:rPr>
          <w:sz w:val="20"/>
          <w:szCs w:val="20"/>
          <w:color w:val="auto"/>
        </w:rPr>
      </w:pPr>
    </w:p>
    <w:p>
      <w:pPr>
        <w:ind w:right="120"/>
        <w:spacing w:after="0" w:line="227" w:lineRule="auto"/>
        <w:rPr>
          <w:sz w:val="20"/>
          <w:szCs w:val="20"/>
          <w:color w:val="auto"/>
        </w:rPr>
      </w:pPr>
      <w:r>
        <w:rPr>
          <w:rFonts w:ascii="Arial" w:cs="Arial" w:eastAsia="Arial" w:hAnsi="Arial"/>
          <w:sz w:val="18"/>
          <w:szCs w:val="18"/>
          <w:color w:val="auto"/>
        </w:rPr>
        <w:t>On March 28, 2016, a class-action lawsuit was filed in the U.S. District Court for the Northern District of Illinois by Erin Fries, a physical therapist formerly employed by Residential, against Residential Home Health, LLC, Residential Home Health Illinois, LLC, and David Curtis. The complaint alleges violations of the Fair Labor Standards Act and the Illinois minimum wage law. The complaint seeks damages, attorney’s fees and costs. At this time, the Company cannot predict the outcome of this matter.</w:t>
      </w:r>
    </w:p>
    <w:p>
      <w:pPr>
        <w:spacing w:after="0" w:line="135" w:lineRule="exact"/>
        <w:rPr>
          <w:sz w:val="20"/>
          <w:szCs w:val="20"/>
          <w:color w:val="auto"/>
        </w:rPr>
      </w:pPr>
    </w:p>
    <w:p>
      <w:pPr>
        <w:ind w:right="260"/>
        <w:spacing w:after="0" w:line="224" w:lineRule="auto"/>
        <w:rPr>
          <w:sz w:val="20"/>
          <w:szCs w:val="20"/>
          <w:color w:val="auto"/>
        </w:rPr>
      </w:pPr>
      <w:r>
        <w:rPr>
          <w:rFonts w:ascii="Arial" w:cs="Arial" w:eastAsia="Arial" w:hAnsi="Arial"/>
          <w:sz w:val="18"/>
          <w:szCs w:val="18"/>
          <w:color w:val="auto"/>
        </w:rPr>
        <w:t>In August 2017, the Pennsylvania Department of Health cited Celtic Healthcare of Westmoreland, LLC for being out of compliance with four conditions of the Medicare Conditions of Participation between August 7, 2017, and September 6, 2017. Celtic Healthcare of Westmoreland, LLC d/b/a Allegheny Health Network Healthcare@Home Home Health (“AHN H@H Home Health”) is a wholly owned subsidiary of a joint venture between West Penn Allegheny Health System, Inc. and Celtic Healthcare, Inc. In light of this 31-day period of non-compliance, the Department of Health issued a provisional license for AHN H@H Home Health. Following a re-survey investigation by the Pennsylvania Department of Health, on January 12, 2018, the Department of Health removed the provisional</w:t>
      </w:r>
    </w:p>
    <w:p>
      <w:pPr>
        <w:spacing w:after="0" w:line="200" w:lineRule="exact"/>
        <w:rPr>
          <w:sz w:val="20"/>
          <w:szCs w:val="20"/>
          <w:color w:val="auto"/>
        </w:rPr>
      </w:pPr>
    </w:p>
    <w:p>
      <w:pPr>
        <w:spacing w:after="0" w:line="30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37</w:t>
      </w:r>
    </w:p>
    <w:p>
      <w:pPr>
        <w:sectPr>
          <w:pgSz w:w="11900" w:h="16838" w:orient="portrait"/>
          <w:cols w:equalWidth="0" w:num="1">
            <w:col w:w="11420"/>
          </w:cols>
          <w:pgMar w:left="240" w:top="728" w:right="239" w:bottom="1440" w:gutter="0" w:footer="0" w:header="0"/>
        </w:sectPr>
      </w:pPr>
    </w:p>
    <w:bookmarkStart w:id="39" w:name="page40"/>
    <w:bookmarkEnd w:id="39"/>
    <w:p>
      <w:pPr>
        <w:ind w:right="40"/>
        <w:spacing w:after="0" w:line="229" w:lineRule="auto"/>
        <w:rPr>
          <w:sz w:val="20"/>
          <w:szCs w:val="20"/>
          <w:color w:val="auto"/>
        </w:rPr>
      </w:pPr>
      <w:r>
        <w:rPr>
          <w:rFonts w:ascii="Arial" w:cs="Arial" w:eastAsia="Arial" w:hAnsi="Arial"/>
          <w:sz w:val="18"/>
          <w:szCs w:val="18"/>
          <w:color w:val="auto"/>
        </w:rPr>
        <w:t>license assigned to AHN H@H Home Health and restored its unrestricted license.The Pennsylvania Department of Health will alert the Centers for Medicare and Medicaid Services (CMS) about this matter. CMS has the authority to impose civil monetary penalties of up to $10,000 per day or per instance for non-compliance. At this time, the Company cannot predict the outcome of this matter.</w:t>
      </w:r>
    </w:p>
    <w:p>
      <w:pPr>
        <w:spacing w:after="0" w:line="137" w:lineRule="exact"/>
        <w:rPr>
          <w:sz w:val="20"/>
          <w:szCs w:val="20"/>
          <w:color w:val="auto"/>
        </w:rPr>
      </w:pPr>
    </w:p>
    <w:p>
      <w:pPr>
        <w:ind w:right="160"/>
        <w:spacing w:after="0" w:line="225" w:lineRule="auto"/>
        <w:rPr>
          <w:sz w:val="20"/>
          <w:szCs w:val="20"/>
          <w:color w:val="auto"/>
        </w:rPr>
      </w:pPr>
      <w:r>
        <w:rPr>
          <w:rFonts w:ascii="Arial" w:cs="Arial" w:eastAsia="Arial" w:hAnsi="Arial"/>
          <w:sz w:val="18"/>
          <w:szCs w:val="18"/>
          <w:color w:val="auto"/>
        </w:rPr>
        <w:t>Her Majesty’s Revenue and Customs (HMRC), a department of the U.K. government responsible for the collection of taxes, has raised assessments against the Kaplan U.K. Pathways business for Value Added Tax (VAT) relating to 2017 and earlier years, which have been paid by Kaplan. Kaplan has challenged these assessments and the case is currently on appeal to a tax tribunal with a hearing expected later in 2018 or 2019. The Company believes it has met all requirements under U.K. VAT law and expects to recover the £10.9 million receivable related to the assessments that have been paid.</w:t>
      </w:r>
    </w:p>
    <w:p>
      <w:pPr>
        <w:spacing w:after="0" w:line="137" w:lineRule="exact"/>
        <w:rPr>
          <w:sz w:val="20"/>
          <w:szCs w:val="20"/>
          <w:color w:val="auto"/>
        </w:rPr>
      </w:pPr>
    </w:p>
    <w:p>
      <w:pPr>
        <w:ind w:right="140"/>
        <w:spacing w:after="0" w:line="227" w:lineRule="auto"/>
        <w:rPr>
          <w:sz w:val="20"/>
          <w:szCs w:val="20"/>
          <w:color w:val="auto"/>
        </w:rPr>
      </w:pPr>
      <w:r>
        <w:rPr>
          <w:rFonts w:ascii="Arial" w:cs="Arial" w:eastAsia="Arial" w:hAnsi="Arial"/>
          <w:sz w:val="18"/>
          <w:szCs w:val="18"/>
          <w:color w:val="auto"/>
        </w:rPr>
        <w:t>Following the Grenfell Tower fire in the U.K. on June 14, 2017, government authorities issued advice to building owners with respect to certain types of cladding on its student residence buildings across the U.K. One student residence is expected to require remedial work. Additional investigations are ongoing. Remedial work on this building will be undertaken once these investigations are complete. At this time, it is not possible to predict the scope of this work.</w:t>
      </w:r>
    </w:p>
    <w:p>
      <w:pPr>
        <w:spacing w:after="0" w:line="135" w:lineRule="exact"/>
        <w:rPr>
          <w:sz w:val="20"/>
          <w:szCs w:val="20"/>
          <w:color w:val="auto"/>
        </w:rPr>
      </w:pPr>
    </w:p>
    <w:p>
      <w:pPr>
        <w:ind w:right="40"/>
        <w:spacing w:after="0" w:line="224" w:lineRule="auto"/>
        <w:rPr>
          <w:sz w:val="20"/>
          <w:szCs w:val="20"/>
          <w:color w:val="auto"/>
        </w:rPr>
      </w:pPr>
      <w:r>
        <w:rPr>
          <w:rFonts w:ascii="Arial" w:cs="Arial" w:eastAsia="Arial" w:hAnsi="Arial"/>
          <w:sz w:val="18"/>
          <w:szCs w:val="18"/>
          <w:color w:val="auto"/>
        </w:rPr>
        <w:t>The Company and its subsidiaries are also subject to complaints and administrative proceedings and are defendants in various other civil lawsuits that have arisen in the ordinary course of their businesses, including contract disputes; actions alleging negligence, libel, defamation, invasion of privacy; trademark, copyright and patent infringement; False Claims Act violations; violations of applicable wage and hour laws; and statutory or common law claims involving current and former students and employees. While it is not possible to predict the outcomes of these lawsuits, in the opinion of management, their ultimate dispositions should not have a material adverse effect on the Company’s business, financial condition, results of operations or cash flows.</w:t>
      </w:r>
    </w:p>
    <w:p>
      <w:pPr>
        <w:spacing w:after="0" w:line="1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Mine Safety Disclosures.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13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II</w:t>
      </w:r>
    </w:p>
    <w:p>
      <w:pPr>
        <w:spacing w:after="0" w:line="158" w:lineRule="exact"/>
        <w:rPr>
          <w:sz w:val="20"/>
          <w:szCs w:val="20"/>
          <w:color w:val="auto"/>
        </w:rPr>
      </w:pPr>
    </w:p>
    <w:p>
      <w:pPr>
        <w:ind w:right="880"/>
        <w:spacing w:after="0" w:line="419" w:lineRule="auto"/>
        <w:rPr>
          <w:sz w:val="20"/>
          <w:szCs w:val="20"/>
          <w:color w:val="auto"/>
        </w:rPr>
      </w:pPr>
      <w:r>
        <w:rPr>
          <w:rFonts w:ascii="Arial" w:cs="Arial" w:eastAsia="Arial" w:hAnsi="Arial"/>
          <w:sz w:val="18"/>
          <w:szCs w:val="18"/>
          <w:b w:val="1"/>
          <w:bCs w:val="1"/>
          <w:color w:val="auto"/>
        </w:rPr>
        <w:t xml:space="preserve">Item 5. Market for the Registrant’s Common Equity, Related Stockholder Matters and Issuer Purchases of Equity Securities. </w:t>
      </w:r>
      <w:r>
        <w:rPr>
          <w:rFonts w:ascii="Arial" w:cs="Arial" w:eastAsia="Arial" w:hAnsi="Arial"/>
          <w:sz w:val="18"/>
          <w:szCs w:val="18"/>
          <w:b w:val="1"/>
          <w:bCs w:val="1"/>
          <w:i w:val="1"/>
          <w:iCs w:val="1"/>
          <w:color w:val="auto"/>
        </w:rPr>
        <w:t>Market Information and Holders</w:t>
      </w:r>
    </w:p>
    <w:p>
      <w:pPr>
        <w:spacing w:after="0" w:line="2" w:lineRule="exact"/>
        <w:rPr>
          <w:sz w:val="20"/>
          <w:szCs w:val="20"/>
          <w:color w:val="auto"/>
        </w:rPr>
      </w:pPr>
    </w:p>
    <w:p>
      <w:pPr>
        <w:ind w:right="740"/>
        <w:spacing w:after="0" w:line="235" w:lineRule="auto"/>
        <w:rPr>
          <w:sz w:val="20"/>
          <w:szCs w:val="20"/>
          <w:color w:val="auto"/>
        </w:rPr>
      </w:pPr>
      <w:r>
        <w:rPr>
          <w:rFonts w:ascii="Arial" w:cs="Arial" w:eastAsia="Arial" w:hAnsi="Arial"/>
          <w:sz w:val="18"/>
          <w:szCs w:val="18"/>
          <w:color w:val="auto"/>
        </w:rPr>
        <w:t>The Company’s Class B Common Stock is traded on the New York Stock Exchange under the symbol “GHC.” The Company’s Class A Common Stock is not publicly traded.</w:t>
      </w:r>
    </w:p>
    <w:p>
      <w:pPr>
        <w:spacing w:after="0" w:line="135" w:lineRule="exact"/>
        <w:rPr>
          <w:sz w:val="20"/>
          <w:szCs w:val="20"/>
          <w:color w:val="auto"/>
        </w:rPr>
      </w:pPr>
    </w:p>
    <w:p>
      <w:pPr>
        <w:spacing w:after="0"/>
        <w:rPr>
          <w:sz w:val="20"/>
          <w:szCs w:val="20"/>
          <w:color w:val="auto"/>
        </w:rPr>
      </w:pPr>
      <w:r>
        <w:rPr>
          <w:rFonts w:ascii="Arial" w:cs="Arial" w:eastAsia="Arial" w:hAnsi="Arial"/>
          <w:sz w:val="18"/>
          <w:szCs w:val="18"/>
          <w:color w:val="auto"/>
        </w:rPr>
        <w:t>The high and low sales prices of the Company’s Class B Common Stock are listed below.</w:t>
      </w:r>
    </w:p>
    <w:p>
      <w:pPr>
        <w:spacing w:after="0" w:line="199"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790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520" w:type="dxa"/>
            <w:vAlign w:val="bottom"/>
            <w:tcBorders>
              <w:bottom w:val="single" w:sz="8" w:color="auto"/>
            </w:tcBorders>
          </w:tcPr>
          <w:p>
            <w:pPr>
              <w:spacing w:after="0"/>
              <w:rPr>
                <w:sz w:val="17"/>
                <w:szCs w:val="17"/>
                <w:color w:val="auto"/>
              </w:rPr>
            </w:pPr>
          </w:p>
        </w:tc>
        <w:tc>
          <w:tcPr>
            <w:tcW w:w="400" w:type="dxa"/>
            <w:vAlign w:val="bottom"/>
            <w:tcBorders>
              <w:bottom w:val="single" w:sz="8" w:color="auto"/>
            </w:tcBorders>
          </w:tcPr>
          <w:p>
            <w:pPr>
              <w:jc w:val="right"/>
              <w:ind w:right="3"/>
              <w:spacing w:after="0"/>
              <w:rPr>
                <w:sz w:val="20"/>
                <w:szCs w:val="20"/>
                <w:color w:val="auto"/>
              </w:rPr>
            </w:pPr>
            <w:r>
              <w:rPr>
                <w:rFonts w:ascii="Arial" w:cs="Arial" w:eastAsia="Arial" w:hAnsi="Arial"/>
                <w:sz w:val="14"/>
                <w:szCs w:val="14"/>
                <w:b w:val="1"/>
                <w:bCs w:val="1"/>
                <w:color w:val="auto"/>
                <w:w w:val="96"/>
              </w:rPr>
              <w:t>2017</w:t>
            </w:r>
          </w:p>
        </w:tc>
        <w:tc>
          <w:tcPr>
            <w:tcW w:w="620" w:type="dxa"/>
            <w:vAlign w:val="bottom"/>
            <w:tcBorders>
              <w:bottom w:val="single" w:sz="8" w:color="auto"/>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520" w:type="dxa"/>
            <w:vAlign w:val="bottom"/>
            <w:tcBorders>
              <w:bottom w:val="single" w:sz="8" w:color="auto"/>
            </w:tcBorders>
          </w:tcPr>
          <w:p>
            <w:pPr>
              <w:spacing w:after="0"/>
              <w:rPr>
                <w:sz w:val="17"/>
                <w:szCs w:val="17"/>
                <w:color w:val="auto"/>
              </w:rPr>
            </w:pPr>
          </w:p>
        </w:tc>
        <w:tc>
          <w:tcPr>
            <w:tcW w:w="400" w:type="dxa"/>
            <w:vAlign w:val="bottom"/>
            <w:tcBorders>
              <w:bottom w:val="single" w:sz="8" w:color="auto"/>
            </w:tcBorders>
          </w:tcPr>
          <w:p>
            <w:pPr>
              <w:jc w:val="right"/>
              <w:ind w:right="3"/>
              <w:spacing w:after="0"/>
              <w:rPr>
                <w:sz w:val="20"/>
                <w:szCs w:val="20"/>
                <w:color w:val="auto"/>
              </w:rPr>
            </w:pPr>
            <w:r>
              <w:rPr>
                <w:rFonts w:ascii="Arial" w:cs="Arial" w:eastAsia="Arial" w:hAnsi="Arial"/>
                <w:sz w:val="14"/>
                <w:szCs w:val="14"/>
                <w:color w:val="auto"/>
                <w:w w:val="96"/>
              </w:rPr>
              <w:t>2016</w:t>
            </w:r>
          </w:p>
        </w:tc>
        <w:tc>
          <w:tcPr>
            <w:tcW w:w="600" w:type="dxa"/>
            <w:vAlign w:val="bottom"/>
            <w:tcBorders>
              <w:bottom w:val="single" w:sz="8" w:color="auto"/>
            </w:tcBorders>
          </w:tcPr>
          <w:p>
            <w:pPr>
              <w:spacing w:after="0"/>
              <w:rPr>
                <w:sz w:val="17"/>
                <w:szCs w:val="17"/>
                <w:color w:val="auto"/>
              </w:rPr>
            </w:pPr>
          </w:p>
        </w:tc>
      </w:tr>
      <w:tr>
        <w:trPr>
          <w:trHeight w:val="264"/>
        </w:trPr>
        <w:tc>
          <w:tcPr>
            <w:tcW w:w="790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Quarter</w:t>
            </w:r>
          </w:p>
        </w:tc>
        <w:tc>
          <w:tcPr>
            <w:tcW w:w="180" w:type="dxa"/>
            <w:vAlign w:val="bottom"/>
            <w:tcBorders>
              <w:bottom w:val="single" w:sz="8" w:color="auto"/>
            </w:tcBorders>
          </w:tcPr>
          <w:p>
            <w:pPr>
              <w:spacing w:after="0"/>
              <w:rPr>
                <w:sz w:val="22"/>
                <w:szCs w:val="22"/>
                <w:color w:val="auto"/>
              </w:rPr>
            </w:pPr>
          </w:p>
        </w:tc>
        <w:tc>
          <w:tcPr>
            <w:tcW w:w="520" w:type="dxa"/>
            <w:vAlign w:val="bottom"/>
            <w:tcBorders>
              <w:bottom w:val="single" w:sz="8" w:color="auto"/>
            </w:tcBorders>
          </w:tcPr>
          <w:p>
            <w:pPr>
              <w:jc w:val="right"/>
              <w:ind w:right="61"/>
              <w:spacing w:after="0"/>
              <w:rPr>
                <w:sz w:val="20"/>
                <w:szCs w:val="20"/>
                <w:color w:val="auto"/>
              </w:rPr>
            </w:pPr>
            <w:r>
              <w:rPr>
                <w:rFonts w:ascii="Arial" w:cs="Arial" w:eastAsia="Arial" w:hAnsi="Arial"/>
                <w:sz w:val="14"/>
                <w:szCs w:val="14"/>
                <w:b w:val="1"/>
                <w:bCs w:val="1"/>
                <w:color w:val="auto"/>
              </w:rPr>
              <w:t>High</w:t>
            </w:r>
          </w:p>
        </w:tc>
        <w:tc>
          <w:tcPr>
            <w:tcW w:w="400" w:type="dxa"/>
            <w:vAlign w:val="bottom"/>
            <w:tcBorders>
              <w:bottom w:val="single" w:sz="8" w:color="auto"/>
            </w:tcBorders>
          </w:tcPr>
          <w:p>
            <w:pPr>
              <w:spacing w:after="0"/>
              <w:rPr>
                <w:sz w:val="22"/>
                <w:szCs w:val="22"/>
                <w:color w:val="auto"/>
              </w:rPr>
            </w:pPr>
          </w:p>
        </w:tc>
        <w:tc>
          <w:tcPr>
            <w:tcW w:w="620" w:type="dxa"/>
            <w:vAlign w:val="bottom"/>
            <w:tcBorders>
              <w:bottom w:val="single" w:sz="8" w:color="auto"/>
            </w:tcBorders>
          </w:tcPr>
          <w:p>
            <w:pPr>
              <w:jc w:val="right"/>
              <w:ind w:right="181"/>
              <w:spacing w:after="0"/>
              <w:rPr>
                <w:sz w:val="20"/>
                <w:szCs w:val="20"/>
                <w:color w:val="auto"/>
              </w:rPr>
            </w:pPr>
            <w:r>
              <w:rPr>
                <w:rFonts w:ascii="Arial" w:cs="Arial" w:eastAsia="Arial" w:hAnsi="Arial"/>
                <w:sz w:val="14"/>
                <w:szCs w:val="14"/>
                <w:b w:val="1"/>
                <w:bCs w:val="1"/>
                <w:color w:val="auto"/>
              </w:rPr>
              <w:t>Low</w:t>
            </w:r>
          </w:p>
        </w:tc>
        <w:tc>
          <w:tcPr>
            <w:tcW w:w="280" w:type="dxa"/>
            <w:vAlign w:val="bottom"/>
            <w:tcBorders>
              <w:bottom w:val="single" w:sz="8" w:color="auto"/>
            </w:tcBorders>
          </w:tcPr>
          <w:p>
            <w:pPr>
              <w:spacing w:after="0"/>
              <w:rPr>
                <w:sz w:val="22"/>
                <w:szCs w:val="22"/>
                <w:color w:val="auto"/>
              </w:rPr>
            </w:pPr>
          </w:p>
        </w:tc>
        <w:tc>
          <w:tcPr>
            <w:tcW w:w="520" w:type="dxa"/>
            <w:vAlign w:val="bottom"/>
            <w:tcBorders>
              <w:bottom w:val="single" w:sz="8" w:color="auto"/>
            </w:tcBorders>
          </w:tcPr>
          <w:p>
            <w:pPr>
              <w:jc w:val="right"/>
              <w:ind w:right="81"/>
              <w:spacing w:after="0"/>
              <w:rPr>
                <w:sz w:val="20"/>
                <w:szCs w:val="20"/>
                <w:color w:val="auto"/>
              </w:rPr>
            </w:pPr>
            <w:r>
              <w:rPr>
                <w:rFonts w:ascii="Arial" w:cs="Arial" w:eastAsia="Arial" w:hAnsi="Arial"/>
                <w:sz w:val="14"/>
                <w:szCs w:val="14"/>
                <w:color w:val="auto"/>
              </w:rPr>
              <w:t>High</w:t>
            </w:r>
          </w:p>
        </w:tc>
        <w:tc>
          <w:tcPr>
            <w:tcW w:w="400" w:type="dxa"/>
            <w:vAlign w:val="bottom"/>
            <w:tcBorders>
              <w:bottom w:val="single" w:sz="8" w:color="auto"/>
            </w:tcBorders>
          </w:tcPr>
          <w:p>
            <w:pPr>
              <w:spacing w:after="0"/>
              <w:rPr>
                <w:sz w:val="22"/>
                <w:szCs w:val="22"/>
                <w:color w:val="auto"/>
              </w:rPr>
            </w:pPr>
          </w:p>
        </w:tc>
        <w:tc>
          <w:tcPr>
            <w:tcW w:w="600" w:type="dxa"/>
            <w:vAlign w:val="bottom"/>
            <w:tcBorders>
              <w:bottom w:val="single" w:sz="8" w:color="auto"/>
            </w:tcBorders>
          </w:tcPr>
          <w:p>
            <w:pPr>
              <w:jc w:val="right"/>
              <w:ind w:right="181"/>
              <w:spacing w:after="0"/>
              <w:rPr>
                <w:sz w:val="20"/>
                <w:szCs w:val="20"/>
                <w:color w:val="auto"/>
              </w:rPr>
            </w:pPr>
            <w:r>
              <w:rPr>
                <w:rFonts w:ascii="Arial" w:cs="Arial" w:eastAsia="Arial" w:hAnsi="Arial"/>
                <w:sz w:val="14"/>
                <w:szCs w:val="14"/>
                <w:color w:val="auto"/>
              </w:rPr>
              <w:t>Low</w:t>
            </w:r>
          </w:p>
        </w:tc>
      </w:tr>
      <w:tr>
        <w:trPr>
          <w:trHeight w:val="250"/>
        </w:trPr>
        <w:tc>
          <w:tcPr>
            <w:tcW w:w="7900" w:type="dxa"/>
            <w:vAlign w:val="bottom"/>
          </w:tcPr>
          <w:p>
            <w:pPr>
              <w:ind w:left="40"/>
              <w:spacing w:after="0"/>
              <w:rPr>
                <w:sz w:val="20"/>
                <w:szCs w:val="20"/>
                <w:color w:val="auto"/>
              </w:rPr>
            </w:pPr>
            <w:r>
              <w:rPr>
                <w:rFonts w:ascii="Arial" w:cs="Arial" w:eastAsia="Arial" w:hAnsi="Arial"/>
                <w:sz w:val="16"/>
                <w:szCs w:val="16"/>
                <w:color w:val="auto"/>
              </w:rPr>
              <w:t>January–March</w:t>
            </w:r>
          </w:p>
        </w:tc>
        <w:tc>
          <w:tcPr>
            <w:tcW w:w="180" w:type="dxa"/>
            <w:vAlign w:val="bottom"/>
          </w:tcPr>
          <w:p>
            <w:pPr>
              <w:jc w:val="right"/>
              <w:spacing w:after="0"/>
              <w:rPr>
                <w:sz w:val="20"/>
                <w:szCs w:val="20"/>
                <w:color w:val="auto"/>
              </w:rPr>
            </w:pPr>
            <w:r>
              <w:rPr>
                <w:rFonts w:ascii="Arial" w:cs="Arial" w:eastAsia="Arial" w:hAnsi="Arial"/>
                <w:sz w:val="16"/>
                <w:szCs w:val="16"/>
                <w:b w:val="1"/>
                <w:bCs w:val="1"/>
                <w:color w:val="auto"/>
              </w:rPr>
              <w:t>$</w:t>
            </w:r>
          </w:p>
        </w:tc>
        <w:tc>
          <w:tcPr>
            <w:tcW w:w="520" w:type="dxa"/>
            <w:vAlign w:val="bottom"/>
          </w:tcPr>
          <w:p>
            <w:pPr>
              <w:jc w:val="right"/>
              <w:spacing w:after="0"/>
              <w:rPr>
                <w:sz w:val="20"/>
                <w:szCs w:val="20"/>
                <w:color w:val="auto"/>
              </w:rPr>
            </w:pPr>
            <w:r>
              <w:rPr>
                <w:rFonts w:ascii="Arial" w:cs="Arial" w:eastAsia="Arial" w:hAnsi="Arial"/>
                <w:sz w:val="16"/>
                <w:szCs w:val="16"/>
                <w:b w:val="1"/>
                <w:bCs w:val="1"/>
                <w:color w:val="auto"/>
              </w:rPr>
              <w:t>602</w:t>
            </w:r>
          </w:p>
        </w:tc>
        <w:tc>
          <w:tcPr>
            <w:tcW w:w="400" w:type="dxa"/>
            <w:vAlign w:val="bottom"/>
          </w:tcPr>
          <w:p>
            <w:pPr>
              <w:jc w:val="right"/>
              <w:spacing w:after="0"/>
              <w:rPr>
                <w:sz w:val="20"/>
                <w:szCs w:val="20"/>
                <w:color w:val="auto"/>
              </w:rPr>
            </w:pPr>
            <w:r>
              <w:rPr>
                <w:rFonts w:ascii="Arial" w:cs="Arial" w:eastAsia="Arial" w:hAnsi="Arial"/>
                <w:sz w:val="16"/>
                <w:szCs w:val="16"/>
                <w:b w:val="1"/>
                <w:bCs w:val="1"/>
                <w:color w:val="auto"/>
              </w:rPr>
              <w:t>$</w:t>
            </w:r>
          </w:p>
        </w:tc>
        <w:tc>
          <w:tcPr>
            <w:tcW w:w="620" w:type="dxa"/>
            <w:vAlign w:val="bottom"/>
          </w:tcPr>
          <w:p>
            <w:pPr>
              <w:jc w:val="right"/>
              <w:ind w:right="41"/>
              <w:spacing w:after="0"/>
              <w:rPr>
                <w:sz w:val="20"/>
                <w:szCs w:val="20"/>
                <w:color w:val="auto"/>
              </w:rPr>
            </w:pPr>
            <w:r>
              <w:rPr>
                <w:rFonts w:ascii="Arial" w:cs="Arial" w:eastAsia="Arial" w:hAnsi="Arial"/>
                <w:sz w:val="16"/>
                <w:szCs w:val="16"/>
                <w:b w:val="1"/>
                <w:bCs w:val="1"/>
                <w:color w:val="auto"/>
              </w:rPr>
              <w:t>502</w:t>
            </w:r>
          </w:p>
        </w:tc>
        <w:tc>
          <w:tcPr>
            <w:tcW w:w="280" w:type="dxa"/>
            <w:vAlign w:val="bottom"/>
          </w:tcPr>
          <w:p>
            <w:pPr>
              <w:jc w:val="right"/>
              <w:spacing w:after="0"/>
              <w:rPr>
                <w:sz w:val="20"/>
                <w:szCs w:val="20"/>
                <w:color w:val="auto"/>
              </w:rPr>
            </w:pPr>
            <w:r>
              <w:rPr>
                <w:rFonts w:ascii="Arial" w:cs="Arial" w:eastAsia="Arial" w:hAnsi="Arial"/>
                <w:sz w:val="16"/>
                <w:szCs w:val="16"/>
                <w:color w:val="auto"/>
              </w:rPr>
              <w:t>$</w:t>
            </w:r>
          </w:p>
        </w:tc>
        <w:tc>
          <w:tcPr>
            <w:tcW w:w="520" w:type="dxa"/>
            <w:vAlign w:val="bottom"/>
          </w:tcPr>
          <w:p>
            <w:pPr>
              <w:jc w:val="right"/>
              <w:spacing w:after="0"/>
              <w:rPr>
                <w:sz w:val="20"/>
                <w:szCs w:val="20"/>
                <w:color w:val="auto"/>
              </w:rPr>
            </w:pPr>
            <w:r>
              <w:rPr>
                <w:rFonts w:ascii="Arial" w:cs="Arial" w:eastAsia="Arial" w:hAnsi="Arial"/>
                <w:sz w:val="16"/>
                <w:szCs w:val="16"/>
                <w:color w:val="auto"/>
              </w:rPr>
              <w:t>532</w:t>
            </w:r>
          </w:p>
        </w:tc>
        <w:tc>
          <w:tcPr>
            <w:tcW w:w="400" w:type="dxa"/>
            <w:vAlign w:val="bottom"/>
          </w:tcPr>
          <w:p>
            <w:pPr>
              <w:jc w:val="right"/>
              <w:ind w:right="3"/>
              <w:spacing w:after="0"/>
              <w:rPr>
                <w:sz w:val="20"/>
                <w:szCs w:val="20"/>
                <w:color w:val="auto"/>
              </w:rPr>
            </w:pPr>
            <w:r>
              <w:rPr>
                <w:rFonts w:ascii="Arial" w:cs="Arial" w:eastAsia="Arial" w:hAnsi="Arial"/>
                <w:sz w:val="16"/>
                <w:szCs w:val="16"/>
                <w:color w:val="auto"/>
              </w:rPr>
              <w:t>$</w:t>
            </w:r>
          </w:p>
        </w:tc>
        <w:tc>
          <w:tcPr>
            <w:tcW w:w="600" w:type="dxa"/>
            <w:vAlign w:val="bottom"/>
          </w:tcPr>
          <w:p>
            <w:pPr>
              <w:jc w:val="right"/>
              <w:ind w:right="21"/>
              <w:spacing w:after="0"/>
              <w:rPr>
                <w:sz w:val="20"/>
                <w:szCs w:val="20"/>
                <w:color w:val="auto"/>
              </w:rPr>
            </w:pPr>
            <w:r>
              <w:rPr>
                <w:rFonts w:ascii="Arial" w:cs="Arial" w:eastAsia="Arial" w:hAnsi="Arial"/>
                <w:sz w:val="16"/>
                <w:szCs w:val="16"/>
                <w:color w:val="auto"/>
              </w:rPr>
              <w:t>425</w:t>
            </w:r>
          </w:p>
        </w:tc>
      </w:tr>
      <w:tr>
        <w:trPr>
          <w:trHeight w:val="270"/>
        </w:trPr>
        <w:tc>
          <w:tcPr>
            <w:tcW w:w="7900" w:type="dxa"/>
            <w:vAlign w:val="bottom"/>
          </w:tcPr>
          <w:p>
            <w:pPr>
              <w:ind w:left="40"/>
              <w:spacing w:after="0"/>
              <w:rPr>
                <w:sz w:val="20"/>
                <w:szCs w:val="20"/>
                <w:color w:val="auto"/>
              </w:rPr>
            </w:pPr>
            <w:r>
              <w:rPr>
                <w:rFonts w:ascii="Arial" w:cs="Arial" w:eastAsia="Arial" w:hAnsi="Arial"/>
                <w:sz w:val="16"/>
                <w:szCs w:val="16"/>
                <w:color w:val="auto"/>
              </w:rPr>
              <w:t>April–June</w:t>
            </w:r>
          </w:p>
        </w:tc>
        <w:tc>
          <w:tcPr>
            <w:tcW w:w="180" w:type="dxa"/>
            <w:vAlign w:val="bottom"/>
          </w:tcPr>
          <w:p>
            <w:pPr>
              <w:spacing w:after="0"/>
              <w:rPr>
                <w:sz w:val="23"/>
                <w:szCs w:val="23"/>
                <w:color w:val="auto"/>
              </w:rPr>
            </w:pPr>
          </w:p>
        </w:tc>
        <w:tc>
          <w:tcPr>
            <w:tcW w:w="520" w:type="dxa"/>
            <w:vAlign w:val="bottom"/>
          </w:tcPr>
          <w:p>
            <w:pPr>
              <w:jc w:val="right"/>
              <w:spacing w:after="0"/>
              <w:rPr>
                <w:sz w:val="20"/>
                <w:szCs w:val="20"/>
                <w:color w:val="auto"/>
              </w:rPr>
            </w:pPr>
            <w:r>
              <w:rPr>
                <w:rFonts w:ascii="Arial" w:cs="Arial" w:eastAsia="Arial" w:hAnsi="Arial"/>
                <w:sz w:val="16"/>
                <w:szCs w:val="16"/>
                <w:b w:val="1"/>
                <w:bCs w:val="1"/>
                <w:color w:val="auto"/>
              </w:rPr>
              <w:t>616</w:t>
            </w:r>
          </w:p>
        </w:tc>
        <w:tc>
          <w:tcPr>
            <w:tcW w:w="400" w:type="dxa"/>
            <w:vAlign w:val="bottom"/>
          </w:tcPr>
          <w:p>
            <w:pPr>
              <w:spacing w:after="0"/>
              <w:rPr>
                <w:sz w:val="23"/>
                <w:szCs w:val="23"/>
                <w:color w:val="auto"/>
              </w:rPr>
            </w:pPr>
          </w:p>
        </w:tc>
        <w:tc>
          <w:tcPr>
            <w:tcW w:w="620" w:type="dxa"/>
            <w:vAlign w:val="bottom"/>
          </w:tcPr>
          <w:p>
            <w:pPr>
              <w:jc w:val="right"/>
              <w:ind w:right="41"/>
              <w:spacing w:after="0"/>
              <w:rPr>
                <w:sz w:val="20"/>
                <w:szCs w:val="20"/>
                <w:color w:val="auto"/>
              </w:rPr>
            </w:pPr>
            <w:r>
              <w:rPr>
                <w:rFonts w:ascii="Arial" w:cs="Arial" w:eastAsia="Arial" w:hAnsi="Arial"/>
                <w:sz w:val="16"/>
                <w:szCs w:val="16"/>
                <w:b w:val="1"/>
                <w:bCs w:val="1"/>
                <w:color w:val="auto"/>
              </w:rPr>
              <w:t>585</w:t>
            </w:r>
          </w:p>
        </w:tc>
        <w:tc>
          <w:tcPr>
            <w:tcW w:w="280" w:type="dxa"/>
            <w:vAlign w:val="bottom"/>
          </w:tcPr>
          <w:p>
            <w:pPr>
              <w:spacing w:after="0"/>
              <w:rPr>
                <w:sz w:val="23"/>
                <w:szCs w:val="23"/>
                <w:color w:val="auto"/>
              </w:rPr>
            </w:pPr>
          </w:p>
        </w:tc>
        <w:tc>
          <w:tcPr>
            <w:tcW w:w="520" w:type="dxa"/>
            <w:vAlign w:val="bottom"/>
          </w:tcPr>
          <w:p>
            <w:pPr>
              <w:jc w:val="right"/>
              <w:spacing w:after="0"/>
              <w:rPr>
                <w:sz w:val="20"/>
                <w:szCs w:val="20"/>
                <w:color w:val="auto"/>
              </w:rPr>
            </w:pPr>
            <w:r>
              <w:rPr>
                <w:rFonts w:ascii="Arial" w:cs="Arial" w:eastAsia="Arial" w:hAnsi="Arial"/>
                <w:sz w:val="16"/>
                <w:szCs w:val="16"/>
                <w:color w:val="auto"/>
              </w:rPr>
              <w:t>520</w:t>
            </w:r>
          </w:p>
        </w:tc>
        <w:tc>
          <w:tcPr>
            <w:tcW w:w="400" w:type="dxa"/>
            <w:vAlign w:val="bottom"/>
          </w:tcPr>
          <w:p>
            <w:pPr>
              <w:spacing w:after="0"/>
              <w:rPr>
                <w:sz w:val="23"/>
                <w:szCs w:val="23"/>
                <w:color w:val="auto"/>
              </w:rPr>
            </w:pPr>
          </w:p>
        </w:tc>
        <w:tc>
          <w:tcPr>
            <w:tcW w:w="600" w:type="dxa"/>
            <w:vAlign w:val="bottom"/>
          </w:tcPr>
          <w:p>
            <w:pPr>
              <w:jc w:val="right"/>
              <w:ind w:right="21"/>
              <w:spacing w:after="0"/>
              <w:rPr>
                <w:sz w:val="20"/>
                <w:szCs w:val="20"/>
                <w:color w:val="auto"/>
              </w:rPr>
            </w:pPr>
            <w:r>
              <w:rPr>
                <w:rFonts w:ascii="Arial" w:cs="Arial" w:eastAsia="Arial" w:hAnsi="Arial"/>
                <w:sz w:val="16"/>
                <w:szCs w:val="16"/>
                <w:color w:val="auto"/>
              </w:rPr>
              <w:t>452</w:t>
            </w:r>
          </w:p>
        </w:tc>
      </w:tr>
      <w:tr>
        <w:trPr>
          <w:trHeight w:val="270"/>
        </w:trPr>
        <w:tc>
          <w:tcPr>
            <w:tcW w:w="7900" w:type="dxa"/>
            <w:vAlign w:val="bottom"/>
          </w:tcPr>
          <w:p>
            <w:pPr>
              <w:ind w:left="40"/>
              <w:spacing w:after="0"/>
              <w:rPr>
                <w:sz w:val="20"/>
                <w:szCs w:val="20"/>
                <w:color w:val="auto"/>
              </w:rPr>
            </w:pPr>
            <w:r>
              <w:rPr>
                <w:rFonts w:ascii="Arial" w:cs="Arial" w:eastAsia="Arial" w:hAnsi="Arial"/>
                <w:sz w:val="16"/>
                <w:szCs w:val="16"/>
                <w:color w:val="auto"/>
              </w:rPr>
              <w:t>July–September</w:t>
            </w:r>
          </w:p>
        </w:tc>
        <w:tc>
          <w:tcPr>
            <w:tcW w:w="180" w:type="dxa"/>
            <w:vAlign w:val="bottom"/>
          </w:tcPr>
          <w:p>
            <w:pPr>
              <w:spacing w:after="0"/>
              <w:rPr>
                <w:sz w:val="23"/>
                <w:szCs w:val="23"/>
                <w:color w:val="auto"/>
              </w:rPr>
            </w:pPr>
          </w:p>
        </w:tc>
        <w:tc>
          <w:tcPr>
            <w:tcW w:w="520" w:type="dxa"/>
            <w:vAlign w:val="bottom"/>
          </w:tcPr>
          <w:p>
            <w:pPr>
              <w:jc w:val="right"/>
              <w:spacing w:after="0"/>
              <w:rPr>
                <w:sz w:val="20"/>
                <w:szCs w:val="20"/>
                <w:color w:val="auto"/>
              </w:rPr>
            </w:pPr>
            <w:r>
              <w:rPr>
                <w:rFonts w:ascii="Arial" w:cs="Arial" w:eastAsia="Arial" w:hAnsi="Arial"/>
                <w:sz w:val="16"/>
                <w:szCs w:val="16"/>
                <w:b w:val="1"/>
                <w:bCs w:val="1"/>
                <w:color w:val="auto"/>
              </w:rPr>
              <w:t>603</w:t>
            </w:r>
          </w:p>
        </w:tc>
        <w:tc>
          <w:tcPr>
            <w:tcW w:w="400" w:type="dxa"/>
            <w:vAlign w:val="bottom"/>
          </w:tcPr>
          <w:p>
            <w:pPr>
              <w:spacing w:after="0"/>
              <w:rPr>
                <w:sz w:val="23"/>
                <w:szCs w:val="23"/>
                <w:color w:val="auto"/>
              </w:rPr>
            </w:pPr>
          </w:p>
        </w:tc>
        <w:tc>
          <w:tcPr>
            <w:tcW w:w="620" w:type="dxa"/>
            <w:vAlign w:val="bottom"/>
          </w:tcPr>
          <w:p>
            <w:pPr>
              <w:jc w:val="right"/>
              <w:ind w:right="41"/>
              <w:spacing w:after="0"/>
              <w:rPr>
                <w:sz w:val="20"/>
                <w:szCs w:val="20"/>
                <w:color w:val="auto"/>
              </w:rPr>
            </w:pPr>
            <w:r>
              <w:rPr>
                <w:rFonts w:ascii="Arial" w:cs="Arial" w:eastAsia="Arial" w:hAnsi="Arial"/>
                <w:sz w:val="16"/>
                <w:szCs w:val="16"/>
                <w:b w:val="1"/>
                <w:bCs w:val="1"/>
                <w:color w:val="auto"/>
              </w:rPr>
              <w:t>559</w:t>
            </w:r>
          </w:p>
        </w:tc>
        <w:tc>
          <w:tcPr>
            <w:tcW w:w="280" w:type="dxa"/>
            <w:vAlign w:val="bottom"/>
          </w:tcPr>
          <w:p>
            <w:pPr>
              <w:spacing w:after="0"/>
              <w:rPr>
                <w:sz w:val="23"/>
                <w:szCs w:val="23"/>
                <w:color w:val="auto"/>
              </w:rPr>
            </w:pPr>
          </w:p>
        </w:tc>
        <w:tc>
          <w:tcPr>
            <w:tcW w:w="520" w:type="dxa"/>
            <w:vAlign w:val="bottom"/>
          </w:tcPr>
          <w:p>
            <w:pPr>
              <w:jc w:val="right"/>
              <w:spacing w:after="0"/>
              <w:rPr>
                <w:sz w:val="20"/>
                <w:szCs w:val="20"/>
                <w:color w:val="auto"/>
              </w:rPr>
            </w:pPr>
            <w:r>
              <w:rPr>
                <w:rFonts w:ascii="Arial" w:cs="Arial" w:eastAsia="Arial" w:hAnsi="Arial"/>
                <w:sz w:val="16"/>
                <w:szCs w:val="16"/>
                <w:color w:val="auto"/>
              </w:rPr>
              <w:t>527</w:t>
            </w:r>
          </w:p>
        </w:tc>
        <w:tc>
          <w:tcPr>
            <w:tcW w:w="400" w:type="dxa"/>
            <w:vAlign w:val="bottom"/>
          </w:tcPr>
          <w:p>
            <w:pPr>
              <w:spacing w:after="0"/>
              <w:rPr>
                <w:sz w:val="23"/>
                <w:szCs w:val="23"/>
                <w:color w:val="auto"/>
              </w:rPr>
            </w:pPr>
          </w:p>
        </w:tc>
        <w:tc>
          <w:tcPr>
            <w:tcW w:w="600" w:type="dxa"/>
            <w:vAlign w:val="bottom"/>
          </w:tcPr>
          <w:p>
            <w:pPr>
              <w:jc w:val="right"/>
              <w:ind w:right="21"/>
              <w:spacing w:after="0"/>
              <w:rPr>
                <w:sz w:val="20"/>
                <w:szCs w:val="20"/>
                <w:color w:val="auto"/>
              </w:rPr>
            </w:pPr>
            <w:r>
              <w:rPr>
                <w:rFonts w:ascii="Arial" w:cs="Arial" w:eastAsia="Arial" w:hAnsi="Arial"/>
                <w:sz w:val="16"/>
                <w:szCs w:val="16"/>
                <w:color w:val="auto"/>
              </w:rPr>
              <w:t>474</w:t>
            </w:r>
          </w:p>
        </w:tc>
      </w:tr>
      <w:tr>
        <w:trPr>
          <w:trHeight w:val="270"/>
        </w:trPr>
        <w:tc>
          <w:tcPr>
            <w:tcW w:w="7900" w:type="dxa"/>
            <w:vAlign w:val="bottom"/>
          </w:tcPr>
          <w:p>
            <w:pPr>
              <w:ind w:left="40"/>
              <w:spacing w:after="0"/>
              <w:rPr>
                <w:sz w:val="20"/>
                <w:szCs w:val="20"/>
                <w:color w:val="auto"/>
              </w:rPr>
            </w:pPr>
            <w:r>
              <w:rPr>
                <w:rFonts w:ascii="Arial" w:cs="Arial" w:eastAsia="Arial" w:hAnsi="Arial"/>
                <w:sz w:val="16"/>
                <w:szCs w:val="16"/>
                <w:color w:val="auto"/>
              </w:rPr>
              <w:t>October–December</w:t>
            </w:r>
          </w:p>
        </w:tc>
        <w:tc>
          <w:tcPr>
            <w:tcW w:w="180" w:type="dxa"/>
            <w:vAlign w:val="bottom"/>
          </w:tcPr>
          <w:p>
            <w:pPr>
              <w:spacing w:after="0"/>
              <w:rPr>
                <w:sz w:val="23"/>
                <w:szCs w:val="23"/>
                <w:color w:val="auto"/>
              </w:rPr>
            </w:pPr>
          </w:p>
        </w:tc>
        <w:tc>
          <w:tcPr>
            <w:tcW w:w="520" w:type="dxa"/>
            <w:vAlign w:val="bottom"/>
          </w:tcPr>
          <w:p>
            <w:pPr>
              <w:jc w:val="right"/>
              <w:spacing w:after="0"/>
              <w:rPr>
                <w:sz w:val="20"/>
                <w:szCs w:val="20"/>
                <w:color w:val="auto"/>
              </w:rPr>
            </w:pPr>
            <w:r>
              <w:rPr>
                <w:rFonts w:ascii="Arial" w:cs="Arial" w:eastAsia="Arial" w:hAnsi="Arial"/>
                <w:sz w:val="16"/>
                <w:szCs w:val="16"/>
                <w:b w:val="1"/>
                <w:bCs w:val="1"/>
                <w:color w:val="auto"/>
              </w:rPr>
              <w:t>594</w:t>
            </w:r>
          </w:p>
        </w:tc>
        <w:tc>
          <w:tcPr>
            <w:tcW w:w="400" w:type="dxa"/>
            <w:vAlign w:val="bottom"/>
          </w:tcPr>
          <w:p>
            <w:pPr>
              <w:spacing w:after="0"/>
              <w:rPr>
                <w:sz w:val="23"/>
                <w:szCs w:val="23"/>
                <w:color w:val="auto"/>
              </w:rPr>
            </w:pPr>
          </w:p>
        </w:tc>
        <w:tc>
          <w:tcPr>
            <w:tcW w:w="620" w:type="dxa"/>
            <w:vAlign w:val="bottom"/>
          </w:tcPr>
          <w:p>
            <w:pPr>
              <w:jc w:val="right"/>
              <w:ind w:right="41"/>
              <w:spacing w:after="0"/>
              <w:rPr>
                <w:sz w:val="20"/>
                <w:szCs w:val="20"/>
                <w:color w:val="auto"/>
              </w:rPr>
            </w:pPr>
            <w:r>
              <w:rPr>
                <w:rFonts w:ascii="Arial" w:cs="Arial" w:eastAsia="Arial" w:hAnsi="Arial"/>
                <w:sz w:val="16"/>
                <w:szCs w:val="16"/>
                <w:b w:val="1"/>
                <w:bCs w:val="1"/>
                <w:color w:val="auto"/>
              </w:rPr>
              <w:t>537</w:t>
            </w:r>
          </w:p>
        </w:tc>
        <w:tc>
          <w:tcPr>
            <w:tcW w:w="280" w:type="dxa"/>
            <w:vAlign w:val="bottom"/>
          </w:tcPr>
          <w:p>
            <w:pPr>
              <w:spacing w:after="0"/>
              <w:rPr>
                <w:sz w:val="23"/>
                <w:szCs w:val="23"/>
                <w:color w:val="auto"/>
              </w:rPr>
            </w:pPr>
          </w:p>
        </w:tc>
        <w:tc>
          <w:tcPr>
            <w:tcW w:w="520" w:type="dxa"/>
            <w:vAlign w:val="bottom"/>
          </w:tcPr>
          <w:p>
            <w:pPr>
              <w:jc w:val="right"/>
              <w:spacing w:after="0"/>
              <w:rPr>
                <w:sz w:val="20"/>
                <w:szCs w:val="20"/>
                <w:color w:val="auto"/>
              </w:rPr>
            </w:pPr>
            <w:r>
              <w:rPr>
                <w:rFonts w:ascii="Arial" w:cs="Arial" w:eastAsia="Arial" w:hAnsi="Arial"/>
                <w:sz w:val="16"/>
                <w:szCs w:val="16"/>
                <w:color w:val="auto"/>
              </w:rPr>
              <w:t>548</w:t>
            </w:r>
          </w:p>
        </w:tc>
        <w:tc>
          <w:tcPr>
            <w:tcW w:w="400" w:type="dxa"/>
            <w:vAlign w:val="bottom"/>
          </w:tcPr>
          <w:p>
            <w:pPr>
              <w:spacing w:after="0"/>
              <w:rPr>
                <w:sz w:val="23"/>
                <w:szCs w:val="23"/>
                <w:color w:val="auto"/>
              </w:rPr>
            </w:pPr>
          </w:p>
        </w:tc>
        <w:tc>
          <w:tcPr>
            <w:tcW w:w="600" w:type="dxa"/>
            <w:vAlign w:val="bottom"/>
          </w:tcPr>
          <w:p>
            <w:pPr>
              <w:jc w:val="right"/>
              <w:ind w:right="21"/>
              <w:spacing w:after="0"/>
              <w:rPr>
                <w:sz w:val="20"/>
                <w:szCs w:val="20"/>
                <w:color w:val="auto"/>
              </w:rPr>
            </w:pPr>
            <w:r>
              <w:rPr>
                <w:rFonts w:ascii="Arial" w:cs="Arial" w:eastAsia="Arial" w:hAnsi="Arial"/>
                <w:sz w:val="16"/>
                <w:szCs w:val="16"/>
                <w:color w:val="auto"/>
              </w:rPr>
              <w:t>441</w:t>
            </w:r>
          </w:p>
        </w:tc>
      </w:tr>
    </w:tbl>
    <w:p>
      <w:pPr>
        <w:spacing w:after="0" w:line="167" w:lineRule="exact"/>
        <w:rPr>
          <w:sz w:val="20"/>
          <w:szCs w:val="20"/>
          <w:color w:val="auto"/>
        </w:rPr>
      </w:pPr>
    </w:p>
    <w:p>
      <w:pPr>
        <w:ind w:right="260"/>
        <w:spacing w:after="0" w:line="235" w:lineRule="auto"/>
        <w:rPr>
          <w:sz w:val="20"/>
          <w:szCs w:val="20"/>
          <w:color w:val="auto"/>
        </w:rPr>
      </w:pPr>
      <w:r>
        <w:rPr>
          <w:rFonts w:ascii="Arial" w:cs="Arial" w:eastAsia="Arial" w:hAnsi="Arial"/>
          <w:sz w:val="18"/>
          <w:szCs w:val="18"/>
          <w:color w:val="auto"/>
        </w:rPr>
        <w:t>At January 31, 2018, there were 26 holders of record of the Company’s Class A Common Stock and 428 holders of record of the Company’s Class B Common Stock.</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Dividend Information</w:t>
      </w:r>
    </w:p>
    <w:p>
      <w:pPr>
        <w:spacing w:after="0" w:line="166" w:lineRule="exact"/>
        <w:rPr>
          <w:sz w:val="20"/>
          <w:szCs w:val="20"/>
          <w:color w:val="auto"/>
        </w:rPr>
      </w:pPr>
    </w:p>
    <w:p>
      <w:pPr>
        <w:ind w:right="160"/>
        <w:spacing w:after="0" w:line="235" w:lineRule="auto"/>
        <w:rPr>
          <w:sz w:val="20"/>
          <w:szCs w:val="20"/>
          <w:color w:val="auto"/>
        </w:rPr>
      </w:pPr>
      <w:r>
        <w:rPr>
          <w:rFonts w:ascii="Arial" w:cs="Arial" w:eastAsia="Arial" w:hAnsi="Arial"/>
          <w:sz w:val="18"/>
          <w:szCs w:val="18"/>
          <w:color w:val="auto"/>
        </w:rPr>
        <w:t>Both classes of the Company’s Common Stock participate equally as to dividends. Quarterly dividends were paid at a rate of $1.27 and $1.21 per share during 2017 and 2016, respectively.</w:t>
      </w:r>
    </w:p>
    <w:p>
      <w:pPr>
        <w:spacing w:after="0" w:line="200" w:lineRule="exact"/>
        <w:rPr>
          <w:sz w:val="20"/>
          <w:szCs w:val="20"/>
          <w:color w:val="auto"/>
        </w:rPr>
      </w:pPr>
    </w:p>
    <w:p>
      <w:pPr>
        <w:spacing w:after="0" w:line="3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38</w:t>
      </w:r>
    </w:p>
    <w:p>
      <w:pPr>
        <w:sectPr>
          <w:pgSz w:w="11900" w:h="16838" w:orient="portrait"/>
          <w:cols w:equalWidth="0" w:num="1">
            <w:col w:w="11420"/>
          </w:cols>
          <w:pgMar w:left="240" w:top="746" w:right="239" w:bottom="1440" w:gutter="0" w:footer="0" w:header="0"/>
        </w:sectPr>
      </w:pPr>
    </w:p>
    <w:bookmarkStart w:id="40" w:name="page41"/>
    <w:bookmarkEnd w:id="40"/>
    <w:p>
      <w:pPr>
        <w:spacing w:after="0"/>
        <w:rPr>
          <w:sz w:val="20"/>
          <w:szCs w:val="20"/>
          <w:color w:val="auto"/>
        </w:rPr>
      </w:pPr>
      <w:r>
        <w:rPr>
          <w:rFonts w:ascii="Arial" w:cs="Arial" w:eastAsia="Arial" w:hAnsi="Arial"/>
          <w:sz w:val="18"/>
          <w:szCs w:val="18"/>
          <w:b w:val="1"/>
          <w:bCs w:val="1"/>
          <w:i w:val="1"/>
          <w:iCs w:val="1"/>
          <w:color w:val="auto"/>
        </w:rPr>
        <w:t>Securities Authorized for Issuance Under Equity Compensation Plans</w:t>
      </w:r>
    </w:p>
    <w:p>
      <w:pPr>
        <w:spacing w:after="0" w:line="166" w:lineRule="exact"/>
        <w:rPr>
          <w:sz w:val="20"/>
          <w:szCs w:val="20"/>
          <w:color w:val="auto"/>
        </w:rPr>
      </w:pPr>
    </w:p>
    <w:p>
      <w:pPr>
        <w:ind w:right="520"/>
        <w:spacing w:after="0" w:line="227" w:lineRule="auto"/>
        <w:rPr>
          <w:sz w:val="20"/>
          <w:szCs w:val="20"/>
          <w:color w:val="auto"/>
        </w:rPr>
      </w:pPr>
      <w:r>
        <w:rPr>
          <w:rFonts w:ascii="Arial" w:cs="Arial" w:eastAsia="Arial" w:hAnsi="Arial"/>
          <w:sz w:val="18"/>
          <w:szCs w:val="18"/>
          <w:color w:val="auto"/>
        </w:rPr>
        <w:t>The following table and the footnote thereto set forth certain information as of December 31, 2017, concerning compensation plans of the Company under which equity securities of the Company are authorized to be issued.</w:t>
      </w:r>
    </w:p>
    <w:p>
      <w:pPr>
        <w:spacing w:after="0" w:line="12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3660" w:type="dxa"/>
            <w:vAlign w:val="bottom"/>
          </w:tcPr>
          <w:p>
            <w:pPr>
              <w:spacing w:after="0"/>
              <w:rPr>
                <w:sz w:val="14"/>
                <w:szCs w:val="14"/>
                <w:color w:val="auto"/>
              </w:rPr>
            </w:pPr>
          </w:p>
        </w:tc>
        <w:tc>
          <w:tcPr>
            <w:tcW w:w="2360" w:type="dxa"/>
            <w:vAlign w:val="bottom"/>
          </w:tcPr>
          <w:p>
            <w:pPr>
              <w:jc w:val="center"/>
              <w:spacing w:after="0"/>
              <w:rPr>
                <w:sz w:val="20"/>
                <w:szCs w:val="20"/>
                <w:color w:val="auto"/>
              </w:rPr>
            </w:pPr>
            <w:r>
              <w:rPr>
                <w:rFonts w:ascii="Arial" w:cs="Arial" w:eastAsia="Arial" w:hAnsi="Arial"/>
                <w:sz w:val="14"/>
                <w:szCs w:val="14"/>
                <w:b w:val="1"/>
                <w:bCs w:val="1"/>
                <w:color w:val="auto"/>
              </w:rPr>
              <w:t>Number of Securities</w:t>
            </w:r>
          </w:p>
        </w:tc>
        <w:tc>
          <w:tcPr>
            <w:tcW w:w="2200" w:type="dxa"/>
            <w:vAlign w:val="bottom"/>
          </w:tcPr>
          <w:p>
            <w:pPr>
              <w:spacing w:after="0"/>
              <w:rPr>
                <w:sz w:val="14"/>
                <w:szCs w:val="14"/>
                <w:color w:val="auto"/>
              </w:rPr>
            </w:pPr>
          </w:p>
        </w:tc>
        <w:tc>
          <w:tcPr>
            <w:tcW w:w="3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660" w:type="dxa"/>
            <w:vAlign w:val="bottom"/>
          </w:tcPr>
          <w:p>
            <w:pPr>
              <w:spacing w:after="0"/>
              <w:rPr>
                <w:sz w:val="14"/>
                <w:szCs w:val="14"/>
                <w:color w:val="auto"/>
              </w:rPr>
            </w:pPr>
          </w:p>
        </w:tc>
        <w:tc>
          <w:tcPr>
            <w:tcW w:w="2360" w:type="dxa"/>
            <w:vAlign w:val="bottom"/>
          </w:tcPr>
          <w:p>
            <w:pPr>
              <w:jc w:val="center"/>
              <w:spacing w:after="0"/>
              <w:rPr>
                <w:sz w:val="20"/>
                <w:szCs w:val="20"/>
                <w:color w:val="auto"/>
              </w:rPr>
            </w:pPr>
            <w:r>
              <w:rPr>
                <w:rFonts w:ascii="Arial" w:cs="Arial" w:eastAsia="Arial" w:hAnsi="Arial"/>
                <w:sz w:val="14"/>
                <w:szCs w:val="14"/>
                <w:b w:val="1"/>
                <w:bCs w:val="1"/>
                <w:color w:val="auto"/>
              </w:rPr>
              <w:t>to Be Issued Upon</w:t>
            </w:r>
          </w:p>
        </w:tc>
        <w:tc>
          <w:tcPr>
            <w:tcW w:w="2200" w:type="dxa"/>
            <w:vAlign w:val="bottom"/>
          </w:tcPr>
          <w:p>
            <w:pPr>
              <w:jc w:val="center"/>
              <w:ind w:left="105"/>
              <w:spacing w:after="0"/>
              <w:rPr>
                <w:sz w:val="20"/>
                <w:szCs w:val="20"/>
                <w:color w:val="auto"/>
              </w:rPr>
            </w:pPr>
            <w:r>
              <w:rPr>
                <w:rFonts w:ascii="Arial" w:cs="Arial" w:eastAsia="Arial" w:hAnsi="Arial"/>
                <w:sz w:val="14"/>
                <w:szCs w:val="14"/>
                <w:b w:val="1"/>
                <w:bCs w:val="1"/>
                <w:color w:val="auto"/>
              </w:rPr>
              <w:t>Weighted Average</w:t>
            </w:r>
          </w:p>
        </w:tc>
        <w:tc>
          <w:tcPr>
            <w:tcW w:w="3200" w:type="dxa"/>
            <w:vAlign w:val="bottom"/>
          </w:tcPr>
          <w:p>
            <w:pPr>
              <w:jc w:val="center"/>
              <w:ind w:left="165"/>
              <w:spacing w:after="0"/>
              <w:rPr>
                <w:sz w:val="20"/>
                <w:szCs w:val="20"/>
                <w:color w:val="auto"/>
              </w:rPr>
            </w:pPr>
            <w:r>
              <w:rPr>
                <w:rFonts w:ascii="Arial" w:cs="Arial" w:eastAsia="Arial" w:hAnsi="Arial"/>
                <w:sz w:val="14"/>
                <w:szCs w:val="14"/>
                <w:b w:val="1"/>
                <w:bCs w:val="1"/>
                <w:color w:val="auto"/>
              </w:rPr>
              <w:t>Number of Securities Remaining Available</w:t>
            </w:r>
          </w:p>
        </w:tc>
        <w:tc>
          <w:tcPr>
            <w:tcW w:w="0" w:type="dxa"/>
            <w:vAlign w:val="bottom"/>
          </w:tcPr>
          <w:p>
            <w:pPr>
              <w:spacing w:after="0"/>
              <w:rPr>
                <w:sz w:val="1"/>
                <w:szCs w:val="1"/>
                <w:color w:val="auto"/>
              </w:rPr>
            </w:pPr>
          </w:p>
        </w:tc>
      </w:tr>
      <w:tr>
        <w:trPr>
          <w:trHeight w:val="162"/>
        </w:trPr>
        <w:tc>
          <w:tcPr>
            <w:tcW w:w="3660" w:type="dxa"/>
            <w:vAlign w:val="bottom"/>
          </w:tcPr>
          <w:p>
            <w:pPr>
              <w:spacing w:after="0"/>
              <w:rPr>
                <w:sz w:val="14"/>
                <w:szCs w:val="14"/>
                <w:color w:val="auto"/>
              </w:rPr>
            </w:pPr>
          </w:p>
        </w:tc>
        <w:tc>
          <w:tcPr>
            <w:tcW w:w="2360" w:type="dxa"/>
            <w:vAlign w:val="bottom"/>
          </w:tcPr>
          <w:p>
            <w:pPr>
              <w:jc w:val="center"/>
              <w:spacing w:after="0"/>
              <w:rPr>
                <w:sz w:val="20"/>
                <w:szCs w:val="20"/>
                <w:color w:val="auto"/>
              </w:rPr>
            </w:pPr>
            <w:r>
              <w:rPr>
                <w:rFonts w:ascii="Arial" w:cs="Arial" w:eastAsia="Arial" w:hAnsi="Arial"/>
                <w:sz w:val="14"/>
                <w:szCs w:val="14"/>
                <w:b w:val="1"/>
                <w:bCs w:val="1"/>
                <w:color w:val="auto"/>
              </w:rPr>
              <w:t>Exercise of</w:t>
            </w:r>
          </w:p>
        </w:tc>
        <w:tc>
          <w:tcPr>
            <w:tcW w:w="2200" w:type="dxa"/>
            <w:vAlign w:val="bottom"/>
          </w:tcPr>
          <w:p>
            <w:pPr>
              <w:jc w:val="center"/>
              <w:ind w:left="125"/>
              <w:spacing w:after="0"/>
              <w:rPr>
                <w:sz w:val="20"/>
                <w:szCs w:val="20"/>
                <w:color w:val="auto"/>
              </w:rPr>
            </w:pPr>
            <w:r>
              <w:rPr>
                <w:rFonts w:ascii="Arial" w:cs="Arial" w:eastAsia="Arial" w:hAnsi="Arial"/>
                <w:sz w:val="14"/>
                <w:szCs w:val="14"/>
                <w:b w:val="1"/>
                <w:bCs w:val="1"/>
                <w:color w:val="auto"/>
              </w:rPr>
              <w:t>Exercise Price of</w:t>
            </w:r>
          </w:p>
        </w:tc>
        <w:tc>
          <w:tcPr>
            <w:tcW w:w="3200" w:type="dxa"/>
            <w:vAlign w:val="bottom"/>
          </w:tcPr>
          <w:p>
            <w:pPr>
              <w:jc w:val="center"/>
              <w:ind w:left="165"/>
              <w:spacing w:after="0"/>
              <w:rPr>
                <w:sz w:val="20"/>
                <w:szCs w:val="20"/>
                <w:color w:val="auto"/>
              </w:rPr>
            </w:pPr>
            <w:r>
              <w:rPr>
                <w:rFonts w:ascii="Arial" w:cs="Arial" w:eastAsia="Arial" w:hAnsi="Arial"/>
                <w:sz w:val="14"/>
                <w:szCs w:val="14"/>
                <w:b w:val="1"/>
                <w:bCs w:val="1"/>
                <w:color w:val="auto"/>
              </w:rPr>
              <w:t>for Future Issuance Under Equity</w:t>
            </w:r>
          </w:p>
        </w:tc>
        <w:tc>
          <w:tcPr>
            <w:tcW w:w="0" w:type="dxa"/>
            <w:vAlign w:val="bottom"/>
          </w:tcPr>
          <w:p>
            <w:pPr>
              <w:spacing w:after="0"/>
              <w:rPr>
                <w:sz w:val="1"/>
                <w:szCs w:val="1"/>
                <w:color w:val="auto"/>
              </w:rPr>
            </w:pPr>
          </w:p>
        </w:tc>
      </w:tr>
      <w:tr>
        <w:trPr>
          <w:trHeight w:val="162"/>
        </w:trPr>
        <w:tc>
          <w:tcPr>
            <w:tcW w:w="3660" w:type="dxa"/>
            <w:vAlign w:val="bottom"/>
          </w:tcPr>
          <w:p>
            <w:pPr>
              <w:spacing w:after="0"/>
              <w:rPr>
                <w:sz w:val="14"/>
                <w:szCs w:val="14"/>
                <w:color w:val="auto"/>
              </w:rPr>
            </w:pPr>
          </w:p>
        </w:tc>
        <w:tc>
          <w:tcPr>
            <w:tcW w:w="2360" w:type="dxa"/>
            <w:vAlign w:val="bottom"/>
          </w:tcPr>
          <w:p>
            <w:pPr>
              <w:jc w:val="center"/>
              <w:spacing w:after="0"/>
              <w:rPr>
                <w:sz w:val="20"/>
                <w:szCs w:val="20"/>
                <w:color w:val="auto"/>
              </w:rPr>
            </w:pPr>
            <w:r>
              <w:rPr>
                <w:rFonts w:ascii="Arial" w:cs="Arial" w:eastAsia="Arial" w:hAnsi="Arial"/>
                <w:sz w:val="14"/>
                <w:szCs w:val="14"/>
                <w:b w:val="1"/>
                <w:bCs w:val="1"/>
                <w:color w:val="auto"/>
              </w:rPr>
              <w:t>Outstanding Options,</w:t>
            </w:r>
          </w:p>
        </w:tc>
        <w:tc>
          <w:tcPr>
            <w:tcW w:w="2200" w:type="dxa"/>
            <w:vAlign w:val="bottom"/>
          </w:tcPr>
          <w:p>
            <w:pPr>
              <w:jc w:val="center"/>
              <w:ind w:left="105"/>
              <w:spacing w:after="0"/>
              <w:rPr>
                <w:sz w:val="20"/>
                <w:szCs w:val="20"/>
                <w:color w:val="auto"/>
              </w:rPr>
            </w:pPr>
            <w:r>
              <w:rPr>
                <w:rFonts w:ascii="Arial" w:cs="Arial" w:eastAsia="Arial" w:hAnsi="Arial"/>
                <w:sz w:val="14"/>
                <w:szCs w:val="14"/>
                <w:b w:val="1"/>
                <w:bCs w:val="1"/>
                <w:color w:val="auto"/>
              </w:rPr>
              <w:t>Outstanding Options,</w:t>
            </w:r>
          </w:p>
        </w:tc>
        <w:tc>
          <w:tcPr>
            <w:tcW w:w="3200" w:type="dxa"/>
            <w:vAlign w:val="bottom"/>
          </w:tcPr>
          <w:p>
            <w:pPr>
              <w:jc w:val="center"/>
              <w:ind w:left="165"/>
              <w:spacing w:after="0"/>
              <w:rPr>
                <w:sz w:val="20"/>
                <w:szCs w:val="20"/>
                <w:color w:val="auto"/>
              </w:rPr>
            </w:pPr>
            <w:r>
              <w:rPr>
                <w:rFonts w:ascii="Arial" w:cs="Arial" w:eastAsia="Arial" w:hAnsi="Arial"/>
                <w:sz w:val="14"/>
                <w:szCs w:val="14"/>
                <w:b w:val="1"/>
                <w:bCs w:val="1"/>
                <w:color w:val="auto"/>
              </w:rPr>
              <w:t>Compensation Plans (Excluding</w:t>
            </w:r>
          </w:p>
        </w:tc>
        <w:tc>
          <w:tcPr>
            <w:tcW w:w="0" w:type="dxa"/>
            <w:vAlign w:val="bottom"/>
          </w:tcPr>
          <w:p>
            <w:pPr>
              <w:spacing w:after="0"/>
              <w:rPr>
                <w:sz w:val="1"/>
                <w:szCs w:val="1"/>
                <w:color w:val="auto"/>
              </w:rPr>
            </w:pPr>
          </w:p>
        </w:tc>
      </w:tr>
      <w:tr>
        <w:trPr>
          <w:trHeight w:val="196"/>
        </w:trPr>
        <w:tc>
          <w:tcPr>
            <w:tcW w:w="3660" w:type="dxa"/>
            <w:vAlign w:val="bottom"/>
          </w:tcPr>
          <w:p>
            <w:pPr>
              <w:spacing w:after="0"/>
              <w:rPr>
                <w:sz w:val="17"/>
                <w:szCs w:val="17"/>
                <w:color w:val="auto"/>
              </w:rPr>
            </w:pPr>
          </w:p>
        </w:tc>
        <w:tc>
          <w:tcPr>
            <w:tcW w:w="23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Warrants and Rights</w:t>
            </w:r>
          </w:p>
        </w:tc>
        <w:tc>
          <w:tcPr>
            <w:tcW w:w="2200" w:type="dxa"/>
            <w:vAlign w:val="bottom"/>
            <w:tcBorders>
              <w:bottom w:val="single" w:sz="8" w:color="auto"/>
            </w:tcBorders>
          </w:tcPr>
          <w:p>
            <w:pPr>
              <w:jc w:val="center"/>
              <w:ind w:left="125"/>
              <w:spacing w:after="0"/>
              <w:rPr>
                <w:sz w:val="20"/>
                <w:szCs w:val="20"/>
                <w:color w:val="auto"/>
              </w:rPr>
            </w:pPr>
            <w:r>
              <w:rPr>
                <w:rFonts w:ascii="Arial" w:cs="Arial" w:eastAsia="Arial" w:hAnsi="Arial"/>
                <w:sz w:val="14"/>
                <w:szCs w:val="14"/>
                <w:b w:val="1"/>
                <w:bCs w:val="1"/>
                <w:color w:val="auto"/>
              </w:rPr>
              <w:t>Warrants and Rights</w:t>
            </w:r>
          </w:p>
        </w:tc>
        <w:tc>
          <w:tcPr>
            <w:tcW w:w="3200" w:type="dxa"/>
            <w:vAlign w:val="bottom"/>
            <w:tcBorders>
              <w:bottom w:val="single" w:sz="8" w:color="auto"/>
            </w:tcBorders>
          </w:tcPr>
          <w:p>
            <w:pPr>
              <w:jc w:val="center"/>
              <w:ind w:left="165"/>
              <w:spacing w:after="0"/>
              <w:rPr>
                <w:sz w:val="20"/>
                <w:szCs w:val="20"/>
                <w:color w:val="auto"/>
              </w:rPr>
            </w:pPr>
            <w:r>
              <w:rPr>
                <w:rFonts w:ascii="Arial" w:cs="Arial" w:eastAsia="Arial" w:hAnsi="Arial"/>
                <w:sz w:val="14"/>
                <w:szCs w:val="14"/>
                <w:b w:val="1"/>
                <w:bCs w:val="1"/>
                <w:color w:val="auto"/>
              </w:rPr>
              <w:t>Securities Reflected in Column (a))</w:t>
            </w:r>
          </w:p>
        </w:tc>
        <w:tc>
          <w:tcPr>
            <w:tcW w:w="0" w:type="dxa"/>
            <w:vAlign w:val="bottom"/>
          </w:tcPr>
          <w:p>
            <w:pPr>
              <w:spacing w:after="0"/>
              <w:rPr>
                <w:sz w:val="1"/>
                <w:szCs w:val="1"/>
                <w:color w:val="auto"/>
              </w:rPr>
            </w:pPr>
          </w:p>
        </w:tc>
      </w:tr>
      <w:tr>
        <w:trPr>
          <w:trHeight w:val="264"/>
        </w:trPr>
        <w:tc>
          <w:tcPr>
            <w:tcW w:w="3660" w:type="dxa"/>
            <w:vAlign w:val="bottom"/>
            <w:tcBorders>
              <w:bottom w:val="single" w:sz="8" w:color="auto"/>
            </w:tcBorders>
          </w:tcPr>
          <w:p>
            <w:pPr>
              <w:ind w:left="1360"/>
              <w:spacing w:after="0"/>
              <w:rPr>
                <w:sz w:val="20"/>
                <w:szCs w:val="20"/>
                <w:color w:val="auto"/>
              </w:rPr>
            </w:pPr>
            <w:r>
              <w:rPr>
                <w:rFonts w:ascii="Arial" w:cs="Arial" w:eastAsia="Arial" w:hAnsi="Arial"/>
                <w:sz w:val="14"/>
                <w:szCs w:val="14"/>
                <w:b w:val="1"/>
                <w:bCs w:val="1"/>
                <w:color w:val="auto"/>
              </w:rPr>
              <w:t>Plan Category</w:t>
            </w:r>
          </w:p>
        </w:tc>
        <w:tc>
          <w:tcPr>
            <w:tcW w:w="23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(a)</w:t>
            </w:r>
          </w:p>
        </w:tc>
        <w:tc>
          <w:tcPr>
            <w:tcW w:w="2200" w:type="dxa"/>
            <w:vAlign w:val="bottom"/>
            <w:tcBorders>
              <w:bottom w:val="single" w:sz="8" w:color="auto"/>
            </w:tcBorders>
          </w:tcPr>
          <w:p>
            <w:pPr>
              <w:jc w:val="center"/>
              <w:ind w:left="105"/>
              <w:spacing w:after="0"/>
              <w:rPr>
                <w:sz w:val="20"/>
                <w:szCs w:val="20"/>
                <w:color w:val="auto"/>
              </w:rPr>
            </w:pPr>
            <w:r>
              <w:rPr>
                <w:rFonts w:ascii="Arial" w:cs="Arial" w:eastAsia="Arial" w:hAnsi="Arial"/>
                <w:sz w:val="14"/>
                <w:szCs w:val="14"/>
                <w:b w:val="1"/>
                <w:bCs w:val="1"/>
                <w:color w:val="auto"/>
              </w:rPr>
              <w:t>(b)</w:t>
            </w:r>
          </w:p>
        </w:tc>
        <w:tc>
          <w:tcPr>
            <w:tcW w:w="3200" w:type="dxa"/>
            <w:vAlign w:val="bottom"/>
            <w:tcBorders>
              <w:bottom w:val="single" w:sz="8" w:color="auto"/>
            </w:tcBorders>
          </w:tcPr>
          <w:p>
            <w:pPr>
              <w:jc w:val="center"/>
              <w:ind w:left="165"/>
              <w:spacing w:after="0"/>
              <w:rPr>
                <w:sz w:val="20"/>
                <w:szCs w:val="20"/>
                <w:color w:val="auto"/>
              </w:rPr>
            </w:pPr>
            <w:r>
              <w:rPr>
                <w:rFonts w:ascii="Arial" w:cs="Arial" w:eastAsia="Arial" w:hAnsi="Arial"/>
                <w:sz w:val="14"/>
                <w:szCs w:val="14"/>
                <w:b w:val="1"/>
                <w:bCs w:val="1"/>
                <w:color w:val="auto"/>
                <w:w w:val="93"/>
              </w:rPr>
              <w:t>(c)</w:t>
            </w:r>
          </w:p>
        </w:tc>
        <w:tc>
          <w:tcPr>
            <w:tcW w:w="0" w:type="dxa"/>
            <w:vAlign w:val="bottom"/>
          </w:tcPr>
          <w:p>
            <w:pPr>
              <w:spacing w:after="0"/>
              <w:rPr>
                <w:sz w:val="1"/>
                <w:szCs w:val="1"/>
                <w:color w:val="auto"/>
              </w:rPr>
            </w:pPr>
          </w:p>
        </w:tc>
      </w:tr>
      <w:tr>
        <w:trPr>
          <w:trHeight w:val="217"/>
        </w:trPr>
        <w:tc>
          <w:tcPr>
            <w:tcW w:w="3660" w:type="dxa"/>
            <w:vAlign w:val="bottom"/>
          </w:tcPr>
          <w:p>
            <w:pPr>
              <w:ind w:left="40"/>
              <w:spacing w:after="0"/>
              <w:rPr>
                <w:sz w:val="20"/>
                <w:szCs w:val="20"/>
                <w:color w:val="auto"/>
              </w:rPr>
            </w:pPr>
            <w:r>
              <w:rPr>
                <w:rFonts w:ascii="Arial" w:cs="Arial" w:eastAsia="Arial" w:hAnsi="Arial"/>
                <w:sz w:val="16"/>
                <w:szCs w:val="16"/>
                <w:color w:val="auto"/>
              </w:rPr>
              <w:t>Equity compensation plans approved by security</w:t>
            </w:r>
          </w:p>
        </w:tc>
        <w:tc>
          <w:tcPr>
            <w:tcW w:w="2360" w:type="dxa"/>
            <w:vAlign w:val="bottom"/>
          </w:tcPr>
          <w:p>
            <w:pPr>
              <w:spacing w:after="0"/>
              <w:rPr>
                <w:sz w:val="18"/>
                <w:szCs w:val="18"/>
                <w:color w:val="auto"/>
              </w:rPr>
            </w:pPr>
          </w:p>
        </w:tc>
        <w:tc>
          <w:tcPr>
            <w:tcW w:w="2200" w:type="dxa"/>
            <w:vAlign w:val="bottom"/>
          </w:tcPr>
          <w:p>
            <w:pPr>
              <w:spacing w:after="0"/>
              <w:rPr>
                <w:sz w:val="18"/>
                <w:szCs w:val="18"/>
                <w:color w:val="auto"/>
              </w:rPr>
            </w:pPr>
          </w:p>
        </w:tc>
        <w:tc>
          <w:tcPr>
            <w:tcW w:w="3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5"/>
        </w:trPr>
        <w:tc>
          <w:tcPr>
            <w:tcW w:w="3660" w:type="dxa"/>
            <w:vAlign w:val="bottom"/>
          </w:tcPr>
          <w:p>
            <w:pPr>
              <w:ind w:left="120"/>
              <w:spacing w:after="0"/>
              <w:rPr>
                <w:sz w:val="20"/>
                <w:szCs w:val="20"/>
                <w:color w:val="auto"/>
              </w:rPr>
            </w:pPr>
            <w:r>
              <w:rPr>
                <w:rFonts w:ascii="Arial" w:cs="Arial" w:eastAsia="Arial" w:hAnsi="Arial"/>
                <w:sz w:val="16"/>
                <w:szCs w:val="16"/>
                <w:color w:val="auto"/>
              </w:rPr>
              <w:t>holders</w:t>
            </w:r>
          </w:p>
        </w:tc>
        <w:tc>
          <w:tcPr>
            <w:tcW w:w="2360" w:type="dxa"/>
            <w:vAlign w:val="bottom"/>
          </w:tcPr>
          <w:p>
            <w:pPr>
              <w:jc w:val="right"/>
              <w:ind w:right="765"/>
              <w:spacing w:after="0"/>
              <w:rPr>
                <w:sz w:val="20"/>
                <w:szCs w:val="20"/>
                <w:color w:val="auto"/>
              </w:rPr>
            </w:pPr>
            <w:r>
              <w:rPr>
                <w:rFonts w:ascii="Arial" w:cs="Arial" w:eastAsia="Arial" w:hAnsi="Arial"/>
                <w:sz w:val="16"/>
                <w:szCs w:val="16"/>
                <w:color w:val="auto"/>
              </w:rPr>
              <w:t>185,520</w:t>
            </w:r>
          </w:p>
        </w:tc>
        <w:tc>
          <w:tcPr>
            <w:tcW w:w="2200" w:type="dxa"/>
            <w:vAlign w:val="bottom"/>
          </w:tcPr>
          <w:p>
            <w:pPr>
              <w:jc w:val="right"/>
              <w:ind w:right="565"/>
              <w:spacing w:after="0"/>
              <w:rPr>
                <w:sz w:val="20"/>
                <w:szCs w:val="20"/>
                <w:color w:val="auto"/>
              </w:rPr>
            </w:pPr>
            <w:r>
              <w:rPr>
                <w:rFonts w:ascii="Arial" w:cs="Arial" w:eastAsia="Arial" w:hAnsi="Arial"/>
                <w:sz w:val="16"/>
                <w:szCs w:val="16"/>
                <w:color w:val="auto"/>
              </w:rPr>
              <w:t>$565.65</w:t>
            </w:r>
          </w:p>
        </w:tc>
        <w:tc>
          <w:tcPr>
            <w:tcW w:w="3200" w:type="dxa"/>
            <w:vAlign w:val="bottom"/>
          </w:tcPr>
          <w:p>
            <w:pPr>
              <w:ind w:left="160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38"/>
        </w:trPr>
        <w:tc>
          <w:tcPr>
            <w:tcW w:w="3660" w:type="dxa"/>
            <w:vAlign w:val="bottom"/>
          </w:tcPr>
          <w:p>
            <w:pPr>
              <w:ind w:left="40"/>
              <w:spacing w:after="0"/>
              <w:rPr>
                <w:sz w:val="20"/>
                <w:szCs w:val="20"/>
                <w:color w:val="auto"/>
              </w:rPr>
            </w:pPr>
            <w:r>
              <w:rPr>
                <w:rFonts w:ascii="Arial" w:cs="Arial" w:eastAsia="Arial" w:hAnsi="Arial"/>
                <w:sz w:val="16"/>
                <w:szCs w:val="16"/>
                <w:color w:val="auto"/>
              </w:rPr>
              <w:t>Equity compensation plans not approved by</w:t>
            </w:r>
          </w:p>
        </w:tc>
        <w:tc>
          <w:tcPr>
            <w:tcW w:w="2360" w:type="dxa"/>
            <w:vAlign w:val="bottom"/>
          </w:tcPr>
          <w:p>
            <w:pPr>
              <w:spacing w:after="0"/>
              <w:rPr>
                <w:sz w:val="20"/>
                <w:szCs w:val="20"/>
                <w:color w:val="auto"/>
              </w:rPr>
            </w:pPr>
          </w:p>
        </w:tc>
        <w:tc>
          <w:tcPr>
            <w:tcW w:w="2200" w:type="dxa"/>
            <w:vAlign w:val="bottom"/>
          </w:tcPr>
          <w:p>
            <w:pPr>
              <w:spacing w:after="0"/>
              <w:rPr>
                <w:sz w:val="20"/>
                <w:szCs w:val="20"/>
                <w:color w:val="auto"/>
              </w:rPr>
            </w:pPr>
          </w:p>
        </w:tc>
        <w:tc>
          <w:tcPr>
            <w:tcW w:w="32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8"/>
        </w:trPr>
        <w:tc>
          <w:tcPr>
            <w:tcW w:w="3660" w:type="dxa"/>
            <w:vAlign w:val="bottom"/>
          </w:tcPr>
          <w:p>
            <w:pPr>
              <w:ind w:left="120"/>
              <w:spacing w:after="0"/>
              <w:rPr>
                <w:sz w:val="20"/>
                <w:szCs w:val="20"/>
                <w:color w:val="auto"/>
              </w:rPr>
            </w:pPr>
            <w:r>
              <w:rPr>
                <w:rFonts w:ascii="Arial" w:cs="Arial" w:eastAsia="Arial" w:hAnsi="Arial"/>
                <w:sz w:val="16"/>
                <w:szCs w:val="16"/>
                <w:color w:val="auto"/>
              </w:rPr>
              <w:t>security holders</w:t>
            </w:r>
          </w:p>
        </w:tc>
        <w:tc>
          <w:tcPr>
            <w:tcW w:w="2360" w:type="dxa"/>
            <w:vAlign w:val="bottom"/>
            <w:tcBorders>
              <w:bottom w:val="single" w:sz="8" w:color="auto"/>
            </w:tcBorders>
          </w:tcPr>
          <w:p>
            <w:pPr>
              <w:jc w:val="right"/>
              <w:ind w:right="765"/>
              <w:spacing w:after="0"/>
              <w:rPr>
                <w:sz w:val="20"/>
                <w:szCs w:val="20"/>
                <w:color w:val="auto"/>
              </w:rPr>
            </w:pPr>
            <w:r>
              <w:rPr>
                <w:rFonts w:ascii="Arial" w:cs="Arial" w:eastAsia="Arial" w:hAnsi="Arial"/>
                <w:sz w:val="16"/>
                <w:szCs w:val="16"/>
                <w:color w:val="auto"/>
              </w:rPr>
              <w:t>—</w:t>
            </w:r>
          </w:p>
        </w:tc>
        <w:tc>
          <w:tcPr>
            <w:tcW w:w="2200" w:type="dxa"/>
            <w:vAlign w:val="bottom"/>
            <w:tcBorders>
              <w:bottom w:val="single" w:sz="8" w:color="auto"/>
            </w:tcBorders>
          </w:tcPr>
          <w:p>
            <w:pPr>
              <w:jc w:val="right"/>
              <w:ind w:right="565"/>
              <w:spacing w:after="0"/>
              <w:rPr>
                <w:sz w:val="20"/>
                <w:szCs w:val="20"/>
                <w:color w:val="auto"/>
              </w:rPr>
            </w:pPr>
            <w:r>
              <w:rPr>
                <w:rFonts w:ascii="Arial" w:cs="Arial" w:eastAsia="Arial" w:hAnsi="Arial"/>
                <w:sz w:val="16"/>
                <w:szCs w:val="16"/>
                <w:color w:val="auto"/>
              </w:rPr>
              <w:t>—</w:t>
            </w:r>
          </w:p>
        </w:tc>
        <w:tc>
          <w:tcPr>
            <w:tcW w:w="3200" w:type="dxa"/>
            <w:vAlign w:val="bottom"/>
            <w:tcBorders>
              <w:bottom w:val="single" w:sz="8" w:color="auto"/>
            </w:tcBorders>
          </w:tcPr>
          <w:p>
            <w:pPr>
              <w:ind w:left="160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64"/>
        </w:trPr>
        <w:tc>
          <w:tcPr>
            <w:tcW w:w="3660" w:type="dxa"/>
            <w:vAlign w:val="bottom"/>
          </w:tcPr>
          <w:p>
            <w:pPr>
              <w:ind w:left="280"/>
              <w:spacing w:after="0"/>
              <w:rPr>
                <w:sz w:val="20"/>
                <w:szCs w:val="20"/>
                <w:color w:val="auto"/>
              </w:rPr>
            </w:pPr>
            <w:r>
              <w:rPr>
                <w:rFonts w:ascii="Arial" w:cs="Arial" w:eastAsia="Arial" w:hAnsi="Arial"/>
                <w:sz w:val="16"/>
                <w:szCs w:val="16"/>
                <w:color w:val="auto"/>
              </w:rPr>
              <w:t>Total</w:t>
            </w:r>
          </w:p>
        </w:tc>
        <w:tc>
          <w:tcPr>
            <w:tcW w:w="2360" w:type="dxa"/>
            <w:vAlign w:val="bottom"/>
            <w:tcBorders>
              <w:bottom w:val="single" w:sz="8" w:color="auto"/>
            </w:tcBorders>
          </w:tcPr>
          <w:p>
            <w:pPr>
              <w:jc w:val="right"/>
              <w:ind w:right="765"/>
              <w:spacing w:after="0"/>
              <w:rPr>
                <w:sz w:val="20"/>
                <w:szCs w:val="20"/>
                <w:color w:val="auto"/>
              </w:rPr>
            </w:pPr>
            <w:r>
              <w:rPr>
                <w:rFonts w:ascii="Arial" w:cs="Arial" w:eastAsia="Arial" w:hAnsi="Arial"/>
                <w:sz w:val="16"/>
                <w:szCs w:val="16"/>
                <w:color w:val="auto"/>
              </w:rPr>
              <w:t>185,520</w:t>
            </w:r>
          </w:p>
        </w:tc>
        <w:tc>
          <w:tcPr>
            <w:tcW w:w="2200" w:type="dxa"/>
            <w:vAlign w:val="bottom"/>
            <w:tcBorders>
              <w:bottom w:val="single" w:sz="8" w:color="auto"/>
            </w:tcBorders>
          </w:tcPr>
          <w:p>
            <w:pPr>
              <w:jc w:val="right"/>
              <w:ind w:right="565"/>
              <w:spacing w:after="0"/>
              <w:rPr>
                <w:sz w:val="20"/>
                <w:szCs w:val="20"/>
                <w:color w:val="auto"/>
              </w:rPr>
            </w:pPr>
            <w:r>
              <w:rPr>
                <w:rFonts w:ascii="Arial" w:cs="Arial" w:eastAsia="Arial" w:hAnsi="Arial"/>
                <w:sz w:val="16"/>
                <w:szCs w:val="16"/>
                <w:color w:val="auto"/>
              </w:rPr>
              <w:t>$565.65</w:t>
            </w:r>
          </w:p>
        </w:tc>
        <w:tc>
          <w:tcPr>
            <w:tcW w:w="3200" w:type="dxa"/>
            <w:vAlign w:val="bottom"/>
            <w:tcBorders>
              <w:bottom w:val="single" w:sz="8" w:color="auto"/>
            </w:tcBorders>
          </w:tcPr>
          <w:p>
            <w:pPr>
              <w:ind w:left="160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
        </w:trPr>
        <w:tc>
          <w:tcPr>
            <w:tcW w:w="3660" w:type="dxa"/>
            <w:vAlign w:val="bottom"/>
            <w:vMerge w:val="restart"/>
          </w:tcPr>
          <w:p>
            <w:pPr>
              <w:spacing w:after="0"/>
              <w:rPr>
                <w:sz w:val="20"/>
                <w:szCs w:val="20"/>
                <w:color w:val="auto"/>
              </w:rPr>
            </w:pPr>
            <w:r>
              <w:rPr>
                <w:rFonts w:ascii="Arial" w:cs="Arial" w:eastAsia="Arial" w:hAnsi="Arial"/>
                <w:sz w:val="11"/>
                <w:szCs w:val="11"/>
                <w:color w:val="auto"/>
              </w:rPr>
              <w:t>____________</w:t>
            </w:r>
          </w:p>
        </w:tc>
        <w:tc>
          <w:tcPr>
            <w:tcW w:w="2360" w:type="dxa"/>
            <w:vAlign w:val="bottom"/>
            <w:tcBorders>
              <w:bottom w:val="single" w:sz="8" w:color="auto"/>
            </w:tcBorders>
          </w:tcPr>
          <w:p>
            <w:pPr>
              <w:spacing w:after="0" w:line="20" w:lineRule="exact"/>
              <w:rPr>
                <w:sz w:val="1"/>
                <w:szCs w:val="1"/>
                <w:color w:val="auto"/>
              </w:rPr>
            </w:pPr>
          </w:p>
        </w:tc>
        <w:tc>
          <w:tcPr>
            <w:tcW w:w="2200" w:type="dxa"/>
            <w:vAlign w:val="bottom"/>
            <w:tcBorders>
              <w:bottom w:val="single" w:sz="8" w:color="auto"/>
            </w:tcBorders>
          </w:tcPr>
          <w:p>
            <w:pPr>
              <w:spacing w:after="0" w:line="20" w:lineRule="exact"/>
              <w:rPr>
                <w:sz w:val="1"/>
                <w:szCs w:val="1"/>
                <w:color w:val="auto"/>
              </w:rPr>
            </w:pPr>
          </w:p>
        </w:tc>
        <w:tc>
          <w:tcPr>
            <w:tcW w:w="32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0"/>
        </w:trPr>
        <w:tc>
          <w:tcPr>
            <w:tcW w:w="3660" w:type="dxa"/>
            <w:vAlign w:val="bottom"/>
            <w:vMerge w:val="continue"/>
          </w:tcPr>
          <w:p>
            <w:pPr>
              <w:spacing w:after="0"/>
              <w:rPr>
                <w:sz w:val="12"/>
                <w:szCs w:val="12"/>
                <w:color w:val="auto"/>
              </w:rPr>
            </w:pPr>
          </w:p>
        </w:tc>
        <w:tc>
          <w:tcPr>
            <w:tcW w:w="2360" w:type="dxa"/>
            <w:vAlign w:val="bottom"/>
          </w:tcPr>
          <w:p>
            <w:pPr>
              <w:spacing w:after="0"/>
              <w:rPr>
                <w:sz w:val="12"/>
                <w:szCs w:val="12"/>
                <w:color w:val="auto"/>
              </w:rPr>
            </w:pPr>
          </w:p>
        </w:tc>
        <w:tc>
          <w:tcPr>
            <w:tcW w:w="2200" w:type="dxa"/>
            <w:vAlign w:val="bottom"/>
          </w:tcPr>
          <w:p>
            <w:pPr>
              <w:spacing w:after="0"/>
              <w:rPr>
                <w:sz w:val="12"/>
                <w:szCs w:val="12"/>
                <w:color w:val="auto"/>
              </w:rPr>
            </w:pPr>
          </w:p>
        </w:tc>
        <w:tc>
          <w:tcPr>
            <w:tcW w:w="3200" w:type="dxa"/>
            <w:vAlign w:val="bottom"/>
          </w:tcPr>
          <w:p>
            <w:pPr>
              <w:spacing w:after="0"/>
              <w:rPr>
                <w:sz w:val="12"/>
                <w:szCs w:val="12"/>
                <w:color w:val="auto"/>
              </w:rPr>
            </w:pPr>
          </w:p>
        </w:tc>
        <w:tc>
          <w:tcPr>
            <w:tcW w:w="0" w:type="dxa"/>
            <w:vAlign w:val="bottom"/>
          </w:tcPr>
          <w:p>
            <w:pPr>
              <w:spacing w:after="0"/>
              <w:rPr>
                <w:sz w:val="1"/>
                <w:szCs w:val="1"/>
                <w:color w:val="auto"/>
              </w:rPr>
            </w:pPr>
          </w:p>
        </w:tc>
      </w:tr>
    </w:tbl>
    <w:p>
      <w:pPr>
        <w:spacing w:after="0" w:line="70" w:lineRule="exact"/>
        <w:rPr>
          <w:sz w:val="20"/>
          <w:szCs w:val="20"/>
          <w:color w:val="auto"/>
        </w:rPr>
      </w:pPr>
    </w:p>
    <w:p>
      <w:pPr>
        <w:spacing w:after="0" w:line="222" w:lineRule="auto"/>
        <w:rPr>
          <w:sz w:val="20"/>
          <w:szCs w:val="20"/>
          <w:color w:val="auto"/>
        </w:rPr>
      </w:pPr>
      <w:r>
        <w:rPr>
          <w:rFonts w:ascii="Arial" w:cs="Arial" w:eastAsia="Arial" w:hAnsi="Arial"/>
          <w:sz w:val="12"/>
          <w:szCs w:val="12"/>
          <w:color w:val="auto"/>
        </w:rPr>
        <w:t>This table does not include information relating to restricted stock grants awarded under the Graham Holdings Company’s Incentive Compensation Plan, which plan has been approved by the stockholders of the Company. At December 31, 2017, there were 17,425 shares of restricted stock outstanding under the 2015–2018 Award Cycle and 14,550 shares of restricted stock outstanding under the 2017–2020 Award Cycle that had been awarded to employees of the Company and its subsidiaries under that Plan. In addition, the Company has from time to time awarded special discretionary grants of restricted stock to employees of the Company and its subsidiaries. At December 31, 2017, there were a total of 19,600 shares of restricted stock outstanding under special discretionary grants approved by the Compensation Committee of the Board of Directors. At December 31, 2017, a total of 431,977 shares of restricted stock and stock options were available for future awards.</w:t>
      </w:r>
    </w:p>
    <w:p>
      <w:pPr>
        <w:spacing w:after="0" w:line="11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Purchases of Equity Securities by the Issuer and Affiliated Purchasers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color w:val="auto"/>
        </w:rPr>
        <w:t>During the quarter ended December 31, 2017, the Company purchased shares of its Class B Common Stock as set forth in the following table:</w:t>
      </w:r>
    </w:p>
    <w:p>
      <w:pPr>
        <w:spacing w:after="0" w:line="145"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40" w:type="dxa"/>
            <w:vAlign w:val="bottom"/>
          </w:tcPr>
          <w:p>
            <w:pPr>
              <w:spacing w:after="0"/>
              <w:rPr>
                <w:sz w:val="14"/>
                <w:szCs w:val="14"/>
                <w:color w:val="auto"/>
              </w:rPr>
            </w:pPr>
          </w:p>
        </w:tc>
        <w:tc>
          <w:tcPr>
            <w:tcW w:w="3640" w:type="dxa"/>
            <w:vAlign w:val="bottom"/>
          </w:tcPr>
          <w:p>
            <w:pPr>
              <w:spacing w:after="0"/>
              <w:rPr>
                <w:sz w:val="14"/>
                <w:szCs w:val="14"/>
                <w:color w:val="auto"/>
              </w:rPr>
            </w:pPr>
          </w:p>
        </w:tc>
        <w:tc>
          <w:tcPr>
            <w:tcW w:w="1280" w:type="dxa"/>
            <w:vAlign w:val="bottom"/>
          </w:tcPr>
          <w:p>
            <w:pPr>
              <w:jc w:val="center"/>
              <w:spacing w:after="0"/>
              <w:rPr>
                <w:sz w:val="20"/>
                <w:szCs w:val="20"/>
                <w:color w:val="auto"/>
              </w:rPr>
            </w:pPr>
            <w:r>
              <w:rPr>
                <w:rFonts w:ascii="Arial" w:cs="Arial" w:eastAsia="Arial" w:hAnsi="Arial"/>
                <w:sz w:val="14"/>
                <w:szCs w:val="14"/>
                <w:b w:val="1"/>
                <w:bCs w:val="1"/>
                <w:color w:val="auto"/>
              </w:rPr>
              <w:t>Total Number</w:t>
            </w:r>
          </w:p>
        </w:tc>
        <w:tc>
          <w:tcPr>
            <w:tcW w:w="260" w:type="dxa"/>
            <w:vAlign w:val="bottom"/>
          </w:tcPr>
          <w:p>
            <w:pPr>
              <w:spacing w:after="0"/>
              <w:rPr>
                <w:sz w:val="14"/>
                <w:szCs w:val="14"/>
                <w:color w:val="auto"/>
              </w:rPr>
            </w:pPr>
          </w:p>
        </w:tc>
        <w:tc>
          <w:tcPr>
            <w:tcW w:w="1120" w:type="dxa"/>
            <w:vAlign w:val="bottom"/>
          </w:tcPr>
          <w:p>
            <w:pPr>
              <w:jc w:val="center"/>
              <w:ind w:right="243"/>
              <w:spacing w:after="0"/>
              <w:rPr>
                <w:sz w:val="20"/>
                <w:szCs w:val="20"/>
                <w:color w:val="auto"/>
              </w:rPr>
            </w:pPr>
            <w:r>
              <w:rPr>
                <w:rFonts w:ascii="Arial" w:cs="Arial" w:eastAsia="Arial" w:hAnsi="Arial"/>
                <w:sz w:val="14"/>
                <w:szCs w:val="14"/>
                <w:b w:val="1"/>
                <w:bCs w:val="1"/>
                <w:color w:val="auto"/>
              </w:rPr>
              <w:t>Average</w:t>
            </w:r>
          </w:p>
        </w:tc>
        <w:tc>
          <w:tcPr>
            <w:tcW w:w="2340" w:type="dxa"/>
            <w:vAlign w:val="bottom"/>
          </w:tcPr>
          <w:p>
            <w:pPr>
              <w:jc w:val="center"/>
              <w:spacing w:after="0"/>
              <w:rPr>
                <w:sz w:val="20"/>
                <w:szCs w:val="20"/>
                <w:color w:val="auto"/>
              </w:rPr>
            </w:pPr>
            <w:r>
              <w:rPr>
                <w:rFonts w:ascii="Arial" w:cs="Arial" w:eastAsia="Arial" w:hAnsi="Arial"/>
                <w:sz w:val="14"/>
                <w:szCs w:val="14"/>
                <w:b w:val="1"/>
                <w:bCs w:val="1"/>
                <w:color w:val="auto"/>
              </w:rPr>
              <w:t>Total Number of Shares</w:t>
            </w:r>
          </w:p>
        </w:tc>
        <w:tc>
          <w:tcPr>
            <w:tcW w:w="2720" w:type="dxa"/>
            <w:vAlign w:val="bottom"/>
          </w:tcPr>
          <w:p>
            <w:pPr>
              <w:jc w:val="center"/>
              <w:ind w:left="23"/>
              <w:spacing w:after="0"/>
              <w:rPr>
                <w:sz w:val="20"/>
                <w:szCs w:val="20"/>
                <w:color w:val="auto"/>
              </w:rPr>
            </w:pPr>
            <w:r>
              <w:rPr>
                <w:rFonts w:ascii="Arial" w:cs="Arial" w:eastAsia="Arial" w:hAnsi="Arial"/>
                <w:sz w:val="14"/>
                <w:szCs w:val="14"/>
                <w:b w:val="1"/>
                <w:bCs w:val="1"/>
                <w:color w:val="auto"/>
              </w:rPr>
              <w:t>Maximum Number of Shares That</w:t>
            </w:r>
          </w:p>
        </w:tc>
      </w:tr>
      <w:tr>
        <w:trPr>
          <w:trHeight w:val="162"/>
        </w:trPr>
        <w:tc>
          <w:tcPr>
            <w:tcW w:w="40" w:type="dxa"/>
            <w:vAlign w:val="bottom"/>
          </w:tcPr>
          <w:p>
            <w:pPr>
              <w:spacing w:after="0"/>
              <w:rPr>
                <w:sz w:val="14"/>
                <w:szCs w:val="14"/>
                <w:color w:val="auto"/>
              </w:rPr>
            </w:pPr>
          </w:p>
        </w:tc>
        <w:tc>
          <w:tcPr>
            <w:tcW w:w="3640" w:type="dxa"/>
            <w:vAlign w:val="bottom"/>
          </w:tcPr>
          <w:p>
            <w:pPr>
              <w:spacing w:after="0"/>
              <w:rPr>
                <w:sz w:val="14"/>
                <w:szCs w:val="14"/>
                <w:color w:val="auto"/>
              </w:rPr>
            </w:pPr>
          </w:p>
        </w:tc>
        <w:tc>
          <w:tcPr>
            <w:tcW w:w="1280" w:type="dxa"/>
            <w:vAlign w:val="bottom"/>
          </w:tcPr>
          <w:p>
            <w:pPr>
              <w:jc w:val="center"/>
              <w:spacing w:after="0"/>
              <w:rPr>
                <w:sz w:val="20"/>
                <w:szCs w:val="20"/>
                <w:color w:val="auto"/>
              </w:rPr>
            </w:pPr>
            <w:r>
              <w:rPr>
                <w:rFonts w:ascii="Arial" w:cs="Arial" w:eastAsia="Arial" w:hAnsi="Arial"/>
                <w:sz w:val="14"/>
                <w:szCs w:val="14"/>
                <w:b w:val="1"/>
                <w:bCs w:val="1"/>
                <w:color w:val="auto"/>
              </w:rPr>
              <w:t>of Shares</w:t>
            </w:r>
          </w:p>
        </w:tc>
        <w:tc>
          <w:tcPr>
            <w:tcW w:w="260" w:type="dxa"/>
            <w:vAlign w:val="bottom"/>
          </w:tcPr>
          <w:p>
            <w:pPr>
              <w:spacing w:after="0"/>
              <w:rPr>
                <w:sz w:val="14"/>
                <w:szCs w:val="14"/>
                <w:color w:val="auto"/>
              </w:rPr>
            </w:pPr>
          </w:p>
        </w:tc>
        <w:tc>
          <w:tcPr>
            <w:tcW w:w="1120" w:type="dxa"/>
            <w:vAlign w:val="bottom"/>
          </w:tcPr>
          <w:p>
            <w:pPr>
              <w:jc w:val="center"/>
              <w:ind w:right="223"/>
              <w:spacing w:after="0"/>
              <w:rPr>
                <w:sz w:val="20"/>
                <w:szCs w:val="20"/>
                <w:color w:val="auto"/>
              </w:rPr>
            </w:pPr>
            <w:r>
              <w:rPr>
                <w:rFonts w:ascii="Arial" w:cs="Arial" w:eastAsia="Arial" w:hAnsi="Arial"/>
                <w:sz w:val="14"/>
                <w:szCs w:val="14"/>
                <w:b w:val="1"/>
                <w:bCs w:val="1"/>
                <w:color w:val="auto"/>
              </w:rPr>
              <w:t>Price Paid</w:t>
            </w:r>
          </w:p>
        </w:tc>
        <w:tc>
          <w:tcPr>
            <w:tcW w:w="2340" w:type="dxa"/>
            <w:vAlign w:val="bottom"/>
          </w:tcPr>
          <w:p>
            <w:pPr>
              <w:jc w:val="center"/>
              <w:spacing w:after="0"/>
              <w:rPr>
                <w:sz w:val="20"/>
                <w:szCs w:val="20"/>
                <w:color w:val="auto"/>
              </w:rPr>
            </w:pPr>
            <w:r>
              <w:rPr>
                <w:rFonts w:ascii="Arial" w:cs="Arial" w:eastAsia="Arial" w:hAnsi="Arial"/>
                <w:sz w:val="14"/>
                <w:szCs w:val="14"/>
                <w:b w:val="1"/>
                <w:bCs w:val="1"/>
                <w:color w:val="auto"/>
              </w:rPr>
              <w:t>Purchased as Part of</w:t>
            </w:r>
          </w:p>
        </w:tc>
        <w:tc>
          <w:tcPr>
            <w:tcW w:w="2720" w:type="dxa"/>
            <w:vAlign w:val="bottom"/>
          </w:tcPr>
          <w:p>
            <w:pPr>
              <w:jc w:val="center"/>
              <w:ind w:left="23"/>
              <w:spacing w:after="0"/>
              <w:rPr>
                <w:sz w:val="20"/>
                <w:szCs w:val="20"/>
                <w:color w:val="auto"/>
              </w:rPr>
            </w:pPr>
            <w:r>
              <w:rPr>
                <w:rFonts w:ascii="Arial" w:cs="Arial" w:eastAsia="Arial" w:hAnsi="Arial"/>
                <w:sz w:val="14"/>
                <w:szCs w:val="14"/>
                <w:b w:val="1"/>
                <w:bCs w:val="1"/>
                <w:color w:val="auto"/>
              </w:rPr>
              <w:t>May Yet Be Purchased Under the</w:t>
            </w:r>
          </w:p>
        </w:tc>
      </w:tr>
      <w:tr>
        <w:trPr>
          <w:trHeight w:val="196"/>
        </w:trPr>
        <w:tc>
          <w:tcPr>
            <w:tcW w:w="40" w:type="dxa"/>
            <w:vAlign w:val="bottom"/>
          </w:tcPr>
          <w:p>
            <w:pPr>
              <w:spacing w:after="0"/>
              <w:rPr>
                <w:sz w:val="17"/>
                <w:szCs w:val="17"/>
                <w:color w:val="auto"/>
              </w:rPr>
            </w:pPr>
          </w:p>
        </w:tc>
        <w:tc>
          <w:tcPr>
            <w:tcW w:w="364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Period</w:t>
            </w:r>
          </w:p>
        </w:tc>
        <w:tc>
          <w:tcPr>
            <w:tcW w:w="12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Purchased</w:t>
            </w:r>
          </w:p>
        </w:tc>
        <w:tc>
          <w:tcPr>
            <w:tcW w:w="26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center"/>
              <w:ind w:right="223"/>
              <w:spacing w:after="0"/>
              <w:rPr>
                <w:sz w:val="20"/>
                <w:szCs w:val="20"/>
                <w:color w:val="auto"/>
              </w:rPr>
            </w:pPr>
            <w:r>
              <w:rPr>
                <w:rFonts w:ascii="Arial" w:cs="Arial" w:eastAsia="Arial" w:hAnsi="Arial"/>
                <w:sz w:val="14"/>
                <w:szCs w:val="14"/>
                <w:b w:val="1"/>
                <w:bCs w:val="1"/>
                <w:color w:val="auto"/>
              </w:rPr>
              <w:t>per Share</w:t>
            </w:r>
          </w:p>
        </w:tc>
        <w:tc>
          <w:tcPr>
            <w:tcW w:w="23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Publicly Announced Plan*</w:t>
            </w:r>
          </w:p>
        </w:tc>
        <w:tc>
          <w:tcPr>
            <w:tcW w:w="2720" w:type="dxa"/>
            <w:vAlign w:val="bottom"/>
            <w:tcBorders>
              <w:bottom w:val="single" w:sz="8" w:color="auto"/>
            </w:tcBorders>
          </w:tcPr>
          <w:p>
            <w:pPr>
              <w:jc w:val="center"/>
              <w:ind w:left="3"/>
              <w:spacing w:after="0"/>
              <w:rPr>
                <w:sz w:val="20"/>
                <w:szCs w:val="20"/>
                <w:color w:val="auto"/>
              </w:rPr>
            </w:pPr>
            <w:r>
              <w:rPr>
                <w:rFonts w:ascii="Arial" w:cs="Arial" w:eastAsia="Arial" w:hAnsi="Arial"/>
                <w:sz w:val="14"/>
                <w:szCs w:val="14"/>
                <w:b w:val="1"/>
                <w:bCs w:val="1"/>
                <w:color w:val="auto"/>
              </w:rPr>
              <w:t>Plan*</w:t>
            </w:r>
          </w:p>
        </w:tc>
      </w:tr>
      <w:tr>
        <w:trPr>
          <w:trHeight w:val="258"/>
        </w:trPr>
        <w:tc>
          <w:tcPr>
            <w:tcW w:w="3680" w:type="dxa"/>
            <w:vAlign w:val="bottom"/>
            <w:gridSpan w:val="2"/>
          </w:tcPr>
          <w:p>
            <w:pPr>
              <w:ind w:left="60"/>
              <w:spacing w:after="0"/>
              <w:rPr>
                <w:sz w:val="20"/>
                <w:szCs w:val="20"/>
                <w:color w:val="auto"/>
              </w:rPr>
            </w:pPr>
            <w:r>
              <w:rPr>
                <w:rFonts w:ascii="Arial" w:cs="Arial" w:eastAsia="Arial" w:hAnsi="Arial"/>
                <w:sz w:val="14"/>
                <w:szCs w:val="14"/>
                <w:b w:val="1"/>
                <w:bCs w:val="1"/>
                <w:color w:val="auto"/>
              </w:rPr>
              <w:t>2017</w:t>
            </w:r>
          </w:p>
        </w:tc>
        <w:tc>
          <w:tcPr>
            <w:tcW w:w="128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2340" w:type="dxa"/>
            <w:vAlign w:val="bottom"/>
          </w:tcPr>
          <w:p>
            <w:pPr>
              <w:spacing w:after="0"/>
              <w:rPr>
                <w:sz w:val="22"/>
                <w:szCs w:val="22"/>
                <w:color w:val="auto"/>
              </w:rPr>
            </w:pPr>
          </w:p>
        </w:tc>
        <w:tc>
          <w:tcPr>
            <w:tcW w:w="2720" w:type="dxa"/>
            <w:vAlign w:val="bottom"/>
          </w:tcPr>
          <w:p>
            <w:pPr>
              <w:spacing w:after="0"/>
              <w:rPr>
                <w:sz w:val="22"/>
                <w:szCs w:val="22"/>
                <w:color w:val="auto"/>
              </w:rPr>
            </w:pPr>
          </w:p>
        </w:tc>
      </w:tr>
      <w:tr>
        <w:trPr>
          <w:trHeight w:val="263"/>
        </w:trPr>
        <w:tc>
          <w:tcPr>
            <w:tcW w:w="40" w:type="dxa"/>
            <w:vAlign w:val="bottom"/>
          </w:tcPr>
          <w:p>
            <w:pPr>
              <w:spacing w:after="0"/>
              <w:rPr>
                <w:sz w:val="22"/>
                <w:szCs w:val="22"/>
                <w:color w:val="auto"/>
              </w:rPr>
            </w:pPr>
          </w:p>
        </w:tc>
        <w:tc>
          <w:tcPr>
            <w:tcW w:w="3640" w:type="dxa"/>
            <w:vAlign w:val="bottom"/>
          </w:tcPr>
          <w:p>
            <w:pPr>
              <w:ind w:left="20"/>
              <w:spacing w:after="0"/>
              <w:rPr>
                <w:sz w:val="20"/>
                <w:szCs w:val="20"/>
                <w:color w:val="auto"/>
              </w:rPr>
            </w:pPr>
            <w:r>
              <w:rPr>
                <w:rFonts w:ascii="Arial" w:cs="Arial" w:eastAsia="Arial" w:hAnsi="Arial"/>
                <w:sz w:val="16"/>
                <w:szCs w:val="16"/>
                <w:color w:val="auto"/>
              </w:rPr>
              <w:t>October</w:t>
            </w:r>
          </w:p>
        </w:tc>
        <w:tc>
          <w:tcPr>
            <w:tcW w:w="1280" w:type="dxa"/>
            <w:vAlign w:val="bottom"/>
          </w:tcPr>
          <w:p>
            <w:pPr>
              <w:jc w:val="right"/>
              <w:ind w:right="63"/>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22"/>
                <w:szCs w:val="22"/>
                <w:color w:val="auto"/>
              </w:rPr>
            </w:pPr>
          </w:p>
        </w:tc>
        <w:tc>
          <w:tcPr>
            <w:tcW w:w="1120" w:type="dxa"/>
            <w:vAlign w:val="bottom"/>
          </w:tcPr>
          <w:p>
            <w:pPr>
              <w:jc w:val="right"/>
              <w:ind w:right="183"/>
              <w:spacing w:after="0"/>
              <w:rPr>
                <w:sz w:val="20"/>
                <w:szCs w:val="20"/>
                <w:color w:val="auto"/>
              </w:rPr>
            </w:pPr>
            <w:r>
              <w:rPr>
                <w:rFonts w:ascii="Arial" w:cs="Arial" w:eastAsia="Arial" w:hAnsi="Arial"/>
                <w:sz w:val="16"/>
                <w:szCs w:val="16"/>
                <w:color w:val="auto"/>
              </w:rPr>
              <w:t>—</w:t>
            </w:r>
          </w:p>
        </w:tc>
        <w:tc>
          <w:tcPr>
            <w:tcW w:w="2340" w:type="dxa"/>
            <w:vAlign w:val="bottom"/>
          </w:tcPr>
          <w:p>
            <w:pPr>
              <w:jc w:val="right"/>
              <w:ind w:right="23"/>
              <w:spacing w:after="0"/>
              <w:rPr>
                <w:sz w:val="20"/>
                <w:szCs w:val="20"/>
                <w:color w:val="auto"/>
              </w:rPr>
            </w:pPr>
            <w:r>
              <w:rPr>
                <w:rFonts w:ascii="Arial" w:cs="Arial" w:eastAsia="Arial" w:hAnsi="Arial"/>
                <w:sz w:val="16"/>
                <w:szCs w:val="16"/>
                <w:color w:val="auto"/>
              </w:rPr>
              <w:t>—</w:t>
            </w:r>
          </w:p>
        </w:tc>
        <w:tc>
          <w:tcPr>
            <w:tcW w:w="2720" w:type="dxa"/>
            <w:vAlign w:val="bottom"/>
          </w:tcPr>
          <w:p>
            <w:pPr>
              <w:jc w:val="right"/>
              <w:ind w:right="43"/>
              <w:spacing w:after="0"/>
              <w:rPr>
                <w:sz w:val="20"/>
                <w:szCs w:val="20"/>
                <w:color w:val="auto"/>
              </w:rPr>
            </w:pPr>
            <w:r>
              <w:rPr>
                <w:rFonts w:ascii="Arial" w:cs="Arial" w:eastAsia="Arial" w:hAnsi="Arial"/>
                <w:sz w:val="16"/>
                <w:szCs w:val="16"/>
                <w:color w:val="auto"/>
              </w:rPr>
              <w:t>163,237</w:t>
            </w:r>
          </w:p>
        </w:tc>
      </w:tr>
      <w:tr>
        <w:trPr>
          <w:trHeight w:val="270"/>
        </w:trPr>
        <w:tc>
          <w:tcPr>
            <w:tcW w:w="40" w:type="dxa"/>
            <w:vAlign w:val="bottom"/>
          </w:tcPr>
          <w:p>
            <w:pPr>
              <w:spacing w:after="0"/>
              <w:rPr>
                <w:sz w:val="23"/>
                <w:szCs w:val="23"/>
                <w:color w:val="auto"/>
              </w:rPr>
            </w:pPr>
          </w:p>
        </w:tc>
        <w:tc>
          <w:tcPr>
            <w:tcW w:w="3640" w:type="dxa"/>
            <w:vAlign w:val="bottom"/>
          </w:tcPr>
          <w:p>
            <w:pPr>
              <w:ind w:left="20"/>
              <w:spacing w:after="0"/>
              <w:rPr>
                <w:sz w:val="20"/>
                <w:szCs w:val="20"/>
                <w:color w:val="auto"/>
              </w:rPr>
            </w:pPr>
            <w:r>
              <w:rPr>
                <w:rFonts w:ascii="Arial" w:cs="Arial" w:eastAsia="Arial" w:hAnsi="Arial"/>
                <w:sz w:val="16"/>
                <w:szCs w:val="16"/>
                <w:color w:val="auto"/>
              </w:rPr>
              <w:t>November</w:t>
            </w:r>
          </w:p>
        </w:tc>
        <w:tc>
          <w:tcPr>
            <w:tcW w:w="1280" w:type="dxa"/>
            <w:vAlign w:val="bottom"/>
          </w:tcPr>
          <w:p>
            <w:pPr>
              <w:jc w:val="right"/>
              <w:ind w:right="63"/>
              <w:spacing w:after="0"/>
              <w:rPr>
                <w:sz w:val="20"/>
                <w:szCs w:val="20"/>
                <w:color w:val="auto"/>
              </w:rPr>
            </w:pPr>
            <w:r>
              <w:rPr>
                <w:rFonts w:ascii="Arial" w:cs="Arial" w:eastAsia="Arial" w:hAnsi="Arial"/>
                <w:sz w:val="16"/>
                <w:szCs w:val="16"/>
                <w:color w:val="auto"/>
              </w:rPr>
              <w:t>7,964</w:t>
            </w:r>
          </w:p>
        </w:tc>
        <w:tc>
          <w:tcPr>
            <w:tcW w:w="260" w:type="dxa"/>
            <w:vAlign w:val="bottom"/>
          </w:tcPr>
          <w:p>
            <w:pPr>
              <w:jc w:val="right"/>
              <w:spacing w:after="0"/>
              <w:rPr>
                <w:sz w:val="20"/>
                <w:szCs w:val="20"/>
                <w:color w:val="auto"/>
              </w:rPr>
            </w:pPr>
            <w:r>
              <w:rPr>
                <w:rFonts w:ascii="Arial" w:cs="Arial" w:eastAsia="Arial" w:hAnsi="Arial"/>
                <w:sz w:val="16"/>
                <w:szCs w:val="16"/>
                <w:color w:val="auto"/>
              </w:rPr>
              <w:t>$</w:t>
            </w:r>
          </w:p>
        </w:tc>
        <w:tc>
          <w:tcPr>
            <w:tcW w:w="1120" w:type="dxa"/>
            <w:vAlign w:val="bottom"/>
          </w:tcPr>
          <w:p>
            <w:pPr>
              <w:jc w:val="right"/>
              <w:ind w:right="183"/>
              <w:spacing w:after="0"/>
              <w:rPr>
                <w:sz w:val="20"/>
                <w:szCs w:val="20"/>
                <w:color w:val="auto"/>
              </w:rPr>
            </w:pPr>
            <w:r>
              <w:rPr>
                <w:rFonts w:ascii="Arial" w:cs="Arial" w:eastAsia="Arial" w:hAnsi="Arial"/>
                <w:sz w:val="16"/>
                <w:szCs w:val="16"/>
                <w:color w:val="auto"/>
              </w:rPr>
              <w:t>549.27</w:t>
            </w:r>
          </w:p>
        </w:tc>
        <w:tc>
          <w:tcPr>
            <w:tcW w:w="2340" w:type="dxa"/>
            <w:vAlign w:val="bottom"/>
          </w:tcPr>
          <w:p>
            <w:pPr>
              <w:jc w:val="right"/>
              <w:ind w:right="23"/>
              <w:spacing w:after="0"/>
              <w:rPr>
                <w:sz w:val="20"/>
                <w:szCs w:val="20"/>
                <w:color w:val="auto"/>
              </w:rPr>
            </w:pPr>
            <w:r>
              <w:rPr>
                <w:rFonts w:ascii="Arial" w:cs="Arial" w:eastAsia="Arial" w:hAnsi="Arial"/>
                <w:sz w:val="16"/>
                <w:szCs w:val="16"/>
                <w:color w:val="auto"/>
              </w:rPr>
              <w:t>7,964</w:t>
            </w:r>
          </w:p>
        </w:tc>
        <w:tc>
          <w:tcPr>
            <w:tcW w:w="2720" w:type="dxa"/>
            <w:vAlign w:val="bottom"/>
          </w:tcPr>
          <w:p>
            <w:pPr>
              <w:jc w:val="right"/>
              <w:ind w:right="43"/>
              <w:spacing w:after="0"/>
              <w:rPr>
                <w:sz w:val="20"/>
                <w:szCs w:val="20"/>
                <w:color w:val="auto"/>
              </w:rPr>
            </w:pPr>
            <w:r>
              <w:rPr>
                <w:rFonts w:ascii="Arial" w:cs="Arial" w:eastAsia="Arial" w:hAnsi="Arial"/>
                <w:sz w:val="16"/>
                <w:szCs w:val="16"/>
                <w:color w:val="auto"/>
              </w:rPr>
              <w:t>492,036</w:t>
            </w:r>
          </w:p>
        </w:tc>
      </w:tr>
      <w:tr>
        <w:trPr>
          <w:trHeight w:val="283"/>
        </w:trPr>
        <w:tc>
          <w:tcPr>
            <w:tcW w:w="40" w:type="dxa"/>
            <w:vAlign w:val="bottom"/>
          </w:tcPr>
          <w:p>
            <w:pPr>
              <w:spacing w:after="0"/>
              <w:rPr>
                <w:sz w:val="24"/>
                <w:szCs w:val="24"/>
                <w:color w:val="auto"/>
              </w:rPr>
            </w:pPr>
          </w:p>
        </w:tc>
        <w:tc>
          <w:tcPr>
            <w:tcW w:w="3640" w:type="dxa"/>
            <w:vAlign w:val="bottom"/>
          </w:tcPr>
          <w:p>
            <w:pPr>
              <w:ind w:left="20"/>
              <w:spacing w:after="0"/>
              <w:rPr>
                <w:sz w:val="20"/>
                <w:szCs w:val="20"/>
                <w:color w:val="auto"/>
              </w:rPr>
            </w:pPr>
            <w:r>
              <w:rPr>
                <w:rFonts w:ascii="Arial" w:cs="Arial" w:eastAsia="Arial" w:hAnsi="Arial"/>
                <w:sz w:val="16"/>
                <w:szCs w:val="16"/>
                <w:color w:val="auto"/>
              </w:rPr>
              <w:t>December</w:t>
            </w:r>
          </w:p>
        </w:tc>
        <w:tc>
          <w:tcPr>
            <w:tcW w:w="1280" w:type="dxa"/>
            <w:vAlign w:val="bottom"/>
            <w:tcBorders>
              <w:bottom w:val="single" w:sz="8" w:color="auto"/>
            </w:tcBorders>
          </w:tcPr>
          <w:p>
            <w:pPr>
              <w:jc w:val="right"/>
              <w:ind w:right="63"/>
              <w:spacing w:after="0"/>
              <w:rPr>
                <w:sz w:val="20"/>
                <w:szCs w:val="20"/>
                <w:color w:val="auto"/>
              </w:rPr>
            </w:pPr>
            <w:r>
              <w:rPr>
                <w:rFonts w:ascii="Arial" w:cs="Arial" w:eastAsia="Arial" w:hAnsi="Arial"/>
                <w:sz w:val="16"/>
                <w:szCs w:val="16"/>
                <w:color w:val="auto"/>
              </w:rPr>
              <w:t>19,358</w:t>
            </w:r>
          </w:p>
        </w:tc>
        <w:tc>
          <w:tcPr>
            <w:tcW w:w="26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jc w:val="right"/>
              <w:ind w:right="183"/>
              <w:spacing w:after="0"/>
              <w:rPr>
                <w:sz w:val="20"/>
                <w:szCs w:val="20"/>
                <w:color w:val="auto"/>
              </w:rPr>
            </w:pPr>
            <w:r>
              <w:rPr>
                <w:rFonts w:ascii="Arial" w:cs="Arial" w:eastAsia="Arial" w:hAnsi="Arial"/>
                <w:sz w:val="16"/>
                <w:szCs w:val="16"/>
                <w:color w:val="auto"/>
              </w:rPr>
              <w:t>568.30</w:t>
            </w:r>
          </w:p>
        </w:tc>
        <w:tc>
          <w:tcPr>
            <w:tcW w:w="2340" w:type="dxa"/>
            <w:vAlign w:val="bottom"/>
            <w:tcBorders>
              <w:bottom w:val="single" w:sz="8" w:color="auto"/>
            </w:tcBorders>
          </w:tcPr>
          <w:p>
            <w:pPr>
              <w:jc w:val="right"/>
              <w:ind w:right="23"/>
              <w:spacing w:after="0"/>
              <w:rPr>
                <w:sz w:val="20"/>
                <w:szCs w:val="20"/>
                <w:color w:val="auto"/>
              </w:rPr>
            </w:pPr>
            <w:r>
              <w:rPr>
                <w:rFonts w:ascii="Arial" w:cs="Arial" w:eastAsia="Arial" w:hAnsi="Arial"/>
                <w:sz w:val="16"/>
                <w:szCs w:val="16"/>
                <w:color w:val="auto"/>
              </w:rPr>
              <w:t>19,358</w:t>
            </w:r>
          </w:p>
        </w:tc>
        <w:tc>
          <w:tcPr>
            <w:tcW w:w="2720" w:type="dxa"/>
            <w:vAlign w:val="bottom"/>
          </w:tcPr>
          <w:p>
            <w:pPr>
              <w:jc w:val="right"/>
              <w:ind w:right="43"/>
              <w:spacing w:after="0"/>
              <w:rPr>
                <w:sz w:val="20"/>
                <w:szCs w:val="20"/>
                <w:color w:val="auto"/>
              </w:rPr>
            </w:pPr>
            <w:r>
              <w:rPr>
                <w:rFonts w:ascii="Arial" w:cs="Arial" w:eastAsia="Arial" w:hAnsi="Arial"/>
                <w:sz w:val="16"/>
                <w:szCs w:val="16"/>
                <w:color w:val="auto"/>
              </w:rPr>
              <w:t>472,678</w:t>
            </w:r>
          </w:p>
        </w:tc>
      </w:tr>
      <w:tr>
        <w:trPr>
          <w:trHeight w:val="277"/>
        </w:trPr>
        <w:tc>
          <w:tcPr>
            <w:tcW w:w="40" w:type="dxa"/>
            <w:vAlign w:val="bottom"/>
          </w:tcPr>
          <w:p>
            <w:pPr>
              <w:spacing w:after="0"/>
              <w:rPr>
                <w:sz w:val="24"/>
                <w:szCs w:val="24"/>
                <w:color w:val="auto"/>
              </w:rPr>
            </w:pPr>
          </w:p>
        </w:tc>
        <w:tc>
          <w:tcPr>
            <w:tcW w:w="3640" w:type="dxa"/>
            <w:vAlign w:val="bottom"/>
          </w:tcPr>
          <w:p>
            <w:pPr>
              <w:jc w:val="center"/>
              <w:ind w:right="2661"/>
              <w:spacing w:after="0"/>
              <w:rPr>
                <w:sz w:val="20"/>
                <w:szCs w:val="20"/>
                <w:color w:val="auto"/>
              </w:rPr>
            </w:pPr>
            <w:r>
              <w:rPr>
                <w:rFonts w:ascii="Arial" w:cs="Arial" w:eastAsia="Arial" w:hAnsi="Arial"/>
                <w:sz w:val="16"/>
                <w:szCs w:val="16"/>
                <w:b w:val="1"/>
                <w:bCs w:val="1"/>
                <w:color w:val="auto"/>
                <w:w w:val="99"/>
              </w:rPr>
              <w:t>Total</w:t>
            </w:r>
          </w:p>
        </w:tc>
        <w:tc>
          <w:tcPr>
            <w:tcW w:w="1280" w:type="dxa"/>
            <w:vAlign w:val="bottom"/>
            <w:tcBorders>
              <w:bottom w:val="single" w:sz="8" w:color="auto"/>
            </w:tcBorders>
          </w:tcPr>
          <w:p>
            <w:pPr>
              <w:jc w:val="right"/>
              <w:ind w:right="63"/>
              <w:spacing w:after="0"/>
              <w:rPr>
                <w:sz w:val="20"/>
                <w:szCs w:val="20"/>
                <w:color w:val="auto"/>
              </w:rPr>
            </w:pPr>
            <w:r>
              <w:rPr>
                <w:rFonts w:ascii="Arial" w:cs="Arial" w:eastAsia="Arial" w:hAnsi="Arial"/>
                <w:sz w:val="16"/>
                <w:szCs w:val="16"/>
                <w:color w:val="auto"/>
              </w:rPr>
              <w:t>27,322</w:t>
            </w:r>
          </w:p>
        </w:tc>
        <w:tc>
          <w:tcPr>
            <w:tcW w:w="2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120" w:type="dxa"/>
            <w:vAlign w:val="bottom"/>
            <w:tcBorders>
              <w:bottom w:val="single" w:sz="8" w:color="auto"/>
            </w:tcBorders>
          </w:tcPr>
          <w:p>
            <w:pPr>
              <w:jc w:val="right"/>
              <w:ind w:right="183"/>
              <w:spacing w:after="0"/>
              <w:rPr>
                <w:sz w:val="20"/>
                <w:szCs w:val="20"/>
                <w:color w:val="auto"/>
              </w:rPr>
            </w:pPr>
            <w:r>
              <w:rPr>
                <w:rFonts w:ascii="Arial" w:cs="Arial" w:eastAsia="Arial" w:hAnsi="Arial"/>
                <w:sz w:val="16"/>
                <w:szCs w:val="16"/>
                <w:color w:val="auto"/>
              </w:rPr>
              <w:t>562.75</w:t>
            </w:r>
          </w:p>
        </w:tc>
        <w:tc>
          <w:tcPr>
            <w:tcW w:w="2340" w:type="dxa"/>
            <w:vAlign w:val="bottom"/>
            <w:tcBorders>
              <w:bottom w:val="single" w:sz="8" w:color="auto"/>
            </w:tcBorders>
          </w:tcPr>
          <w:p>
            <w:pPr>
              <w:jc w:val="right"/>
              <w:ind w:right="23"/>
              <w:spacing w:after="0"/>
              <w:rPr>
                <w:sz w:val="20"/>
                <w:szCs w:val="20"/>
                <w:color w:val="auto"/>
              </w:rPr>
            </w:pPr>
            <w:r>
              <w:rPr>
                <w:rFonts w:ascii="Arial" w:cs="Arial" w:eastAsia="Arial" w:hAnsi="Arial"/>
                <w:sz w:val="16"/>
                <w:szCs w:val="16"/>
                <w:color w:val="auto"/>
              </w:rPr>
              <w:t>27,322</w:t>
            </w:r>
          </w:p>
        </w:tc>
        <w:tc>
          <w:tcPr>
            <w:tcW w:w="2720" w:type="dxa"/>
            <w:vAlign w:val="bottom"/>
          </w:tcPr>
          <w:p>
            <w:pPr>
              <w:spacing w:after="0"/>
              <w:rPr>
                <w:sz w:val="24"/>
                <w:szCs w:val="24"/>
                <w:color w:val="auto"/>
              </w:rPr>
            </w:pPr>
          </w:p>
        </w:tc>
      </w:tr>
      <w:tr>
        <w:trPr>
          <w:trHeight w:val="156"/>
        </w:trPr>
        <w:tc>
          <w:tcPr>
            <w:tcW w:w="3680" w:type="dxa"/>
            <w:vAlign w:val="bottom"/>
            <w:gridSpan w:val="2"/>
          </w:tcPr>
          <w:p>
            <w:pPr>
              <w:jc w:val="right"/>
              <w:ind w:right="2641"/>
              <w:spacing w:after="0" w:line="156" w:lineRule="exact"/>
              <w:rPr>
                <w:sz w:val="20"/>
                <w:szCs w:val="20"/>
                <w:color w:val="auto"/>
              </w:rPr>
            </w:pPr>
            <w:r>
              <w:rPr>
                <w:rFonts w:ascii="Arial" w:cs="Arial" w:eastAsia="Arial" w:hAnsi="Arial"/>
                <w:sz w:val="14"/>
                <w:szCs w:val="14"/>
                <w:color w:val="auto"/>
              </w:rPr>
              <w:t>____________</w:t>
            </w:r>
          </w:p>
        </w:tc>
        <w:tc>
          <w:tcPr>
            <w:tcW w:w="12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2340" w:type="dxa"/>
            <w:vAlign w:val="bottom"/>
          </w:tcPr>
          <w:p>
            <w:pPr>
              <w:spacing w:after="0"/>
              <w:rPr>
                <w:sz w:val="13"/>
                <w:szCs w:val="13"/>
                <w:color w:val="auto"/>
              </w:rPr>
            </w:pPr>
          </w:p>
        </w:tc>
        <w:tc>
          <w:tcPr>
            <w:tcW w:w="2720" w:type="dxa"/>
            <w:vAlign w:val="bottom"/>
          </w:tcPr>
          <w:p>
            <w:pPr>
              <w:spacing w:after="0"/>
              <w:rPr>
                <w:sz w:val="13"/>
                <w:szCs w:val="13"/>
                <w:color w:val="auto"/>
              </w:rPr>
            </w:pPr>
          </w:p>
        </w:tc>
      </w:tr>
    </w:tbl>
    <w:p>
      <w:pPr>
        <w:ind w:right="120"/>
        <w:spacing w:after="0" w:line="207" w:lineRule="auto"/>
        <w:rPr>
          <w:sz w:val="20"/>
          <w:szCs w:val="20"/>
          <w:color w:val="auto"/>
        </w:rPr>
      </w:pPr>
      <w:r>
        <w:rPr>
          <w:rFonts w:ascii="Arial" w:cs="Arial" w:eastAsia="Arial" w:hAnsi="Arial"/>
          <w:sz w:val="13"/>
          <w:szCs w:val="13"/>
          <w:color w:val="auto"/>
        </w:rPr>
        <w:t>*On May 14, 2015, the Company’s Board of Directors authorized the Company to purchase, on the open market or otherwise, up to 500,000 shares of its Class B Common Stock. There was no expiration date for that authorization. On November 9, 2017, the Company’s Board of Directors authorized the Company to purchase, on the open market or otherwise, up to 500,000 shares of its Class B Common Stock. This authorization includes the 163,237 shares that remained under the previous authorization. There is no expiration date for that authorization. All purchases made during the quarter ended December 31, 2017, were open market transactions.</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Performance Graph</w:t>
      </w:r>
    </w:p>
    <w:p>
      <w:pPr>
        <w:spacing w:after="0" w:line="166" w:lineRule="exact"/>
        <w:rPr>
          <w:sz w:val="20"/>
          <w:szCs w:val="20"/>
          <w:color w:val="auto"/>
        </w:rPr>
      </w:pPr>
    </w:p>
    <w:p>
      <w:pPr>
        <w:ind w:right="40"/>
        <w:spacing w:after="0" w:line="222" w:lineRule="auto"/>
        <w:rPr>
          <w:sz w:val="20"/>
          <w:szCs w:val="20"/>
          <w:color w:val="auto"/>
        </w:rPr>
      </w:pPr>
      <w:r>
        <w:rPr>
          <w:rFonts w:ascii="Arial" w:cs="Arial" w:eastAsia="Arial" w:hAnsi="Arial"/>
          <w:sz w:val="18"/>
          <w:szCs w:val="18"/>
          <w:color w:val="auto"/>
        </w:rPr>
        <w:t>The following graph is a comparison of the yearly percentage change in the Company’s cumulative total shareholder return with the cumulative total return of the Standard &amp; Poor’s 500 Stock Index and a custom peer group index comprised of education companies. The Standard &amp; Poor’s 500 Stock Index is comprised of 500 U.S. companies in the industrial, transportation, utilities and financial industries and is weighted by market capitalization. The custom peer group of education companies includes Adtalem Global Education Inc., American Public Education Inc., Bridgepoint Education Inc., Capella Education Co., Grand Canyon Education Inc., National American University Holdings Inc. and Strayer Education Inc. The Company is using a custom peer index of education companies because the Company is a diversified education and media company. Its largest business is Kaplan, Inc., a leading global provider of educational services to individuals, schools and businesses. The graph reflects the investment of $ 100 on December 31, 2012, in the Company’s Class B Common Stock, the Standard &amp; Poor’s 500 Stock Index and the custom peer group index of education companies. For purposes of this graph, it has been assumed that dividends were reinvested on the date paid in the case of the Company and on a quarterly basis in the case of the Standard &amp; Poor’s 500 Index and the custom peer group index of education companies.</w:t>
      </w:r>
    </w:p>
    <w:p>
      <w:pPr>
        <w:spacing w:after="0" w:line="200" w:lineRule="exact"/>
        <w:rPr>
          <w:sz w:val="20"/>
          <w:szCs w:val="20"/>
          <w:color w:val="auto"/>
        </w:rPr>
      </w:pPr>
    </w:p>
    <w:p>
      <w:pPr>
        <w:spacing w:after="0" w:line="3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39</w:t>
      </w:r>
    </w:p>
    <w:p>
      <w:pPr>
        <w:sectPr>
          <w:pgSz w:w="11900" w:h="16838" w:orient="portrait"/>
          <w:cols w:equalWidth="0" w:num="1">
            <w:col w:w="11420"/>
          </w:cols>
          <w:pgMar w:left="240" w:top="724" w:right="239" w:bottom="1440" w:gutter="0" w:footer="0" w:header="0"/>
        </w:sectPr>
      </w:pPr>
    </w:p>
    <w:bookmarkStart w:id="41" w:name="page42"/>
    <w:bookmarkEnd w:id="41"/>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1546860</wp:posOffset>
            </wp:positionH>
            <wp:positionV relativeFrom="page">
              <wp:posOffset>483235</wp:posOffset>
            </wp:positionV>
            <wp:extent cx="4467860" cy="289877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clrChange>
                        <a:clrFrom>
                          <a:srgbClr val="FFFFFF"/>
                        </a:clrFrom>
                        <a:clrTo>
                          <a:srgbClr val="FFFFFF">
                            <a:alpha val="0"/>
                          </a:srgbClr>
                        </a:clrTo>
                      </a:clrChange>
                      <a:extLst>
                        <a:ext uri="{28A0092B-C50C-407E-A947-70E740481C1C}"/>
                      </a:extLst>
                    </a:blip>
                    <a:srcRect/>
                    <a:stretch>
                      <a:fillRect/>
                    </a:stretch>
                  </pic:blipFill>
                  <pic:spPr bwMode="auto">
                    <a:xfrm>
                      <a:off x="0" y="0"/>
                      <a:ext cx="4467860" cy="28987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300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December 31</w:t>
            </w:r>
          </w:p>
        </w:tc>
        <w:tc>
          <w:tcPr>
            <w:tcW w:w="2800" w:type="dxa"/>
            <w:vAlign w:val="bottom"/>
            <w:tcBorders>
              <w:bottom w:val="single" w:sz="8" w:color="auto"/>
            </w:tcBorders>
          </w:tcPr>
          <w:p>
            <w:pPr>
              <w:jc w:val="right"/>
              <w:ind w:right="348"/>
              <w:spacing w:after="0"/>
              <w:rPr>
                <w:sz w:val="20"/>
                <w:szCs w:val="20"/>
                <w:color w:val="auto"/>
              </w:rPr>
            </w:pPr>
            <w:r>
              <w:rPr>
                <w:rFonts w:ascii="Arial" w:cs="Arial" w:eastAsia="Arial" w:hAnsi="Arial"/>
                <w:sz w:val="14"/>
                <w:szCs w:val="14"/>
                <w:color w:val="auto"/>
              </w:rPr>
              <w:t>2012</w:t>
            </w:r>
          </w:p>
        </w:tc>
        <w:tc>
          <w:tcPr>
            <w:tcW w:w="1160" w:type="dxa"/>
            <w:vAlign w:val="bottom"/>
            <w:tcBorders>
              <w:bottom w:val="single" w:sz="8" w:color="auto"/>
            </w:tcBorders>
          </w:tcPr>
          <w:p>
            <w:pPr>
              <w:jc w:val="right"/>
              <w:ind w:right="348"/>
              <w:spacing w:after="0"/>
              <w:rPr>
                <w:sz w:val="20"/>
                <w:szCs w:val="20"/>
                <w:color w:val="auto"/>
              </w:rPr>
            </w:pPr>
            <w:r>
              <w:rPr>
                <w:rFonts w:ascii="Arial" w:cs="Arial" w:eastAsia="Arial" w:hAnsi="Arial"/>
                <w:sz w:val="14"/>
                <w:szCs w:val="14"/>
                <w:color w:val="auto"/>
              </w:rPr>
              <w:t>2013</w:t>
            </w:r>
          </w:p>
        </w:tc>
        <w:tc>
          <w:tcPr>
            <w:tcW w:w="1140" w:type="dxa"/>
            <w:vAlign w:val="bottom"/>
            <w:tcBorders>
              <w:bottom w:val="single" w:sz="8" w:color="auto"/>
            </w:tcBorders>
          </w:tcPr>
          <w:p>
            <w:pPr>
              <w:jc w:val="right"/>
              <w:ind w:right="328"/>
              <w:spacing w:after="0"/>
              <w:rPr>
                <w:sz w:val="20"/>
                <w:szCs w:val="20"/>
                <w:color w:val="auto"/>
              </w:rPr>
            </w:pPr>
            <w:r>
              <w:rPr>
                <w:rFonts w:ascii="Arial" w:cs="Arial" w:eastAsia="Arial" w:hAnsi="Arial"/>
                <w:sz w:val="14"/>
                <w:szCs w:val="14"/>
                <w:color w:val="auto"/>
              </w:rPr>
              <w:t>2014</w:t>
            </w:r>
          </w:p>
        </w:tc>
        <w:tc>
          <w:tcPr>
            <w:tcW w:w="1140" w:type="dxa"/>
            <w:vAlign w:val="bottom"/>
            <w:tcBorders>
              <w:bottom w:val="single" w:sz="8" w:color="auto"/>
            </w:tcBorders>
          </w:tcPr>
          <w:p>
            <w:pPr>
              <w:jc w:val="right"/>
              <w:ind w:right="328"/>
              <w:spacing w:after="0"/>
              <w:rPr>
                <w:sz w:val="20"/>
                <w:szCs w:val="20"/>
                <w:color w:val="auto"/>
              </w:rPr>
            </w:pPr>
            <w:r>
              <w:rPr>
                <w:rFonts w:ascii="Arial" w:cs="Arial" w:eastAsia="Arial" w:hAnsi="Arial"/>
                <w:sz w:val="14"/>
                <w:szCs w:val="14"/>
                <w:color w:val="auto"/>
              </w:rPr>
              <w:t>2015</w:t>
            </w:r>
          </w:p>
        </w:tc>
        <w:tc>
          <w:tcPr>
            <w:tcW w:w="1120" w:type="dxa"/>
            <w:vAlign w:val="bottom"/>
            <w:tcBorders>
              <w:bottom w:val="single" w:sz="8" w:color="auto"/>
            </w:tcBorders>
          </w:tcPr>
          <w:p>
            <w:pPr>
              <w:jc w:val="right"/>
              <w:ind w:right="328"/>
              <w:spacing w:after="0"/>
              <w:rPr>
                <w:sz w:val="20"/>
                <w:szCs w:val="20"/>
                <w:color w:val="auto"/>
              </w:rPr>
            </w:pPr>
            <w:r>
              <w:rPr>
                <w:rFonts w:ascii="Arial" w:cs="Arial" w:eastAsia="Arial" w:hAnsi="Arial"/>
                <w:sz w:val="14"/>
                <w:szCs w:val="14"/>
                <w:color w:val="auto"/>
              </w:rPr>
              <w:t>2016</w:t>
            </w:r>
          </w:p>
        </w:tc>
        <w:tc>
          <w:tcPr>
            <w:tcW w:w="1060" w:type="dxa"/>
            <w:vAlign w:val="bottom"/>
            <w:tcBorders>
              <w:bottom w:val="single" w:sz="8" w:color="auto"/>
            </w:tcBorders>
          </w:tcPr>
          <w:p>
            <w:pPr>
              <w:jc w:val="right"/>
              <w:ind w:right="268"/>
              <w:spacing w:after="0"/>
              <w:rPr>
                <w:sz w:val="20"/>
                <w:szCs w:val="20"/>
                <w:color w:val="auto"/>
              </w:rPr>
            </w:pPr>
            <w:r>
              <w:rPr>
                <w:rFonts w:ascii="Arial" w:cs="Arial" w:eastAsia="Arial" w:hAnsi="Arial"/>
                <w:sz w:val="14"/>
                <w:szCs w:val="14"/>
                <w:b w:val="1"/>
                <w:bCs w:val="1"/>
                <w:color w:val="auto"/>
              </w:rPr>
              <w:t>2017</w:t>
            </w:r>
          </w:p>
        </w:tc>
      </w:tr>
    </w:tbl>
    <w:p>
      <w:pPr>
        <w:spacing w:after="0" w:line="60" w:lineRule="exact"/>
        <w:rPr>
          <w:sz w:val="20"/>
          <w:szCs w:val="20"/>
          <w:color w:val="auto"/>
        </w:rPr>
      </w:pPr>
    </w:p>
    <w:tbl>
      <w:tblPr>
        <w:tblLayout w:type="fixed"/>
        <w:tblInd w:w="0" w:type="dxa"/>
        <w:tblCellMar>
          <w:top w:w="0" w:type="dxa"/>
          <w:left w:w="0" w:type="dxa"/>
          <w:bottom w:w="0" w:type="dxa"/>
          <w:right w:w="0" w:type="dxa"/>
        </w:tblCellMar>
      </w:tblPr>
      <w:tr>
        <w:trPr>
          <w:trHeight w:val="202"/>
        </w:trPr>
        <w:tc>
          <w:tcPr>
            <w:tcW w:w="3540" w:type="dxa"/>
            <w:vAlign w:val="bottom"/>
          </w:tcPr>
          <w:p>
            <w:pPr>
              <w:ind w:left="40"/>
              <w:spacing w:after="0"/>
              <w:rPr>
                <w:sz w:val="20"/>
                <w:szCs w:val="20"/>
                <w:color w:val="auto"/>
              </w:rPr>
            </w:pPr>
            <w:r>
              <w:rPr>
                <w:rFonts w:ascii="Arial" w:cs="Arial" w:eastAsia="Arial" w:hAnsi="Arial"/>
                <w:sz w:val="15"/>
                <w:szCs w:val="15"/>
                <w:color w:val="auto"/>
              </w:rPr>
              <w:t>Graham Holdings Company</w:t>
            </w:r>
          </w:p>
        </w:tc>
        <w:tc>
          <w:tcPr>
            <w:tcW w:w="2420" w:type="dxa"/>
            <w:vAlign w:val="bottom"/>
          </w:tcPr>
          <w:p>
            <w:pPr>
              <w:jc w:val="right"/>
              <w:ind w:right="263"/>
              <w:spacing w:after="0"/>
              <w:rPr>
                <w:sz w:val="20"/>
                <w:szCs w:val="20"/>
                <w:color w:val="auto"/>
              </w:rPr>
            </w:pPr>
            <w:r>
              <w:rPr>
                <w:rFonts w:ascii="Arial" w:cs="Arial" w:eastAsia="Arial" w:hAnsi="Arial"/>
                <w:sz w:val="15"/>
                <w:szCs w:val="15"/>
                <w:color w:val="auto"/>
              </w:rPr>
              <w:t>100.00</w:t>
            </w:r>
          </w:p>
        </w:tc>
        <w:tc>
          <w:tcPr>
            <w:tcW w:w="1160" w:type="dxa"/>
            <w:vAlign w:val="bottom"/>
          </w:tcPr>
          <w:p>
            <w:pPr>
              <w:jc w:val="right"/>
              <w:ind w:right="263"/>
              <w:spacing w:after="0"/>
              <w:rPr>
                <w:sz w:val="20"/>
                <w:szCs w:val="20"/>
                <w:color w:val="auto"/>
              </w:rPr>
            </w:pPr>
            <w:r>
              <w:rPr>
                <w:rFonts w:ascii="Arial" w:cs="Arial" w:eastAsia="Arial" w:hAnsi="Arial"/>
                <w:sz w:val="15"/>
                <w:szCs w:val="15"/>
                <w:color w:val="auto"/>
              </w:rPr>
              <w:t>181.63</w:t>
            </w:r>
          </w:p>
        </w:tc>
        <w:tc>
          <w:tcPr>
            <w:tcW w:w="1140" w:type="dxa"/>
            <w:vAlign w:val="bottom"/>
          </w:tcPr>
          <w:p>
            <w:pPr>
              <w:jc w:val="right"/>
              <w:ind w:right="243"/>
              <w:spacing w:after="0"/>
              <w:rPr>
                <w:sz w:val="20"/>
                <w:szCs w:val="20"/>
                <w:color w:val="auto"/>
              </w:rPr>
            </w:pPr>
            <w:r>
              <w:rPr>
                <w:rFonts w:ascii="Arial" w:cs="Arial" w:eastAsia="Arial" w:hAnsi="Arial"/>
                <w:sz w:val="15"/>
                <w:szCs w:val="15"/>
                <w:color w:val="auto"/>
              </w:rPr>
              <w:t>240.03</w:t>
            </w:r>
          </w:p>
        </w:tc>
        <w:tc>
          <w:tcPr>
            <w:tcW w:w="1140" w:type="dxa"/>
            <w:vAlign w:val="bottom"/>
          </w:tcPr>
          <w:p>
            <w:pPr>
              <w:jc w:val="right"/>
              <w:ind w:right="243"/>
              <w:spacing w:after="0"/>
              <w:rPr>
                <w:sz w:val="20"/>
                <w:szCs w:val="20"/>
                <w:color w:val="auto"/>
              </w:rPr>
            </w:pPr>
            <w:r>
              <w:rPr>
                <w:rFonts w:ascii="Arial" w:cs="Arial" w:eastAsia="Arial" w:hAnsi="Arial"/>
                <w:sz w:val="15"/>
                <w:szCs w:val="15"/>
                <w:color w:val="auto"/>
              </w:rPr>
              <w:t>225.02</w:t>
            </w:r>
          </w:p>
        </w:tc>
        <w:tc>
          <w:tcPr>
            <w:tcW w:w="1120" w:type="dxa"/>
            <w:vAlign w:val="bottom"/>
          </w:tcPr>
          <w:p>
            <w:pPr>
              <w:jc w:val="right"/>
              <w:ind w:right="243"/>
              <w:spacing w:after="0"/>
              <w:rPr>
                <w:sz w:val="20"/>
                <w:szCs w:val="20"/>
                <w:color w:val="auto"/>
              </w:rPr>
            </w:pPr>
            <w:r>
              <w:rPr>
                <w:rFonts w:ascii="Arial" w:cs="Arial" w:eastAsia="Arial" w:hAnsi="Arial"/>
                <w:sz w:val="15"/>
                <w:szCs w:val="15"/>
                <w:color w:val="auto"/>
              </w:rPr>
              <w:t>239.92</w:t>
            </w:r>
          </w:p>
        </w:tc>
        <w:tc>
          <w:tcPr>
            <w:tcW w:w="800" w:type="dxa"/>
            <w:vAlign w:val="bottom"/>
          </w:tcPr>
          <w:p>
            <w:pPr>
              <w:jc w:val="right"/>
              <w:spacing w:after="0"/>
              <w:rPr>
                <w:sz w:val="20"/>
                <w:szCs w:val="20"/>
                <w:color w:val="auto"/>
              </w:rPr>
            </w:pPr>
            <w:r>
              <w:rPr>
                <w:rFonts w:ascii="Arial" w:cs="Arial" w:eastAsia="Arial" w:hAnsi="Arial"/>
                <w:sz w:val="15"/>
                <w:szCs w:val="15"/>
                <w:b w:val="1"/>
                <w:bCs w:val="1"/>
                <w:color w:val="auto"/>
              </w:rPr>
              <w:t>264.02</w:t>
            </w:r>
          </w:p>
        </w:tc>
      </w:tr>
      <w:tr>
        <w:trPr>
          <w:trHeight w:val="270"/>
        </w:trPr>
        <w:tc>
          <w:tcPr>
            <w:tcW w:w="3540" w:type="dxa"/>
            <w:vAlign w:val="bottom"/>
          </w:tcPr>
          <w:p>
            <w:pPr>
              <w:ind w:left="40"/>
              <w:spacing w:after="0"/>
              <w:rPr>
                <w:sz w:val="20"/>
                <w:szCs w:val="20"/>
                <w:color w:val="auto"/>
              </w:rPr>
            </w:pPr>
            <w:r>
              <w:rPr>
                <w:rFonts w:ascii="Arial" w:cs="Arial" w:eastAsia="Arial" w:hAnsi="Arial"/>
                <w:sz w:val="15"/>
                <w:szCs w:val="15"/>
                <w:color w:val="auto"/>
              </w:rPr>
              <w:t>S&amp;P 500 Index</w:t>
            </w:r>
          </w:p>
        </w:tc>
        <w:tc>
          <w:tcPr>
            <w:tcW w:w="2420" w:type="dxa"/>
            <w:vAlign w:val="bottom"/>
          </w:tcPr>
          <w:p>
            <w:pPr>
              <w:jc w:val="right"/>
              <w:ind w:right="263"/>
              <w:spacing w:after="0"/>
              <w:rPr>
                <w:sz w:val="20"/>
                <w:szCs w:val="20"/>
                <w:color w:val="auto"/>
              </w:rPr>
            </w:pPr>
            <w:r>
              <w:rPr>
                <w:rFonts w:ascii="Arial" w:cs="Arial" w:eastAsia="Arial" w:hAnsi="Arial"/>
                <w:sz w:val="15"/>
                <w:szCs w:val="15"/>
                <w:color w:val="auto"/>
              </w:rPr>
              <w:t>100.00</w:t>
            </w:r>
          </w:p>
        </w:tc>
        <w:tc>
          <w:tcPr>
            <w:tcW w:w="1160" w:type="dxa"/>
            <w:vAlign w:val="bottom"/>
          </w:tcPr>
          <w:p>
            <w:pPr>
              <w:jc w:val="right"/>
              <w:ind w:right="263"/>
              <w:spacing w:after="0"/>
              <w:rPr>
                <w:sz w:val="20"/>
                <w:szCs w:val="20"/>
                <w:color w:val="auto"/>
              </w:rPr>
            </w:pPr>
            <w:r>
              <w:rPr>
                <w:rFonts w:ascii="Arial" w:cs="Arial" w:eastAsia="Arial" w:hAnsi="Arial"/>
                <w:sz w:val="15"/>
                <w:szCs w:val="15"/>
                <w:color w:val="auto"/>
              </w:rPr>
              <w:t>132.39</w:t>
            </w:r>
          </w:p>
        </w:tc>
        <w:tc>
          <w:tcPr>
            <w:tcW w:w="1140" w:type="dxa"/>
            <w:vAlign w:val="bottom"/>
          </w:tcPr>
          <w:p>
            <w:pPr>
              <w:jc w:val="right"/>
              <w:ind w:right="243"/>
              <w:spacing w:after="0"/>
              <w:rPr>
                <w:sz w:val="20"/>
                <w:szCs w:val="20"/>
                <w:color w:val="auto"/>
              </w:rPr>
            </w:pPr>
            <w:r>
              <w:rPr>
                <w:rFonts w:ascii="Arial" w:cs="Arial" w:eastAsia="Arial" w:hAnsi="Arial"/>
                <w:sz w:val="15"/>
                <w:szCs w:val="15"/>
                <w:color w:val="auto"/>
              </w:rPr>
              <w:t>150.51</w:t>
            </w:r>
          </w:p>
        </w:tc>
        <w:tc>
          <w:tcPr>
            <w:tcW w:w="1140" w:type="dxa"/>
            <w:vAlign w:val="bottom"/>
          </w:tcPr>
          <w:p>
            <w:pPr>
              <w:jc w:val="right"/>
              <w:ind w:right="243"/>
              <w:spacing w:after="0"/>
              <w:rPr>
                <w:sz w:val="20"/>
                <w:szCs w:val="20"/>
                <w:color w:val="auto"/>
              </w:rPr>
            </w:pPr>
            <w:r>
              <w:rPr>
                <w:rFonts w:ascii="Arial" w:cs="Arial" w:eastAsia="Arial" w:hAnsi="Arial"/>
                <w:sz w:val="15"/>
                <w:szCs w:val="15"/>
                <w:color w:val="auto"/>
              </w:rPr>
              <w:t>152.59</w:t>
            </w:r>
          </w:p>
        </w:tc>
        <w:tc>
          <w:tcPr>
            <w:tcW w:w="1120" w:type="dxa"/>
            <w:vAlign w:val="bottom"/>
          </w:tcPr>
          <w:p>
            <w:pPr>
              <w:jc w:val="right"/>
              <w:ind w:right="243"/>
              <w:spacing w:after="0"/>
              <w:rPr>
                <w:sz w:val="20"/>
                <w:szCs w:val="20"/>
                <w:color w:val="auto"/>
              </w:rPr>
            </w:pPr>
            <w:r>
              <w:rPr>
                <w:rFonts w:ascii="Arial" w:cs="Arial" w:eastAsia="Arial" w:hAnsi="Arial"/>
                <w:sz w:val="15"/>
                <w:szCs w:val="15"/>
                <w:color w:val="auto"/>
              </w:rPr>
              <w:t>170.84</w:t>
            </w:r>
          </w:p>
        </w:tc>
        <w:tc>
          <w:tcPr>
            <w:tcW w:w="800" w:type="dxa"/>
            <w:vAlign w:val="bottom"/>
          </w:tcPr>
          <w:p>
            <w:pPr>
              <w:jc w:val="right"/>
              <w:spacing w:after="0"/>
              <w:rPr>
                <w:sz w:val="20"/>
                <w:szCs w:val="20"/>
                <w:color w:val="auto"/>
              </w:rPr>
            </w:pPr>
            <w:r>
              <w:rPr>
                <w:rFonts w:ascii="Arial" w:cs="Arial" w:eastAsia="Arial" w:hAnsi="Arial"/>
                <w:sz w:val="15"/>
                <w:szCs w:val="15"/>
                <w:b w:val="1"/>
                <w:bCs w:val="1"/>
                <w:color w:val="auto"/>
              </w:rPr>
              <w:t>208.14</w:t>
            </w:r>
          </w:p>
        </w:tc>
      </w:tr>
      <w:tr>
        <w:trPr>
          <w:trHeight w:val="270"/>
        </w:trPr>
        <w:tc>
          <w:tcPr>
            <w:tcW w:w="3540" w:type="dxa"/>
            <w:vAlign w:val="bottom"/>
          </w:tcPr>
          <w:p>
            <w:pPr>
              <w:ind w:left="40"/>
              <w:spacing w:after="0"/>
              <w:rPr>
                <w:sz w:val="20"/>
                <w:szCs w:val="20"/>
                <w:color w:val="auto"/>
              </w:rPr>
            </w:pPr>
            <w:r>
              <w:rPr>
                <w:rFonts w:ascii="Arial" w:cs="Arial" w:eastAsia="Arial" w:hAnsi="Arial"/>
                <w:sz w:val="15"/>
                <w:szCs w:val="15"/>
                <w:color w:val="auto"/>
              </w:rPr>
              <w:t>New Education Peer Group</w:t>
            </w:r>
          </w:p>
        </w:tc>
        <w:tc>
          <w:tcPr>
            <w:tcW w:w="2420" w:type="dxa"/>
            <w:vAlign w:val="bottom"/>
          </w:tcPr>
          <w:p>
            <w:pPr>
              <w:jc w:val="right"/>
              <w:ind w:right="263"/>
              <w:spacing w:after="0"/>
              <w:rPr>
                <w:sz w:val="20"/>
                <w:szCs w:val="20"/>
                <w:color w:val="auto"/>
              </w:rPr>
            </w:pPr>
            <w:r>
              <w:rPr>
                <w:rFonts w:ascii="Arial" w:cs="Arial" w:eastAsia="Arial" w:hAnsi="Arial"/>
                <w:sz w:val="15"/>
                <w:szCs w:val="15"/>
                <w:color w:val="auto"/>
              </w:rPr>
              <w:t>100.00</w:t>
            </w:r>
          </w:p>
        </w:tc>
        <w:tc>
          <w:tcPr>
            <w:tcW w:w="1160" w:type="dxa"/>
            <w:vAlign w:val="bottom"/>
          </w:tcPr>
          <w:p>
            <w:pPr>
              <w:jc w:val="right"/>
              <w:ind w:right="263"/>
              <w:spacing w:after="0"/>
              <w:rPr>
                <w:sz w:val="20"/>
                <w:szCs w:val="20"/>
                <w:color w:val="auto"/>
              </w:rPr>
            </w:pPr>
            <w:r>
              <w:rPr>
                <w:rFonts w:ascii="Arial" w:cs="Arial" w:eastAsia="Arial" w:hAnsi="Arial"/>
                <w:sz w:val="15"/>
                <w:szCs w:val="15"/>
                <w:color w:val="auto"/>
              </w:rPr>
              <w:t>149.73</w:t>
            </w:r>
          </w:p>
        </w:tc>
        <w:tc>
          <w:tcPr>
            <w:tcW w:w="1140" w:type="dxa"/>
            <w:vAlign w:val="bottom"/>
          </w:tcPr>
          <w:p>
            <w:pPr>
              <w:jc w:val="right"/>
              <w:ind w:right="243"/>
              <w:spacing w:after="0"/>
              <w:rPr>
                <w:sz w:val="20"/>
                <w:szCs w:val="20"/>
                <w:color w:val="auto"/>
              </w:rPr>
            </w:pPr>
            <w:r>
              <w:rPr>
                <w:rFonts w:ascii="Arial" w:cs="Arial" w:eastAsia="Arial" w:hAnsi="Arial"/>
                <w:sz w:val="15"/>
                <w:szCs w:val="15"/>
                <w:color w:val="auto"/>
              </w:rPr>
              <w:t>170.89</w:t>
            </w:r>
          </w:p>
        </w:tc>
        <w:tc>
          <w:tcPr>
            <w:tcW w:w="1140" w:type="dxa"/>
            <w:vAlign w:val="bottom"/>
          </w:tcPr>
          <w:p>
            <w:pPr>
              <w:jc w:val="right"/>
              <w:ind w:right="243"/>
              <w:spacing w:after="0"/>
              <w:rPr>
                <w:sz w:val="20"/>
                <w:szCs w:val="20"/>
                <w:color w:val="auto"/>
              </w:rPr>
            </w:pPr>
            <w:r>
              <w:rPr>
                <w:rFonts w:ascii="Arial" w:cs="Arial" w:eastAsia="Arial" w:hAnsi="Arial"/>
                <w:sz w:val="15"/>
                <w:szCs w:val="15"/>
                <w:color w:val="auto"/>
              </w:rPr>
              <w:t>114.29</w:t>
            </w:r>
          </w:p>
        </w:tc>
        <w:tc>
          <w:tcPr>
            <w:tcW w:w="1120" w:type="dxa"/>
            <w:vAlign w:val="bottom"/>
          </w:tcPr>
          <w:p>
            <w:pPr>
              <w:jc w:val="right"/>
              <w:ind w:right="243"/>
              <w:spacing w:after="0"/>
              <w:rPr>
                <w:sz w:val="20"/>
                <w:szCs w:val="20"/>
                <w:color w:val="auto"/>
              </w:rPr>
            </w:pPr>
            <w:r>
              <w:rPr>
                <w:rFonts w:ascii="Arial" w:cs="Arial" w:eastAsia="Arial" w:hAnsi="Arial"/>
                <w:sz w:val="15"/>
                <w:szCs w:val="15"/>
                <w:color w:val="auto"/>
              </w:rPr>
              <w:t>161.43</w:t>
            </w:r>
          </w:p>
        </w:tc>
        <w:tc>
          <w:tcPr>
            <w:tcW w:w="800" w:type="dxa"/>
            <w:vAlign w:val="bottom"/>
          </w:tcPr>
          <w:p>
            <w:pPr>
              <w:jc w:val="right"/>
              <w:spacing w:after="0"/>
              <w:rPr>
                <w:sz w:val="20"/>
                <w:szCs w:val="20"/>
                <w:color w:val="auto"/>
              </w:rPr>
            </w:pPr>
            <w:r>
              <w:rPr>
                <w:rFonts w:ascii="Arial" w:cs="Arial" w:eastAsia="Arial" w:hAnsi="Arial"/>
                <w:sz w:val="15"/>
                <w:szCs w:val="15"/>
                <w:b w:val="1"/>
                <w:bCs w:val="1"/>
                <w:color w:val="auto"/>
              </w:rPr>
              <w:t>205.87</w:t>
            </w:r>
          </w:p>
        </w:tc>
      </w:tr>
      <w:tr>
        <w:trPr>
          <w:trHeight w:val="162"/>
        </w:trPr>
        <w:tc>
          <w:tcPr>
            <w:tcW w:w="3540" w:type="dxa"/>
            <w:vAlign w:val="bottom"/>
          </w:tcPr>
          <w:p>
            <w:pPr>
              <w:jc w:val="right"/>
              <w:ind w:right="2749"/>
              <w:spacing w:after="0"/>
              <w:rPr>
                <w:sz w:val="20"/>
                <w:szCs w:val="20"/>
                <w:color w:val="auto"/>
              </w:rPr>
            </w:pPr>
            <w:r>
              <w:rPr>
                <w:rFonts w:ascii="Arial" w:cs="Arial" w:eastAsia="Arial" w:hAnsi="Arial"/>
                <w:sz w:val="11"/>
                <w:szCs w:val="11"/>
                <w:color w:val="auto"/>
                <w:w w:val="95"/>
              </w:rPr>
              <w:t>____________</w:t>
            </w:r>
          </w:p>
        </w:tc>
        <w:tc>
          <w:tcPr>
            <w:tcW w:w="242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800" w:type="dxa"/>
            <w:vAlign w:val="bottom"/>
          </w:tcPr>
          <w:p>
            <w:pPr>
              <w:spacing w:after="0"/>
              <w:rPr>
                <w:sz w:val="14"/>
                <w:szCs w:val="14"/>
                <w:color w:val="auto"/>
              </w:rPr>
            </w:pPr>
          </w:p>
        </w:tc>
      </w:tr>
    </w:tbl>
    <w:p>
      <w:pPr>
        <w:spacing w:after="0" w:line="192" w:lineRule="exact"/>
        <w:rPr>
          <w:sz w:val="20"/>
          <w:szCs w:val="20"/>
          <w:color w:val="auto"/>
        </w:rPr>
      </w:pPr>
    </w:p>
    <w:p>
      <w:pPr>
        <w:spacing w:after="0"/>
        <w:rPr>
          <w:sz w:val="20"/>
          <w:szCs w:val="20"/>
          <w:color w:val="auto"/>
        </w:rPr>
      </w:pPr>
      <w:r>
        <w:rPr>
          <w:rFonts w:ascii="Arial" w:cs="Arial" w:eastAsia="Arial" w:hAnsi="Arial"/>
          <w:sz w:val="13"/>
          <w:szCs w:val="13"/>
          <w:color w:val="auto"/>
        </w:rPr>
        <w:t>Apollo Education Group Inc. is no longer included in the New Education Peer Group due to its removal from the NYSE in 2017.</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6. Selected Financial Data.</w:t>
      </w:r>
    </w:p>
    <w:p>
      <w:pPr>
        <w:spacing w:after="0" w:line="166" w:lineRule="exact"/>
        <w:rPr>
          <w:sz w:val="20"/>
          <w:szCs w:val="20"/>
          <w:color w:val="auto"/>
        </w:rPr>
      </w:pPr>
    </w:p>
    <w:p>
      <w:pPr>
        <w:ind w:right="300"/>
        <w:spacing w:after="0" w:line="229" w:lineRule="auto"/>
        <w:rPr>
          <w:sz w:val="20"/>
          <w:szCs w:val="20"/>
          <w:color w:val="auto"/>
        </w:rPr>
      </w:pPr>
      <w:r>
        <w:rPr>
          <w:rFonts w:ascii="Arial" w:cs="Arial" w:eastAsia="Arial" w:hAnsi="Arial"/>
          <w:sz w:val="18"/>
          <w:szCs w:val="18"/>
          <w:color w:val="auto"/>
        </w:rPr>
        <w:t>See the information for the years 2013 through 2017 contained in the table titled “Five-Year Summary of Selected Historical Financial Data,” which is included in this Annual Report on Form 10-K and listed in the index to financial information on page 47 hereof (with only the information for such years to be deemed filed as part of this Annual Report on Form 10-K).</w:t>
      </w:r>
    </w:p>
    <w:p>
      <w:pPr>
        <w:spacing w:after="0" w:line="1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7. Management’s Discussion and Analysis of Financial Condition and Results of Operations.</w:t>
      </w:r>
    </w:p>
    <w:p>
      <w:pPr>
        <w:spacing w:after="0" w:line="166" w:lineRule="exact"/>
        <w:rPr>
          <w:sz w:val="20"/>
          <w:szCs w:val="20"/>
          <w:color w:val="auto"/>
        </w:rPr>
      </w:pPr>
    </w:p>
    <w:p>
      <w:pPr>
        <w:ind w:right="220"/>
        <w:spacing w:after="0" w:line="235" w:lineRule="auto"/>
        <w:rPr>
          <w:sz w:val="20"/>
          <w:szCs w:val="20"/>
          <w:color w:val="auto"/>
        </w:rPr>
      </w:pPr>
      <w:r>
        <w:rPr>
          <w:rFonts w:ascii="Arial" w:cs="Arial" w:eastAsia="Arial" w:hAnsi="Arial"/>
          <w:sz w:val="18"/>
          <w:szCs w:val="18"/>
          <w:color w:val="auto"/>
        </w:rPr>
        <w:t>See the information contained under the heading “Management’s Discussion and Analysis of Results of Operations and Financial Condition,” which is included in this Annual Report on Form 10-K and listed in the index to financial information on page 47 hereof.</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7A. Quantitative and Qualitative Disclosures About Market Risk.</w:t>
      </w:r>
    </w:p>
    <w:p>
      <w:pPr>
        <w:spacing w:after="0" w:line="166" w:lineRule="exact"/>
        <w:rPr>
          <w:sz w:val="20"/>
          <w:szCs w:val="20"/>
          <w:color w:val="auto"/>
        </w:rPr>
      </w:pPr>
    </w:p>
    <w:p>
      <w:pPr>
        <w:ind w:right="300"/>
        <w:spacing w:after="0" w:line="229" w:lineRule="auto"/>
        <w:rPr>
          <w:sz w:val="20"/>
          <w:szCs w:val="20"/>
          <w:color w:val="auto"/>
        </w:rPr>
      </w:pPr>
      <w:r>
        <w:rPr>
          <w:rFonts w:ascii="Arial" w:cs="Arial" w:eastAsia="Arial" w:hAnsi="Arial"/>
          <w:sz w:val="18"/>
          <w:szCs w:val="18"/>
          <w:color w:val="auto"/>
        </w:rPr>
        <w:t>The Company is exposed to market risk in the normal course of its business due primarily to its ownership of marketable equity securities, which are subject to equity price risk; to its borrowing and cash-management activities, which are subject to interest rate risk; and to its non-U.S. business operations, which are subject to foreign exchange rate risk.</w:t>
      </w:r>
    </w:p>
    <w:p>
      <w:pPr>
        <w:spacing w:after="0" w:line="115" w:lineRule="exact"/>
        <w:rPr>
          <w:sz w:val="20"/>
          <w:szCs w:val="20"/>
          <w:color w:val="auto"/>
        </w:rPr>
      </w:pPr>
    </w:p>
    <w:p>
      <w:pPr>
        <w:ind w:right="320"/>
        <w:spacing w:after="0" w:line="238" w:lineRule="auto"/>
        <w:rPr>
          <w:sz w:val="20"/>
          <w:szCs w:val="20"/>
          <w:color w:val="auto"/>
        </w:rPr>
      </w:pPr>
      <w:r>
        <w:rPr>
          <w:rFonts w:ascii="Arial" w:cs="Arial" w:eastAsia="Arial" w:hAnsi="Arial"/>
          <w:sz w:val="18"/>
          <w:szCs w:val="18"/>
          <w:b w:val="1"/>
          <w:bCs w:val="1"/>
          <w:i w:val="1"/>
          <w:iCs w:val="1"/>
          <w:color w:val="auto"/>
        </w:rPr>
        <w:t xml:space="preserve">Equity Price Risk. </w:t>
      </w:r>
      <w:r>
        <w:rPr>
          <w:rFonts w:ascii="Arial" w:cs="Arial" w:eastAsia="Arial" w:hAnsi="Arial"/>
          <w:sz w:val="18"/>
          <w:szCs w:val="18"/>
          <w:color w:val="auto"/>
        </w:rPr>
        <w:t>The Company has common stock investments in several publicly traded companies (as discussed in Note 5 to the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Company’s Consolidated Financial Statements) that are subject to market price volatility. The fair value of these common stock investments totaled $536.3 million at December 31, 2017.</w:t>
      </w:r>
    </w:p>
    <w:p>
      <w:pPr>
        <w:spacing w:after="0" w:line="114" w:lineRule="exact"/>
        <w:rPr>
          <w:sz w:val="20"/>
          <w:szCs w:val="20"/>
          <w:color w:val="auto"/>
        </w:rPr>
      </w:pPr>
    </w:p>
    <w:p>
      <w:pPr>
        <w:ind w:right="180"/>
        <w:spacing w:after="0" w:line="226" w:lineRule="auto"/>
        <w:rPr>
          <w:sz w:val="20"/>
          <w:szCs w:val="20"/>
          <w:color w:val="auto"/>
        </w:rPr>
      </w:pPr>
      <w:r>
        <w:rPr>
          <w:rFonts w:ascii="Arial" w:cs="Arial" w:eastAsia="Arial" w:hAnsi="Arial"/>
          <w:sz w:val="18"/>
          <w:szCs w:val="18"/>
          <w:b w:val="1"/>
          <w:bCs w:val="1"/>
          <w:i w:val="1"/>
          <w:iCs w:val="1"/>
          <w:color w:val="auto"/>
        </w:rPr>
        <w:t xml:space="preserve">Interest Rate Risk. </w:t>
      </w:r>
      <w:r>
        <w:rPr>
          <w:rFonts w:ascii="Arial" w:cs="Arial" w:eastAsia="Arial" w:hAnsi="Arial"/>
          <w:sz w:val="18"/>
          <w:szCs w:val="18"/>
          <w:color w:val="auto"/>
        </w:rPr>
        <w:t>The Company’s long-term debt primarily consists of $400 million principal amount of 7.25% unsecured notes due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February 1, 2019 (the Notes). At December 31, 2017, the aggregate fair value of the Notes, based upon quoted market prices, was $414.7 million. An increase in the market rate of interest applicable to the Notes would not increase the Company’s interest expense with respect to the Notes since the rate of interest the Company is required to pay on the Notes is fixed, but such an increase in rates would affect the fair value of the Notes. Assuming, hypothetically, that the market interest rate applicable to the Notes was 100 basis points higher than the Notes’ stated interest rate of 7.25%, the fair value of the Notes at December 31, 2017, would have been approximately $395.9 million. Conversely, if the market interest rate applicable to the Notes was 100 basis points lower than the Notes’ stated interest rate, the fair value of the Notes at such date would have been approximately $404.1 million.</w:t>
      </w:r>
    </w:p>
    <w:p>
      <w:pPr>
        <w:spacing w:after="0" w:line="200" w:lineRule="exact"/>
        <w:rPr>
          <w:sz w:val="20"/>
          <w:szCs w:val="20"/>
          <w:color w:val="auto"/>
        </w:rPr>
      </w:pPr>
    </w:p>
    <w:p>
      <w:pPr>
        <w:spacing w:after="0" w:line="3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40</w:t>
      </w:r>
    </w:p>
    <w:p>
      <w:pPr>
        <w:sectPr>
          <w:pgSz w:w="11900" w:h="16838" w:orient="portrait"/>
          <w:cols w:equalWidth="0" w:num="1">
            <w:col w:w="11420"/>
          </w:cols>
          <w:pgMar w:left="240" w:top="1440" w:right="239" w:bottom="1440" w:gutter="0" w:footer="0" w:header="0"/>
        </w:sectPr>
      </w:pPr>
    </w:p>
    <w:bookmarkStart w:id="42" w:name="page43"/>
    <w:bookmarkEnd w:id="42"/>
    <w:p>
      <w:pPr>
        <w:spacing w:after="0" w:line="222" w:lineRule="auto"/>
        <w:rPr>
          <w:sz w:val="20"/>
          <w:szCs w:val="20"/>
          <w:color w:val="auto"/>
        </w:rPr>
      </w:pPr>
      <w:r>
        <w:rPr>
          <w:rFonts w:ascii="Arial" w:cs="Arial" w:eastAsia="Arial" w:hAnsi="Arial"/>
          <w:sz w:val="18"/>
          <w:szCs w:val="18"/>
          <w:color w:val="auto"/>
        </w:rPr>
        <w:t>On July 25, 2016, Kaplan borrowed £75 million under the Kaplan Credit Agreement. On the same date, Kaplan entered into an interest rate swap agreement with a total notional value of £75 million and a maturity date of July 1, 2020. The interest rate swap agreement will pay Kaplan variable interest on the £75 million notional amount at the three-month LIBOR, and Kaplan will pay the counterparties a fixed rate of 0.51%, effectively resulting in a total fixed interest rate of 2.01% on the outstanding borrowings at the current applicable margin of 1.50%. The interest rate swap agreement was entered into to convert the variable rate British pound borrowing under the Kaplan Credit Agreement into a fixed rate borrowing. The Company provided a guarantee on any borrowings under the Kaplan Credit Agreement. Based on the terms of the interest rate swap agreement and the underlying borrowing, the interest rate swap agreement was determined to be effective, and thus qualifies as a cash flow hedge. As such, changes in the fair value of the interest rate swap are recorded in other comprehensive income on the accompanying Consolidated Balance Sheets until earnings are affected by the variability of cash flows.</w:t>
      </w:r>
    </w:p>
    <w:p>
      <w:pPr>
        <w:spacing w:after="0" w:line="119" w:lineRule="exact"/>
        <w:rPr>
          <w:sz w:val="20"/>
          <w:szCs w:val="20"/>
          <w:color w:val="auto"/>
        </w:rPr>
      </w:pPr>
    </w:p>
    <w:p>
      <w:pPr>
        <w:ind w:right="40"/>
        <w:spacing w:after="0" w:line="227" w:lineRule="auto"/>
        <w:rPr>
          <w:sz w:val="20"/>
          <w:szCs w:val="20"/>
          <w:color w:val="auto"/>
        </w:rPr>
      </w:pPr>
      <w:r>
        <w:rPr>
          <w:rFonts w:ascii="Arial" w:cs="Arial" w:eastAsia="Arial" w:hAnsi="Arial"/>
          <w:sz w:val="18"/>
          <w:szCs w:val="18"/>
          <w:b w:val="1"/>
          <w:bCs w:val="1"/>
          <w:i w:val="1"/>
          <w:iCs w:val="1"/>
          <w:color w:val="auto"/>
        </w:rPr>
        <w:t xml:space="preserve">Foreign Exchange Rate Risk. </w:t>
      </w:r>
      <w:r>
        <w:rPr>
          <w:rFonts w:ascii="Arial" w:cs="Arial" w:eastAsia="Arial" w:hAnsi="Arial"/>
          <w:sz w:val="18"/>
          <w:szCs w:val="18"/>
          <w:color w:val="auto"/>
        </w:rPr>
        <w:t>The Company is exposed to foreign exchange rate risk primarily at its Kaplan international operations, and the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primary exposure relates to the exchange rate between the U.S. dollar and the British pound, the Australian dollar, and the Singapore dollar. In 2017, the Company reported foreign currency gains of $3.3 million. In 2016, the Company reported foreign currency losses of $39.9 million, largely as a result of the decline in the British pound currency in 2016; this includes a realized $16.5 million loss related to a British pound intercompany advance made in the first quarter of 2016 related to Kaplan’s U.K. acquisitions that has been repaid. In the third quarter of 2016, certain intercompany loans were capitalized and other intercompany loans were designated as long-term investments. In 2015, the Company reported unrealized foreign currency losses of $15.6 million.</w:t>
      </w:r>
    </w:p>
    <w:p>
      <w:pPr>
        <w:spacing w:after="0" w:line="137" w:lineRule="exact"/>
        <w:rPr>
          <w:sz w:val="20"/>
          <w:szCs w:val="20"/>
          <w:color w:val="auto"/>
        </w:rPr>
      </w:pPr>
    </w:p>
    <w:p>
      <w:pPr>
        <w:jc w:val="both"/>
        <w:spacing w:after="0" w:line="229" w:lineRule="auto"/>
        <w:rPr>
          <w:sz w:val="20"/>
          <w:szCs w:val="20"/>
          <w:color w:val="auto"/>
        </w:rPr>
      </w:pPr>
      <w:r>
        <w:rPr>
          <w:rFonts w:ascii="Arial" w:cs="Arial" w:eastAsia="Arial" w:hAnsi="Arial"/>
          <w:sz w:val="18"/>
          <w:szCs w:val="18"/>
          <w:color w:val="auto"/>
        </w:rPr>
        <w:t>If the values of the British pound, the Australian dollar, and Singapore dollar relative to the U.S. dollar had been 10% lower than the values that prevailed during 2017, the Company’s pre-tax income for 2017 would have been approximately $5 million lower. Conversely, if such values had been 10% higher, the Company’s reported pre-tax income for 2017 would have been approximately $5 million higher.</w:t>
      </w:r>
    </w:p>
    <w:p>
      <w:pPr>
        <w:spacing w:after="0" w:line="1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8. Financial Statements and Supplementary Data.</w:t>
      </w:r>
    </w:p>
    <w:p>
      <w:pPr>
        <w:spacing w:after="0" w:line="166" w:lineRule="exact"/>
        <w:rPr>
          <w:sz w:val="20"/>
          <w:szCs w:val="20"/>
          <w:color w:val="auto"/>
        </w:rPr>
      </w:pPr>
    </w:p>
    <w:p>
      <w:pPr>
        <w:ind w:right="20"/>
        <w:spacing w:after="0" w:line="227" w:lineRule="auto"/>
        <w:rPr>
          <w:sz w:val="20"/>
          <w:szCs w:val="20"/>
          <w:color w:val="auto"/>
        </w:rPr>
      </w:pPr>
      <w:r>
        <w:rPr>
          <w:rFonts w:ascii="Arial" w:cs="Arial" w:eastAsia="Arial" w:hAnsi="Arial"/>
          <w:sz w:val="18"/>
          <w:szCs w:val="18"/>
          <w:color w:val="auto"/>
        </w:rPr>
        <w:t>See the Company’s Consolidated Financial Statements at December 31, 2017, and for the periods then ended, together with the report of PricewaterhouseCoopers LLP thereon and the information contained in Note 21 to said Consolidated Financial Statements titled “Summary of Quarterly Operating Results and Comprehensive Income (Unaudited),” which are included in this Annual Report on Form 10-K and listed in the index to financial information on page 47 hereof.</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 Changes in and Disagreements With Accountants on Accounting and Financial Disclosure.</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12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9A. Controls and Procedures.</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Evaluation of Disclosure Controls and Procedures</w:t>
      </w:r>
    </w:p>
    <w:p>
      <w:pPr>
        <w:spacing w:after="0" w:line="180" w:lineRule="exact"/>
        <w:rPr>
          <w:sz w:val="20"/>
          <w:szCs w:val="20"/>
          <w:color w:val="auto"/>
        </w:rPr>
      </w:pPr>
    </w:p>
    <w:p>
      <w:pPr>
        <w:jc w:val="both"/>
        <w:ind w:right="40"/>
        <w:spacing w:after="0" w:line="250" w:lineRule="auto"/>
        <w:rPr>
          <w:sz w:val="20"/>
          <w:szCs w:val="20"/>
          <w:color w:val="auto"/>
        </w:rPr>
      </w:pPr>
      <w:r>
        <w:rPr>
          <w:rFonts w:ascii="Arial" w:cs="Arial" w:eastAsia="Arial" w:hAnsi="Arial"/>
          <w:sz w:val="18"/>
          <w:szCs w:val="18"/>
          <w:color w:val="auto"/>
        </w:rPr>
        <w:t>An evaluation was performed by the Company’s management, with the participation of the Company’s Chief Executive Officer (the Company’s principal executive officer) and the Company’s Senior Vice President-Finance (the Company’s principal financial officer), of the effectiveness of the Company’s disclosure controls and procedures (as defined in Exchange Act Rules 13a-15(e) and 15d-15(e)), as of December 31, 2017.</w:t>
      </w:r>
    </w:p>
    <w:p>
      <w:pPr>
        <w:spacing w:after="0" w:line="1" w:lineRule="exact"/>
        <w:rPr>
          <w:sz w:val="20"/>
          <w:szCs w:val="20"/>
          <w:color w:val="auto"/>
        </w:rPr>
      </w:pPr>
    </w:p>
    <w:p>
      <w:pPr>
        <w:ind w:right="340"/>
        <w:spacing w:after="0" w:line="256" w:lineRule="auto"/>
        <w:rPr>
          <w:sz w:val="20"/>
          <w:szCs w:val="20"/>
          <w:color w:val="auto"/>
        </w:rPr>
      </w:pPr>
      <w:r>
        <w:rPr>
          <w:rFonts w:ascii="Arial" w:cs="Arial" w:eastAsia="Arial" w:hAnsi="Arial"/>
          <w:sz w:val="18"/>
          <w:szCs w:val="18"/>
          <w:color w:val="auto"/>
        </w:rPr>
        <w:t>Based on that evaluation, the Company’s Chief Executive Officer and Senior Vice President-Finance have concluded that the Company’s disclosure controls and procedures, as designed and implemented, are not effective as a result of the material weakness in the Company’s internal control over financial reporting discussed in Management’s Report on Internal Control over Financial Reporting below.</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Management’s Report on Internal Control Over Financial Reporting</w:t>
      </w:r>
    </w:p>
    <w:p>
      <w:pPr>
        <w:spacing w:after="0" w:line="180" w:lineRule="exact"/>
        <w:rPr>
          <w:sz w:val="20"/>
          <w:szCs w:val="20"/>
          <w:color w:val="auto"/>
        </w:rPr>
      </w:pPr>
    </w:p>
    <w:p>
      <w:pPr>
        <w:ind w:right="220"/>
        <w:spacing w:after="0" w:line="254" w:lineRule="auto"/>
        <w:rPr>
          <w:sz w:val="20"/>
          <w:szCs w:val="20"/>
          <w:color w:val="auto"/>
        </w:rPr>
      </w:pPr>
      <w:r>
        <w:rPr>
          <w:rFonts w:ascii="Arial" w:cs="Arial" w:eastAsia="Arial" w:hAnsi="Arial"/>
          <w:sz w:val="18"/>
          <w:szCs w:val="18"/>
          <w:color w:val="auto"/>
        </w:rPr>
        <w:t>Management of Graham Holdings Company is responsible for establishing and maintaining adequate internal control over financial reporting (as defined in Exchange Act Rules 13a-15(f) and 15d-15(f)). The Company’s internal control over financial reporting is designed to provide reasonable assurance regarding the reliability of financial reporting and the preparation of financial statements for external purposes in accordance with accounting principles generally accepted in the United States of America.</w:t>
      </w:r>
    </w:p>
    <w:p>
      <w:pPr>
        <w:spacing w:after="0" w:line="150" w:lineRule="exact"/>
        <w:rPr>
          <w:sz w:val="20"/>
          <w:szCs w:val="20"/>
          <w:color w:val="auto"/>
        </w:rPr>
      </w:pPr>
    </w:p>
    <w:p>
      <w:pPr>
        <w:ind w:right="240"/>
        <w:spacing w:after="0" w:line="254" w:lineRule="auto"/>
        <w:rPr>
          <w:sz w:val="20"/>
          <w:szCs w:val="20"/>
          <w:color w:val="auto"/>
        </w:rPr>
      </w:pPr>
      <w:r>
        <w:rPr>
          <w:rFonts w:ascii="Arial" w:cs="Arial" w:eastAsia="Arial" w:hAnsi="Arial"/>
          <w:sz w:val="18"/>
          <w:szCs w:val="18"/>
          <w:color w:val="auto"/>
        </w:rPr>
        <w:t>The Company’s internal control over financial reporting includes those policies and procedures that (i) pertain to the maintenance of records that, in reasonable detail, accurately and fairly reflect the transactions and dispositions of the assets of the Company; (ii) provide reasonable assurance that transactions are recorded as necessary to permit preparation of financial statements in accordance with generally accepted accounting principles and that receipts</w:t>
      </w:r>
    </w:p>
    <w:p>
      <w:pPr>
        <w:spacing w:after="0" w:line="200" w:lineRule="exact"/>
        <w:rPr>
          <w:sz w:val="20"/>
          <w:szCs w:val="20"/>
          <w:color w:val="auto"/>
        </w:rPr>
      </w:pPr>
    </w:p>
    <w:p>
      <w:pPr>
        <w:spacing w:after="0" w:line="301"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41</w:t>
      </w:r>
    </w:p>
    <w:p>
      <w:pPr>
        <w:sectPr>
          <w:pgSz w:w="11900" w:h="16838" w:orient="portrait"/>
          <w:cols w:equalWidth="0" w:num="1">
            <w:col w:w="11380"/>
          </w:cols>
          <w:pgMar w:left="240" w:top="746" w:right="279" w:bottom="1440" w:gutter="0" w:footer="0" w:header="0"/>
        </w:sectPr>
      </w:pPr>
    </w:p>
    <w:bookmarkStart w:id="43" w:name="page44"/>
    <w:bookmarkEnd w:id="43"/>
    <w:p>
      <w:pPr>
        <w:spacing w:after="0"/>
        <w:rPr>
          <w:sz w:val="20"/>
          <w:szCs w:val="20"/>
          <w:color w:val="auto"/>
        </w:rPr>
      </w:pPr>
      <w:r>
        <w:rPr>
          <w:rFonts w:ascii="Arial" w:cs="Arial" w:eastAsia="Arial" w:hAnsi="Arial"/>
          <w:sz w:val="18"/>
          <w:szCs w:val="18"/>
          <w:color w:val="auto"/>
        </w:rPr>
        <w:t>and expenditures of the Company are being made only in accordance with authorizations of management and directors of the Company; and</w:t>
      </w:r>
    </w:p>
    <w:p>
      <w:pPr>
        <w:spacing w:after="0" w:line="9" w:lineRule="exact"/>
        <w:rPr>
          <w:sz w:val="20"/>
          <w:szCs w:val="20"/>
          <w:color w:val="auto"/>
        </w:rPr>
      </w:pPr>
    </w:p>
    <w:p>
      <w:pPr>
        <w:ind w:right="360" w:firstLine="8"/>
        <w:spacing w:after="0" w:line="262" w:lineRule="auto"/>
        <w:tabs>
          <w:tab w:leader="none" w:pos="290" w:val="left"/>
        </w:tabs>
        <w:numPr>
          <w:ilvl w:val="0"/>
          <w:numId w:val="41"/>
        </w:numPr>
        <w:rPr>
          <w:rFonts w:ascii="Arial" w:cs="Arial" w:eastAsia="Arial" w:hAnsi="Arial"/>
          <w:sz w:val="18"/>
          <w:szCs w:val="18"/>
          <w:color w:val="auto"/>
        </w:rPr>
      </w:pPr>
      <w:r>
        <w:rPr>
          <w:rFonts w:ascii="Arial" w:cs="Arial" w:eastAsia="Arial" w:hAnsi="Arial"/>
          <w:sz w:val="18"/>
          <w:szCs w:val="18"/>
          <w:color w:val="auto"/>
        </w:rPr>
        <w:t>provide reasonable assurance regarding prevention or timely detection of unauthorized acquisition, use or disposition of the Company’s assets that could have a material effect on the financial statements.</w:t>
      </w:r>
    </w:p>
    <w:p>
      <w:pPr>
        <w:spacing w:after="0" w:line="142" w:lineRule="exact"/>
        <w:rPr>
          <w:sz w:val="20"/>
          <w:szCs w:val="20"/>
          <w:color w:val="auto"/>
        </w:rPr>
      </w:pPr>
    </w:p>
    <w:p>
      <w:pPr>
        <w:ind w:right="160"/>
        <w:spacing w:after="0" w:line="256" w:lineRule="auto"/>
        <w:rPr>
          <w:sz w:val="20"/>
          <w:szCs w:val="20"/>
          <w:color w:val="auto"/>
        </w:rPr>
      </w:pPr>
      <w:r>
        <w:rPr>
          <w:rFonts w:ascii="Arial" w:cs="Arial" w:eastAsia="Arial" w:hAnsi="Arial"/>
          <w:sz w:val="18"/>
          <w:szCs w:val="18"/>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148" w:lineRule="exact"/>
        <w:rPr>
          <w:sz w:val="20"/>
          <w:szCs w:val="20"/>
          <w:color w:val="auto"/>
        </w:rPr>
      </w:pPr>
    </w:p>
    <w:p>
      <w:pPr>
        <w:ind w:right="60"/>
        <w:spacing w:after="0" w:line="252" w:lineRule="auto"/>
        <w:rPr>
          <w:sz w:val="20"/>
          <w:szCs w:val="20"/>
          <w:color w:val="auto"/>
        </w:rPr>
      </w:pPr>
      <w:r>
        <w:rPr>
          <w:rFonts w:ascii="Arial" w:cs="Arial" w:eastAsia="Arial" w:hAnsi="Arial"/>
          <w:sz w:val="18"/>
          <w:szCs w:val="18"/>
          <w:color w:val="auto"/>
        </w:rPr>
        <w:t>The Company’s management assessed the effectiveness of internal control over financial reporting as of December 31, 2017. In making this assessment, management used the criteria set forth in Internal Control-Integrated Framework issued by the Committee of Sponsoring Organizations of the Treadway Commission (COSO) in 2013). Based on this assessment, management concluded that the Company’s internal control over financial reporting was not effective as of December 31, 2017 as a result of the material weakness in internal control described below. A material weakness is a deficiency, or combination of deficiencies, in internal control over financial reporting, such that there is a reasonable possibility that a material misstatement of the Company’s annual or interim financial statements will not be prevented or detected on a timely basis.</w:t>
      </w:r>
    </w:p>
    <w:p>
      <w:pPr>
        <w:spacing w:after="0" w:line="153" w:lineRule="exact"/>
        <w:rPr>
          <w:sz w:val="20"/>
          <w:szCs w:val="20"/>
          <w:color w:val="auto"/>
        </w:rPr>
      </w:pPr>
    </w:p>
    <w:p>
      <w:pPr>
        <w:ind w:right="100"/>
        <w:spacing w:after="0" w:line="252" w:lineRule="auto"/>
        <w:rPr>
          <w:sz w:val="20"/>
          <w:szCs w:val="20"/>
          <w:color w:val="auto"/>
        </w:rPr>
      </w:pPr>
      <w:r>
        <w:rPr>
          <w:rFonts w:ascii="Arial" w:cs="Arial" w:eastAsia="Arial" w:hAnsi="Arial"/>
          <w:sz w:val="18"/>
          <w:szCs w:val="18"/>
          <w:color w:val="auto"/>
        </w:rPr>
        <w:t>During the fourth quarter of 2017, the Company determined that a procedural change was made at Kaplan Higher Education that impacted the processing of refunds of student financial aid. The change was implemented without sufficient management review and approval and operated for a period of time without detection. Subsequent review by management resulted in the change being reversed and an adjustment of $8.4 million was recorded to bad debt expense and accrued liabilities. No restatement of prior period financial statements and no change in previously reported financial results was required due to the immateriality of the adjustment for the periods presented. Until fully remediated, this control deficiency could result in a misstatement of the aforementioned account balances or disclosures that would result in a material misstatement to the annual or interim consolidated financial statements that would not be prevented or detected.</w:t>
      </w:r>
    </w:p>
    <w:p>
      <w:pPr>
        <w:spacing w:after="0" w:line="153" w:lineRule="exact"/>
        <w:rPr>
          <w:sz w:val="20"/>
          <w:szCs w:val="20"/>
          <w:color w:val="auto"/>
        </w:rPr>
      </w:pPr>
    </w:p>
    <w:p>
      <w:pPr>
        <w:ind w:right="200"/>
        <w:spacing w:after="0" w:line="262" w:lineRule="auto"/>
        <w:rPr>
          <w:sz w:val="20"/>
          <w:szCs w:val="20"/>
          <w:color w:val="auto"/>
        </w:rPr>
      </w:pPr>
      <w:r>
        <w:rPr>
          <w:rFonts w:ascii="Arial" w:cs="Arial" w:eastAsia="Arial" w:hAnsi="Arial"/>
          <w:sz w:val="18"/>
          <w:szCs w:val="18"/>
          <w:color w:val="auto"/>
        </w:rPr>
        <w:t>An adverse opinion on the effectiveness of the Company’s internal control over financial reporting as of December 31, 2017, has been issued by PricewaterhouseCoopers LLP, an independent registered public accounting firm, as stated in their report included herein.</w:t>
      </w:r>
    </w:p>
    <w:p>
      <w:pPr>
        <w:spacing w:after="0" w:line="10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Remediation of Material Weakness in Internal Control</w:t>
      </w:r>
    </w:p>
    <w:p>
      <w:pPr>
        <w:spacing w:after="0" w:line="180" w:lineRule="exact"/>
        <w:rPr>
          <w:sz w:val="20"/>
          <w:szCs w:val="20"/>
          <w:color w:val="auto"/>
        </w:rPr>
      </w:pPr>
    </w:p>
    <w:p>
      <w:pPr>
        <w:spacing w:after="0" w:line="253" w:lineRule="auto"/>
        <w:rPr>
          <w:sz w:val="20"/>
          <w:szCs w:val="20"/>
          <w:color w:val="auto"/>
        </w:rPr>
      </w:pPr>
      <w:r>
        <w:rPr>
          <w:rFonts w:ascii="Arial" w:cs="Arial" w:eastAsia="Arial" w:hAnsi="Arial"/>
          <w:sz w:val="18"/>
          <w:szCs w:val="18"/>
          <w:color w:val="auto"/>
        </w:rPr>
        <w:t>The Company is in the process of implementing remediation measures including improvements to the review and approval process for changes to student financial aid refund policies and procedures. The Company will continue to monitor the effectiveness of these remediation measures and will make any changes and take such other actions that it deems appropriate given the circumstances. The material weakness will not be considered fully remediated until the controls operate effectively for a sufficient period of time and the Company expects that the remediation will be completed during 2018.</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Changes in Internal Control Over Financial Reporting</w:t>
      </w:r>
    </w:p>
    <w:p>
      <w:pPr>
        <w:spacing w:after="0" w:line="180" w:lineRule="exact"/>
        <w:rPr>
          <w:sz w:val="20"/>
          <w:szCs w:val="20"/>
          <w:color w:val="auto"/>
        </w:rPr>
      </w:pPr>
    </w:p>
    <w:p>
      <w:pPr>
        <w:ind w:right="320"/>
        <w:spacing w:after="0" w:line="262" w:lineRule="auto"/>
        <w:rPr>
          <w:sz w:val="20"/>
          <w:szCs w:val="20"/>
          <w:color w:val="auto"/>
        </w:rPr>
      </w:pPr>
      <w:r>
        <w:rPr>
          <w:rFonts w:ascii="Arial" w:cs="Arial" w:eastAsia="Arial" w:hAnsi="Arial"/>
          <w:sz w:val="18"/>
          <w:szCs w:val="18"/>
          <w:color w:val="auto"/>
        </w:rPr>
        <w:t>There has been no change in the Company’s internal control over financial reporting during the quarter ended December 31, 2017, that has materially affected, or is reasonably likely to materially affect, the Company’s internal control over financial reporting.</w:t>
      </w:r>
    </w:p>
    <w:p>
      <w:pPr>
        <w:spacing w:after="0" w:line="1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9B. Other Information.</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122" w:lineRule="exact"/>
        <w:rPr>
          <w:sz w:val="20"/>
          <w:szCs w:val="20"/>
          <w:color w:val="auto"/>
        </w:rPr>
      </w:pPr>
    </w:p>
    <w:p>
      <w:pPr>
        <w:ind w:left="5380"/>
        <w:spacing w:after="0"/>
        <w:rPr>
          <w:sz w:val="20"/>
          <w:szCs w:val="20"/>
          <w:color w:val="auto"/>
        </w:rPr>
      </w:pPr>
      <w:r>
        <w:rPr>
          <w:rFonts w:ascii="Arial" w:cs="Arial" w:eastAsia="Arial" w:hAnsi="Arial"/>
          <w:sz w:val="18"/>
          <w:szCs w:val="18"/>
          <w:b w:val="1"/>
          <w:bCs w:val="1"/>
          <w:color w:val="auto"/>
        </w:rPr>
        <w:t>PART III</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10. Directors, Executive Officers and Corporate Governance.</w:t>
      </w:r>
    </w:p>
    <w:p>
      <w:pPr>
        <w:spacing w:after="0" w:line="166" w:lineRule="exact"/>
        <w:rPr>
          <w:sz w:val="20"/>
          <w:szCs w:val="20"/>
          <w:color w:val="auto"/>
        </w:rPr>
      </w:pPr>
    </w:p>
    <w:p>
      <w:pPr>
        <w:ind w:right="420"/>
        <w:spacing w:after="0" w:line="227" w:lineRule="auto"/>
        <w:rPr>
          <w:sz w:val="20"/>
          <w:szCs w:val="20"/>
          <w:color w:val="auto"/>
        </w:rPr>
      </w:pPr>
      <w:r>
        <w:rPr>
          <w:rFonts w:ascii="Arial" w:cs="Arial" w:eastAsia="Arial" w:hAnsi="Arial"/>
          <w:sz w:val="18"/>
          <w:szCs w:val="18"/>
          <w:color w:val="auto"/>
        </w:rPr>
        <w:t>The information contained under the heading “Executive Officers” in Item 1 hereof and the information contained under the headings “Nominees for Election by Class A Shareholders,” “Nominees for Election by Class B Shareholders,” “Audit Committee” and “Section 16(a) Beneficial Ownership Reporting Compliance” in the definitive Proxy Statement for the Company’s 2018 Annual Meeting of Stockholders is incorporated herein by reference thereto.</w:t>
      </w:r>
    </w:p>
    <w:p>
      <w:pPr>
        <w:spacing w:after="0" w:line="200" w:lineRule="exact"/>
        <w:rPr>
          <w:sz w:val="20"/>
          <w:szCs w:val="20"/>
          <w:color w:val="auto"/>
        </w:rPr>
      </w:pPr>
    </w:p>
    <w:p>
      <w:pPr>
        <w:spacing w:after="0" w:line="30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42</w:t>
      </w:r>
    </w:p>
    <w:p>
      <w:pPr>
        <w:sectPr>
          <w:pgSz w:w="11900" w:h="16838" w:orient="portrait"/>
          <w:cols w:equalWidth="0" w:num="1">
            <w:col w:w="11420"/>
          </w:cols>
          <w:pgMar w:left="240" w:top="760" w:right="239" w:bottom="1440" w:gutter="0" w:footer="0" w:header="0"/>
        </w:sectPr>
      </w:pPr>
    </w:p>
    <w:bookmarkStart w:id="44" w:name="page45"/>
    <w:bookmarkEnd w:id="44"/>
    <w:p>
      <w:pPr>
        <w:spacing w:after="0" w:line="224" w:lineRule="auto"/>
        <w:rPr>
          <w:sz w:val="20"/>
          <w:szCs w:val="20"/>
          <w:color w:val="auto"/>
        </w:rPr>
      </w:pPr>
      <w:r>
        <w:rPr>
          <w:rFonts w:ascii="Arial" w:cs="Arial" w:eastAsia="Arial" w:hAnsi="Arial"/>
          <w:sz w:val="18"/>
          <w:szCs w:val="18"/>
          <w:color w:val="auto"/>
        </w:rPr>
        <w:t>The Company has adopted codes of conduct that constitute “codes of ethics” as that term is defined in paragraph (b) of Item 406 of Regulation S-K and that apply to the Company’s principal executive officer, principal financial officer, principal accounting officer or controller and to any persons performing similar functions. Such codes of conduct are posted on the Company’s website, the address of which is ghco.com</w:t>
      </w:r>
      <w:r>
        <w:rPr>
          <w:rFonts w:ascii="Arial" w:cs="Arial" w:eastAsia="Arial" w:hAnsi="Arial"/>
          <w:sz w:val="18"/>
          <w:szCs w:val="18"/>
          <w:i w:val="1"/>
          <w:iCs w:val="1"/>
          <w:color w:val="auto"/>
        </w:rPr>
        <w:t>,</w:t>
      </w:r>
      <w:r>
        <w:rPr>
          <w:rFonts w:ascii="Arial" w:cs="Arial" w:eastAsia="Arial" w:hAnsi="Arial"/>
          <w:sz w:val="18"/>
          <w:szCs w:val="18"/>
          <w:color w:val="auto"/>
        </w:rPr>
        <w:t xml:space="preserve"> and the Company intends to satisfy the disclosure requirements under Item 5.05 of Form 8-K with respect to certain amendments to, and waivers of the requirements of, the provisions of such codes of conduct applicable to the officers and persons referred to above by posting the required information on its website.</w:t>
      </w:r>
    </w:p>
    <w:p>
      <w:pPr>
        <w:spacing w:after="0" w:line="137" w:lineRule="exact"/>
        <w:rPr>
          <w:sz w:val="20"/>
          <w:szCs w:val="20"/>
          <w:color w:val="auto"/>
        </w:rPr>
      </w:pPr>
    </w:p>
    <w:p>
      <w:pPr>
        <w:ind w:right="240"/>
        <w:spacing w:after="0" w:line="227" w:lineRule="auto"/>
        <w:rPr>
          <w:sz w:val="20"/>
          <w:szCs w:val="20"/>
          <w:color w:val="auto"/>
        </w:rPr>
      </w:pPr>
      <w:r>
        <w:rPr>
          <w:rFonts w:ascii="Arial" w:cs="Arial" w:eastAsia="Arial" w:hAnsi="Arial"/>
          <w:sz w:val="18"/>
          <w:szCs w:val="18"/>
          <w:color w:val="auto"/>
        </w:rPr>
        <w:t>In addition to the certifications of the Company’s Chief Executive Officer and Chief Financial Officer filed as exhibits to this Annual Report on Form 10-K, on May 8, 2017, the Company’s Chief Executive Officer submitted to the New York Stock Exchange the annual certification regarding compliance with the NYSE’s corporate governance listing standards required by Section 303A.12(a) of the NYSE Listed Company Manual.</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11. Executive Compensation.</w:t>
      </w:r>
    </w:p>
    <w:p>
      <w:pPr>
        <w:spacing w:after="0" w:line="166" w:lineRule="exact"/>
        <w:rPr>
          <w:sz w:val="20"/>
          <w:szCs w:val="20"/>
          <w:color w:val="auto"/>
        </w:rPr>
      </w:pPr>
    </w:p>
    <w:p>
      <w:pPr>
        <w:spacing w:after="0" w:line="229" w:lineRule="auto"/>
        <w:rPr>
          <w:sz w:val="20"/>
          <w:szCs w:val="20"/>
          <w:color w:val="auto"/>
        </w:rPr>
      </w:pPr>
      <w:r>
        <w:rPr>
          <w:rFonts w:ascii="Arial" w:cs="Arial" w:eastAsia="Arial" w:hAnsi="Arial"/>
          <w:sz w:val="18"/>
          <w:szCs w:val="18"/>
          <w:color w:val="auto"/>
        </w:rPr>
        <w:t>The information contained under the headings “Director Compensation,” “Compensation Committee Interlocks and Insider Participation,” “Executive Compensation” and “Compensation Committee Report” in the definitive Proxy Statement for the Company’s 2018 Annual Meeting of Stockholders is incorporated herein by reference thereto.</w:t>
      </w:r>
    </w:p>
    <w:p>
      <w:pPr>
        <w:spacing w:after="0" w:line="1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12. Security Ownership of Certain Beneficial Owners and Management and Related Stockholder Matters.</w:t>
      </w:r>
    </w:p>
    <w:p>
      <w:pPr>
        <w:spacing w:after="0" w:line="166" w:lineRule="exact"/>
        <w:rPr>
          <w:sz w:val="20"/>
          <w:szCs w:val="20"/>
          <w:color w:val="auto"/>
        </w:rPr>
      </w:pPr>
    </w:p>
    <w:p>
      <w:pPr>
        <w:ind w:right="20"/>
        <w:spacing w:after="0" w:line="235" w:lineRule="auto"/>
        <w:rPr>
          <w:sz w:val="20"/>
          <w:szCs w:val="20"/>
          <w:color w:val="auto"/>
        </w:rPr>
      </w:pPr>
      <w:r>
        <w:rPr>
          <w:rFonts w:ascii="Arial" w:cs="Arial" w:eastAsia="Arial" w:hAnsi="Arial"/>
          <w:sz w:val="18"/>
          <w:szCs w:val="18"/>
          <w:color w:val="auto"/>
        </w:rPr>
        <w:t>The information contained under the heading “Stock Holdings of Certain Beneficial Owners and Management” in the definitive Proxy Statement for the Company’s 2018 Annual Meeting of Stockholders is incorporated herein by reference thereto.</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13. Certain Relationships and Related Transactions and Director Independence.</w:t>
      </w:r>
    </w:p>
    <w:p>
      <w:pPr>
        <w:spacing w:after="0" w:line="166" w:lineRule="exact"/>
        <w:rPr>
          <w:sz w:val="20"/>
          <w:szCs w:val="20"/>
          <w:color w:val="auto"/>
        </w:rPr>
      </w:pPr>
    </w:p>
    <w:p>
      <w:pPr>
        <w:ind w:right="200"/>
        <w:spacing w:after="0" w:line="229" w:lineRule="auto"/>
        <w:rPr>
          <w:sz w:val="20"/>
          <w:szCs w:val="20"/>
          <w:color w:val="auto"/>
        </w:rPr>
      </w:pPr>
      <w:r>
        <w:rPr>
          <w:rFonts w:ascii="Arial" w:cs="Arial" w:eastAsia="Arial" w:hAnsi="Arial"/>
          <w:sz w:val="18"/>
          <w:szCs w:val="18"/>
          <w:color w:val="auto"/>
        </w:rPr>
        <w:t>The information contained under the headings “Transactions With Related Persons, Promoters and Certain Control Persons” and “Controlled Company” in the definitive Proxy Statement for the Company’s 2018 Annual Meeting of Stockholders is incorporated herein by reference thereto.</w:t>
      </w:r>
    </w:p>
    <w:p>
      <w:pPr>
        <w:spacing w:after="0" w:line="1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14. Principal Accounting Fees and Services.</w:t>
      </w:r>
    </w:p>
    <w:p>
      <w:pPr>
        <w:spacing w:after="0" w:line="166" w:lineRule="exact"/>
        <w:rPr>
          <w:sz w:val="20"/>
          <w:szCs w:val="20"/>
          <w:color w:val="auto"/>
        </w:rPr>
      </w:pPr>
    </w:p>
    <w:p>
      <w:pPr>
        <w:ind w:right="520"/>
        <w:spacing w:after="0" w:line="235" w:lineRule="auto"/>
        <w:rPr>
          <w:sz w:val="20"/>
          <w:szCs w:val="20"/>
          <w:color w:val="auto"/>
        </w:rPr>
      </w:pPr>
      <w:r>
        <w:rPr>
          <w:rFonts w:ascii="Arial" w:cs="Arial" w:eastAsia="Arial" w:hAnsi="Arial"/>
          <w:sz w:val="18"/>
          <w:szCs w:val="18"/>
          <w:color w:val="auto"/>
        </w:rPr>
        <w:t>The information contained under the heading “Audit Committee Report” in the definitive Proxy Statement for the Company’s 2018 Annual Meeting of Stockholders is incorporated herein by reference thereto.</w:t>
      </w:r>
    </w:p>
    <w:p>
      <w:pPr>
        <w:spacing w:after="0" w:line="11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PART IV</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15. Exhibits, Financial Statement Schedules.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color w:val="auto"/>
        </w:rPr>
        <w:t>The following documents are filed as part of this report:</w:t>
      </w:r>
    </w:p>
    <w:p>
      <w:pPr>
        <w:spacing w:after="0" w:line="122" w:lineRule="exact"/>
        <w:rPr>
          <w:sz w:val="20"/>
          <w:szCs w:val="20"/>
          <w:color w:val="auto"/>
        </w:rPr>
      </w:pPr>
    </w:p>
    <w:p>
      <w:pPr>
        <w:ind w:left="860" w:hanging="406"/>
        <w:spacing w:after="0"/>
        <w:tabs>
          <w:tab w:leader="none" w:pos="860" w:val="left"/>
        </w:tabs>
        <w:numPr>
          <w:ilvl w:val="1"/>
          <w:numId w:val="42"/>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Financial Statements. </w:t>
      </w:r>
      <w:r>
        <w:rPr>
          <w:rFonts w:ascii="Arial" w:cs="Arial" w:eastAsia="Arial" w:hAnsi="Arial"/>
          <w:sz w:val="18"/>
          <w:szCs w:val="18"/>
          <w:color w:val="auto"/>
        </w:rPr>
        <w:t>As listed in the index to financial information on page 47 hereof.</w:t>
      </w:r>
    </w:p>
    <w:p>
      <w:pPr>
        <w:spacing w:after="0" w:line="144" w:lineRule="exact"/>
        <w:rPr>
          <w:rFonts w:ascii="Arial" w:cs="Arial" w:eastAsia="Arial" w:hAnsi="Arial"/>
          <w:sz w:val="18"/>
          <w:szCs w:val="18"/>
          <w:color w:val="auto"/>
        </w:rPr>
      </w:pPr>
    </w:p>
    <w:p>
      <w:pPr>
        <w:ind w:left="840" w:hanging="400"/>
        <w:spacing w:after="0"/>
        <w:tabs>
          <w:tab w:leader="none" w:pos="840" w:val="left"/>
        </w:tabs>
        <w:numPr>
          <w:ilvl w:val="0"/>
          <w:numId w:val="43"/>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Exhibits.  </w:t>
      </w:r>
      <w:r>
        <w:rPr>
          <w:rFonts w:ascii="Arial" w:cs="Arial" w:eastAsia="Arial" w:hAnsi="Arial"/>
          <w:sz w:val="18"/>
          <w:szCs w:val="18"/>
          <w:color w:val="auto"/>
        </w:rPr>
        <w:t>As listed in the index to exhibits on page 44 hereof.</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16. Form 10-K Summary.</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00" w:lineRule="exact"/>
        <w:rPr>
          <w:sz w:val="20"/>
          <w:szCs w:val="20"/>
          <w:color w:val="auto"/>
        </w:rPr>
      </w:pPr>
    </w:p>
    <w:p>
      <w:pPr>
        <w:spacing w:after="0" w:line="30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43</w:t>
      </w:r>
    </w:p>
    <w:p>
      <w:pPr>
        <w:sectPr>
          <w:pgSz w:w="11900" w:h="16838" w:orient="portrait"/>
          <w:cols w:equalWidth="0" w:num="1">
            <w:col w:w="11400"/>
          </w:cols>
          <w:pgMar w:left="240" w:top="746" w:right="259" w:bottom="1440" w:gutter="0" w:footer="0" w:header="0"/>
        </w:sectPr>
      </w:pPr>
    </w:p>
    <w:bookmarkStart w:id="45" w:name="page46"/>
    <w:bookmarkEnd w:id="45"/>
    <w:tbl>
      <w:tblPr>
        <w:tblLayout w:type="fixed"/>
        <w:tblInd w:w="0" w:type="dxa"/>
        <w:tblCellMar>
          <w:top w:w="0" w:type="dxa"/>
          <w:left w:w="0" w:type="dxa"/>
          <w:bottom w:w="0" w:type="dxa"/>
          <w:right w:w="0" w:type="dxa"/>
        </w:tblCellMar>
      </w:tblPr>
      <w:tr>
        <w:trPr>
          <w:trHeight w:val="239"/>
        </w:trPr>
        <w:tc>
          <w:tcPr>
            <w:tcW w:w="108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7880" w:type="dxa"/>
            <w:vAlign w:val="bottom"/>
            <w:gridSpan w:val="32"/>
          </w:tcPr>
          <w:p>
            <w:pPr>
              <w:ind w:left="1320"/>
              <w:spacing w:after="0"/>
              <w:rPr>
                <w:sz w:val="20"/>
                <w:szCs w:val="20"/>
                <w:color w:val="auto"/>
              </w:rPr>
            </w:pPr>
            <w:r>
              <w:rPr>
                <w:rFonts w:ascii="Arial" w:cs="Arial" w:eastAsia="Arial" w:hAnsi="Arial"/>
                <w:sz w:val="18"/>
                <w:szCs w:val="18"/>
                <w:b w:val="1"/>
                <w:bCs w:val="1"/>
                <w:color w:val="auto"/>
              </w:rPr>
              <w:t>INDEX TO EXHIBITS</w:t>
            </w:r>
          </w:p>
        </w:tc>
      </w:tr>
      <w:tr>
        <w:trPr>
          <w:trHeight w:val="311"/>
        </w:trPr>
        <w:tc>
          <w:tcPr>
            <w:tcW w:w="1080" w:type="dxa"/>
            <w:vAlign w:val="bottom"/>
          </w:tcPr>
          <w:p>
            <w:pPr>
              <w:ind w:left="40"/>
              <w:spacing w:after="0"/>
              <w:rPr>
                <w:sz w:val="20"/>
                <w:szCs w:val="20"/>
                <w:color w:val="auto"/>
              </w:rPr>
            </w:pPr>
            <w:r>
              <w:rPr>
                <w:rFonts w:ascii="Arial" w:cs="Arial" w:eastAsia="Arial" w:hAnsi="Arial"/>
                <w:sz w:val="14"/>
                <w:szCs w:val="14"/>
                <w:b w:val="1"/>
                <w:bCs w:val="1"/>
                <w:color w:val="auto"/>
              </w:rPr>
              <w:t>Exhibit</w:t>
            </w:r>
          </w:p>
        </w:tc>
        <w:tc>
          <w:tcPr>
            <w:tcW w:w="4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196"/>
        </w:trPr>
        <w:tc>
          <w:tcPr>
            <w:tcW w:w="108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Number</w:t>
            </w:r>
          </w:p>
        </w:tc>
        <w:tc>
          <w:tcPr>
            <w:tcW w:w="48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1500" w:type="dxa"/>
            <w:vAlign w:val="bottom"/>
            <w:tcBorders>
              <w:bottom w:val="single" w:sz="8" w:color="auto"/>
            </w:tcBorders>
          </w:tcPr>
          <w:p>
            <w:pPr>
              <w:spacing w:after="0"/>
              <w:rPr>
                <w:sz w:val="17"/>
                <w:szCs w:val="17"/>
                <w:color w:val="auto"/>
              </w:rPr>
            </w:pPr>
          </w:p>
        </w:tc>
        <w:tc>
          <w:tcPr>
            <w:tcW w:w="660" w:type="dxa"/>
            <w:vAlign w:val="bottom"/>
            <w:tcBorders>
              <w:bottom w:val="single" w:sz="8" w:color="auto"/>
            </w:tcBorders>
          </w:tcPr>
          <w:p>
            <w:pPr>
              <w:spacing w:after="0"/>
              <w:rPr>
                <w:sz w:val="17"/>
                <w:szCs w:val="17"/>
                <w:color w:val="auto"/>
              </w:rPr>
            </w:pPr>
          </w:p>
        </w:tc>
        <w:tc>
          <w:tcPr>
            <w:tcW w:w="5720" w:type="dxa"/>
            <w:vAlign w:val="bottom"/>
            <w:tcBorders>
              <w:bottom w:val="single" w:sz="8" w:color="auto"/>
            </w:tcBorders>
            <w:gridSpan w:val="30"/>
          </w:tcPr>
          <w:p>
            <w:pPr>
              <w:ind w:left="140"/>
              <w:spacing w:after="0"/>
              <w:rPr>
                <w:sz w:val="20"/>
                <w:szCs w:val="20"/>
                <w:color w:val="auto"/>
              </w:rPr>
            </w:pPr>
            <w:r>
              <w:rPr>
                <w:rFonts w:ascii="Arial" w:cs="Arial" w:eastAsia="Arial" w:hAnsi="Arial"/>
                <w:sz w:val="14"/>
                <w:szCs w:val="14"/>
                <w:b w:val="1"/>
                <w:bCs w:val="1"/>
                <w:color w:val="auto"/>
              </w:rPr>
              <w:t>Description</w:t>
            </w:r>
          </w:p>
        </w:tc>
      </w:tr>
      <w:tr>
        <w:trPr>
          <w:trHeight w:val="459"/>
        </w:trPr>
        <w:tc>
          <w:tcPr>
            <w:tcW w:w="1080" w:type="dxa"/>
            <w:vAlign w:val="bottom"/>
          </w:tcPr>
          <w:p>
            <w:pPr>
              <w:jc w:val="right"/>
              <w:ind w:right="336"/>
              <w:spacing w:after="0"/>
              <w:rPr>
                <w:sz w:val="20"/>
                <w:szCs w:val="20"/>
                <w:color w:val="auto"/>
              </w:rPr>
            </w:pPr>
            <w:r>
              <w:rPr>
                <w:rFonts w:ascii="Arial" w:cs="Arial" w:eastAsia="Arial" w:hAnsi="Arial"/>
                <w:sz w:val="17"/>
                <w:szCs w:val="17"/>
                <w:color w:val="auto"/>
              </w:rPr>
              <w:t>2.1</w:t>
            </w:r>
          </w:p>
        </w:tc>
        <w:tc>
          <w:tcPr>
            <w:tcW w:w="10000" w:type="dxa"/>
            <w:vAlign w:val="bottom"/>
            <w:tcBorders>
              <w:bottom w:val="single" w:sz="8" w:color="0000FF"/>
            </w:tcBorders>
            <w:gridSpan w:val="25"/>
          </w:tcPr>
          <w:p>
            <w:pPr>
              <w:spacing w:after="0"/>
              <w:rPr>
                <w:rFonts w:ascii="Arial" w:cs="Arial" w:eastAsia="Arial" w:hAnsi="Arial"/>
                <w:sz w:val="17"/>
                <w:szCs w:val="17"/>
                <w:color w:val="0000FF"/>
              </w:rPr>
            </w:pPr>
            <w:hyperlink r:id="rId11">
              <w:r>
                <w:rPr>
                  <w:rFonts w:ascii="Arial" w:cs="Arial" w:eastAsia="Arial" w:hAnsi="Arial"/>
                  <w:sz w:val="17"/>
                  <w:szCs w:val="17"/>
                  <w:color w:val="0000FF"/>
                </w:rPr>
                <w:t>Contribution and Transfer Agreement, dated April 27, 2017, by and among Kaplan Higher Education, LLC, Iowa College Acquisition,</w:t>
              </w:r>
            </w:hyperlink>
          </w:p>
        </w:tc>
        <w:tc>
          <w:tcPr>
            <w:tcW w:w="340" w:type="dxa"/>
            <w:vAlign w:val="bottom"/>
            <w:gridSpan w:val="11"/>
          </w:tcPr>
          <w:p>
            <w:pPr>
              <w:spacing w:after="0"/>
              <w:rPr>
                <w:sz w:val="24"/>
                <w:szCs w:val="24"/>
                <w:color w:val="auto"/>
              </w:rPr>
            </w:pPr>
          </w:p>
        </w:tc>
      </w:tr>
      <w:tr>
        <w:trPr>
          <w:trHeight w:val="169"/>
        </w:trPr>
        <w:tc>
          <w:tcPr>
            <w:tcW w:w="1080" w:type="dxa"/>
            <w:vAlign w:val="bottom"/>
          </w:tcPr>
          <w:p>
            <w:pPr>
              <w:spacing w:after="0"/>
              <w:rPr>
                <w:sz w:val="14"/>
                <w:szCs w:val="14"/>
                <w:color w:val="auto"/>
              </w:rPr>
            </w:pPr>
          </w:p>
        </w:tc>
        <w:tc>
          <w:tcPr>
            <w:tcW w:w="10340" w:type="dxa"/>
            <w:vAlign w:val="bottom"/>
            <w:gridSpan w:val="36"/>
          </w:tcPr>
          <w:p>
            <w:pPr>
              <w:spacing w:after="0" w:line="169" w:lineRule="exact"/>
              <w:rPr>
                <w:rFonts w:ascii="Arial" w:cs="Arial" w:eastAsia="Arial" w:hAnsi="Arial"/>
                <w:sz w:val="17"/>
                <w:szCs w:val="17"/>
                <w:color w:val="0000FF"/>
              </w:rPr>
            </w:pPr>
            <w:hyperlink r:id="rId11">
              <w:r>
                <w:rPr>
                  <w:rFonts w:ascii="Arial" w:cs="Arial" w:eastAsia="Arial" w:hAnsi="Arial"/>
                  <w:sz w:val="17"/>
                  <w:szCs w:val="17"/>
                  <w:color w:val="0000FF"/>
                </w:rPr>
                <w:t>LLC, Purdue University, and Purdue New U, Inc. (incorporated by reference to Exhibit 2.1 to the Company’s Current Report on Form 8-K</w:t>
              </w:r>
            </w:hyperlink>
          </w:p>
        </w:tc>
      </w:tr>
      <w:tr>
        <w:trPr>
          <w:trHeight w:val="169"/>
        </w:trPr>
        <w:tc>
          <w:tcPr>
            <w:tcW w:w="1080" w:type="dxa"/>
            <w:vAlign w:val="bottom"/>
          </w:tcPr>
          <w:p>
            <w:pPr>
              <w:spacing w:after="0"/>
              <w:rPr>
                <w:sz w:val="14"/>
                <w:szCs w:val="14"/>
                <w:color w:val="auto"/>
              </w:rPr>
            </w:pPr>
          </w:p>
        </w:tc>
        <w:tc>
          <w:tcPr>
            <w:tcW w:w="10280" w:type="dxa"/>
            <w:vAlign w:val="bottom"/>
            <w:tcBorders>
              <w:top w:val="single" w:sz="8" w:color="0000FF"/>
            </w:tcBorders>
            <w:gridSpan w:val="34"/>
          </w:tcPr>
          <w:p>
            <w:pPr>
              <w:spacing w:after="0" w:line="169" w:lineRule="exact"/>
              <w:rPr>
                <w:rFonts w:ascii="Arial" w:cs="Arial" w:eastAsia="Arial" w:hAnsi="Arial"/>
                <w:sz w:val="17"/>
                <w:szCs w:val="17"/>
                <w:color w:val="0000FF"/>
              </w:rPr>
            </w:pPr>
            <w:hyperlink r:id="rId11">
              <w:r>
                <w:rPr>
                  <w:rFonts w:ascii="Arial" w:cs="Arial" w:eastAsia="Arial" w:hAnsi="Arial"/>
                  <w:sz w:val="17"/>
                  <w:szCs w:val="17"/>
                  <w:color w:val="0000FF"/>
                </w:rPr>
                <w:t>filed April 27, 2017)**</w:t>
              </w:r>
            </w:hyperlink>
          </w:p>
        </w:tc>
        <w:tc>
          <w:tcPr>
            <w:tcW w:w="60" w:type="dxa"/>
            <w:vAlign w:val="bottom"/>
            <w:gridSpan w:val="2"/>
          </w:tcPr>
          <w:p>
            <w:pPr>
              <w:spacing w:after="0"/>
              <w:rPr>
                <w:sz w:val="14"/>
                <w:szCs w:val="14"/>
                <w:color w:val="auto"/>
              </w:rPr>
            </w:pPr>
          </w:p>
        </w:tc>
      </w:tr>
      <w:tr>
        <w:trPr>
          <w:trHeight w:val="20"/>
        </w:trPr>
        <w:tc>
          <w:tcPr>
            <w:tcW w:w="1080" w:type="dxa"/>
            <w:vAlign w:val="bottom"/>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1120" w:type="dxa"/>
            <w:vAlign w:val="bottom"/>
            <w:shd w:val="clear" w:color="auto" w:fill="0000FF"/>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23"/>
        </w:trPr>
        <w:tc>
          <w:tcPr>
            <w:tcW w:w="1080" w:type="dxa"/>
            <w:vAlign w:val="bottom"/>
          </w:tcPr>
          <w:p>
            <w:pPr>
              <w:jc w:val="right"/>
              <w:ind w:right="336"/>
              <w:spacing w:after="0"/>
              <w:rPr>
                <w:sz w:val="20"/>
                <w:szCs w:val="20"/>
                <w:color w:val="auto"/>
              </w:rPr>
            </w:pPr>
            <w:r>
              <w:rPr>
                <w:rFonts w:ascii="Arial" w:cs="Arial" w:eastAsia="Arial" w:hAnsi="Arial"/>
                <w:sz w:val="17"/>
                <w:szCs w:val="17"/>
                <w:color w:val="auto"/>
              </w:rPr>
              <w:t>3.1</w:t>
            </w:r>
          </w:p>
        </w:tc>
        <w:tc>
          <w:tcPr>
            <w:tcW w:w="9580" w:type="dxa"/>
            <w:vAlign w:val="bottom"/>
            <w:tcBorders>
              <w:bottom w:val="single" w:sz="8" w:color="0000FF"/>
            </w:tcBorders>
            <w:gridSpan w:val="19"/>
          </w:tcPr>
          <w:p>
            <w:pPr>
              <w:spacing w:after="0"/>
              <w:rPr>
                <w:rFonts w:ascii="Arial" w:cs="Arial" w:eastAsia="Arial" w:hAnsi="Arial"/>
                <w:sz w:val="17"/>
                <w:szCs w:val="17"/>
                <w:color w:val="0000FF"/>
              </w:rPr>
            </w:pPr>
            <w:hyperlink r:id="rId12">
              <w:r>
                <w:rPr>
                  <w:rFonts w:ascii="Arial" w:cs="Arial" w:eastAsia="Arial" w:hAnsi="Arial"/>
                  <w:sz w:val="17"/>
                  <w:szCs w:val="17"/>
                  <w:color w:val="0000FF"/>
                </w:rPr>
                <w:t>Restated Certificate of Incorporation of the Company dated November 13, 2003 (incorporated by reference to Exhibit 3.1 to the</w:t>
              </w:r>
            </w:hyperlink>
          </w:p>
        </w:tc>
        <w:tc>
          <w:tcPr>
            <w:tcW w:w="760" w:type="dxa"/>
            <w:vAlign w:val="bottom"/>
            <w:gridSpan w:val="17"/>
          </w:tcPr>
          <w:p>
            <w:pPr>
              <w:spacing w:after="0"/>
              <w:rPr>
                <w:sz w:val="19"/>
                <w:szCs w:val="19"/>
                <w:color w:val="auto"/>
              </w:rPr>
            </w:pPr>
          </w:p>
        </w:tc>
      </w:tr>
      <w:tr>
        <w:trPr>
          <w:trHeight w:val="169"/>
        </w:trPr>
        <w:tc>
          <w:tcPr>
            <w:tcW w:w="1080" w:type="dxa"/>
            <w:vAlign w:val="bottom"/>
          </w:tcPr>
          <w:p>
            <w:pPr>
              <w:spacing w:after="0"/>
              <w:rPr>
                <w:sz w:val="14"/>
                <w:szCs w:val="14"/>
                <w:color w:val="auto"/>
              </w:rPr>
            </w:pPr>
          </w:p>
        </w:tc>
        <w:tc>
          <w:tcPr>
            <w:tcW w:w="10340" w:type="dxa"/>
            <w:vAlign w:val="bottom"/>
            <w:gridSpan w:val="36"/>
          </w:tcPr>
          <w:p>
            <w:pPr>
              <w:spacing w:after="0" w:line="169" w:lineRule="exact"/>
              <w:rPr>
                <w:rFonts w:ascii="Arial" w:cs="Arial" w:eastAsia="Arial" w:hAnsi="Arial"/>
                <w:sz w:val="17"/>
                <w:szCs w:val="17"/>
                <w:color w:val="0000FF"/>
              </w:rPr>
            </w:pPr>
            <w:hyperlink r:id="rId12">
              <w:r>
                <w:rPr>
                  <w:rFonts w:ascii="Arial" w:cs="Arial" w:eastAsia="Arial" w:hAnsi="Arial"/>
                  <w:sz w:val="17"/>
                  <w:szCs w:val="17"/>
                  <w:color w:val="0000FF"/>
                </w:rPr>
                <w:t>Company’s Annual Report on Form 10-K for the fiscal year ended December 28, 2003).</w:t>
              </w:r>
            </w:hyperlink>
          </w:p>
        </w:tc>
      </w:tr>
      <w:tr>
        <w:trPr>
          <w:trHeight w:val="20"/>
        </w:trPr>
        <w:tc>
          <w:tcPr>
            <w:tcW w:w="1080" w:type="dxa"/>
            <w:vAlign w:val="bottom"/>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1960" w:type="dxa"/>
            <w:vAlign w:val="bottom"/>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500" w:type="dxa"/>
            <w:vAlign w:val="bottom"/>
            <w:shd w:val="clear" w:color="auto" w:fill="0000FF"/>
          </w:tcPr>
          <w:p>
            <w:pPr>
              <w:spacing w:after="0" w:line="20" w:lineRule="exact"/>
              <w:rPr>
                <w:sz w:val="1"/>
                <w:szCs w:val="1"/>
                <w:color w:val="auto"/>
              </w:rPr>
            </w:pPr>
          </w:p>
        </w:tc>
        <w:tc>
          <w:tcPr>
            <w:tcW w:w="66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94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23"/>
        </w:trPr>
        <w:tc>
          <w:tcPr>
            <w:tcW w:w="1080" w:type="dxa"/>
            <w:vAlign w:val="bottom"/>
          </w:tcPr>
          <w:p>
            <w:pPr>
              <w:jc w:val="right"/>
              <w:ind w:right="336"/>
              <w:spacing w:after="0"/>
              <w:rPr>
                <w:sz w:val="20"/>
                <w:szCs w:val="20"/>
                <w:color w:val="auto"/>
              </w:rPr>
            </w:pPr>
            <w:r>
              <w:rPr>
                <w:rFonts w:ascii="Arial" w:cs="Arial" w:eastAsia="Arial" w:hAnsi="Arial"/>
                <w:sz w:val="17"/>
                <w:szCs w:val="17"/>
                <w:color w:val="auto"/>
              </w:rPr>
              <w:t>3.2</w:t>
            </w:r>
          </w:p>
        </w:tc>
        <w:tc>
          <w:tcPr>
            <w:tcW w:w="10060" w:type="dxa"/>
            <w:vAlign w:val="bottom"/>
            <w:tcBorders>
              <w:bottom w:val="single" w:sz="8" w:color="0000FF"/>
            </w:tcBorders>
            <w:gridSpan w:val="27"/>
          </w:tcPr>
          <w:p>
            <w:pPr>
              <w:spacing w:after="0"/>
              <w:rPr>
                <w:rFonts w:ascii="Arial" w:cs="Arial" w:eastAsia="Arial" w:hAnsi="Arial"/>
                <w:sz w:val="17"/>
                <w:szCs w:val="17"/>
                <w:color w:val="0000FF"/>
              </w:rPr>
            </w:pPr>
            <w:hyperlink r:id="rId13">
              <w:r>
                <w:rPr>
                  <w:rFonts w:ascii="Arial" w:cs="Arial" w:eastAsia="Arial" w:hAnsi="Arial"/>
                  <w:sz w:val="17"/>
                  <w:szCs w:val="17"/>
                  <w:color w:val="0000FF"/>
                </w:rPr>
                <w:t>Certificate of Amendment, effective November 29, 2013, to the Restated Certificate of Incorporation of the Company (incorporated by</w:t>
              </w:r>
            </w:hyperlink>
          </w:p>
        </w:tc>
        <w:tc>
          <w:tcPr>
            <w:tcW w:w="280" w:type="dxa"/>
            <w:vAlign w:val="bottom"/>
            <w:gridSpan w:val="9"/>
          </w:tcPr>
          <w:p>
            <w:pPr>
              <w:spacing w:after="0"/>
              <w:rPr>
                <w:sz w:val="19"/>
                <w:szCs w:val="19"/>
                <w:color w:val="auto"/>
              </w:rPr>
            </w:pPr>
          </w:p>
        </w:tc>
      </w:tr>
      <w:tr>
        <w:trPr>
          <w:trHeight w:val="169"/>
        </w:trPr>
        <w:tc>
          <w:tcPr>
            <w:tcW w:w="1080" w:type="dxa"/>
            <w:vAlign w:val="bottom"/>
          </w:tcPr>
          <w:p>
            <w:pPr>
              <w:spacing w:after="0"/>
              <w:rPr>
                <w:sz w:val="14"/>
                <w:szCs w:val="14"/>
                <w:color w:val="auto"/>
              </w:rPr>
            </w:pPr>
          </w:p>
        </w:tc>
        <w:tc>
          <w:tcPr>
            <w:tcW w:w="7320" w:type="dxa"/>
            <w:vAlign w:val="bottom"/>
            <w:tcBorders>
              <w:bottom w:val="single" w:sz="8" w:color="0000FF"/>
            </w:tcBorders>
            <w:gridSpan w:val="12"/>
          </w:tcPr>
          <w:p>
            <w:pPr>
              <w:spacing w:after="0" w:line="169" w:lineRule="exact"/>
              <w:rPr>
                <w:rFonts w:ascii="Arial" w:cs="Arial" w:eastAsia="Arial" w:hAnsi="Arial"/>
                <w:sz w:val="17"/>
                <w:szCs w:val="17"/>
                <w:color w:val="0000FF"/>
              </w:rPr>
            </w:pPr>
            <w:hyperlink r:id="rId13">
              <w:r>
                <w:rPr>
                  <w:rFonts w:ascii="Arial" w:cs="Arial" w:eastAsia="Arial" w:hAnsi="Arial"/>
                  <w:sz w:val="17"/>
                  <w:szCs w:val="17"/>
                  <w:color w:val="0000FF"/>
                </w:rPr>
                <w:t>reference to Exhibit 3.1 to the Company’s Current Report on Form 8-K filed November 29, 2013).</w:t>
              </w:r>
            </w:hyperlink>
          </w:p>
        </w:tc>
        <w:tc>
          <w:tcPr>
            <w:tcW w:w="3020" w:type="dxa"/>
            <w:vAlign w:val="bottom"/>
            <w:gridSpan w:val="24"/>
          </w:tcPr>
          <w:p>
            <w:pPr>
              <w:spacing w:after="0"/>
              <w:rPr>
                <w:sz w:val="14"/>
                <w:szCs w:val="14"/>
                <w:color w:val="auto"/>
              </w:rPr>
            </w:pPr>
          </w:p>
        </w:tc>
      </w:tr>
      <w:tr>
        <w:trPr>
          <w:trHeight w:val="223"/>
        </w:trPr>
        <w:tc>
          <w:tcPr>
            <w:tcW w:w="1080" w:type="dxa"/>
            <w:vAlign w:val="bottom"/>
          </w:tcPr>
          <w:p>
            <w:pPr>
              <w:jc w:val="right"/>
              <w:ind w:right="336"/>
              <w:spacing w:after="0"/>
              <w:rPr>
                <w:sz w:val="20"/>
                <w:szCs w:val="20"/>
                <w:color w:val="auto"/>
              </w:rPr>
            </w:pPr>
            <w:r>
              <w:rPr>
                <w:rFonts w:ascii="Arial" w:cs="Arial" w:eastAsia="Arial" w:hAnsi="Arial"/>
                <w:sz w:val="17"/>
                <w:szCs w:val="17"/>
                <w:color w:val="auto"/>
              </w:rPr>
              <w:t>3.3</w:t>
            </w:r>
          </w:p>
        </w:tc>
        <w:tc>
          <w:tcPr>
            <w:tcW w:w="9640" w:type="dxa"/>
            <w:vAlign w:val="bottom"/>
            <w:tcBorders>
              <w:bottom w:val="single" w:sz="8" w:color="0000FF"/>
            </w:tcBorders>
            <w:gridSpan w:val="21"/>
          </w:tcPr>
          <w:p>
            <w:pPr>
              <w:spacing w:after="0"/>
              <w:rPr>
                <w:rFonts w:ascii="Arial" w:cs="Arial" w:eastAsia="Arial" w:hAnsi="Arial"/>
                <w:sz w:val="17"/>
                <w:szCs w:val="17"/>
                <w:color w:val="0000FF"/>
              </w:rPr>
            </w:pPr>
            <w:hyperlink r:id="rId14">
              <w:r>
                <w:rPr>
                  <w:rFonts w:ascii="Arial" w:cs="Arial" w:eastAsia="Arial" w:hAnsi="Arial"/>
                  <w:sz w:val="17"/>
                  <w:szCs w:val="17"/>
                  <w:color w:val="0000FF"/>
                </w:rPr>
                <w:t>By-Laws of the Company as amended and restated through November 29, 2013 (incorporated by reference to Exhibit 3.2 to the</w:t>
              </w:r>
            </w:hyperlink>
          </w:p>
        </w:tc>
        <w:tc>
          <w:tcPr>
            <w:tcW w:w="700" w:type="dxa"/>
            <w:vAlign w:val="bottom"/>
            <w:gridSpan w:val="15"/>
          </w:tcPr>
          <w:p>
            <w:pPr>
              <w:spacing w:after="0"/>
              <w:rPr>
                <w:sz w:val="19"/>
                <w:szCs w:val="19"/>
                <w:color w:val="auto"/>
              </w:rPr>
            </w:pPr>
          </w:p>
        </w:tc>
      </w:tr>
      <w:tr>
        <w:trPr>
          <w:trHeight w:val="169"/>
        </w:trPr>
        <w:tc>
          <w:tcPr>
            <w:tcW w:w="1080" w:type="dxa"/>
            <w:vAlign w:val="bottom"/>
          </w:tcPr>
          <w:p>
            <w:pPr>
              <w:spacing w:after="0"/>
              <w:rPr>
                <w:sz w:val="14"/>
                <w:szCs w:val="14"/>
                <w:color w:val="auto"/>
              </w:rPr>
            </w:pPr>
          </w:p>
        </w:tc>
        <w:tc>
          <w:tcPr>
            <w:tcW w:w="5040" w:type="dxa"/>
            <w:vAlign w:val="bottom"/>
            <w:tcBorders>
              <w:bottom w:val="single" w:sz="8" w:color="0000FF"/>
            </w:tcBorders>
            <w:gridSpan w:val="7"/>
          </w:tcPr>
          <w:p>
            <w:pPr>
              <w:spacing w:after="0" w:line="169" w:lineRule="exact"/>
              <w:rPr>
                <w:rFonts w:ascii="Arial" w:cs="Arial" w:eastAsia="Arial" w:hAnsi="Arial"/>
                <w:sz w:val="17"/>
                <w:szCs w:val="17"/>
                <w:color w:val="0000FF"/>
              </w:rPr>
            </w:pPr>
            <w:hyperlink r:id="rId14">
              <w:r>
                <w:rPr>
                  <w:rFonts w:ascii="Arial" w:cs="Arial" w:eastAsia="Arial" w:hAnsi="Arial"/>
                  <w:sz w:val="17"/>
                  <w:szCs w:val="17"/>
                  <w:color w:val="0000FF"/>
                </w:rPr>
                <w:t>Company’s Current Report on Form 8-K filed November 29, 2013).</w:t>
              </w:r>
            </w:hyperlink>
          </w:p>
        </w:tc>
        <w:tc>
          <w:tcPr>
            <w:tcW w:w="5300" w:type="dxa"/>
            <w:vAlign w:val="bottom"/>
            <w:gridSpan w:val="29"/>
          </w:tcPr>
          <w:p>
            <w:pPr>
              <w:spacing w:after="0"/>
              <w:rPr>
                <w:sz w:val="14"/>
                <w:szCs w:val="14"/>
                <w:color w:val="auto"/>
              </w:rPr>
            </w:pPr>
          </w:p>
        </w:tc>
      </w:tr>
      <w:tr>
        <w:trPr>
          <w:trHeight w:val="223"/>
        </w:trPr>
        <w:tc>
          <w:tcPr>
            <w:tcW w:w="1080" w:type="dxa"/>
            <w:vAlign w:val="bottom"/>
          </w:tcPr>
          <w:p>
            <w:pPr>
              <w:jc w:val="right"/>
              <w:ind w:right="336"/>
              <w:spacing w:after="0"/>
              <w:rPr>
                <w:sz w:val="20"/>
                <w:szCs w:val="20"/>
                <w:color w:val="auto"/>
              </w:rPr>
            </w:pPr>
            <w:r>
              <w:rPr>
                <w:rFonts w:ascii="Arial" w:cs="Arial" w:eastAsia="Arial" w:hAnsi="Arial"/>
                <w:sz w:val="17"/>
                <w:szCs w:val="17"/>
                <w:color w:val="auto"/>
              </w:rPr>
              <w:t>4.1</w:t>
            </w:r>
          </w:p>
        </w:tc>
        <w:tc>
          <w:tcPr>
            <w:tcW w:w="10340" w:type="dxa"/>
            <w:vAlign w:val="bottom"/>
            <w:gridSpan w:val="36"/>
          </w:tcPr>
          <w:p>
            <w:pPr>
              <w:spacing w:after="0"/>
              <w:rPr>
                <w:rFonts w:ascii="Arial" w:cs="Arial" w:eastAsia="Arial" w:hAnsi="Arial"/>
                <w:sz w:val="17"/>
                <w:szCs w:val="17"/>
                <w:color w:val="0000FF"/>
              </w:rPr>
            </w:pPr>
            <w:hyperlink r:id="rId15">
              <w:r>
                <w:rPr>
                  <w:rFonts w:ascii="Arial" w:cs="Arial" w:eastAsia="Arial" w:hAnsi="Arial"/>
                  <w:sz w:val="17"/>
                  <w:szCs w:val="17"/>
                  <w:color w:val="0000FF"/>
                </w:rPr>
                <w:t>Indenture dated as of February 17, 1999, between the Company and The First National Bank of Chicago, as Trustee (incorporated by</w:t>
              </w:r>
            </w:hyperlink>
          </w:p>
        </w:tc>
      </w:tr>
      <w:tr>
        <w:trPr>
          <w:trHeight w:val="169"/>
        </w:trPr>
        <w:tc>
          <w:tcPr>
            <w:tcW w:w="1080" w:type="dxa"/>
            <w:vAlign w:val="bottom"/>
          </w:tcPr>
          <w:p>
            <w:pPr>
              <w:spacing w:after="0"/>
              <w:rPr>
                <w:sz w:val="14"/>
                <w:szCs w:val="14"/>
                <w:color w:val="auto"/>
              </w:rPr>
            </w:pPr>
          </w:p>
        </w:tc>
        <w:tc>
          <w:tcPr>
            <w:tcW w:w="10060" w:type="dxa"/>
            <w:vAlign w:val="bottom"/>
            <w:tcBorders>
              <w:top w:val="single" w:sz="8" w:color="0000FF"/>
            </w:tcBorders>
            <w:gridSpan w:val="27"/>
          </w:tcPr>
          <w:p>
            <w:pPr>
              <w:spacing w:after="0" w:line="169" w:lineRule="exact"/>
              <w:rPr>
                <w:rFonts w:ascii="Arial" w:cs="Arial" w:eastAsia="Arial" w:hAnsi="Arial"/>
                <w:sz w:val="17"/>
                <w:szCs w:val="17"/>
                <w:color w:val="0000FF"/>
              </w:rPr>
            </w:pPr>
            <w:hyperlink r:id="rId15">
              <w:r>
                <w:rPr>
                  <w:rFonts w:ascii="Arial" w:cs="Arial" w:eastAsia="Arial" w:hAnsi="Arial"/>
                  <w:sz w:val="17"/>
                  <w:szCs w:val="17"/>
                  <w:color w:val="0000FF"/>
                </w:rPr>
                <w:t>reference to Exhibit 4.3 to the Company’s Annual Report on Form 10-K for the fiscal year ended January 3, 1999).</w:t>
              </w:r>
            </w:hyperlink>
          </w:p>
        </w:tc>
        <w:tc>
          <w:tcPr>
            <w:tcW w:w="280" w:type="dxa"/>
            <w:vAlign w:val="bottom"/>
            <w:gridSpan w:val="9"/>
          </w:tcPr>
          <w:p>
            <w:pPr>
              <w:spacing w:after="0"/>
              <w:rPr>
                <w:sz w:val="14"/>
                <w:szCs w:val="14"/>
                <w:color w:val="auto"/>
              </w:rPr>
            </w:pPr>
          </w:p>
        </w:tc>
      </w:tr>
      <w:tr>
        <w:trPr>
          <w:trHeight w:val="20"/>
        </w:trPr>
        <w:tc>
          <w:tcPr>
            <w:tcW w:w="1080" w:type="dxa"/>
            <w:vAlign w:val="bottom"/>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1960" w:type="dxa"/>
            <w:vAlign w:val="bottom"/>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500" w:type="dxa"/>
            <w:vAlign w:val="bottom"/>
            <w:shd w:val="clear" w:color="auto" w:fill="0000FF"/>
          </w:tcPr>
          <w:p>
            <w:pPr>
              <w:spacing w:after="0" w:line="20" w:lineRule="exact"/>
              <w:rPr>
                <w:sz w:val="1"/>
                <w:szCs w:val="1"/>
                <w:color w:val="auto"/>
              </w:rPr>
            </w:pPr>
          </w:p>
        </w:tc>
        <w:tc>
          <w:tcPr>
            <w:tcW w:w="660" w:type="dxa"/>
            <w:vAlign w:val="bottom"/>
            <w:shd w:val="clear" w:color="auto" w:fill="0000FF"/>
          </w:tcPr>
          <w:p>
            <w:pPr>
              <w:spacing w:after="0" w:line="20" w:lineRule="exact"/>
              <w:rPr>
                <w:sz w:val="1"/>
                <w:szCs w:val="1"/>
                <w:color w:val="auto"/>
              </w:rPr>
            </w:pPr>
          </w:p>
        </w:tc>
        <w:tc>
          <w:tcPr>
            <w:tcW w:w="1360" w:type="dxa"/>
            <w:vAlign w:val="bottom"/>
            <w:gridSpan w:val="2"/>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980" w:type="dxa"/>
            <w:vAlign w:val="bottom"/>
            <w:gridSpan w:val="3"/>
            <w:shd w:val="clear" w:color="auto" w:fill="0000FF"/>
          </w:tcPr>
          <w:p>
            <w:pPr>
              <w:spacing w:after="0" w:line="20" w:lineRule="exact"/>
              <w:rPr>
                <w:sz w:val="1"/>
                <w:szCs w:val="1"/>
                <w:color w:val="auto"/>
              </w:rPr>
            </w:pPr>
          </w:p>
        </w:tc>
        <w:tc>
          <w:tcPr>
            <w:tcW w:w="1140" w:type="dxa"/>
            <w:vAlign w:val="bottom"/>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23"/>
        </w:trPr>
        <w:tc>
          <w:tcPr>
            <w:tcW w:w="1080" w:type="dxa"/>
            <w:vAlign w:val="bottom"/>
          </w:tcPr>
          <w:p>
            <w:pPr>
              <w:jc w:val="right"/>
              <w:ind w:right="336"/>
              <w:spacing w:after="0"/>
              <w:rPr>
                <w:sz w:val="20"/>
                <w:szCs w:val="20"/>
                <w:color w:val="auto"/>
              </w:rPr>
            </w:pPr>
            <w:r>
              <w:rPr>
                <w:rFonts w:ascii="Arial" w:cs="Arial" w:eastAsia="Arial" w:hAnsi="Arial"/>
                <w:sz w:val="17"/>
                <w:szCs w:val="17"/>
                <w:color w:val="auto"/>
              </w:rPr>
              <w:t>4.2</w:t>
            </w:r>
          </w:p>
        </w:tc>
        <w:tc>
          <w:tcPr>
            <w:tcW w:w="9620" w:type="dxa"/>
            <w:vAlign w:val="bottom"/>
            <w:tcBorders>
              <w:bottom w:val="single" w:sz="8" w:color="0000FF"/>
            </w:tcBorders>
            <w:gridSpan w:val="20"/>
          </w:tcPr>
          <w:p>
            <w:pPr>
              <w:spacing w:after="0"/>
              <w:rPr>
                <w:rFonts w:ascii="Arial" w:cs="Arial" w:eastAsia="Arial" w:hAnsi="Arial"/>
                <w:sz w:val="17"/>
                <w:szCs w:val="17"/>
                <w:color w:val="0000FF"/>
              </w:rPr>
            </w:pPr>
            <w:hyperlink r:id="rId16">
              <w:r>
                <w:rPr>
                  <w:rFonts w:ascii="Arial" w:cs="Arial" w:eastAsia="Arial" w:hAnsi="Arial"/>
                  <w:sz w:val="17"/>
                  <w:szCs w:val="17"/>
                  <w:color w:val="0000FF"/>
                </w:rPr>
                <w:t>First Supplemental Indenture dated as of September 22, 2003, among WP Company LLC, the Company and Bank One, NA, as</w:t>
              </w:r>
            </w:hyperlink>
          </w:p>
        </w:tc>
        <w:tc>
          <w:tcPr>
            <w:tcW w:w="720" w:type="dxa"/>
            <w:vAlign w:val="bottom"/>
            <w:gridSpan w:val="16"/>
          </w:tcPr>
          <w:p>
            <w:pPr>
              <w:spacing w:after="0"/>
              <w:rPr>
                <w:sz w:val="19"/>
                <w:szCs w:val="19"/>
                <w:color w:val="auto"/>
              </w:rPr>
            </w:pPr>
          </w:p>
        </w:tc>
      </w:tr>
      <w:tr>
        <w:trPr>
          <w:trHeight w:val="169"/>
        </w:trPr>
        <w:tc>
          <w:tcPr>
            <w:tcW w:w="1080" w:type="dxa"/>
            <w:vAlign w:val="bottom"/>
          </w:tcPr>
          <w:p>
            <w:pPr>
              <w:spacing w:after="0"/>
              <w:rPr>
                <w:sz w:val="14"/>
                <w:szCs w:val="14"/>
                <w:color w:val="auto"/>
              </w:rPr>
            </w:pPr>
          </w:p>
        </w:tc>
        <w:tc>
          <w:tcPr>
            <w:tcW w:w="10340" w:type="dxa"/>
            <w:vAlign w:val="bottom"/>
            <w:gridSpan w:val="36"/>
          </w:tcPr>
          <w:p>
            <w:pPr>
              <w:spacing w:after="0" w:line="169" w:lineRule="exact"/>
              <w:rPr>
                <w:rFonts w:ascii="Arial" w:cs="Arial" w:eastAsia="Arial" w:hAnsi="Arial"/>
                <w:sz w:val="17"/>
                <w:szCs w:val="17"/>
                <w:color w:val="0000FF"/>
              </w:rPr>
            </w:pPr>
            <w:hyperlink r:id="rId16">
              <w:r>
                <w:rPr>
                  <w:rFonts w:ascii="Arial" w:cs="Arial" w:eastAsia="Arial" w:hAnsi="Arial"/>
                  <w:sz w:val="17"/>
                  <w:szCs w:val="17"/>
                  <w:color w:val="0000FF"/>
                </w:rPr>
                <w:t>successor to The First National Bank of Chicago, as Trustee, to the Indenture dated as of February 17, 1999, between The Company</w:t>
              </w:r>
            </w:hyperlink>
          </w:p>
        </w:tc>
      </w:tr>
      <w:tr>
        <w:trPr>
          <w:trHeight w:val="20"/>
        </w:trPr>
        <w:tc>
          <w:tcPr>
            <w:tcW w:w="1080" w:type="dxa"/>
            <w:vAlign w:val="bottom"/>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1960" w:type="dxa"/>
            <w:vAlign w:val="bottom"/>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500" w:type="dxa"/>
            <w:vAlign w:val="bottom"/>
            <w:shd w:val="clear" w:color="auto" w:fill="0000FF"/>
          </w:tcPr>
          <w:p>
            <w:pPr>
              <w:spacing w:after="0" w:line="20" w:lineRule="exact"/>
              <w:rPr>
                <w:sz w:val="1"/>
                <w:szCs w:val="1"/>
                <w:color w:val="auto"/>
              </w:rPr>
            </w:pPr>
          </w:p>
        </w:tc>
        <w:tc>
          <w:tcPr>
            <w:tcW w:w="660" w:type="dxa"/>
            <w:vAlign w:val="bottom"/>
            <w:shd w:val="clear" w:color="auto" w:fill="0000FF"/>
          </w:tcPr>
          <w:p>
            <w:pPr>
              <w:spacing w:after="0" w:line="20" w:lineRule="exact"/>
              <w:rPr>
                <w:sz w:val="1"/>
                <w:szCs w:val="1"/>
                <w:color w:val="auto"/>
              </w:rPr>
            </w:pPr>
          </w:p>
        </w:tc>
        <w:tc>
          <w:tcPr>
            <w:tcW w:w="1360" w:type="dxa"/>
            <w:vAlign w:val="bottom"/>
            <w:gridSpan w:val="2"/>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980" w:type="dxa"/>
            <w:vAlign w:val="bottom"/>
            <w:gridSpan w:val="3"/>
            <w:shd w:val="clear" w:color="auto" w:fill="0000FF"/>
          </w:tcPr>
          <w:p>
            <w:pPr>
              <w:spacing w:after="0" w:line="20" w:lineRule="exact"/>
              <w:rPr>
                <w:sz w:val="1"/>
                <w:szCs w:val="1"/>
                <w:color w:val="auto"/>
              </w:rPr>
            </w:pPr>
          </w:p>
        </w:tc>
        <w:tc>
          <w:tcPr>
            <w:tcW w:w="1240" w:type="dxa"/>
            <w:vAlign w:val="bottom"/>
            <w:gridSpan w:val="2"/>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80" w:type="dxa"/>
            <w:vAlign w:val="bottom"/>
            <w:gridSpan w:val="3"/>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169"/>
        </w:trPr>
        <w:tc>
          <w:tcPr>
            <w:tcW w:w="1080" w:type="dxa"/>
            <w:vAlign w:val="bottom"/>
          </w:tcPr>
          <w:p>
            <w:pPr>
              <w:spacing w:after="0"/>
              <w:rPr>
                <w:sz w:val="14"/>
                <w:szCs w:val="14"/>
                <w:color w:val="auto"/>
              </w:rPr>
            </w:pPr>
          </w:p>
        </w:tc>
        <w:tc>
          <w:tcPr>
            <w:tcW w:w="10200" w:type="dxa"/>
            <w:vAlign w:val="bottom"/>
            <w:tcBorders>
              <w:bottom w:val="single" w:sz="8" w:color="0000FF"/>
            </w:tcBorders>
            <w:gridSpan w:val="32"/>
          </w:tcPr>
          <w:p>
            <w:pPr>
              <w:spacing w:after="0" w:line="169" w:lineRule="exact"/>
              <w:rPr>
                <w:rFonts w:ascii="Arial" w:cs="Arial" w:eastAsia="Arial" w:hAnsi="Arial"/>
                <w:sz w:val="17"/>
                <w:szCs w:val="17"/>
                <w:color w:val="0000FF"/>
              </w:rPr>
            </w:pPr>
            <w:hyperlink r:id="rId16">
              <w:r>
                <w:rPr>
                  <w:rFonts w:ascii="Arial" w:cs="Arial" w:eastAsia="Arial" w:hAnsi="Arial"/>
                  <w:sz w:val="17"/>
                  <w:szCs w:val="17"/>
                  <w:color w:val="0000FF"/>
                </w:rPr>
                <w:t>and The First National Bank of Chicago, as Trustee (incorporated by reference to Exhibit 4.1 to the Company’s Current Report on Form</w:t>
              </w:r>
            </w:hyperlink>
          </w:p>
        </w:tc>
        <w:tc>
          <w:tcPr>
            <w:tcW w:w="140" w:type="dxa"/>
            <w:vAlign w:val="bottom"/>
            <w:gridSpan w:val="4"/>
          </w:tcPr>
          <w:p>
            <w:pPr>
              <w:spacing w:after="0"/>
              <w:rPr>
                <w:sz w:val="14"/>
                <w:szCs w:val="14"/>
                <w:color w:val="auto"/>
              </w:rPr>
            </w:pPr>
          </w:p>
        </w:tc>
      </w:tr>
      <w:tr>
        <w:trPr>
          <w:trHeight w:val="169"/>
        </w:trPr>
        <w:tc>
          <w:tcPr>
            <w:tcW w:w="1080" w:type="dxa"/>
            <w:vAlign w:val="bottom"/>
          </w:tcPr>
          <w:p>
            <w:pPr>
              <w:spacing w:after="0"/>
              <w:rPr>
                <w:sz w:val="14"/>
                <w:szCs w:val="14"/>
                <w:color w:val="auto"/>
              </w:rPr>
            </w:pPr>
          </w:p>
        </w:tc>
        <w:tc>
          <w:tcPr>
            <w:tcW w:w="2440" w:type="dxa"/>
            <w:vAlign w:val="bottom"/>
            <w:tcBorders>
              <w:bottom w:val="single" w:sz="8" w:color="0000FF"/>
            </w:tcBorders>
            <w:gridSpan w:val="3"/>
          </w:tcPr>
          <w:p>
            <w:pPr>
              <w:spacing w:after="0" w:line="169" w:lineRule="exact"/>
              <w:rPr>
                <w:rFonts w:ascii="Arial" w:cs="Arial" w:eastAsia="Arial" w:hAnsi="Arial"/>
                <w:sz w:val="17"/>
                <w:szCs w:val="17"/>
                <w:color w:val="0000FF"/>
                <w:w w:val="99"/>
              </w:rPr>
            </w:pPr>
            <w:hyperlink r:id="rId16">
              <w:r>
                <w:rPr>
                  <w:rFonts w:ascii="Arial" w:cs="Arial" w:eastAsia="Arial" w:hAnsi="Arial"/>
                  <w:sz w:val="17"/>
                  <w:szCs w:val="17"/>
                  <w:color w:val="0000FF"/>
                  <w:w w:val="99"/>
                </w:rPr>
                <w:t>8-K dated September 22, 2003).</w:t>
              </w:r>
            </w:hyperlink>
          </w:p>
        </w:tc>
        <w:tc>
          <w:tcPr>
            <w:tcW w:w="7900" w:type="dxa"/>
            <w:vAlign w:val="bottom"/>
            <w:gridSpan w:val="33"/>
          </w:tcPr>
          <w:p>
            <w:pPr>
              <w:spacing w:after="0"/>
              <w:rPr>
                <w:sz w:val="14"/>
                <w:szCs w:val="14"/>
                <w:color w:val="auto"/>
              </w:rPr>
            </w:pPr>
          </w:p>
        </w:tc>
      </w:tr>
      <w:tr>
        <w:trPr>
          <w:trHeight w:val="223"/>
        </w:trPr>
        <w:tc>
          <w:tcPr>
            <w:tcW w:w="1080" w:type="dxa"/>
            <w:vAlign w:val="bottom"/>
          </w:tcPr>
          <w:p>
            <w:pPr>
              <w:jc w:val="right"/>
              <w:ind w:right="336"/>
              <w:spacing w:after="0"/>
              <w:rPr>
                <w:sz w:val="20"/>
                <w:szCs w:val="20"/>
                <w:color w:val="auto"/>
              </w:rPr>
            </w:pPr>
            <w:r>
              <w:rPr>
                <w:rFonts w:ascii="Arial" w:cs="Arial" w:eastAsia="Arial" w:hAnsi="Arial"/>
                <w:sz w:val="17"/>
                <w:szCs w:val="17"/>
                <w:color w:val="auto"/>
              </w:rPr>
              <w:t>4.3</w:t>
            </w:r>
          </w:p>
        </w:tc>
        <w:tc>
          <w:tcPr>
            <w:tcW w:w="9960" w:type="dxa"/>
            <w:vAlign w:val="bottom"/>
            <w:tcBorders>
              <w:bottom w:val="single" w:sz="8" w:color="0000FF"/>
            </w:tcBorders>
            <w:gridSpan w:val="24"/>
          </w:tcPr>
          <w:p>
            <w:pPr>
              <w:spacing w:after="0"/>
              <w:rPr>
                <w:rFonts w:ascii="Arial" w:cs="Arial" w:eastAsia="Arial" w:hAnsi="Arial"/>
                <w:sz w:val="17"/>
                <w:szCs w:val="17"/>
                <w:color w:val="0000FF"/>
                <w:w w:val="99"/>
              </w:rPr>
            </w:pPr>
            <w:hyperlink r:id="rId17">
              <w:r>
                <w:rPr>
                  <w:rFonts w:ascii="Arial" w:cs="Arial" w:eastAsia="Arial" w:hAnsi="Arial"/>
                  <w:sz w:val="17"/>
                  <w:szCs w:val="17"/>
                  <w:color w:val="0000FF"/>
                  <w:w w:val="99"/>
                </w:rPr>
                <w:t>Second Supplemental Indenture dated January 30, 2009, between the Company and The Bank of New York Mellon Trust Company,</w:t>
              </w:r>
            </w:hyperlink>
          </w:p>
        </w:tc>
        <w:tc>
          <w:tcPr>
            <w:tcW w:w="380" w:type="dxa"/>
            <w:vAlign w:val="bottom"/>
            <w:gridSpan w:val="12"/>
          </w:tcPr>
          <w:p>
            <w:pPr>
              <w:spacing w:after="0"/>
              <w:rPr>
                <w:sz w:val="19"/>
                <w:szCs w:val="19"/>
                <w:color w:val="auto"/>
              </w:rPr>
            </w:pPr>
          </w:p>
        </w:tc>
      </w:tr>
      <w:tr>
        <w:trPr>
          <w:trHeight w:val="169"/>
        </w:trPr>
        <w:tc>
          <w:tcPr>
            <w:tcW w:w="1080" w:type="dxa"/>
            <w:vAlign w:val="bottom"/>
          </w:tcPr>
          <w:p>
            <w:pPr>
              <w:spacing w:after="0"/>
              <w:rPr>
                <w:sz w:val="14"/>
                <w:szCs w:val="14"/>
                <w:color w:val="auto"/>
              </w:rPr>
            </w:pPr>
          </w:p>
        </w:tc>
        <w:tc>
          <w:tcPr>
            <w:tcW w:w="10340" w:type="dxa"/>
            <w:vAlign w:val="bottom"/>
            <w:gridSpan w:val="36"/>
          </w:tcPr>
          <w:p>
            <w:pPr>
              <w:spacing w:after="0" w:line="169" w:lineRule="exact"/>
              <w:rPr>
                <w:rFonts w:ascii="Arial" w:cs="Arial" w:eastAsia="Arial" w:hAnsi="Arial"/>
                <w:sz w:val="17"/>
                <w:szCs w:val="17"/>
                <w:color w:val="0000FF"/>
              </w:rPr>
            </w:pPr>
            <w:hyperlink r:id="rId17">
              <w:r>
                <w:rPr>
                  <w:rFonts w:ascii="Arial" w:cs="Arial" w:eastAsia="Arial" w:hAnsi="Arial"/>
                  <w:sz w:val="17"/>
                  <w:szCs w:val="17"/>
                  <w:color w:val="0000FF"/>
                </w:rPr>
                <w:t>N.A., as successor to The First National Bank of Chicago, as Trustee (incorporated by reference to Exhibit 10.2 to the Company’s</w:t>
              </w:r>
            </w:hyperlink>
          </w:p>
        </w:tc>
      </w:tr>
      <w:tr>
        <w:trPr>
          <w:trHeight w:val="169"/>
        </w:trPr>
        <w:tc>
          <w:tcPr>
            <w:tcW w:w="1080" w:type="dxa"/>
            <w:vAlign w:val="bottom"/>
          </w:tcPr>
          <w:p>
            <w:pPr>
              <w:spacing w:after="0"/>
              <w:rPr>
                <w:sz w:val="14"/>
                <w:szCs w:val="14"/>
                <w:color w:val="auto"/>
              </w:rPr>
            </w:pPr>
          </w:p>
        </w:tc>
        <w:tc>
          <w:tcPr>
            <w:tcW w:w="3960" w:type="dxa"/>
            <w:vAlign w:val="bottom"/>
            <w:tcBorders>
              <w:top w:val="single" w:sz="8" w:color="0000FF"/>
              <w:bottom w:val="single" w:sz="8" w:color="0000FF"/>
            </w:tcBorders>
            <w:gridSpan w:val="5"/>
          </w:tcPr>
          <w:p>
            <w:pPr>
              <w:spacing w:after="0" w:line="169" w:lineRule="exact"/>
              <w:rPr>
                <w:rFonts w:ascii="Arial" w:cs="Arial" w:eastAsia="Arial" w:hAnsi="Arial"/>
                <w:sz w:val="17"/>
                <w:szCs w:val="17"/>
                <w:color w:val="0000FF"/>
                <w:w w:val="99"/>
              </w:rPr>
            </w:pPr>
            <w:hyperlink r:id="rId17">
              <w:r>
                <w:rPr>
                  <w:rFonts w:ascii="Arial" w:cs="Arial" w:eastAsia="Arial" w:hAnsi="Arial"/>
                  <w:sz w:val="17"/>
                  <w:szCs w:val="17"/>
                  <w:color w:val="0000FF"/>
                  <w:w w:val="99"/>
                </w:rPr>
                <w:t>Current Report on Form 8-K filed January 30, 2009).</w:t>
              </w:r>
            </w:hyperlink>
          </w:p>
        </w:tc>
        <w:tc>
          <w:tcPr>
            <w:tcW w:w="5800" w:type="dxa"/>
            <w:vAlign w:val="bottom"/>
            <w:tcBorders>
              <w:top w:val="single" w:sz="8" w:color="0000FF"/>
            </w:tcBorders>
            <w:gridSpan w:val="18"/>
          </w:tcPr>
          <w:p>
            <w:pPr>
              <w:spacing w:after="0"/>
              <w:rPr>
                <w:sz w:val="14"/>
                <w:szCs w:val="14"/>
                <w:color w:val="auto"/>
              </w:rPr>
            </w:pPr>
          </w:p>
        </w:tc>
        <w:tc>
          <w:tcPr>
            <w:tcW w:w="580" w:type="dxa"/>
            <w:vAlign w:val="bottom"/>
            <w:gridSpan w:val="13"/>
          </w:tcPr>
          <w:p>
            <w:pPr>
              <w:spacing w:after="0"/>
              <w:rPr>
                <w:sz w:val="14"/>
                <w:szCs w:val="14"/>
                <w:color w:val="auto"/>
              </w:rPr>
            </w:pPr>
          </w:p>
        </w:tc>
      </w:tr>
      <w:tr>
        <w:trPr>
          <w:trHeight w:val="223"/>
        </w:trPr>
        <w:tc>
          <w:tcPr>
            <w:tcW w:w="1080" w:type="dxa"/>
            <w:vAlign w:val="bottom"/>
          </w:tcPr>
          <w:p>
            <w:pPr>
              <w:jc w:val="right"/>
              <w:ind w:right="336"/>
              <w:spacing w:after="0"/>
              <w:rPr>
                <w:sz w:val="20"/>
                <w:szCs w:val="20"/>
                <w:color w:val="auto"/>
              </w:rPr>
            </w:pPr>
            <w:r>
              <w:rPr>
                <w:rFonts w:ascii="Arial" w:cs="Arial" w:eastAsia="Arial" w:hAnsi="Arial"/>
                <w:sz w:val="17"/>
                <w:szCs w:val="17"/>
                <w:color w:val="auto"/>
              </w:rPr>
              <w:t>10.1</w:t>
            </w:r>
          </w:p>
        </w:tc>
        <w:tc>
          <w:tcPr>
            <w:tcW w:w="10340" w:type="dxa"/>
            <w:vAlign w:val="bottom"/>
            <w:gridSpan w:val="36"/>
          </w:tcPr>
          <w:p>
            <w:pPr>
              <w:spacing w:after="0"/>
              <w:rPr>
                <w:rFonts w:ascii="Arial" w:cs="Arial" w:eastAsia="Arial" w:hAnsi="Arial"/>
                <w:sz w:val="17"/>
                <w:szCs w:val="17"/>
                <w:color w:val="0000FF"/>
              </w:rPr>
            </w:pPr>
            <w:hyperlink r:id="rId18">
              <w:r>
                <w:rPr>
                  <w:rFonts w:ascii="Arial" w:cs="Arial" w:eastAsia="Arial" w:hAnsi="Arial"/>
                  <w:sz w:val="17"/>
                  <w:szCs w:val="17"/>
                  <w:color w:val="0000FF"/>
                </w:rPr>
                <w:t>Graham Holdings Company 2012 Incentive Compensation Plan, as amended and restated effective November 29, 2013, as adjusted to</w:t>
              </w:r>
            </w:hyperlink>
          </w:p>
        </w:tc>
      </w:tr>
      <w:tr>
        <w:trPr>
          <w:trHeight w:val="169"/>
        </w:trPr>
        <w:tc>
          <w:tcPr>
            <w:tcW w:w="1080" w:type="dxa"/>
            <w:vAlign w:val="bottom"/>
          </w:tcPr>
          <w:p>
            <w:pPr>
              <w:spacing w:after="0"/>
              <w:rPr>
                <w:sz w:val="14"/>
                <w:szCs w:val="14"/>
                <w:color w:val="auto"/>
              </w:rPr>
            </w:pPr>
          </w:p>
        </w:tc>
        <w:tc>
          <w:tcPr>
            <w:tcW w:w="10000" w:type="dxa"/>
            <w:vAlign w:val="bottom"/>
            <w:tcBorders>
              <w:top w:val="single" w:sz="8" w:color="0000FF"/>
              <w:bottom w:val="single" w:sz="8" w:color="0000FF"/>
            </w:tcBorders>
            <w:gridSpan w:val="25"/>
          </w:tcPr>
          <w:p>
            <w:pPr>
              <w:spacing w:after="0" w:line="169" w:lineRule="exact"/>
              <w:rPr>
                <w:rFonts w:ascii="Arial" w:cs="Arial" w:eastAsia="Arial" w:hAnsi="Arial"/>
                <w:sz w:val="17"/>
                <w:szCs w:val="17"/>
                <w:color w:val="0000FF"/>
              </w:rPr>
            </w:pPr>
            <w:hyperlink r:id="rId18">
              <w:r>
                <w:rPr>
                  <w:rFonts w:ascii="Arial" w:cs="Arial" w:eastAsia="Arial" w:hAnsi="Arial"/>
                  <w:sz w:val="17"/>
                  <w:szCs w:val="17"/>
                  <w:color w:val="0000FF"/>
                </w:rPr>
                <w:t>reflect the spin-off of Cable ONE. (incorporated by reference to Exhibit 10.1 to Company’s Annual Report on Form 10-K for the fiscal</w:t>
              </w:r>
            </w:hyperlink>
          </w:p>
        </w:tc>
        <w:tc>
          <w:tcPr>
            <w:tcW w:w="220" w:type="dxa"/>
            <w:vAlign w:val="bottom"/>
            <w:tcBorders>
              <w:top w:val="single" w:sz="8" w:color="0000FF"/>
            </w:tcBorders>
            <w:gridSpan w:val="8"/>
          </w:tcPr>
          <w:p>
            <w:pPr>
              <w:spacing w:after="0"/>
              <w:rPr>
                <w:sz w:val="14"/>
                <w:szCs w:val="14"/>
                <w:color w:val="auto"/>
              </w:rPr>
            </w:pPr>
          </w:p>
        </w:tc>
        <w:tc>
          <w:tcPr>
            <w:tcW w:w="120" w:type="dxa"/>
            <w:vAlign w:val="bottom"/>
            <w:gridSpan w:val="3"/>
          </w:tcPr>
          <w:p>
            <w:pPr>
              <w:spacing w:after="0"/>
              <w:rPr>
                <w:sz w:val="14"/>
                <w:szCs w:val="14"/>
                <w:color w:val="auto"/>
              </w:rPr>
            </w:pPr>
          </w:p>
        </w:tc>
      </w:tr>
      <w:tr>
        <w:trPr>
          <w:trHeight w:val="169"/>
        </w:trPr>
        <w:tc>
          <w:tcPr>
            <w:tcW w:w="1080" w:type="dxa"/>
            <w:vAlign w:val="bottom"/>
          </w:tcPr>
          <w:p>
            <w:pPr>
              <w:spacing w:after="0"/>
              <w:rPr>
                <w:sz w:val="14"/>
                <w:szCs w:val="14"/>
                <w:color w:val="auto"/>
              </w:rPr>
            </w:pPr>
          </w:p>
        </w:tc>
        <w:tc>
          <w:tcPr>
            <w:tcW w:w="10340" w:type="dxa"/>
            <w:vAlign w:val="bottom"/>
            <w:gridSpan w:val="36"/>
          </w:tcPr>
          <w:p>
            <w:pPr>
              <w:spacing w:after="0" w:line="169" w:lineRule="exact"/>
              <w:rPr>
                <w:rFonts w:ascii="Arial" w:cs="Arial" w:eastAsia="Arial" w:hAnsi="Arial"/>
                <w:sz w:val="17"/>
                <w:szCs w:val="17"/>
                <w:color w:val="0000FF"/>
              </w:rPr>
            </w:pPr>
            <w:hyperlink r:id="rId18">
              <w:r>
                <w:rPr>
                  <w:rFonts w:ascii="Arial" w:cs="Arial" w:eastAsia="Arial" w:hAnsi="Arial"/>
                  <w:sz w:val="17"/>
                  <w:szCs w:val="17"/>
                  <w:color w:val="0000FF"/>
                </w:rPr>
                <w:t>year ended December 31, 2015)</w:t>
              </w:r>
              <w:r>
                <w:rPr>
                  <w:rFonts w:ascii="Arial" w:cs="Arial" w:eastAsia="Arial" w:hAnsi="Arial"/>
                  <w:sz w:val="17"/>
                  <w:szCs w:val="17"/>
                  <w:color w:val="000000"/>
                </w:rPr>
                <w:t>*</w:t>
              </w:r>
            </w:hyperlink>
          </w:p>
        </w:tc>
      </w:tr>
      <w:tr>
        <w:trPr>
          <w:trHeight w:val="20"/>
        </w:trPr>
        <w:tc>
          <w:tcPr>
            <w:tcW w:w="1080" w:type="dxa"/>
            <w:vAlign w:val="bottom"/>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1980" w:type="dxa"/>
            <w:vAlign w:val="bottom"/>
            <w:gridSpan w:val="3"/>
            <w:shd w:val="clear" w:color="auto" w:fill="0000FF"/>
          </w:tcPr>
          <w:p>
            <w:pPr>
              <w:spacing w:after="0" w:line="20" w:lineRule="exact"/>
              <w:rPr>
                <w:sz w:val="1"/>
                <w:szCs w:val="1"/>
                <w:color w:val="auto"/>
              </w:rPr>
            </w:pPr>
          </w:p>
        </w:tc>
        <w:tc>
          <w:tcPr>
            <w:tcW w:w="2160" w:type="dxa"/>
            <w:vAlign w:val="bottom"/>
            <w:gridSpan w:val="2"/>
          </w:tcPr>
          <w:p>
            <w:pPr>
              <w:spacing w:after="0" w:line="20" w:lineRule="exact"/>
              <w:rPr>
                <w:sz w:val="1"/>
                <w:szCs w:val="1"/>
                <w:color w:val="auto"/>
              </w:rPr>
            </w:pPr>
          </w:p>
        </w:tc>
        <w:tc>
          <w:tcPr>
            <w:tcW w:w="136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80" w:type="dxa"/>
            <w:vAlign w:val="bottom"/>
            <w:gridSpan w:val="3"/>
          </w:tcPr>
          <w:p>
            <w:pPr>
              <w:spacing w:after="0" w:line="20" w:lineRule="exact"/>
              <w:rPr>
                <w:sz w:val="1"/>
                <w:szCs w:val="1"/>
                <w:color w:val="auto"/>
              </w:rPr>
            </w:pPr>
          </w:p>
        </w:tc>
        <w:tc>
          <w:tcPr>
            <w:tcW w:w="124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gridSpan w:val="4"/>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23"/>
        </w:trPr>
        <w:tc>
          <w:tcPr>
            <w:tcW w:w="1080" w:type="dxa"/>
            <w:vAlign w:val="bottom"/>
          </w:tcPr>
          <w:p>
            <w:pPr>
              <w:jc w:val="right"/>
              <w:ind w:right="336"/>
              <w:spacing w:after="0"/>
              <w:rPr>
                <w:sz w:val="20"/>
                <w:szCs w:val="20"/>
                <w:color w:val="auto"/>
              </w:rPr>
            </w:pPr>
            <w:r>
              <w:rPr>
                <w:rFonts w:ascii="Arial" w:cs="Arial" w:eastAsia="Arial" w:hAnsi="Arial"/>
                <w:sz w:val="17"/>
                <w:szCs w:val="17"/>
                <w:color w:val="auto"/>
              </w:rPr>
              <w:t>10.2</w:t>
            </w:r>
          </w:p>
        </w:tc>
        <w:tc>
          <w:tcPr>
            <w:tcW w:w="10340" w:type="dxa"/>
            <w:vAlign w:val="bottom"/>
            <w:gridSpan w:val="36"/>
          </w:tcPr>
          <w:p>
            <w:pPr>
              <w:spacing w:after="0"/>
              <w:rPr>
                <w:rFonts w:ascii="Arial" w:cs="Arial" w:eastAsia="Arial" w:hAnsi="Arial"/>
                <w:sz w:val="17"/>
                <w:szCs w:val="17"/>
                <w:color w:val="0000FF"/>
              </w:rPr>
            </w:pPr>
            <w:hyperlink r:id="rId19">
              <w:r>
                <w:rPr>
                  <w:rFonts w:ascii="Arial" w:cs="Arial" w:eastAsia="Arial" w:hAnsi="Arial"/>
                  <w:sz w:val="17"/>
                  <w:szCs w:val="17"/>
                  <w:color w:val="0000FF"/>
                </w:rPr>
                <w:t>Washington Post Company Stock Option Plan as amended and restated effective May 31, 2003 (incorporated by reference to Exhibit</w:t>
              </w:r>
            </w:hyperlink>
          </w:p>
        </w:tc>
      </w:tr>
      <w:tr>
        <w:trPr>
          <w:trHeight w:val="169"/>
        </w:trPr>
        <w:tc>
          <w:tcPr>
            <w:tcW w:w="1080" w:type="dxa"/>
            <w:vAlign w:val="bottom"/>
          </w:tcPr>
          <w:p>
            <w:pPr>
              <w:spacing w:after="0"/>
              <w:rPr>
                <w:sz w:val="14"/>
                <w:szCs w:val="14"/>
                <w:color w:val="auto"/>
              </w:rPr>
            </w:pPr>
          </w:p>
        </w:tc>
        <w:tc>
          <w:tcPr>
            <w:tcW w:w="10040" w:type="dxa"/>
            <w:vAlign w:val="bottom"/>
            <w:tcBorders>
              <w:top w:val="single" w:sz="8" w:color="0000FF"/>
            </w:tcBorders>
            <w:gridSpan w:val="26"/>
          </w:tcPr>
          <w:p>
            <w:pPr>
              <w:spacing w:after="0" w:line="169" w:lineRule="exact"/>
              <w:rPr>
                <w:rFonts w:ascii="Arial" w:cs="Arial" w:eastAsia="Arial" w:hAnsi="Arial"/>
                <w:sz w:val="17"/>
                <w:szCs w:val="17"/>
                <w:color w:val="0000FF"/>
              </w:rPr>
            </w:pPr>
            <w:hyperlink r:id="rId19">
              <w:r>
                <w:rPr>
                  <w:rFonts w:ascii="Arial" w:cs="Arial" w:eastAsia="Arial" w:hAnsi="Arial"/>
                  <w:sz w:val="17"/>
                  <w:szCs w:val="17"/>
                  <w:color w:val="0000FF"/>
                </w:rPr>
                <w:t>10.</w:t>
              </w:r>
              <w:r>
                <w:rPr>
                  <w:rFonts w:ascii="Arial" w:cs="Arial" w:eastAsia="Arial" w:hAnsi="Arial"/>
                  <w:sz w:val="17"/>
                  <w:szCs w:val="17"/>
                  <w:u w:val="single" w:color="auto"/>
                  <w:color w:val="0000FF"/>
                </w:rPr>
                <w:t>1</w:t>
              </w:r>
              <w:r>
                <w:rPr>
                  <w:rFonts w:ascii="Arial" w:cs="Arial" w:eastAsia="Arial" w:hAnsi="Arial"/>
                  <w:sz w:val="17"/>
                  <w:szCs w:val="17"/>
                  <w:color w:val="0000FF"/>
                </w:rPr>
                <w:t xml:space="preserve"> to The Washington Post Company’s Quarterly Report on Form 10-Q for the quarter ended September 28, 2003).</w:t>
              </w:r>
              <w:r>
                <w:rPr>
                  <w:rFonts w:ascii="Arial" w:cs="Arial" w:eastAsia="Arial" w:hAnsi="Arial"/>
                  <w:sz w:val="17"/>
                  <w:szCs w:val="17"/>
                  <w:color w:val="000000"/>
                </w:rPr>
                <w:t>*</w:t>
              </w:r>
            </w:hyperlink>
          </w:p>
        </w:tc>
        <w:tc>
          <w:tcPr>
            <w:tcW w:w="300" w:type="dxa"/>
            <w:vAlign w:val="bottom"/>
            <w:gridSpan w:val="10"/>
          </w:tcPr>
          <w:p>
            <w:pPr>
              <w:spacing w:after="0"/>
              <w:rPr>
                <w:sz w:val="14"/>
                <w:szCs w:val="14"/>
                <w:color w:val="auto"/>
              </w:rPr>
            </w:pPr>
          </w:p>
        </w:tc>
      </w:tr>
      <w:tr>
        <w:trPr>
          <w:trHeight w:val="20"/>
        </w:trPr>
        <w:tc>
          <w:tcPr>
            <w:tcW w:w="1080" w:type="dxa"/>
            <w:vAlign w:val="bottom"/>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4140" w:type="dxa"/>
            <w:vAlign w:val="bottom"/>
            <w:gridSpan w:val="5"/>
            <w:shd w:val="clear" w:color="auto" w:fill="0000FF"/>
          </w:tcPr>
          <w:p>
            <w:pPr>
              <w:spacing w:after="0" w:line="20" w:lineRule="exact"/>
              <w:rPr>
                <w:sz w:val="1"/>
                <w:szCs w:val="1"/>
                <w:color w:val="auto"/>
              </w:rPr>
            </w:pPr>
          </w:p>
        </w:tc>
        <w:tc>
          <w:tcPr>
            <w:tcW w:w="1360" w:type="dxa"/>
            <w:vAlign w:val="bottom"/>
            <w:gridSpan w:val="2"/>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980" w:type="dxa"/>
            <w:vAlign w:val="bottom"/>
            <w:gridSpan w:val="3"/>
            <w:shd w:val="clear" w:color="auto" w:fill="0000FF"/>
          </w:tcPr>
          <w:p>
            <w:pPr>
              <w:spacing w:after="0" w:line="20" w:lineRule="exact"/>
              <w:rPr>
                <w:sz w:val="1"/>
                <w:szCs w:val="1"/>
                <w:color w:val="auto"/>
              </w:rPr>
            </w:pPr>
          </w:p>
        </w:tc>
        <w:tc>
          <w:tcPr>
            <w:tcW w:w="1240" w:type="dxa"/>
            <w:vAlign w:val="bottom"/>
            <w:gridSpan w:val="2"/>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gridSpan w:val="4"/>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23"/>
        </w:trPr>
        <w:tc>
          <w:tcPr>
            <w:tcW w:w="1080" w:type="dxa"/>
            <w:vAlign w:val="bottom"/>
          </w:tcPr>
          <w:p>
            <w:pPr>
              <w:jc w:val="right"/>
              <w:ind w:right="336"/>
              <w:spacing w:after="0"/>
              <w:rPr>
                <w:sz w:val="20"/>
                <w:szCs w:val="20"/>
                <w:color w:val="auto"/>
              </w:rPr>
            </w:pPr>
            <w:r>
              <w:rPr>
                <w:rFonts w:ascii="Arial" w:cs="Arial" w:eastAsia="Arial" w:hAnsi="Arial"/>
                <w:sz w:val="17"/>
                <w:szCs w:val="17"/>
                <w:color w:val="auto"/>
              </w:rPr>
              <w:t>10.3</w:t>
            </w:r>
          </w:p>
        </w:tc>
        <w:tc>
          <w:tcPr>
            <w:tcW w:w="9480" w:type="dxa"/>
            <w:vAlign w:val="bottom"/>
            <w:tcBorders>
              <w:bottom w:val="single" w:sz="8" w:color="0000FF"/>
            </w:tcBorders>
            <w:gridSpan w:val="18"/>
          </w:tcPr>
          <w:p>
            <w:pPr>
              <w:spacing w:after="0"/>
              <w:rPr>
                <w:rFonts w:ascii="Arial" w:cs="Arial" w:eastAsia="Arial" w:hAnsi="Arial"/>
                <w:sz w:val="17"/>
                <w:szCs w:val="17"/>
                <w:color w:val="0000FF"/>
              </w:rPr>
            </w:pPr>
            <w:hyperlink r:id="rId20">
              <w:r>
                <w:rPr>
                  <w:rFonts w:ascii="Arial" w:cs="Arial" w:eastAsia="Arial" w:hAnsi="Arial"/>
                  <w:sz w:val="17"/>
                  <w:szCs w:val="17"/>
                  <w:color w:val="0000FF"/>
                </w:rPr>
                <w:t>Graham Holdings Company Supplemental Executive Retirement Plan as amended and restated effective December 10, 2013</w:t>
              </w:r>
            </w:hyperlink>
          </w:p>
        </w:tc>
        <w:tc>
          <w:tcPr>
            <w:tcW w:w="860" w:type="dxa"/>
            <w:vAlign w:val="bottom"/>
            <w:gridSpan w:val="18"/>
          </w:tcPr>
          <w:p>
            <w:pPr>
              <w:spacing w:after="0"/>
              <w:rPr>
                <w:sz w:val="19"/>
                <w:szCs w:val="19"/>
                <w:color w:val="auto"/>
              </w:rPr>
            </w:pPr>
          </w:p>
        </w:tc>
      </w:tr>
      <w:tr>
        <w:trPr>
          <w:trHeight w:val="169"/>
        </w:trPr>
        <w:tc>
          <w:tcPr>
            <w:tcW w:w="1080" w:type="dxa"/>
            <w:vAlign w:val="bottom"/>
          </w:tcPr>
          <w:p>
            <w:pPr>
              <w:spacing w:after="0"/>
              <w:rPr>
                <w:sz w:val="14"/>
                <w:szCs w:val="14"/>
                <w:color w:val="auto"/>
              </w:rPr>
            </w:pPr>
          </w:p>
        </w:tc>
        <w:tc>
          <w:tcPr>
            <w:tcW w:w="10340" w:type="dxa"/>
            <w:vAlign w:val="bottom"/>
            <w:gridSpan w:val="36"/>
          </w:tcPr>
          <w:p>
            <w:pPr>
              <w:spacing w:after="0" w:line="169" w:lineRule="exact"/>
              <w:rPr>
                <w:rFonts w:ascii="Arial" w:cs="Arial" w:eastAsia="Arial" w:hAnsi="Arial"/>
                <w:sz w:val="17"/>
                <w:szCs w:val="17"/>
                <w:color w:val="0000FF"/>
              </w:rPr>
            </w:pPr>
            <w:hyperlink r:id="rId20">
              <w:r>
                <w:rPr>
                  <w:rFonts w:ascii="Arial" w:cs="Arial" w:eastAsia="Arial" w:hAnsi="Arial"/>
                  <w:sz w:val="17"/>
                  <w:szCs w:val="17"/>
                  <w:color w:val="0000FF"/>
                </w:rPr>
                <w:t>(incorporated by reference to Exhibit 10.3 to Company’s Annual Report on Form 10-K for the fiscal year ended December 31, 2013).</w:t>
              </w:r>
            </w:hyperlink>
            <w:r>
              <w:rPr>
                <w:rFonts w:ascii="Arial" w:cs="Arial" w:eastAsia="Arial" w:hAnsi="Arial"/>
                <w:sz w:val="17"/>
                <w:szCs w:val="17"/>
                <w:color w:val="000000"/>
              </w:rPr>
              <w:t>*</w:t>
            </w:r>
          </w:p>
        </w:tc>
      </w:tr>
      <w:tr>
        <w:trPr>
          <w:trHeight w:val="20"/>
        </w:trPr>
        <w:tc>
          <w:tcPr>
            <w:tcW w:w="1080" w:type="dxa"/>
            <w:vAlign w:val="bottom"/>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4140" w:type="dxa"/>
            <w:vAlign w:val="bottom"/>
            <w:gridSpan w:val="5"/>
            <w:shd w:val="clear" w:color="auto" w:fill="0000FF"/>
          </w:tcPr>
          <w:p>
            <w:pPr>
              <w:spacing w:after="0" w:line="20" w:lineRule="exact"/>
              <w:rPr>
                <w:sz w:val="1"/>
                <w:szCs w:val="1"/>
                <w:color w:val="auto"/>
              </w:rPr>
            </w:pPr>
          </w:p>
        </w:tc>
        <w:tc>
          <w:tcPr>
            <w:tcW w:w="1360" w:type="dxa"/>
            <w:vAlign w:val="bottom"/>
            <w:gridSpan w:val="2"/>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980" w:type="dxa"/>
            <w:vAlign w:val="bottom"/>
            <w:gridSpan w:val="3"/>
            <w:shd w:val="clear" w:color="auto" w:fill="0000FF"/>
          </w:tcPr>
          <w:p>
            <w:pPr>
              <w:spacing w:after="0" w:line="20" w:lineRule="exact"/>
              <w:rPr>
                <w:sz w:val="1"/>
                <w:szCs w:val="1"/>
                <w:color w:val="auto"/>
              </w:rPr>
            </w:pPr>
          </w:p>
        </w:tc>
        <w:tc>
          <w:tcPr>
            <w:tcW w:w="1240" w:type="dxa"/>
            <w:vAlign w:val="bottom"/>
            <w:gridSpan w:val="2"/>
            <w:shd w:val="clear" w:color="auto" w:fill="0000FF"/>
          </w:tcPr>
          <w:p>
            <w:pPr>
              <w:spacing w:after="0" w:line="20" w:lineRule="exact"/>
              <w:rPr>
                <w:sz w:val="1"/>
                <w:szCs w:val="1"/>
                <w:color w:val="auto"/>
              </w:rPr>
            </w:pPr>
          </w:p>
        </w:tc>
        <w:tc>
          <w:tcPr>
            <w:tcW w:w="280" w:type="dxa"/>
            <w:vAlign w:val="bottom"/>
            <w:gridSpan w:val="2"/>
            <w:shd w:val="clear" w:color="auto" w:fill="0000FF"/>
          </w:tcPr>
          <w:p>
            <w:pPr>
              <w:spacing w:after="0" w:line="20" w:lineRule="exact"/>
              <w:rPr>
                <w:sz w:val="1"/>
                <w:szCs w:val="1"/>
                <w:color w:val="auto"/>
              </w:rPr>
            </w:pPr>
          </w:p>
        </w:tc>
        <w:tc>
          <w:tcPr>
            <w:tcW w:w="600" w:type="dxa"/>
            <w:vAlign w:val="bottom"/>
            <w:gridSpan w:val="2"/>
            <w:shd w:val="clear" w:color="auto" w:fill="0000FF"/>
          </w:tcPr>
          <w:p>
            <w:pPr>
              <w:spacing w:after="0" w:line="20" w:lineRule="exact"/>
              <w:rPr>
                <w:sz w:val="1"/>
                <w:szCs w:val="1"/>
                <w:color w:val="auto"/>
              </w:rPr>
            </w:pPr>
          </w:p>
        </w:tc>
        <w:tc>
          <w:tcPr>
            <w:tcW w:w="80" w:type="dxa"/>
            <w:vAlign w:val="bottom"/>
            <w:gridSpan w:val="3"/>
            <w:shd w:val="clear" w:color="auto" w:fill="0000FF"/>
          </w:tcPr>
          <w:p>
            <w:pPr>
              <w:spacing w:after="0" w:line="20" w:lineRule="exact"/>
              <w:rPr>
                <w:sz w:val="1"/>
                <w:szCs w:val="1"/>
                <w:color w:val="auto"/>
              </w:rPr>
            </w:pPr>
          </w:p>
        </w:tc>
        <w:tc>
          <w:tcPr>
            <w:tcW w:w="300" w:type="dxa"/>
            <w:vAlign w:val="bottom"/>
            <w:gridSpan w:val="2"/>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12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gridSpan w:val="4"/>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23"/>
        </w:trPr>
        <w:tc>
          <w:tcPr>
            <w:tcW w:w="1080" w:type="dxa"/>
            <w:vAlign w:val="bottom"/>
          </w:tcPr>
          <w:p>
            <w:pPr>
              <w:jc w:val="right"/>
              <w:ind w:right="336"/>
              <w:spacing w:after="0"/>
              <w:rPr>
                <w:sz w:val="20"/>
                <w:szCs w:val="20"/>
                <w:color w:val="auto"/>
              </w:rPr>
            </w:pPr>
            <w:r>
              <w:rPr>
                <w:rFonts w:ascii="Arial" w:cs="Arial" w:eastAsia="Arial" w:hAnsi="Arial"/>
                <w:sz w:val="17"/>
                <w:szCs w:val="17"/>
                <w:color w:val="auto"/>
              </w:rPr>
              <w:t>10.4</w:t>
            </w:r>
          </w:p>
        </w:tc>
        <w:tc>
          <w:tcPr>
            <w:tcW w:w="10120" w:type="dxa"/>
            <w:vAlign w:val="bottom"/>
            <w:tcBorders>
              <w:bottom w:val="single" w:sz="8" w:color="0000FF"/>
            </w:tcBorders>
            <w:gridSpan w:val="28"/>
          </w:tcPr>
          <w:p>
            <w:pPr>
              <w:spacing w:after="0"/>
              <w:rPr>
                <w:rFonts w:ascii="Arial" w:cs="Arial" w:eastAsia="Arial" w:hAnsi="Arial"/>
                <w:sz w:val="17"/>
                <w:szCs w:val="17"/>
                <w:color w:val="0000FF"/>
              </w:rPr>
            </w:pPr>
            <w:hyperlink r:id="rId21">
              <w:r>
                <w:rPr>
                  <w:rFonts w:ascii="Arial" w:cs="Arial" w:eastAsia="Arial" w:hAnsi="Arial"/>
                  <w:sz w:val="17"/>
                  <w:szCs w:val="17"/>
                  <w:color w:val="0000FF"/>
                </w:rPr>
                <w:t>Amendment No. 1 to Graham Holdings Company Supplemental Executive Retirement Plan, effective March 31, 2014 (incorporated by</w:t>
              </w:r>
            </w:hyperlink>
          </w:p>
        </w:tc>
        <w:tc>
          <w:tcPr>
            <w:tcW w:w="220" w:type="dxa"/>
            <w:vAlign w:val="bottom"/>
            <w:gridSpan w:val="8"/>
          </w:tcPr>
          <w:p>
            <w:pPr>
              <w:spacing w:after="0"/>
              <w:rPr>
                <w:sz w:val="19"/>
                <w:szCs w:val="19"/>
                <w:color w:val="auto"/>
              </w:rPr>
            </w:pPr>
          </w:p>
        </w:tc>
      </w:tr>
      <w:tr>
        <w:trPr>
          <w:trHeight w:val="169"/>
        </w:trPr>
        <w:tc>
          <w:tcPr>
            <w:tcW w:w="1080" w:type="dxa"/>
            <w:vAlign w:val="bottom"/>
          </w:tcPr>
          <w:p>
            <w:pPr>
              <w:spacing w:after="0"/>
              <w:rPr>
                <w:sz w:val="14"/>
                <w:szCs w:val="14"/>
                <w:color w:val="auto"/>
              </w:rPr>
            </w:pPr>
          </w:p>
        </w:tc>
        <w:tc>
          <w:tcPr>
            <w:tcW w:w="10340" w:type="dxa"/>
            <w:vAlign w:val="bottom"/>
            <w:gridSpan w:val="36"/>
          </w:tcPr>
          <w:p>
            <w:pPr>
              <w:spacing w:after="0" w:line="169" w:lineRule="exact"/>
              <w:rPr>
                <w:rFonts w:ascii="Arial" w:cs="Arial" w:eastAsia="Arial" w:hAnsi="Arial"/>
                <w:sz w:val="17"/>
                <w:szCs w:val="17"/>
                <w:color w:val="0000FF"/>
              </w:rPr>
            </w:pPr>
            <w:hyperlink r:id="rId21">
              <w:r>
                <w:rPr>
                  <w:rFonts w:ascii="Arial" w:cs="Arial" w:eastAsia="Arial" w:hAnsi="Arial"/>
                  <w:sz w:val="17"/>
                  <w:szCs w:val="17"/>
                  <w:color w:val="0000FF"/>
                </w:rPr>
                <w:t>reference to Exhibit 10.4 to the Company’s Annual Report on Form 10-K for the fiscal year ended December 31, 2014).</w:t>
              </w:r>
              <w:r>
                <w:rPr>
                  <w:rFonts w:ascii="Arial" w:cs="Arial" w:eastAsia="Arial" w:hAnsi="Arial"/>
                  <w:sz w:val="17"/>
                  <w:szCs w:val="17"/>
                  <w:color w:val="000000"/>
                </w:rPr>
                <w:t>*</w:t>
              </w:r>
            </w:hyperlink>
          </w:p>
        </w:tc>
      </w:tr>
      <w:tr>
        <w:trPr>
          <w:trHeight w:val="20"/>
        </w:trPr>
        <w:tc>
          <w:tcPr>
            <w:tcW w:w="1080" w:type="dxa"/>
            <w:vAlign w:val="bottom"/>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4140" w:type="dxa"/>
            <w:vAlign w:val="bottom"/>
            <w:gridSpan w:val="5"/>
            <w:shd w:val="clear" w:color="auto" w:fill="0000FF"/>
          </w:tcPr>
          <w:p>
            <w:pPr>
              <w:spacing w:after="0" w:line="20" w:lineRule="exact"/>
              <w:rPr>
                <w:sz w:val="1"/>
                <w:szCs w:val="1"/>
                <w:color w:val="auto"/>
              </w:rPr>
            </w:pPr>
          </w:p>
        </w:tc>
        <w:tc>
          <w:tcPr>
            <w:tcW w:w="1360" w:type="dxa"/>
            <w:vAlign w:val="bottom"/>
            <w:gridSpan w:val="2"/>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980" w:type="dxa"/>
            <w:vAlign w:val="bottom"/>
            <w:gridSpan w:val="3"/>
            <w:shd w:val="clear" w:color="auto" w:fill="0000FF"/>
          </w:tcPr>
          <w:p>
            <w:pPr>
              <w:spacing w:after="0" w:line="20" w:lineRule="exact"/>
              <w:rPr>
                <w:sz w:val="1"/>
                <w:szCs w:val="1"/>
                <w:color w:val="auto"/>
              </w:rPr>
            </w:pPr>
          </w:p>
        </w:tc>
        <w:tc>
          <w:tcPr>
            <w:tcW w:w="1240" w:type="dxa"/>
            <w:vAlign w:val="bottom"/>
            <w:gridSpan w:val="2"/>
            <w:shd w:val="clear" w:color="auto" w:fill="0000FF"/>
          </w:tcPr>
          <w:p>
            <w:pPr>
              <w:spacing w:after="0" w:line="20" w:lineRule="exact"/>
              <w:rPr>
                <w:sz w:val="1"/>
                <w:szCs w:val="1"/>
                <w:color w:val="auto"/>
              </w:rPr>
            </w:pPr>
          </w:p>
        </w:tc>
        <w:tc>
          <w:tcPr>
            <w:tcW w:w="280" w:type="dxa"/>
            <w:vAlign w:val="bottom"/>
            <w:gridSpan w:val="2"/>
            <w:shd w:val="clear" w:color="auto" w:fill="0000FF"/>
          </w:tcPr>
          <w:p>
            <w:pPr>
              <w:spacing w:after="0" w:line="20" w:lineRule="exact"/>
              <w:rPr>
                <w:sz w:val="1"/>
                <w:szCs w:val="1"/>
                <w:color w:val="auto"/>
              </w:rPr>
            </w:pPr>
          </w:p>
        </w:tc>
        <w:tc>
          <w:tcPr>
            <w:tcW w:w="600" w:type="dxa"/>
            <w:vAlign w:val="bottom"/>
            <w:gridSpan w:val="2"/>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gridSpan w:val="4"/>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23"/>
        </w:trPr>
        <w:tc>
          <w:tcPr>
            <w:tcW w:w="1080" w:type="dxa"/>
            <w:vAlign w:val="bottom"/>
          </w:tcPr>
          <w:p>
            <w:pPr>
              <w:jc w:val="right"/>
              <w:ind w:right="336"/>
              <w:spacing w:after="0"/>
              <w:rPr>
                <w:sz w:val="20"/>
                <w:szCs w:val="20"/>
                <w:color w:val="auto"/>
              </w:rPr>
            </w:pPr>
            <w:r>
              <w:rPr>
                <w:rFonts w:ascii="Arial" w:cs="Arial" w:eastAsia="Arial" w:hAnsi="Arial"/>
                <w:sz w:val="17"/>
                <w:szCs w:val="17"/>
                <w:color w:val="auto"/>
              </w:rPr>
              <w:t>10.5</w:t>
            </w:r>
          </w:p>
        </w:tc>
        <w:tc>
          <w:tcPr>
            <w:tcW w:w="9580" w:type="dxa"/>
            <w:vAlign w:val="bottom"/>
            <w:tcBorders>
              <w:bottom w:val="single" w:sz="8" w:color="0000FF"/>
            </w:tcBorders>
            <w:gridSpan w:val="19"/>
          </w:tcPr>
          <w:p>
            <w:pPr>
              <w:spacing w:after="0"/>
              <w:rPr>
                <w:rFonts w:ascii="Arial" w:cs="Arial" w:eastAsia="Arial" w:hAnsi="Arial"/>
                <w:sz w:val="17"/>
                <w:szCs w:val="17"/>
                <w:color w:val="0000FF"/>
              </w:rPr>
            </w:pPr>
            <w:hyperlink r:id="rId22">
              <w:r>
                <w:rPr>
                  <w:rFonts w:ascii="Arial" w:cs="Arial" w:eastAsia="Arial" w:hAnsi="Arial"/>
                  <w:sz w:val="17"/>
                  <w:szCs w:val="17"/>
                  <w:color w:val="0000FF"/>
                </w:rPr>
                <w:t>Graham Holdings Company Deferred Compensation Plan as amended and restated effective January 1, 2014 (incorporated by</w:t>
              </w:r>
            </w:hyperlink>
          </w:p>
        </w:tc>
        <w:tc>
          <w:tcPr>
            <w:tcW w:w="760" w:type="dxa"/>
            <w:vAlign w:val="bottom"/>
            <w:gridSpan w:val="17"/>
          </w:tcPr>
          <w:p>
            <w:pPr>
              <w:spacing w:after="0"/>
              <w:rPr>
                <w:sz w:val="19"/>
                <w:szCs w:val="19"/>
                <w:color w:val="auto"/>
              </w:rPr>
            </w:pPr>
          </w:p>
        </w:tc>
      </w:tr>
      <w:tr>
        <w:trPr>
          <w:trHeight w:val="169"/>
        </w:trPr>
        <w:tc>
          <w:tcPr>
            <w:tcW w:w="1080" w:type="dxa"/>
            <w:vAlign w:val="bottom"/>
          </w:tcPr>
          <w:p>
            <w:pPr>
              <w:spacing w:after="0"/>
              <w:rPr>
                <w:sz w:val="14"/>
                <w:szCs w:val="14"/>
                <w:color w:val="auto"/>
              </w:rPr>
            </w:pPr>
          </w:p>
        </w:tc>
        <w:tc>
          <w:tcPr>
            <w:tcW w:w="10340" w:type="dxa"/>
            <w:vAlign w:val="bottom"/>
            <w:gridSpan w:val="36"/>
          </w:tcPr>
          <w:p>
            <w:pPr>
              <w:spacing w:after="0" w:line="169" w:lineRule="exact"/>
              <w:rPr>
                <w:rFonts w:ascii="Arial" w:cs="Arial" w:eastAsia="Arial" w:hAnsi="Arial"/>
                <w:sz w:val="17"/>
                <w:szCs w:val="17"/>
                <w:color w:val="0000FF"/>
              </w:rPr>
            </w:pPr>
            <w:hyperlink r:id="rId22">
              <w:r>
                <w:rPr>
                  <w:rFonts w:ascii="Arial" w:cs="Arial" w:eastAsia="Arial" w:hAnsi="Arial"/>
                  <w:sz w:val="17"/>
                  <w:szCs w:val="17"/>
                  <w:color w:val="0000FF"/>
                </w:rPr>
                <w:t>reference to Exhibit 10.4 to Company’s Annual Report on Form 10-K for the fiscal year ended December 31, 2013).</w:t>
              </w:r>
              <w:r>
                <w:rPr>
                  <w:rFonts w:ascii="Arial" w:cs="Arial" w:eastAsia="Arial" w:hAnsi="Arial"/>
                  <w:sz w:val="17"/>
                  <w:szCs w:val="17"/>
                  <w:color w:val="000000"/>
                </w:rPr>
                <w:t>*</w:t>
              </w:r>
            </w:hyperlink>
          </w:p>
        </w:tc>
      </w:tr>
      <w:tr>
        <w:trPr>
          <w:trHeight w:val="20"/>
        </w:trPr>
        <w:tc>
          <w:tcPr>
            <w:tcW w:w="1080" w:type="dxa"/>
            <w:vAlign w:val="bottom"/>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4140" w:type="dxa"/>
            <w:vAlign w:val="bottom"/>
            <w:gridSpan w:val="5"/>
            <w:shd w:val="clear" w:color="auto" w:fill="0000FF"/>
          </w:tcPr>
          <w:p>
            <w:pPr>
              <w:spacing w:after="0" w:line="20" w:lineRule="exact"/>
              <w:rPr>
                <w:sz w:val="1"/>
                <w:szCs w:val="1"/>
                <w:color w:val="auto"/>
              </w:rPr>
            </w:pPr>
          </w:p>
        </w:tc>
        <w:tc>
          <w:tcPr>
            <w:tcW w:w="1360" w:type="dxa"/>
            <w:vAlign w:val="bottom"/>
            <w:gridSpan w:val="2"/>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980" w:type="dxa"/>
            <w:vAlign w:val="bottom"/>
            <w:gridSpan w:val="3"/>
            <w:shd w:val="clear" w:color="auto" w:fill="0000FF"/>
          </w:tcPr>
          <w:p>
            <w:pPr>
              <w:spacing w:after="0" w:line="20" w:lineRule="exact"/>
              <w:rPr>
                <w:sz w:val="1"/>
                <w:szCs w:val="1"/>
                <w:color w:val="auto"/>
              </w:rPr>
            </w:pPr>
          </w:p>
        </w:tc>
        <w:tc>
          <w:tcPr>
            <w:tcW w:w="1240" w:type="dxa"/>
            <w:vAlign w:val="bottom"/>
            <w:gridSpan w:val="2"/>
            <w:shd w:val="clear" w:color="auto" w:fill="0000FF"/>
          </w:tcPr>
          <w:p>
            <w:pPr>
              <w:spacing w:after="0" w:line="20" w:lineRule="exact"/>
              <w:rPr>
                <w:sz w:val="1"/>
                <w:szCs w:val="1"/>
                <w:color w:val="auto"/>
              </w:rPr>
            </w:pPr>
          </w:p>
        </w:tc>
        <w:tc>
          <w:tcPr>
            <w:tcW w:w="960" w:type="dxa"/>
            <w:vAlign w:val="bottom"/>
            <w:gridSpan w:val="7"/>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gridSpan w:val="4"/>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23"/>
        </w:trPr>
        <w:tc>
          <w:tcPr>
            <w:tcW w:w="1080" w:type="dxa"/>
            <w:vAlign w:val="bottom"/>
          </w:tcPr>
          <w:p>
            <w:pPr>
              <w:jc w:val="right"/>
              <w:ind w:right="336"/>
              <w:spacing w:after="0"/>
              <w:rPr>
                <w:sz w:val="20"/>
                <w:szCs w:val="20"/>
                <w:color w:val="auto"/>
              </w:rPr>
            </w:pPr>
            <w:r>
              <w:rPr>
                <w:rFonts w:ascii="Arial" w:cs="Arial" w:eastAsia="Arial" w:hAnsi="Arial"/>
                <w:sz w:val="17"/>
                <w:szCs w:val="17"/>
                <w:color w:val="auto"/>
              </w:rPr>
              <w:t>10.6</w:t>
            </w:r>
          </w:p>
        </w:tc>
        <w:tc>
          <w:tcPr>
            <w:tcW w:w="10180" w:type="dxa"/>
            <w:vAlign w:val="bottom"/>
            <w:tcBorders>
              <w:bottom w:val="single" w:sz="8" w:color="0000FF"/>
            </w:tcBorders>
            <w:gridSpan w:val="31"/>
          </w:tcPr>
          <w:p>
            <w:pPr>
              <w:spacing w:after="0"/>
              <w:rPr>
                <w:rFonts w:ascii="Arial" w:cs="Arial" w:eastAsia="Arial" w:hAnsi="Arial"/>
                <w:sz w:val="17"/>
                <w:szCs w:val="17"/>
                <w:color w:val="0000FF"/>
              </w:rPr>
            </w:pPr>
            <w:hyperlink r:id="rId23">
              <w:r>
                <w:rPr>
                  <w:rFonts w:ascii="Arial" w:cs="Arial" w:eastAsia="Arial" w:hAnsi="Arial"/>
                  <w:sz w:val="17"/>
                  <w:szCs w:val="17"/>
                  <w:color w:val="0000FF"/>
                </w:rPr>
                <w:t>Letter Agreement between the Company and Timothy J. O’Shaughnessy, dated October 20, 2014 (incorporated by reference to Exhibit</w:t>
              </w:r>
            </w:hyperlink>
          </w:p>
        </w:tc>
        <w:tc>
          <w:tcPr>
            <w:tcW w:w="160" w:type="dxa"/>
            <w:vAlign w:val="bottom"/>
            <w:gridSpan w:val="5"/>
          </w:tcPr>
          <w:p>
            <w:pPr>
              <w:spacing w:after="0"/>
              <w:rPr>
                <w:sz w:val="19"/>
                <w:szCs w:val="19"/>
                <w:color w:val="auto"/>
              </w:rPr>
            </w:pPr>
          </w:p>
        </w:tc>
      </w:tr>
      <w:tr>
        <w:trPr>
          <w:trHeight w:val="169"/>
        </w:trPr>
        <w:tc>
          <w:tcPr>
            <w:tcW w:w="1080" w:type="dxa"/>
            <w:vAlign w:val="bottom"/>
          </w:tcPr>
          <w:p>
            <w:pPr>
              <w:spacing w:after="0"/>
              <w:rPr>
                <w:sz w:val="14"/>
                <w:szCs w:val="14"/>
                <w:color w:val="auto"/>
              </w:rPr>
            </w:pPr>
          </w:p>
        </w:tc>
        <w:tc>
          <w:tcPr>
            <w:tcW w:w="10340" w:type="dxa"/>
            <w:vAlign w:val="bottom"/>
            <w:gridSpan w:val="36"/>
          </w:tcPr>
          <w:p>
            <w:pPr>
              <w:spacing w:after="0" w:line="169" w:lineRule="exact"/>
              <w:rPr>
                <w:rFonts w:ascii="Arial" w:cs="Arial" w:eastAsia="Arial" w:hAnsi="Arial"/>
                <w:sz w:val="17"/>
                <w:szCs w:val="17"/>
                <w:color w:val="0000FF"/>
              </w:rPr>
            </w:pPr>
            <w:hyperlink r:id="rId23">
              <w:r>
                <w:rPr>
                  <w:rFonts w:ascii="Arial" w:cs="Arial" w:eastAsia="Arial" w:hAnsi="Arial"/>
                  <w:sz w:val="17"/>
                  <w:szCs w:val="17"/>
                  <w:color w:val="0000FF"/>
                </w:rPr>
                <w:t>10.</w:t>
              </w:r>
              <w:r>
                <w:rPr>
                  <w:rFonts w:ascii="Arial" w:cs="Arial" w:eastAsia="Arial" w:hAnsi="Arial"/>
                  <w:sz w:val="17"/>
                  <w:szCs w:val="17"/>
                  <w:u w:val="single" w:color="auto"/>
                  <w:color w:val="0000FF"/>
                </w:rPr>
                <w:t>6</w:t>
              </w:r>
              <w:r>
                <w:rPr>
                  <w:rFonts w:ascii="Arial" w:cs="Arial" w:eastAsia="Arial" w:hAnsi="Arial"/>
                  <w:sz w:val="17"/>
                  <w:szCs w:val="17"/>
                  <w:color w:val="0000FF"/>
                </w:rPr>
                <w:t xml:space="preserve"> to the Company’s Annual Report on Form 10-K for the fiscal year ended December 31, 2014).</w:t>
              </w:r>
              <w:r>
                <w:rPr>
                  <w:rFonts w:ascii="Arial" w:cs="Arial" w:eastAsia="Arial" w:hAnsi="Arial"/>
                  <w:sz w:val="17"/>
                  <w:szCs w:val="17"/>
                  <w:color w:val="000000"/>
                </w:rPr>
                <w:t>*</w:t>
              </w:r>
            </w:hyperlink>
          </w:p>
        </w:tc>
      </w:tr>
      <w:tr>
        <w:trPr>
          <w:trHeight w:val="20"/>
        </w:trPr>
        <w:tc>
          <w:tcPr>
            <w:tcW w:w="1080" w:type="dxa"/>
            <w:vAlign w:val="bottom"/>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4140" w:type="dxa"/>
            <w:vAlign w:val="bottom"/>
            <w:gridSpan w:val="5"/>
            <w:shd w:val="clear" w:color="auto" w:fill="0000FF"/>
          </w:tcPr>
          <w:p>
            <w:pPr>
              <w:spacing w:after="0" w:line="20" w:lineRule="exact"/>
              <w:rPr>
                <w:sz w:val="1"/>
                <w:szCs w:val="1"/>
                <w:color w:val="auto"/>
              </w:rPr>
            </w:pPr>
          </w:p>
        </w:tc>
        <w:tc>
          <w:tcPr>
            <w:tcW w:w="1360" w:type="dxa"/>
            <w:vAlign w:val="bottom"/>
            <w:gridSpan w:val="2"/>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980" w:type="dxa"/>
            <w:vAlign w:val="bottom"/>
            <w:gridSpan w:val="3"/>
            <w:shd w:val="clear" w:color="auto" w:fill="0000FF"/>
          </w:tcPr>
          <w:p>
            <w:pPr>
              <w:spacing w:after="0" w:line="20" w:lineRule="exact"/>
              <w:rPr>
                <w:sz w:val="1"/>
                <w:szCs w:val="1"/>
                <w:color w:val="auto"/>
              </w:rPr>
            </w:pPr>
          </w:p>
        </w:tc>
        <w:tc>
          <w:tcPr>
            <w:tcW w:w="2200" w:type="dxa"/>
            <w:vAlign w:val="bottom"/>
            <w:gridSpan w:val="9"/>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gridSpan w:val="5"/>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23"/>
        </w:trPr>
        <w:tc>
          <w:tcPr>
            <w:tcW w:w="1080" w:type="dxa"/>
            <w:vAlign w:val="bottom"/>
          </w:tcPr>
          <w:p>
            <w:pPr>
              <w:jc w:val="right"/>
              <w:ind w:right="336"/>
              <w:spacing w:after="0"/>
              <w:rPr>
                <w:sz w:val="20"/>
                <w:szCs w:val="20"/>
                <w:color w:val="auto"/>
              </w:rPr>
            </w:pPr>
            <w:r>
              <w:rPr>
                <w:rFonts w:ascii="Arial" w:cs="Arial" w:eastAsia="Arial" w:hAnsi="Arial"/>
                <w:sz w:val="17"/>
                <w:szCs w:val="17"/>
                <w:color w:val="auto"/>
              </w:rPr>
              <w:t>10.7</w:t>
            </w:r>
          </w:p>
        </w:tc>
        <w:tc>
          <w:tcPr>
            <w:tcW w:w="10340" w:type="dxa"/>
            <w:vAlign w:val="bottom"/>
            <w:gridSpan w:val="36"/>
          </w:tcPr>
          <w:p>
            <w:pPr>
              <w:spacing w:after="0"/>
              <w:rPr>
                <w:rFonts w:ascii="Arial" w:cs="Arial" w:eastAsia="Arial" w:hAnsi="Arial"/>
                <w:sz w:val="17"/>
                <w:szCs w:val="17"/>
                <w:color w:val="0000FF"/>
              </w:rPr>
            </w:pPr>
            <w:hyperlink r:id="rId24">
              <w:r>
                <w:rPr>
                  <w:rFonts w:ascii="Arial" w:cs="Arial" w:eastAsia="Arial" w:hAnsi="Arial"/>
                  <w:sz w:val="17"/>
                  <w:szCs w:val="17"/>
                  <w:color w:val="0000FF"/>
                </w:rPr>
                <w:t>Letter Agreement between the Company and Hal S. Jones, dated July 16, 2014 (incorporated by reference to Exhibit 10.3 to the</w:t>
              </w:r>
            </w:hyperlink>
          </w:p>
        </w:tc>
      </w:tr>
      <w:tr>
        <w:trPr>
          <w:trHeight w:val="169"/>
        </w:trPr>
        <w:tc>
          <w:tcPr>
            <w:tcW w:w="1080" w:type="dxa"/>
            <w:vAlign w:val="bottom"/>
          </w:tcPr>
          <w:p>
            <w:pPr>
              <w:spacing w:after="0"/>
              <w:rPr>
                <w:sz w:val="14"/>
                <w:szCs w:val="14"/>
                <w:color w:val="auto"/>
              </w:rPr>
            </w:pPr>
          </w:p>
        </w:tc>
        <w:tc>
          <w:tcPr>
            <w:tcW w:w="4620" w:type="dxa"/>
            <w:vAlign w:val="bottom"/>
            <w:tcBorders>
              <w:top w:val="single" w:sz="8" w:color="0000FF"/>
              <w:bottom w:val="single" w:sz="8" w:color="0000FF"/>
            </w:tcBorders>
            <w:gridSpan w:val="6"/>
          </w:tcPr>
          <w:p>
            <w:pPr>
              <w:spacing w:after="0" w:line="169" w:lineRule="exact"/>
              <w:rPr>
                <w:rFonts w:ascii="Arial" w:cs="Arial" w:eastAsia="Arial" w:hAnsi="Arial"/>
                <w:sz w:val="17"/>
                <w:szCs w:val="17"/>
                <w:color w:val="0000FF"/>
                <w:w w:val="99"/>
              </w:rPr>
            </w:pPr>
            <w:hyperlink r:id="rId24">
              <w:r>
                <w:rPr>
                  <w:rFonts w:ascii="Arial" w:cs="Arial" w:eastAsia="Arial" w:hAnsi="Arial"/>
                  <w:sz w:val="17"/>
                  <w:szCs w:val="17"/>
                  <w:color w:val="0000FF"/>
                  <w:w w:val="99"/>
                </w:rPr>
                <w:t>Company’s Current Report on Form 8-K filed July 16, 2014).*</w:t>
              </w:r>
            </w:hyperlink>
          </w:p>
        </w:tc>
        <w:tc>
          <w:tcPr>
            <w:tcW w:w="5040" w:type="dxa"/>
            <w:vAlign w:val="bottom"/>
            <w:tcBorders>
              <w:top w:val="single" w:sz="8" w:color="0000FF"/>
            </w:tcBorders>
            <w:gridSpan w:val="16"/>
          </w:tcPr>
          <w:p>
            <w:pPr>
              <w:spacing w:after="0"/>
              <w:rPr>
                <w:sz w:val="14"/>
                <w:szCs w:val="14"/>
                <w:color w:val="auto"/>
              </w:rPr>
            </w:pPr>
          </w:p>
        </w:tc>
        <w:tc>
          <w:tcPr>
            <w:tcW w:w="680" w:type="dxa"/>
            <w:vAlign w:val="bottom"/>
            <w:gridSpan w:val="14"/>
          </w:tcPr>
          <w:p>
            <w:pPr>
              <w:spacing w:after="0"/>
              <w:rPr>
                <w:sz w:val="14"/>
                <w:szCs w:val="14"/>
                <w:color w:val="auto"/>
              </w:rPr>
            </w:pPr>
          </w:p>
        </w:tc>
      </w:tr>
      <w:tr>
        <w:trPr>
          <w:trHeight w:val="223"/>
        </w:trPr>
        <w:tc>
          <w:tcPr>
            <w:tcW w:w="1080" w:type="dxa"/>
            <w:vAlign w:val="bottom"/>
          </w:tcPr>
          <w:p>
            <w:pPr>
              <w:jc w:val="right"/>
              <w:ind w:right="336"/>
              <w:spacing w:after="0"/>
              <w:rPr>
                <w:sz w:val="20"/>
                <w:szCs w:val="20"/>
                <w:color w:val="auto"/>
              </w:rPr>
            </w:pPr>
            <w:r>
              <w:rPr>
                <w:rFonts w:ascii="Arial" w:cs="Arial" w:eastAsia="Arial" w:hAnsi="Arial"/>
                <w:sz w:val="17"/>
                <w:szCs w:val="17"/>
                <w:color w:val="auto"/>
              </w:rPr>
              <w:t>10.8</w:t>
            </w:r>
          </w:p>
        </w:tc>
        <w:tc>
          <w:tcPr>
            <w:tcW w:w="10000" w:type="dxa"/>
            <w:vAlign w:val="bottom"/>
            <w:tcBorders>
              <w:bottom w:val="single" w:sz="8" w:color="0000FF"/>
            </w:tcBorders>
            <w:gridSpan w:val="25"/>
          </w:tcPr>
          <w:p>
            <w:pPr>
              <w:spacing w:after="0"/>
              <w:rPr>
                <w:rFonts w:ascii="Arial" w:cs="Arial" w:eastAsia="Arial" w:hAnsi="Arial"/>
                <w:sz w:val="17"/>
                <w:szCs w:val="17"/>
                <w:color w:val="0000FF"/>
              </w:rPr>
            </w:pPr>
            <w:hyperlink r:id="rId25">
              <w:r>
                <w:rPr>
                  <w:rFonts w:ascii="Arial" w:cs="Arial" w:eastAsia="Arial" w:hAnsi="Arial"/>
                  <w:sz w:val="17"/>
                  <w:szCs w:val="17"/>
                  <w:color w:val="0000FF"/>
                </w:rPr>
                <w:t>Letter Agreement between the Company and Andrew S. Rosen, dated April 7, 2014 (incorporated by reference to Exhibit 10.1 to the</w:t>
              </w:r>
            </w:hyperlink>
          </w:p>
        </w:tc>
        <w:tc>
          <w:tcPr>
            <w:tcW w:w="340" w:type="dxa"/>
            <w:vAlign w:val="bottom"/>
            <w:gridSpan w:val="11"/>
          </w:tcPr>
          <w:p>
            <w:pPr>
              <w:spacing w:after="0"/>
              <w:rPr>
                <w:sz w:val="19"/>
                <w:szCs w:val="19"/>
                <w:color w:val="auto"/>
              </w:rPr>
            </w:pPr>
          </w:p>
        </w:tc>
      </w:tr>
      <w:tr>
        <w:trPr>
          <w:trHeight w:val="169"/>
        </w:trPr>
        <w:tc>
          <w:tcPr>
            <w:tcW w:w="1080" w:type="dxa"/>
            <w:vAlign w:val="bottom"/>
          </w:tcPr>
          <w:p>
            <w:pPr>
              <w:spacing w:after="0"/>
              <w:rPr>
                <w:sz w:val="14"/>
                <w:szCs w:val="14"/>
                <w:color w:val="auto"/>
              </w:rPr>
            </w:pPr>
          </w:p>
        </w:tc>
        <w:tc>
          <w:tcPr>
            <w:tcW w:w="10340" w:type="dxa"/>
            <w:vAlign w:val="bottom"/>
            <w:gridSpan w:val="36"/>
          </w:tcPr>
          <w:p>
            <w:pPr>
              <w:spacing w:after="0" w:line="169" w:lineRule="exact"/>
              <w:rPr>
                <w:rFonts w:ascii="Arial" w:cs="Arial" w:eastAsia="Arial" w:hAnsi="Arial"/>
                <w:sz w:val="17"/>
                <w:szCs w:val="17"/>
                <w:color w:val="0000FF"/>
              </w:rPr>
            </w:pPr>
            <w:hyperlink r:id="rId25">
              <w:r>
                <w:rPr>
                  <w:rFonts w:ascii="Arial" w:cs="Arial" w:eastAsia="Arial" w:hAnsi="Arial"/>
                  <w:sz w:val="17"/>
                  <w:szCs w:val="17"/>
                  <w:color w:val="0000FF"/>
                </w:rPr>
                <w:t>Company’s Quarterly Report on Form 10-Q for the quarter ended March 31, 2015).</w:t>
              </w:r>
              <w:r>
                <w:rPr>
                  <w:rFonts w:ascii="Arial" w:cs="Arial" w:eastAsia="Arial" w:hAnsi="Arial"/>
                  <w:sz w:val="17"/>
                  <w:szCs w:val="17"/>
                  <w:color w:val="000000"/>
                </w:rPr>
                <w:t>*</w:t>
              </w:r>
            </w:hyperlink>
          </w:p>
        </w:tc>
      </w:tr>
      <w:tr>
        <w:trPr>
          <w:trHeight w:val="20"/>
        </w:trPr>
        <w:tc>
          <w:tcPr>
            <w:tcW w:w="1080" w:type="dxa"/>
            <w:vAlign w:val="bottom"/>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5500" w:type="dxa"/>
            <w:vAlign w:val="bottom"/>
            <w:gridSpan w:val="7"/>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480" w:type="dxa"/>
            <w:vAlign w:val="bottom"/>
            <w:gridSpan w:val="14"/>
          </w:tcPr>
          <w:p>
            <w:pPr>
              <w:spacing w:after="0" w:line="20" w:lineRule="exact"/>
              <w:rPr>
                <w:sz w:val="1"/>
                <w:szCs w:val="1"/>
                <w:color w:val="auto"/>
              </w:rPr>
            </w:pPr>
          </w:p>
        </w:tc>
        <w:tc>
          <w:tcPr>
            <w:tcW w:w="180" w:type="dxa"/>
            <w:vAlign w:val="bottom"/>
            <w:gridSpan w:val="5"/>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gridSpan w:val="5"/>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23"/>
        </w:trPr>
        <w:tc>
          <w:tcPr>
            <w:tcW w:w="1080" w:type="dxa"/>
            <w:vAlign w:val="bottom"/>
          </w:tcPr>
          <w:p>
            <w:pPr>
              <w:jc w:val="right"/>
              <w:ind w:right="336"/>
              <w:spacing w:after="0"/>
              <w:rPr>
                <w:sz w:val="20"/>
                <w:szCs w:val="20"/>
                <w:color w:val="auto"/>
              </w:rPr>
            </w:pPr>
            <w:r>
              <w:rPr>
                <w:rFonts w:ascii="Arial" w:cs="Arial" w:eastAsia="Arial" w:hAnsi="Arial"/>
                <w:sz w:val="17"/>
                <w:szCs w:val="17"/>
                <w:color w:val="auto"/>
              </w:rPr>
              <w:t>10.9</w:t>
            </w:r>
          </w:p>
        </w:tc>
        <w:tc>
          <w:tcPr>
            <w:tcW w:w="10340" w:type="dxa"/>
            <w:vAlign w:val="bottom"/>
            <w:gridSpan w:val="36"/>
          </w:tcPr>
          <w:p>
            <w:pPr>
              <w:spacing w:after="0"/>
              <w:rPr>
                <w:rFonts w:ascii="Arial" w:cs="Arial" w:eastAsia="Arial" w:hAnsi="Arial"/>
                <w:sz w:val="17"/>
                <w:szCs w:val="17"/>
                <w:color w:val="0000FF"/>
              </w:rPr>
            </w:pPr>
            <w:hyperlink w:anchor="page130">
              <w:r>
                <w:rPr>
                  <w:rFonts w:ascii="Arial" w:cs="Arial" w:eastAsia="Arial" w:hAnsi="Arial"/>
                  <w:sz w:val="17"/>
                  <w:szCs w:val="17"/>
                  <w:color w:val="0000FF"/>
                </w:rPr>
                <w:t>Letter Agreement between the Company and Denise Demeter, dated March 23, 2015.</w:t>
              </w:r>
            </w:hyperlink>
          </w:p>
        </w:tc>
      </w:tr>
      <w:tr>
        <w:trPr>
          <w:trHeight w:val="20"/>
        </w:trPr>
        <w:tc>
          <w:tcPr>
            <w:tcW w:w="1080" w:type="dxa"/>
            <w:vAlign w:val="bottom"/>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5500" w:type="dxa"/>
            <w:vAlign w:val="bottom"/>
            <w:gridSpan w:val="7"/>
            <w:shd w:val="clear" w:color="auto" w:fill="0000FF"/>
          </w:tcPr>
          <w:p>
            <w:pPr>
              <w:spacing w:after="0" w:line="20" w:lineRule="exact"/>
              <w:rPr>
                <w:sz w:val="1"/>
                <w:szCs w:val="1"/>
                <w:color w:val="auto"/>
              </w:rPr>
            </w:pPr>
          </w:p>
        </w:tc>
        <w:tc>
          <w:tcPr>
            <w:tcW w:w="500" w:type="dxa"/>
            <w:vAlign w:val="bottom"/>
            <w:gridSpan w:val="2"/>
            <w:shd w:val="clear" w:color="auto" w:fill="0000FF"/>
          </w:tcPr>
          <w:p>
            <w:pPr>
              <w:spacing w:after="0" w:line="20" w:lineRule="exact"/>
              <w:rPr>
                <w:sz w:val="1"/>
                <w:szCs w:val="1"/>
                <w:color w:val="auto"/>
              </w:rPr>
            </w:pPr>
          </w:p>
        </w:tc>
        <w:tc>
          <w:tcPr>
            <w:tcW w:w="3480" w:type="dxa"/>
            <w:vAlign w:val="bottom"/>
            <w:gridSpan w:val="14"/>
          </w:tcPr>
          <w:p>
            <w:pPr>
              <w:spacing w:after="0" w:line="20" w:lineRule="exact"/>
              <w:rPr>
                <w:sz w:val="1"/>
                <w:szCs w:val="1"/>
                <w:color w:val="auto"/>
              </w:rPr>
            </w:pPr>
          </w:p>
        </w:tc>
        <w:tc>
          <w:tcPr>
            <w:tcW w:w="180" w:type="dxa"/>
            <w:vAlign w:val="bottom"/>
            <w:gridSpan w:val="5"/>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gridSpan w:val="5"/>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50"/>
        </w:trPr>
        <w:tc>
          <w:tcPr>
            <w:tcW w:w="1080" w:type="dxa"/>
            <w:vAlign w:val="bottom"/>
          </w:tcPr>
          <w:p>
            <w:pPr>
              <w:jc w:val="right"/>
              <w:ind w:right="336"/>
              <w:spacing w:after="0"/>
              <w:rPr>
                <w:sz w:val="20"/>
                <w:szCs w:val="20"/>
                <w:color w:val="auto"/>
              </w:rPr>
            </w:pPr>
            <w:r>
              <w:rPr>
                <w:rFonts w:ascii="Arial" w:cs="Arial" w:eastAsia="Arial" w:hAnsi="Arial"/>
                <w:sz w:val="17"/>
                <w:szCs w:val="17"/>
                <w:color w:val="auto"/>
              </w:rPr>
              <w:t>10.10</w:t>
            </w:r>
          </w:p>
        </w:tc>
        <w:tc>
          <w:tcPr>
            <w:tcW w:w="10340" w:type="dxa"/>
            <w:vAlign w:val="bottom"/>
            <w:gridSpan w:val="36"/>
          </w:tcPr>
          <w:p>
            <w:pPr>
              <w:spacing w:after="0"/>
              <w:rPr>
                <w:rFonts w:ascii="Arial" w:cs="Arial" w:eastAsia="Arial" w:hAnsi="Arial"/>
                <w:sz w:val="17"/>
                <w:szCs w:val="17"/>
                <w:color w:val="0000FF"/>
              </w:rPr>
            </w:pPr>
            <w:hyperlink r:id="rId26">
              <w:r>
                <w:rPr>
                  <w:rFonts w:ascii="Arial" w:cs="Arial" w:eastAsia="Arial" w:hAnsi="Arial"/>
                  <w:sz w:val="17"/>
                  <w:szCs w:val="17"/>
                  <w:color w:val="0000FF"/>
                </w:rPr>
                <w:t>Five-Year Credit Agreement, dated as of June 29, 2015, among the Company, and certain of its domestic subsidiaries as guarantors, the</w:t>
              </w:r>
            </w:hyperlink>
          </w:p>
        </w:tc>
      </w:tr>
      <w:tr>
        <w:trPr>
          <w:trHeight w:val="169"/>
        </w:trPr>
        <w:tc>
          <w:tcPr>
            <w:tcW w:w="1080" w:type="dxa"/>
            <w:vAlign w:val="bottom"/>
          </w:tcPr>
          <w:p>
            <w:pPr>
              <w:spacing w:after="0"/>
              <w:rPr>
                <w:sz w:val="14"/>
                <w:szCs w:val="14"/>
                <w:color w:val="auto"/>
              </w:rPr>
            </w:pPr>
          </w:p>
        </w:tc>
        <w:tc>
          <w:tcPr>
            <w:tcW w:w="10160" w:type="dxa"/>
            <w:vAlign w:val="bottom"/>
            <w:tcBorders>
              <w:top w:val="single" w:sz="8" w:color="0000FF"/>
              <w:bottom w:val="single" w:sz="8" w:color="0000FF"/>
            </w:tcBorders>
            <w:gridSpan w:val="30"/>
          </w:tcPr>
          <w:p>
            <w:pPr>
              <w:spacing w:after="0" w:line="169" w:lineRule="exact"/>
              <w:rPr>
                <w:rFonts w:ascii="Arial" w:cs="Arial" w:eastAsia="Arial" w:hAnsi="Arial"/>
                <w:sz w:val="17"/>
                <w:szCs w:val="17"/>
                <w:color w:val="0000FF"/>
              </w:rPr>
            </w:pPr>
            <w:hyperlink r:id="rId26">
              <w:r>
                <w:rPr>
                  <w:rFonts w:ascii="Arial" w:cs="Arial" w:eastAsia="Arial" w:hAnsi="Arial"/>
                  <w:sz w:val="17"/>
                  <w:szCs w:val="17"/>
                  <w:color w:val="0000FF"/>
                </w:rPr>
                <w:t>several lenders from time to time party thereto, Wells Fargo Bank, National Association, as Administrative Agent and JPMorgan Chase</w:t>
              </w:r>
            </w:hyperlink>
          </w:p>
        </w:tc>
        <w:tc>
          <w:tcPr>
            <w:tcW w:w="140" w:type="dxa"/>
            <w:vAlign w:val="bottom"/>
            <w:tcBorders>
              <w:top w:val="single" w:sz="8" w:color="0000FF"/>
            </w:tcBorders>
            <w:gridSpan w:val="5"/>
          </w:tcPr>
          <w:p>
            <w:pPr>
              <w:spacing w:after="0"/>
              <w:rPr>
                <w:sz w:val="14"/>
                <w:szCs w:val="14"/>
                <w:color w:val="auto"/>
              </w:rPr>
            </w:pPr>
          </w:p>
        </w:tc>
        <w:tc>
          <w:tcPr>
            <w:tcW w:w="40" w:type="dxa"/>
            <w:vAlign w:val="bottom"/>
          </w:tcPr>
          <w:p>
            <w:pPr>
              <w:spacing w:after="0"/>
              <w:rPr>
                <w:sz w:val="14"/>
                <w:szCs w:val="14"/>
                <w:color w:val="auto"/>
              </w:rPr>
            </w:pPr>
          </w:p>
        </w:tc>
      </w:tr>
      <w:tr>
        <w:trPr>
          <w:trHeight w:val="169"/>
        </w:trPr>
        <w:tc>
          <w:tcPr>
            <w:tcW w:w="1080" w:type="dxa"/>
            <w:vAlign w:val="bottom"/>
          </w:tcPr>
          <w:p>
            <w:pPr>
              <w:spacing w:after="0"/>
              <w:rPr>
                <w:sz w:val="14"/>
                <w:szCs w:val="14"/>
                <w:color w:val="auto"/>
              </w:rPr>
            </w:pPr>
          </w:p>
        </w:tc>
        <w:tc>
          <w:tcPr>
            <w:tcW w:w="10340" w:type="dxa"/>
            <w:vAlign w:val="bottom"/>
            <w:gridSpan w:val="36"/>
          </w:tcPr>
          <w:p>
            <w:pPr>
              <w:spacing w:after="0" w:line="169" w:lineRule="exact"/>
              <w:rPr>
                <w:rFonts w:ascii="Arial" w:cs="Arial" w:eastAsia="Arial" w:hAnsi="Arial"/>
                <w:sz w:val="17"/>
                <w:szCs w:val="17"/>
                <w:color w:val="0000FF"/>
              </w:rPr>
            </w:pPr>
            <w:hyperlink r:id="rId26">
              <w:r>
                <w:rPr>
                  <w:rFonts w:ascii="Arial" w:cs="Arial" w:eastAsia="Arial" w:hAnsi="Arial"/>
                  <w:sz w:val="17"/>
                  <w:szCs w:val="17"/>
                  <w:color w:val="0000FF"/>
                </w:rPr>
                <w:t>Bank, N.A., as Syndication Agent (incorporated by reference to Exhibit 10.1 to the Company’s Current Report on Form 8-K filed July 1,</w:t>
              </w:r>
            </w:hyperlink>
          </w:p>
        </w:tc>
      </w:tr>
      <w:tr>
        <w:trPr>
          <w:trHeight w:val="169"/>
        </w:trPr>
        <w:tc>
          <w:tcPr>
            <w:tcW w:w="1080" w:type="dxa"/>
            <w:vAlign w:val="bottom"/>
          </w:tcPr>
          <w:p>
            <w:pPr>
              <w:spacing w:after="0"/>
              <w:rPr>
                <w:sz w:val="14"/>
                <w:szCs w:val="14"/>
                <w:color w:val="auto"/>
              </w:rPr>
            </w:pPr>
          </w:p>
        </w:tc>
        <w:tc>
          <w:tcPr>
            <w:tcW w:w="480" w:type="dxa"/>
            <w:vAlign w:val="bottom"/>
            <w:tcBorders>
              <w:top w:val="single" w:sz="8" w:color="0000FF"/>
              <w:bottom w:val="single" w:sz="8" w:color="0000FF"/>
            </w:tcBorders>
          </w:tcPr>
          <w:p>
            <w:pPr>
              <w:spacing w:after="0" w:line="169" w:lineRule="exact"/>
              <w:rPr>
                <w:rFonts w:ascii="Arial" w:cs="Arial" w:eastAsia="Arial" w:hAnsi="Arial"/>
                <w:sz w:val="17"/>
                <w:szCs w:val="17"/>
                <w:color w:val="0000FF"/>
                <w:w w:val="95"/>
              </w:rPr>
            </w:pPr>
            <w:hyperlink r:id="rId26">
              <w:r>
                <w:rPr>
                  <w:rFonts w:ascii="Arial" w:cs="Arial" w:eastAsia="Arial" w:hAnsi="Arial"/>
                  <w:sz w:val="17"/>
                  <w:szCs w:val="17"/>
                  <w:color w:val="0000FF"/>
                  <w:w w:val="95"/>
                </w:rPr>
                <w:t>2015).</w:t>
              </w:r>
            </w:hyperlink>
          </w:p>
        </w:tc>
        <w:tc>
          <w:tcPr>
            <w:tcW w:w="1120" w:type="dxa"/>
            <w:vAlign w:val="bottom"/>
            <w:tcBorders>
              <w:top w:val="single" w:sz="8" w:color="0000FF"/>
            </w:tcBorders>
          </w:tcPr>
          <w:p>
            <w:pPr>
              <w:spacing w:after="0"/>
              <w:rPr>
                <w:sz w:val="14"/>
                <w:szCs w:val="14"/>
                <w:color w:val="auto"/>
              </w:rPr>
            </w:pPr>
          </w:p>
        </w:tc>
        <w:tc>
          <w:tcPr>
            <w:tcW w:w="84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1500" w:type="dxa"/>
            <w:vAlign w:val="bottom"/>
            <w:tcBorders>
              <w:top w:val="single" w:sz="8" w:color="0000FF"/>
            </w:tcBorders>
          </w:tcPr>
          <w:p>
            <w:pPr>
              <w:spacing w:after="0"/>
              <w:rPr>
                <w:sz w:val="14"/>
                <w:szCs w:val="14"/>
                <w:color w:val="auto"/>
              </w:rPr>
            </w:pPr>
          </w:p>
        </w:tc>
        <w:tc>
          <w:tcPr>
            <w:tcW w:w="660" w:type="dxa"/>
            <w:vAlign w:val="bottom"/>
            <w:tcBorders>
              <w:top w:val="single" w:sz="8" w:color="0000FF"/>
            </w:tcBorders>
          </w:tcPr>
          <w:p>
            <w:pPr>
              <w:spacing w:after="0"/>
              <w:rPr>
                <w:sz w:val="14"/>
                <w:szCs w:val="14"/>
                <w:color w:val="auto"/>
              </w:rPr>
            </w:pPr>
          </w:p>
        </w:tc>
        <w:tc>
          <w:tcPr>
            <w:tcW w:w="420" w:type="dxa"/>
            <w:vAlign w:val="bottom"/>
            <w:tcBorders>
              <w:top w:val="single" w:sz="8" w:color="0000FF"/>
            </w:tcBorders>
          </w:tcPr>
          <w:p>
            <w:pPr>
              <w:spacing w:after="0"/>
              <w:rPr>
                <w:sz w:val="14"/>
                <w:szCs w:val="14"/>
                <w:color w:val="auto"/>
              </w:rPr>
            </w:pPr>
          </w:p>
        </w:tc>
        <w:tc>
          <w:tcPr>
            <w:tcW w:w="940" w:type="dxa"/>
            <w:vAlign w:val="bottom"/>
            <w:tcBorders>
              <w:top w:val="single" w:sz="8" w:color="0000FF"/>
            </w:tcBorders>
          </w:tcPr>
          <w:p>
            <w:pPr>
              <w:spacing w:after="0"/>
              <w:rPr>
                <w:sz w:val="14"/>
                <w:szCs w:val="14"/>
                <w:color w:val="auto"/>
              </w:rPr>
            </w:pPr>
          </w:p>
        </w:tc>
        <w:tc>
          <w:tcPr>
            <w:tcW w:w="280" w:type="dxa"/>
            <w:vAlign w:val="bottom"/>
            <w:tcBorders>
              <w:top w:val="single" w:sz="8" w:color="0000FF"/>
            </w:tcBorders>
          </w:tcPr>
          <w:p>
            <w:pPr>
              <w:spacing w:after="0"/>
              <w:rPr>
                <w:sz w:val="14"/>
                <w:szCs w:val="14"/>
                <w:color w:val="auto"/>
              </w:rPr>
            </w:pPr>
          </w:p>
        </w:tc>
        <w:tc>
          <w:tcPr>
            <w:tcW w:w="220" w:type="dxa"/>
            <w:vAlign w:val="bottom"/>
            <w:tcBorders>
              <w:top w:val="single" w:sz="8" w:color="0000FF"/>
            </w:tcBorders>
          </w:tcPr>
          <w:p>
            <w:pPr>
              <w:spacing w:after="0"/>
              <w:rPr>
                <w:sz w:val="14"/>
                <w:szCs w:val="14"/>
                <w:color w:val="auto"/>
              </w:rPr>
            </w:pPr>
          </w:p>
        </w:tc>
        <w:tc>
          <w:tcPr>
            <w:tcW w:w="120" w:type="dxa"/>
            <w:vAlign w:val="bottom"/>
            <w:tcBorders>
              <w:top w:val="single" w:sz="8" w:color="0000FF"/>
            </w:tcBorders>
          </w:tcPr>
          <w:p>
            <w:pPr>
              <w:spacing w:after="0"/>
              <w:rPr>
                <w:sz w:val="14"/>
                <w:szCs w:val="14"/>
                <w:color w:val="auto"/>
              </w:rPr>
            </w:pPr>
          </w:p>
        </w:tc>
        <w:tc>
          <w:tcPr>
            <w:tcW w:w="720" w:type="dxa"/>
            <w:vAlign w:val="bottom"/>
            <w:tcBorders>
              <w:top w:val="single" w:sz="8" w:color="0000FF"/>
            </w:tcBorders>
          </w:tcPr>
          <w:p>
            <w:pPr>
              <w:spacing w:after="0"/>
              <w:rPr>
                <w:sz w:val="14"/>
                <w:szCs w:val="14"/>
                <w:color w:val="auto"/>
              </w:rPr>
            </w:pPr>
          </w:p>
        </w:tc>
        <w:tc>
          <w:tcPr>
            <w:tcW w:w="140" w:type="dxa"/>
            <w:vAlign w:val="bottom"/>
            <w:tcBorders>
              <w:top w:val="single" w:sz="8" w:color="0000FF"/>
            </w:tcBorders>
          </w:tcPr>
          <w:p>
            <w:pPr>
              <w:spacing w:after="0"/>
              <w:rPr>
                <w:sz w:val="14"/>
                <w:szCs w:val="14"/>
                <w:color w:val="auto"/>
              </w:rPr>
            </w:pPr>
          </w:p>
        </w:tc>
        <w:tc>
          <w:tcPr>
            <w:tcW w:w="1140" w:type="dxa"/>
            <w:vAlign w:val="bottom"/>
            <w:tcBorders>
              <w:top w:val="single" w:sz="8" w:color="0000FF"/>
            </w:tcBorders>
          </w:tcPr>
          <w:p>
            <w:pPr>
              <w:spacing w:after="0"/>
              <w:rPr>
                <w:sz w:val="14"/>
                <w:szCs w:val="14"/>
                <w:color w:val="auto"/>
              </w:rPr>
            </w:pPr>
          </w:p>
        </w:tc>
        <w:tc>
          <w:tcPr>
            <w:tcW w:w="100" w:type="dxa"/>
            <w:vAlign w:val="bottom"/>
            <w:tcBorders>
              <w:top w:val="single" w:sz="8" w:color="0000FF"/>
            </w:tcBorders>
          </w:tcPr>
          <w:p>
            <w:pPr>
              <w:spacing w:after="0"/>
              <w:rPr>
                <w:sz w:val="14"/>
                <w:szCs w:val="14"/>
                <w:color w:val="auto"/>
              </w:rPr>
            </w:pPr>
          </w:p>
        </w:tc>
        <w:tc>
          <w:tcPr>
            <w:tcW w:w="160" w:type="dxa"/>
            <w:vAlign w:val="bottom"/>
            <w:tcBorders>
              <w:top w:val="single" w:sz="8" w:color="0000FF"/>
            </w:tcBorders>
          </w:tcPr>
          <w:p>
            <w:pPr>
              <w:spacing w:after="0"/>
              <w:rPr>
                <w:sz w:val="14"/>
                <w:szCs w:val="14"/>
                <w:color w:val="auto"/>
              </w:rPr>
            </w:pPr>
          </w:p>
        </w:tc>
        <w:tc>
          <w:tcPr>
            <w:tcW w:w="120" w:type="dxa"/>
            <w:vAlign w:val="bottom"/>
            <w:tcBorders>
              <w:top w:val="single" w:sz="8" w:color="0000FF"/>
            </w:tcBorders>
          </w:tcPr>
          <w:p>
            <w:pPr>
              <w:spacing w:after="0"/>
              <w:rPr>
                <w:sz w:val="14"/>
                <w:szCs w:val="14"/>
                <w:color w:val="auto"/>
              </w:rPr>
            </w:pPr>
          </w:p>
        </w:tc>
        <w:tc>
          <w:tcPr>
            <w:tcW w:w="500" w:type="dxa"/>
            <w:vAlign w:val="bottom"/>
            <w:tcBorders>
              <w:top w:val="single" w:sz="8" w:color="0000FF"/>
            </w:tcBorders>
          </w:tcPr>
          <w:p>
            <w:pPr>
              <w:spacing w:after="0"/>
              <w:rPr>
                <w:sz w:val="14"/>
                <w:szCs w:val="14"/>
                <w:color w:val="auto"/>
              </w:rPr>
            </w:pPr>
          </w:p>
        </w:tc>
        <w:tc>
          <w:tcPr>
            <w:tcW w:w="100" w:type="dxa"/>
            <w:vAlign w:val="bottom"/>
            <w:tcBorders>
              <w:top w:val="single" w:sz="8" w:color="0000FF"/>
            </w:tcBorders>
          </w:tcPr>
          <w:p>
            <w:pPr>
              <w:spacing w:after="0"/>
              <w:rPr>
                <w:sz w:val="14"/>
                <w:szCs w:val="14"/>
                <w:color w:val="auto"/>
              </w:rPr>
            </w:pPr>
          </w:p>
        </w:tc>
        <w:tc>
          <w:tcPr>
            <w:tcW w:w="4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100" w:type="dxa"/>
            <w:vAlign w:val="bottom"/>
            <w:tcBorders>
              <w:top w:val="single" w:sz="8" w:color="0000FF"/>
            </w:tcBorders>
          </w:tcPr>
          <w:p>
            <w:pPr>
              <w:spacing w:after="0"/>
              <w:rPr>
                <w:sz w:val="14"/>
                <w:szCs w:val="14"/>
                <w:color w:val="auto"/>
              </w:rPr>
            </w:pPr>
          </w:p>
        </w:tc>
        <w:tc>
          <w:tcPr>
            <w:tcW w:w="200" w:type="dxa"/>
            <w:vAlign w:val="bottom"/>
            <w:tcBorders>
              <w:top w:val="single" w:sz="8" w:color="0000FF"/>
            </w:tcBorders>
          </w:tcPr>
          <w:p>
            <w:pPr>
              <w:spacing w:after="0"/>
              <w:rPr>
                <w:sz w:val="14"/>
                <w:szCs w:val="14"/>
                <w:color w:val="auto"/>
              </w:rPr>
            </w:pPr>
          </w:p>
        </w:tc>
        <w:tc>
          <w:tcPr>
            <w:tcW w:w="40" w:type="dxa"/>
            <w:vAlign w:val="bottom"/>
            <w:tcBorders>
              <w:top w:val="single" w:sz="8" w:color="0000FF"/>
            </w:tcBorders>
          </w:tcPr>
          <w:p>
            <w:pPr>
              <w:spacing w:after="0"/>
              <w:rPr>
                <w:sz w:val="14"/>
                <w:szCs w:val="14"/>
                <w:color w:val="auto"/>
              </w:rPr>
            </w:pPr>
          </w:p>
        </w:tc>
        <w:tc>
          <w:tcPr>
            <w:tcW w:w="4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6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r>
      <w:tr>
        <w:trPr>
          <w:trHeight w:val="223"/>
        </w:trPr>
        <w:tc>
          <w:tcPr>
            <w:tcW w:w="1080" w:type="dxa"/>
            <w:vAlign w:val="bottom"/>
          </w:tcPr>
          <w:p>
            <w:pPr>
              <w:jc w:val="right"/>
              <w:ind w:right="336"/>
              <w:spacing w:after="0"/>
              <w:rPr>
                <w:sz w:val="20"/>
                <w:szCs w:val="20"/>
                <w:color w:val="auto"/>
              </w:rPr>
            </w:pPr>
            <w:r>
              <w:rPr>
                <w:rFonts w:ascii="Arial" w:cs="Arial" w:eastAsia="Arial" w:hAnsi="Arial"/>
                <w:sz w:val="17"/>
                <w:szCs w:val="17"/>
                <w:color w:val="auto"/>
              </w:rPr>
              <w:t>10.11</w:t>
            </w:r>
          </w:p>
        </w:tc>
        <w:tc>
          <w:tcPr>
            <w:tcW w:w="10340" w:type="dxa"/>
            <w:vAlign w:val="bottom"/>
            <w:gridSpan w:val="36"/>
          </w:tcPr>
          <w:p>
            <w:pPr>
              <w:spacing w:after="0"/>
              <w:rPr>
                <w:rFonts w:ascii="Arial" w:cs="Arial" w:eastAsia="Arial" w:hAnsi="Arial"/>
                <w:sz w:val="17"/>
                <w:szCs w:val="17"/>
                <w:color w:val="0000FF"/>
              </w:rPr>
            </w:pPr>
            <w:hyperlink r:id="rId27">
              <w:r>
                <w:rPr>
                  <w:rFonts w:ascii="Arial" w:cs="Arial" w:eastAsia="Arial" w:hAnsi="Arial"/>
                  <w:sz w:val="17"/>
                  <w:szCs w:val="17"/>
                  <w:color w:val="0000FF"/>
                </w:rPr>
                <w:t>Tax Matters Agreement, dated as of June 16, 2015 by and between the Company and Cable One, Inc. (incorporated by reference to</w:t>
              </w:r>
            </w:hyperlink>
          </w:p>
        </w:tc>
      </w:tr>
      <w:tr>
        <w:trPr>
          <w:trHeight w:val="169"/>
        </w:trPr>
        <w:tc>
          <w:tcPr>
            <w:tcW w:w="1080" w:type="dxa"/>
            <w:vAlign w:val="bottom"/>
          </w:tcPr>
          <w:p>
            <w:pPr>
              <w:spacing w:after="0"/>
              <w:rPr>
                <w:sz w:val="14"/>
                <w:szCs w:val="14"/>
                <w:color w:val="auto"/>
              </w:rPr>
            </w:pPr>
          </w:p>
        </w:tc>
        <w:tc>
          <w:tcPr>
            <w:tcW w:w="9960" w:type="dxa"/>
            <w:vAlign w:val="bottom"/>
            <w:tcBorders>
              <w:top w:val="single" w:sz="8" w:color="0000FF"/>
            </w:tcBorders>
            <w:gridSpan w:val="24"/>
          </w:tcPr>
          <w:p>
            <w:pPr>
              <w:spacing w:after="0" w:line="169" w:lineRule="exact"/>
              <w:rPr>
                <w:rFonts w:ascii="Arial" w:cs="Arial" w:eastAsia="Arial" w:hAnsi="Arial"/>
                <w:sz w:val="17"/>
                <w:szCs w:val="17"/>
                <w:color w:val="0000FF"/>
              </w:rPr>
            </w:pPr>
            <w:hyperlink r:id="rId27">
              <w:r>
                <w:rPr>
                  <w:rFonts w:ascii="Arial" w:cs="Arial" w:eastAsia="Arial" w:hAnsi="Arial"/>
                  <w:sz w:val="17"/>
                  <w:szCs w:val="17"/>
                  <w:color w:val="0000FF"/>
                </w:rPr>
                <w:t>Exhibit 10.2 to the Company’s Current Report on Form 8-K filed June 17, 2015)</w:t>
              </w:r>
              <w:r>
                <w:rPr>
                  <w:rFonts w:ascii="Arial" w:cs="Arial" w:eastAsia="Arial" w:hAnsi="Arial"/>
                  <w:sz w:val="17"/>
                  <w:szCs w:val="17"/>
                  <w:color w:val="000000"/>
                </w:rPr>
                <w:t>.</w:t>
              </w:r>
            </w:hyperlink>
          </w:p>
        </w:tc>
        <w:tc>
          <w:tcPr>
            <w:tcW w:w="380" w:type="dxa"/>
            <w:vAlign w:val="bottom"/>
            <w:gridSpan w:val="12"/>
          </w:tcPr>
          <w:p>
            <w:pPr>
              <w:spacing w:after="0"/>
              <w:rPr>
                <w:sz w:val="14"/>
                <w:szCs w:val="14"/>
                <w:color w:val="auto"/>
              </w:rPr>
            </w:pPr>
          </w:p>
        </w:tc>
      </w:tr>
      <w:tr>
        <w:trPr>
          <w:trHeight w:val="20"/>
        </w:trPr>
        <w:tc>
          <w:tcPr>
            <w:tcW w:w="1080" w:type="dxa"/>
            <w:vAlign w:val="bottom"/>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1120" w:type="dxa"/>
            <w:vAlign w:val="bottom"/>
            <w:shd w:val="clear" w:color="auto" w:fill="0000FF"/>
          </w:tcPr>
          <w:p>
            <w:pPr>
              <w:spacing w:after="0" w:line="20" w:lineRule="exact"/>
              <w:rPr>
                <w:sz w:val="1"/>
                <w:szCs w:val="1"/>
                <w:color w:val="auto"/>
              </w:rPr>
            </w:pPr>
          </w:p>
        </w:tc>
        <w:tc>
          <w:tcPr>
            <w:tcW w:w="8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500" w:type="dxa"/>
            <w:vAlign w:val="bottom"/>
            <w:shd w:val="clear" w:color="auto" w:fill="0000FF"/>
          </w:tcPr>
          <w:p>
            <w:pPr>
              <w:spacing w:after="0" w:line="20" w:lineRule="exact"/>
              <w:rPr>
                <w:sz w:val="1"/>
                <w:szCs w:val="1"/>
                <w:color w:val="auto"/>
              </w:rPr>
            </w:pPr>
          </w:p>
        </w:tc>
        <w:tc>
          <w:tcPr>
            <w:tcW w:w="66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940" w:type="dxa"/>
            <w:vAlign w:val="bottom"/>
            <w:shd w:val="clear" w:color="auto" w:fill="0000FF"/>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61" w:lineRule="exact"/>
        <w:rPr>
          <w:sz w:val="20"/>
          <w:szCs w:val="20"/>
          <w:color w:val="auto"/>
        </w:rPr>
      </w:pPr>
    </w:p>
    <w:p>
      <w:pPr>
        <w:ind w:left="1080" w:hanging="614"/>
        <w:spacing w:after="0"/>
        <w:tabs>
          <w:tab w:leader="none" w:pos="1080" w:val="left"/>
        </w:tabs>
        <w:numPr>
          <w:ilvl w:val="0"/>
          <w:numId w:val="44"/>
        </w:numPr>
        <w:rPr>
          <w:rFonts w:ascii="Arial" w:cs="Arial" w:eastAsia="Arial" w:hAnsi="Arial"/>
          <w:sz w:val="17"/>
          <w:szCs w:val="17"/>
          <w:u w:val="single" w:color="auto"/>
          <w:color w:val="0000FF"/>
        </w:rPr>
      </w:pPr>
      <w:hyperlink w:anchor="page131">
        <w:r>
          <w:rPr>
            <w:rFonts w:ascii="Arial" w:cs="Arial" w:eastAsia="Arial" w:hAnsi="Arial"/>
            <w:sz w:val="17"/>
            <w:szCs w:val="17"/>
            <w:u w:val="single" w:color="auto"/>
            <w:color w:val="0000FF"/>
          </w:rPr>
          <w:t>List of subsidiaries of the Company.</w:t>
        </w:r>
      </w:hyperlink>
    </w:p>
    <w:p>
      <w:pPr>
        <w:spacing w:after="0" w:line="75" w:lineRule="exact"/>
        <w:rPr>
          <w:sz w:val="20"/>
          <w:szCs w:val="20"/>
          <w:color w:val="auto"/>
        </w:rPr>
      </w:pPr>
    </w:p>
    <w:p>
      <w:pPr>
        <w:ind w:left="1080" w:hanging="614"/>
        <w:spacing w:after="0"/>
        <w:tabs>
          <w:tab w:leader="none" w:pos="1080" w:val="left"/>
        </w:tabs>
        <w:numPr>
          <w:ilvl w:val="0"/>
          <w:numId w:val="45"/>
        </w:numPr>
        <w:rPr>
          <w:rFonts w:ascii="Arial" w:cs="Arial" w:eastAsia="Arial" w:hAnsi="Arial"/>
          <w:sz w:val="17"/>
          <w:szCs w:val="17"/>
          <w:u w:val="single" w:color="auto"/>
          <w:color w:val="0000FF"/>
        </w:rPr>
      </w:pPr>
      <w:hyperlink w:anchor="page138">
        <w:r>
          <w:rPr>
            <w:rFonts w:ascii="Arial" w:cs="Arial" w:eastAsia="Arial" w:hAnsi="Arial"/>
            <w:sz w:val="17"/>
            <w:szCs w:val="17"/>
            <w:u w:val="single" w:color="auto"/>
            <w:color w:val="0000FF"/>
          </w:rPr>
          <w:t>Consent of independent registered public accounting firm.</w:t>
        </w:r>
      </w:hyperlink>
    </w:p>
    <w:p>
      <w:pPr>
        <w:spacing w:after="0" w:line="74" w:lineRule="exact"/>
        <w:rPr>
          <w:rFonts w:ascii="Arial" w:cs="Arial" w:eastAsia="Arial" w:hAnsi="Arial"/>
          <w:sz w:val="17"/>
          <w:szCs w:val="17"/>
          <w:u w:val="single" w:color="auto"/>
          <w:color w:val="0000FF"/>
        </w:rPr>
      </w:pPr>
    </w:p>
    <w:p>
      <w:pPr>
        <w:ind w:left="1080" w:hanging="614"/>
        <w:spacing w:after="0"/>
        <w:tabs>
          <w:tab w:leader="none" w:pos="1080" w:val="left"/>
        </w:tabs>
        <w:numPr>
          <w:ilvl w:val="0"/>
          <w:numId w:val="45"/>
        </w:numPr>
        <w:rPr>
          <w:rFonts w:ascii="Arial" w:cs="Arial" w:eastAsia="Arial" w:hAnsi="Arial"/>
          <w:sz w:val="17"/>
          <w:szCs w:val="17"/>
          <w:u w:val="single" w:color="auto"/>
          <w:color w:val="0000FF"/>
        </w:rPr>
      </w:pPr>
      <w:hyperlink w:anchor="page139">
        <w:r>
          <w:rPr>
            <w:rFonts w:ascii="Arial" w:cs="Arial" w:eastAsia="Arial" w:hAnsi="Arial"/>
            <w:sz w:val="17"/>
            <w:szCs w:val="17"/>
            <w:u w:val="single" w:color="auto"/>
            <w:color w:val="0000FF"/>
          </w:rPr>
          <w:t>Power of attorney dated January 18, 2018.</w:t>
        </w:r>
      </w:hyperlink>
    </w:p>
    <w:p>
      <w:pPr>
        <w:spacing w:after="0" w:line="75" w:lineRule="exact"/>
        <w:rPr>
          <w:rFonts w:ascii="Arial" w:cs="Arial" w:eastAsia="Arial" w:hAnsi="Arial"/>
          <w:sz w:val="17"/>
          <w:szCs w:val="17"/>
          <w:color w:val="auto"/>
        </w:rPr>
      </w:pPr>
    </w:p>
    <w:p>
      <w:pPr>
        <w:ind w:left="320"/>
        <w:spacing w:after="0"/>
        <w:tabs>
          <w:tab w:leader="none" w:pos="1060" w:val="left"/>
        </w:tabs>
        <w:rPr>
          <w:rFonts w:ascii="Arial" w:cs="Arial" w:eastAsia="Arial" w:hAnsi="Arial"/>
          <w:sz w:val="17"/>
          <w:szCs w:val="17"/>
          <w:u w:val="single" w:color="auto"/>
          <w:color w:val="0000FF"/>
        </w:rPr>
      </w:pPr>
      <w:r>
        <w:rPr>
          <w:rFonts w:ascii="Arial" w:cs="Arial" w:eastAsia="Arial" w:hAnsi="Arial"/>
          <w:sz w:val="17"/>
          <w:szCs w:val="17"/>
          <w:color w:val="auto"/>
        </w:rPr>
        <w:t>31.1</w:t>
      </w:r>
      <w:r>
        <w:rPr>
          <w:sz w:val="20"/>
          <w:szCs w:val="20"/>
          <w:color w:val="auto"/>
        </w:rPr>
        <w:tab/>
      </w:r>
      <w:hyperlink w:anchor="page140">
        <w:r>
          <w:rPr>
            <w:rFonts w:ascii="Arial" w:cs="Arial" w:eastAsia="Arial" w:hAnsi="Arial"/>
            <w:sz w:val="17"/>
            <w:szCs w:val="17"/>
            <w:u w:val="single" w:color="auto"/>
            <w:color w:val="0000FF"/>
          </w:rPr>
          <w:t>Rule 13a-14(a)/15d-14(a) Certification of the Chief Executive Officer.</w:t>
        </w:r>
      </w:hyperlink>
    </w:p>
    <w:p>
      <w:pPr>
        <w:spacing w:after="0" w:line="75" w:lineRule="exact"/>
        <w:rPr>
          <w:rFonts w:ascii="Arial" w:cs="Arial" w:eastAsia="Arial" w:hAnsi="Arial"/>
          <w:sz w:val="17"/>
          <w:szCs w:val="17"/>
          <w:color w:val="auto"/>
        </w:rPr>
      </w:pPr>
    </w:p>
    <w:p>
      <w:pPr>
        <w:ind w:left="320"/>
        <w:spacing w:after="0"/>
        <w:tabs>
          <w:tab w:leader="none" w:pos="1060" w:val="left"/>
        </w:tabs>
        <w:rPr>
          <w:rFonts w:ascii="Arial" w:cs="Arial" w:eastAsia="Arial" w:hAnsi="Arial"/>
          <w:sz w:val="17"/>
          <w:szCs w:val="17"/>
          <w:u w:val="single" w:color="auto"/>
          <w:color w:val="0000FF"/>
        </w:rPr>
      </w:pPr>
      <w:r>
        <w:rPr>
          <w:rFonts w:ascii="Arial" w:cs="Arial" w:eastAsia="Arial" w:hAnsi="Arial"/>
          <w:sz w:val="17"/>
          <w:szCs w:val="17"/>
          <w:color w:val="auto"/>
        </w:rPr>
        <w:t>31.2</w:t>
      </w:r>
      <w:r>
        <w:rPr>
          <w:sz w:val="20"/>
          <w:szCs w:val="20"/>
          <w:color w:val="auto"/>
        </w:rPr>
        <w:tab/>
      </w:r>
      <w:hyperlink w:anchor="page141">
        <w:r>
          <w:rPr>
            <w:rFonts w:ascii="Arial" w:cs="Arial" w:eastAsia="Arial" w:hAnsi="Arial"/>
            <w:sz w:val="17"/>
            <w:szCs w:val="17"/>
            <w:u w:val="single" w:color="auto"/>
            <w:color w:val="0000FF"/>
          </w:rPr>
          <w:t>Rule 13a-14(a)/15d-14(a) Certification of the Chief Financial Officer.</w:t>
        </w:r>
      </w:hyperlink>
    </w:p>
    <w:p>
      <w:pPr>
        <w:spacing w:after="0" w:line="75" w:lineRule="exact"/>
        <w:rPr>
          <w:rFonts w:ascii="Arial" w:cs="Arial" w:eastAsia="Arial" w:hAnsi="Arial"/>
          <w:sz w:val="17"/>
          <w:szCs w:val="17"/>
          <w:color w:val="auto"/>
        </w:rPr>
      </w:pPr>
    </w:p>
    <w:p>
      <w:pPr>
        <w:ind w:left="5620" w:right="3760" w:hanging="5154"/>
        <w:spacing w:after="0" w:line="720" w:lineRule="auto"/>
        <w:tabs>
          <w:tab w:leader="none" w:pos="1081" w:val="left"/>
        </w:tabs>
        <w:numPr>
          <w:ilvl w:val="0"/>
          <w:numId w:val="46"/>
        </w:numPr>
        <w:rPr>
          <w:rFonts w:ascii="Arial" w:cs="Arial" w:eastAsia="Arial" w:hAnsi="Arial"/>
          <w:sz w:val="17"/>
          <w:szCs w:val="17"/>
          <w:u w:val="single" w:color="auto"/>
          <w:color w:val="0000FF"/>
        </w:rPr>
      </w:pPr>
      <w:hyperlink w:anchor="page142">
        <w:r>
          <w:rPr>
            <w:rFonts w:ascii="Arial" w:cs="Arial" w:eastAsia="Arial" w:hAnsi="Arial"/>
            <w:sz w:val="17"/>
            <w:szCs w:val="17"/>
            <w:u w:val="single" w:color="auto"/>
            <w:color w:val="0000FF"/>
          </w:rPr>
          <w:t>Section 1350 Certification of the Chief Executive Officer and the Chief Financial Officer.</w:t>
        </w:r>
      </w:hyperlink>
      <w:r>
        <w:rPr>
          <w:rFonts w:ascii="Arial" w:cs="Arial" w:eastAsia="Arial" w:hAnsi="Arial"/>
          <w:sz w:val="17"/>
          <w:szCs w:val="17"/>
          <w:u w:val="single" w:color="auto"/>
          <w:color w:val="0000FF"/>
        </w:rPr>
        <w:t xml:space="preserve"> </w:t>
      </w:r>
      <w:r>
        <w:rPr>
          <w:rFonts w:ascii="Arial" w:cs="Arial" w:eastAsia="Arial" w:hAnsi="Arial"/>
          <w:sz w:val="18"/>
          <w:szCs w:val="18"/>
          <w:color w:val="000000"/>
        </w:rPr>
        <w:t>44</w:t>
      </w:r>
    </w:p>
    <w:p>
      <w:pPr>
        <w:sectPr>
          <w:pgSz w:w="11900" w:h="16838" w:orient="portrait"/>
          <w:cols w:equalWidth="0" w:num="1">
            <w:col w:w="11420"/>
          </w:cols>
          <w:pgMar w:left="240" w:top="738" w:right="239" w:bottom="1440" w:gutter="0" w:footer="0" w:header="0"/>
        </w:sectPr>
      </w:pPr>
    </w:p>
    <w:bookmarkStart w:id="46" w:name="page47"/>
    <w:bookmarkEnd w:id="46"/>
    <w:p>
      <w:pPr>
        <w:ind w:left="40"/>
        <w:spacing w:after="0"/>
        <w:rPr>
          <w:sz w:val="20"/>
          <w:szCs w:val="20"/>
          <w:color w:val="auto"/>
        </w:rPr>
      </w:pPr>
      <w:r>
        <w:rPr>
          <w:rFonts w:ascii="Arial" w:cs="Arial" w:eastAsia="Arial" w:hAnsi="Arial"/>
          <w:sz w:val="14"/>
          <w:szCs w:val="14"/>
          <w:b w:val="1"/>
          <w:bCs w:val="1"/>
          <w:color w:val="auto"/>
        </w:rPr>
        <w:t>Exhibit</w:t>
      </w:r>
    </w:p>
    <w:p>
      <w:pPr>
        <w:spacing w:after="0" w:line="19" w:lineRule="exact"/>
        <w:rPr>
          <w:sz w:val="20"/>
          <w:szCs w:val="20"/>
          <w:color w:val="auto"/>
        </w:rPr>
      </w:pPr>
    </w:p>
    <w:p>
      <w:pPr>
        <w:ind w:left="40"/>
        <w:spacing w:after="0"/>
        <w:rPr>
          <w:sz w:val="20"/>
          <w:szCs w:val="20"/>
          <w:color w:val="auto"/>
        </w:rPr>
      </w:pPr>
      <w:r>
        <w:rPr>
          <w:rFonts w:ascii="Arial" w:cs="Arial" w:eastAsia="Arial" w:hAnsi="Arial"/>
          <w:sz w:val="14"/>
          <w:szCs w:val="14"/>
          <w:b w:val="1"/>
          <w:bCs w:val="1"/>
          <w:color w:val="auto"/>
        </w:rPr>
        <w:t>Number</w:t>
      </w:r>
    </w:p>
    <w:p>
      <w:pPr>
        <w:spacing w:after="0" w:line="20" w:lineRule="exact"/>
        <w:rPr>
          <w:sz w:val="20"/>
          <w:szCs w:val="20"/>
          <w:color w:val="auto"/>
        </w:rPr>
      </w:pPr>
      <w:r>
        <w:rPr>
          <w:sz w:val="20"/>
          <w:szCs w:val="20"/>
          <w:color w:val="auto"/>
        </w:rPr>
        <w:br w:type="column"/>
      </w:r>
    </w:p>
    <w:p>
      <w:pPr>
        <w:spacing w:after="0" w:line="142"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-3702685</wp:posOffset>
            </wp:positionH>
            <wp:positionV relativeFrom="paragraph">
              <wp:posOffset>26035</wp:posOffset>
            </wp:positionV>
            <wp:extent cx="72466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2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18" w:lineRule="exact"/>
        <w:rPr>
          <w:sz w:val="20"/>
          <w:szCs w:val="20"/>
          <w:color w:val="auto"/>
        </w:rPr>
      </w:pPr>
    </w:p>
    <w:p>
      <w:pPr>
        <w:sectPr>
          <w:pgSz w:w="11900" w:h="16838" w:orient="portrait"/>
          <w:cols w:equalWidth="0" w:num="2">
            <w:col w:w="5120" w:space="720"/>
            <w:col w:w="5500"/>
          </w:cols>
          <w:pgMar w:left="240" w:top="910" w:right="319" w:bottom="1440" w:gutter="0" w:footer="0" w:header="0"/>
        </w:sectPr>
      </w:pPr>
    </w:p>
    <w:p>
      <w:pPr>
        <w:spacing w:after="0" w:line="128" w:lineRule="exact"/>
        <w:rPr>
          <w:sz w:val="20"/>
          <w:szCs w:val="20"/>
          <w:color w:val="auto"/>
        </w:rPr>
      </w:pPr>
    </w:p>
    <w:p>
      <w:pPr>
        <w:ind w:left="1080" w:hanging="709"/>
        <w:spacing w:after="0" w:line="234" w:lineRule="auto"/>
        <w:tabs>
          <w:tab w:leader="none" w:pos="1080" w:val="left"/>
        </w:tabs>
        <w:numPr>
          <w:ilvl w:val="0"/>
          <w:numId w:val="47"/>
        </w:numPr>
        <w:rPr>
          <w:rFonts w:ascii="Arial" w:cs="Arial" w:eastAsia="Arial" w:hAnsi="Arial"/>
          <w:sz w:val="17"/>
          <w:szCs w:val="17"/>
          <w:color w:val="auto"/>
        </w:rPr>
      </w:pPr>
      <w:r>
        <w:rPr>
          <w:rFonts w:ascii="Arial" w:cs="Arial" w:eastAsia="Arial" w:hAnsi="Arial"/>
          <w:sz w:val="17"/>
          <w:szCs w:val="17"/>
          <w:color w:val="auto"/>
        </w:rPr>
        <w:t>The following financial information from Graham Holdings Company Annual Report on Form 10-K for the year ended December 31, 2017, formatted in Extensible Business Reporting Language (XBRL): (i) Consolidated Statements of Operations for the years ended December 31, 2017, 2016 and 2015; (ii) Consolidated Statements of Comprehensive Income for the years ended December 31, 2017, 2016 and 2015; (iii) Consolidated Balance Sheets as of December 31, 2017 and 2016; (iv) Consolidated Statements of Cash Flows for the years ended December 31, 2017, 2016 and 2015; (v) Consolidated Statements of Changes in Common Shareholders</w:t>
      </w:r>
      <w:r>
        <w:rPr>
          <w:rFonts w:ascii="Arial" w:cs="Arial" w:eastAsia="Arial" w:hAnsi="Arial"/>
          <w:sz w:val="18"/>
          <w:szCs w:val="18"/>
          <w:color w:val="auto"/>
        </w:rPr>
        <w:t>’</w:t>
      </w:r>
      <w:r>
        <w:rPr>
          <w:rFonts w:ascii="Arial" w:cs="Arial" w:eastAsia="Arial" w:hAnsi="Arial"/>
          <w:sz w:val="17"/>
          <w:szCs w:val="17"/>
          <w:color w:val="auto"/>
        </w:rPr>
        <w:t xml:space="preserve"> Equity for the years ended December 31, 2017, 2016 and 2015; and (vi) Notes to Consolidated Financial Statements. Pursuant to Rule 406T of Regulation S-T, these interactive data files are deemed “furnished” and not “filed” or part of a registration statement or prospectus for purposes of Sections 11 or 12 of the Securities Act of 1933, are deemed “furnished” and not “filed” for purposes of Section 18 of the Securities Exchange Act of 1934, and otherwise are not subject to liability under these sections.</w:t>
      </w:r>
    </w:p>
    <w:p>
      <w:pPr>
        <w:spacing w:after="0" w:line="230" w:lineRule="exact"/>
        <w:rPr>
          <w:sz w:val="20"/>
          <w:szCs w:val="20"/>
          <w:color w:val="auto"/>
        </w:rPr>
      </w:pPr>
    </w:p>
    <w:p>
      <w:pPr>
        <w:spacing w:after="0"/>
        <w:rPr>
          <w:sz w:val="20"/>
          <w:szCs w:val="20"/>
          <w:color w:val="auto"/>
        </w:rPr>
      </w:pPr>
      <w:r>
        <w:rPr>
          <w:rFonts w:ascii="Arial" w:cs="Arial" w:eastAsia="Arial" w:hAnsi="Arial"/>
          <w:sz w:val="5"/>
          <w:szCs w:val="5"/>
          <w:color w:val="auto"/>
        </w:rPr>
        <w:t>___________________________________________</w:t>
      </w:r>
    </w:p>
    <w:p>
      <w:pPr>
        <w:spacing w:after="0" w:line="18" w:lineRule="exact"/>
        <w:rPr>
          <w:sz w:val="20"/>
          <w:szCs w:val="20"/>
          <w:color w:val="auto"/>
        </w:rPr>
      </w:pPr>
    </w:p>
    <w:p>
      <w:pPr>
        <w:spacing w:after="0"/>
        <w:rPr>
          <w:sz w:val="20"/>
          <w:szCs w:val="20"/>
          <w:color w:val="auto"/>
        </w:rPr>
      </w:pPr>
      <w:r>
        <w:rPr>
          <w:rFonts w:ascii="Arial" w:cs="Arial" w:eastAsia="Arial" w:hAnsi="Arial"/>
          <w:sz w:val="14"/>
          <w:szCs w:val="14"/>
          <w:color w:val="auto"/>
        </w:rPr>
        <w:t>*A management contract or compensatory plan or arrangement required to be included as an exhibit hereto pursuant to Item 15(b) of Form 10-K.</w:t>
      </w:r>
    </w:p>
    <w:p>
      <w:pPr>
        <w:spacing w:after="0" w:line="15" w:lineRule="exact"/>
        <w:rPr>
          <w:sz w:val="20"/>
          <w:szCs w:val="20"/>
          <w:color w:val="auto"/>
        </w:rPr>
      </w:pPr>
    </w:p>
    <w:p>
      <w:pPr>
        <w:ind w:right="240"/>
        <w:spacing w:after="0" w:line="243" w:lineRule="auto"/>
        <w:rPr>
          <w:sz w:val="20"/>
          <w:szCs w:val="20"/>
          <w:color w:val="auto"/>
        </w:rPr>
      </w:pPr>
      <w:r>
        <w:rPr>
          <w:rFonts w:ascii="Arial" w:cs="Arial" w:eastAsia="Arial" w:hAnsi="Arial"/>
          <w:sz w:val="14"/>
          <w:szCs w:val="14"/>
          <w:color w:val="auto"/>
        </w:rPr>
        <w:t>**Graham Holdings Company hereby undertakes to furnish supplementally a copy of any omitted exhibit or schedule to such agreement to the U.S. Securities and Exchange Commission upon request.</w:t>
      </w:r>
    </w:p>
    <w:p>
      <w:pPr>
        <w:spacing w:after="0" w:line="349"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45</w:t>
      </w:r>
    </w:p>
    <w:p>
      <w:pPr>
        <w:sectPr>
          <w:pgSz w:w="11900" w:h="16838" w:orient="portrait"/>
          <w:cols w:equalWidth="0" w:num="1">
            <w:col w:w="11340"/>
          </w:cols>
          <w:pgMar w:left="240" w:top="910" w:right="319" w:bottom="1440" w:gutter="0" w:footer="0" w:header="0"/>
          <w:type w:val="continuous"/>
        </w:sectPr>
      </w:pPr>
    </w:p>
    <w:bookmarkStart w:id="47" w:name="page48"/>
    <w:bookmarkEnd w:id="47"/>
    <w:p>
      <w:pPr>
        <w:jc w:val="center"/>
        <w:ind w:left="440"/>
        <w:spacing w:after="0"/>
        <w:rPr>
          <w:sz w:val="20"/>
          <w:szCs w:val="20"/>
          <w:color w:val="auto"/>
        </w:rPr>
      </w:pPr>
      <w:r>
        <w:rPr>
          <w:rFonts w:ascii="Arial" w:cs="Arial" w:eastAsia="Arial" w:hAnsi="Arial"/>
          <w:sz w:val="18"/>
          <w:szCs w:val="18"/>
          <w:b w:val="1"/>
          <w:bCs w:val="1"/>
          <w:color w:val="auto"/>
        </w:rPr>
        <w:t>SIGNATURES</w:t>
      </w:r>
    </w:p>
    <w:p>
      <w:pPr>
        <w:spacing w:after="0" w:line="247" w:lineRule="exact"/>
        <w:rPr>
          <w:sz w:val="20"/>
          <w:szCs w:val="20"/>
          <w:color w:val="auto"/>
        </w:rPr>
      </w:pPr>
    </w:p>
    <w:p>
      <w:pPr>
        <w:ind w:right="280"/>
        <w:spacing w:after="0" w:line="262" w:lineRule="auto"/>
        <w:rPr>
          <w:sz w:val="20"/>
          <w:szCs w:val="20"/>
          <w:color w:val="auto"/>
        </w:rPr>
      </w:pPr>
      <w:r>
        <w:rPr>
          <w:rFonts w:ascii="Arial" w:cs="Arial" w:eastAsia="Arial" w:hAnsi="Arial"/>
          <w:sz w:val="18"/>
          <w:szCs w:val="18"/>
          <w:color w:val="auto"/>
        </w:rPr>
        <w:t>Pursuant to the requirements of Section 13 or 15(d) of the Securities Exchange Act of 1934, the Registrant has duly caused this report to be signed on its behalf by the undersigned, thereunto duly authorized, on February 23, 2018.</w:t>
      </w:r>
    </w:p>
    <w:p>
      <w:pPr>
        <w:spacing w:after="0" w:line="358" w:lineRule="exact"/>
        <w:rPr>
          <w:sz w:val="20"/>
          <w:szCs w:val="20"/>
          <w:color w:val="auto"/>
        </w:rPr>
      </w:pPr>
    </w:p>
    <w:p>
      <w:pPr>
        <w:jc w:val="center"/>
        <w:ind w:left="7080"/>
        <w:spacing w:after="0"/>
        <w:rPr>
          <w:sz w:val="20"/>
          <w:szCs w:val="20"/>
          <w:color w:val="auto"/>
        </w:rPr>
      </w:pPr>
      <w:r>
        <w:rPr>
          <w:rFonts w:ascii="Arial" w:cs="Arial" w:eastAsia="Arial" w:hAnsi="Arial"/>
          <w:sz w:val="18"/>
          <w:szCs w:val="18"/>
          <w:color w:val="auto"/>
        </w:rPr>
        <w:t>GRAHAM HOLDINGS COMPANY</w:t>
      </w:r>
    </w:p>
    <w:p>
      <w:pPr>
        <w:spacing w:after="0" w:line="50" w:lineRule="exact"/>
        <w:rPr>
          <w:sz w:val="20"/>
          <w:szCs w:val="20"/>
          <w:color w:val="auto"/>
        </w:rPr>
      </w:pPr>
    </w:p>
    <w:p>
      <w:pPr>
        <w:jc w:val="center"/>
        <w:ind w:left="7080"/>
        <w:spacing w:after="0"/>
        <w:rPr>
          <w:sz w:val="20"/>
          <w:szCs w:val="20"/>
          <w:color w:val="auto"/>
        </w:rPr>
      </w:pPr>
      <w:r>
        <w:rPr>
          <w:rFonts w:ascii="Arial" w:cs="Arial" w:eastAsia="Arial" w:hAnsi="Arial"/>
          <w:sz w:val="18"/>
          <w:szCs w:val="18"/>
          <w:color w:val="auto"/>
        </w:rPr>
        <w:t>(Registrant)</w:t>
      </w:r>
    </w:p>
    <w:p>
      <w:pPr>
        <w:spacing w:after="0" w:line="347" w:lineRule="exact"/>
        <w:rPr>
          <w:sz w:val="20"/>
          <w:szCs w:val="20"/>
          <w:color w:val="auto"/>
        </w:rPr>
      </w:pPr>
    </w:p>
    <w:p>
      <w:pPr>
        <w:ind w:left="6700"/>
        <w:spacing w:after="0"/>
        <w:tabs>
          <w:tab w:leader="none" w:pos="834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Wallace R. Cooney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4498975</wp:posOffset>
            </wp:positionH>
            <wp:positionV relativeFrom="paragraph">
              <wp:posOffset>40640</wp:posOffset>
            </wp:positionV>
            <wp:extent cx="275272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29">
                      <a:extLst>
                        <a:ext uri="{28A0092B-C50C-407E-A947-70E740481C1C}"/>
                      </a:extLst>
                    </a:blip>
                    <a:srcRect/>
                    <a:stretch>
                      <a:fillRect/>
                    </a:stretch>
                  </pic:blipFill>
                  <pic:spPr bwMode="auto">
                    <a:xfrm>
                      <a:off x="0" y="0"/>
                      <a:ext cx="2752725" cy="8890"/>
                    </a:xfrm>
                    <a:prstGeom prst="rect">
                      <a:avLst/>
                    </a:prstGeom>
                    <a:noFill/>
                  </pic:spPr>
                </pic:pic>
              </a:graphicData>
            </a:graphic>
          </wp:anchor>
        </w:drawing>
      </w:r>
    </w:p>
    <w:p>
      <w:pPr>
        <w:spacing w:after="0" w:line="84" w:lineRule="exact"/>
        <w:rPr>
          <w:sz w:val="20"/>
          <w:szCs w:val="20"/>
          <w:color w:val="auto"/>
        </w:rPr>
      </w:pPr>
    </w:p>
    <w:p>
      <w:pPr>
        <w:jc w:val="center"/>
        <w:ind w:left="7080"/>
        <w:spacing w:after="0"/>
        <w:rPr>
          <w:sz w:val="20"/>
          <w:szCs w:val="20"/>
          <w:color w:val="auto"/>
        </w:rPr>
      </w:pPr>
      <w:r>
        <w:rPr>
          <w:rFonts w:ascii="Arial" w:cs="Arial" w:eastAsia="Arial" w:hAnsi="Arial"/>
          <w:sz w:val="18"/>
          <w:szCs w:val="18"/>
          <w:color w:val="auto"/>
        </w:rPr>
        <w:t>Wallace R. Cooney</w:t>
      </w:r>
    </w:p>
    <w:p>
      <w:pPr>
        <w:spacing w:after="0" w:line="50" w:lineRule="exact"/>
        <w:rPr>
          <w:sz w:val="20"/>
          <w:szCs w:val="20"/>
          <w:color w:val="auto"/>
        </w:rPr>
      </w:pPr>
    </w:p>
    <w:p>
      <w:pPr>
        <w:jc w:val="center"/>
        <w:ind w:left="7080"/>
        <w:spacing w:after="0"/>
        <w:rPr>
          <w:sz w:val="20"/>
          <w:szCs w:val="20"/>
          <w:color w:val="auto"/>
        </w:rPr>
      </w:pPr>
      <w:r>
        <w:rPr>
          <w:rFonts w:ascii="Arial" w:cs="Arial" w:eastAsia="Arial" w:hAnsi="Arial"/>
          <w:sz w:val="18"/>
          <w:szCs w:val="18"/>
          <w:color w:val="auto"/>
        </w:rPr>
        <w:t>Senior Vice President–Finance</w:t>
      </w:r>
    </w:p>
    <w:p>
      <w:pPr>
        <w:spacing w:after="0" w:line="200" w:lineRule="exact"/>
        <w:rPr>
          <w:sz w:val="20"/>
          <w:szCs w:val="20"/>
          <w:color w:val="auto"/>
        </w:rPr>
      </w:pPr>
    </w:p>
    <w:p>
      <w:pPr>
        <w:spacing w:after="0" w:line="255" w:lineRule="exact"/>
        <w:rPr>
          <w:sz w:val="20"/>
          <w:szCs w:val="20"/>
          <w:color w:val="auto"/>
        </w:rPr>
      </w:pPr>
    </w:p>
    <w:p>
      <w:pPr>
        <w:ind w:right="180"/>
        <w:spacing w:after="0" w:line="262" w:lineRule="auto"/>
        <w:rPr>
          <w:sz w:val="20"/>
          <w:szCs w:val="20"/>
          <w:color w:val="auto"/>
        </w:rPr>
      </w:pPr>
      <w:r>
        <w:rPr>
          <w:rFonts w:ascii="Arial" w:cs="Arial" w:eastAsia="Arial" w:hAnsi="Arial"/>
          <w:sz w:val="18"/>
          <w:szCs w:val="18"/>
          <w:color w:val="auto"/>
        </w:rPr>
        <w:t>Pursuant to the requirements of the Securities Exchange Act of 1934, this report has been signed below by the following persons on behalf of the Registrant and in the capacities indicated on February 23, 2018:</w:t>
      </w:r>
    </w:p>
    <w:p>
      <w:pPr>
        <w:spacing w:after="0" w:line="246" w:lineRule="exact"/>
        <w:rPr>
          <w:sz w:val="20"/>
          <w:szCs w:val="20"/>
          <w:color w:val="auto"/>
        </w:rPr>
      </w:pPr>
    </w:p>
    <w:tbl>
      <w:tblPr>
        <w:tblLayout w:type="fixed"/>
        <w:tblInd w:w="880" w:type="dxa"/>
        <w:tblCellMar>
          <w:top w:w="0" w:type="dxa"/>
          <w:left w:w="0" w:type="dxa"/>
          <w:bottom w:w="0" w:type="dxa"/>
          <w:right w:w="0" w:type="dxa"/>
        </w:tblCellMar>
      </w:tblPr>
      <w:tr>
        <w:trPr>
          <w:trHeight w:val="207"/>
        </w:trPr>
        <w:tc>
          <w:tcPr>
            <w:tcW w:w="3160" w:type="dxa"/>
            <w:vAlign w:val="bottom"/>
          </w:tcPr>
          <w:p>
            <w:pPr>
              <w:jc w:val="center"/>
              <w:ind w:right="930"/>
              <w:spacing w:after="0"/>
              <w:rPr>
                <w:sz w:val="20"/>
                <w:szCs w:val="20"/>
                <w:color w:val="auto"/>
              </w:rPr>
            </w:pPr>
            <w:r>
              <w:rPr>
                <w:rFonts w:ascii="Arial" w:cs="Arial" w:eastAsia="Arial" w:hAnsi="Arial"/>
                <w:sz w:val="18"/>
                <w:szCs w:val="18"/>
                <w:color w:val="auto"/>
                <w:w w:val="99"/>
              </w:rPr>
              <w:t>Timothy J. O’Shaughnessy</w:t>
            </w:r>
          </w:p>
        </w:tc>
        <w:tc>
          <w:tcPr>
            <w:tcW w:w="3720" w:type="dxa"/>
            <w:vAlign w:val="bottom"/>
          </w:tcPr>
          <w:p>
            <w:pPr>
              <w:jc w:val="center"/>
              <w:ind w:left="930"/>
              <w:spacing w:after="0"/>
              <w:rPr>
                <w:sz w:val="20"/>
                <w:szCs w:val="20"/>
                <w:color w:val="auto"/>
              </w:rPr>
            </w:pPr>
            <w:r>
              <w:rPr>
                <w:rFonts w:ascii="Arial" w:cs="Arial" w:eastAsia="Arial" w:hAnsi="Arial"/>
                <w:sz w:val="18"/>
                <w:szCs w:val="18"/>
                <w:color w:val="auto"/>
              </w:rPr>
              <w:t>President, Chief Executive Officer</w:t>
            </w:r>
          </w:p>
        </w:tc>
      </w:tr>
      <w:tr>
        <w:trPr>
          <w:trHeight w:val="203"/>
        </w:trPr>
        <w:tc>
          <w:tcPr>
            <w:tcW w:w="3160" w:type="dxa"/>
            <w:vAlign w:val="bottom"/>
          </w:tcPr>
          <w:p>
            <w:pPr>
              <w:spacing w:after="0"/>
              <w:rPr>
                <w:sz w:val="17"/>
                <w:szCs w:val="17"/>
                <w:color w:val="auto"/>
              </w:rPr>
            </w:pPr>
          </w:p>
        </w:tc>
        <w:tc>
          <w:tcPr>
            <w:tcW w:w="3720" w:type="dxa"/>
            <w:vAlign w:val="bottom"/>
          </w:tcPr>
          <w:p>
            <w:pPr>
              <w:jc w:val="center"/>
              <w:ind w:left="990"/>
              <w:spacing w:after="0" w:line="202" w:lineRule="exact"/>
              <w:rPr>
                <w:sz w:val="20"/>
                <w:szCs w:val="20"/>
                <w:color w:val="auto"/>
              </w:rPr>
            </w:pPr>
            <w:r>
              <w:rPr>
                <w:rFonts w:ascii="Arial" w:cs="Arial" w:eastAsia="Arial" w:hAnsi="Arial"/>
                <w:sz w:val="18"/>
                <w:szCs w:val="18"/>
                <w:color w:val="auto"/>
                <w:w w:val="99"/>
              </w:rPr>
              <w:t>(Principal Executive Officer) and</w:t>
            </w:r>
          </w:p>
        </w:tc>
      </w:tr>
      <w:tr>
        <w:trPr>
          <w:trHeight w:val="217"/>
        </w:trPr>
        <w:tc>
          <w:tcPr>
            <w:tcW w:w="3160" w:type="dxa"/>
            <w:vAlign w:val="bottom"/>
          </w:tcPr>
          <w:p>
            <w:pPr>
              <w:spacing w:after="0"/>
              <w:rPr>
                <w:sz w:val="18"/>
                <w:szCs w:val="18"/>
                <w:color w:val="auto"/>
              </w:rPr>
            </w:pPr>
          </w:p>
        </w:tc>
        <w:tc>
          <w:tcPr>
            <w:tcW w:w="3720" w:type="dxa"/>
            <w:vAlign w:val="bottom"/>
          </w:tcPr>
          <w:p>
            <w:pPr>
              <w:jc w:val="center"/>
              <w:ind w:left="930"/>
              <w:spacing w:after="0"/>
              <w:rPr>
                <w:sz w:val="20"/>
                <w:szCs w:val="20"/>
                <w:color w:val="auto"/>
              </w:rPr>
            </w:pPr>
            <w:r>
              <w:rPr>
                <w:rFonts w:ascii="Arial" w:cs="Arial" w:eastAsia="Arial" w:hAnsi="Arial"/>
                <w:sz w:val="18"/>
                <w:szCs w:val="18"/>
                <w:color w:val="auto"/>
                <w:w w:val="98"/>
              </w:rPr>
              <w:t>Director</w:t>
            </w:r>
          </w:p>
        </w:tc>
      </w:tr>
      <w:tr>
        <w:trPr>
          <w:trHeight w:val="485"/>
        </w:trPr>
        <w:tc>
          <w:tcPr>
            <w:tcW w:w="3160" w:type="dxa"/>
            <w:vAlign w:val="bottom"/>
          </w:tcPr>
          <w:p>
            <w:pPr>
              <w:jc w:val="center"/>
              <w:ind w:right="930"/>
              <w:spacing w:after="0"/>
              <w:rPr>
                <w:sz w:val="20"/>
                <w:szCs w:val="20"/>
                <w:color w:val="auto"/>
              </w:rPr>
            </w:pPr>
            <w:r>
              <w:rPr>
                <w:rFonts w:ascii="Arial" w:cs="Arial" w:eastAsia="Arial" w:hAnsi="Arial"/>
                <w:sz w:val="18"/>
                <w:szCs w:val="18"/>
                <w:color w:val="auto"/>
                <w:w w:val="99"/>
              </w:rPr>
              <w:t>Wallace R. Cooney</w:t>
            </w:r>
          </w:p>
        </w:tc>
        <w:tc>
          <w:tcPr>
            <w:tcW w:w="3720" w:type="dxa"/>
            <w:vAlign w:val="bottom"/>
          </w:tcPr>
          <w:p>
            <w:pPr>
              <w:jc w:val="center"/>
              <w:ind w:left="930"/>
              <w:spacing w:after="0"/>
              <w:rPr>
                <w:sz w:val="20"/>
                <w:szCs w:val="20"/>
                <w:color w:val="auto"/>
              </w:rPr>
            </w:pPr>
            <w:r>
              <w:rPr>
                <w:rFonts w:ascii="Arial" w:cs="Arial" w:eastAsia="Arial" w:hAnsi="Arial"/>
                <w:sz w:val="18"/>
                <w:szCs w:val="18"/>
                <w:color w:val="auto"/>
                <w:w w:val="99"/>
              </w:rPr>
              <w:t>Senior Vice President–Finance</w:t>
            </w:r>
          </w:p>
        </w:tc>
      </w:tr>
      <w:tr>
        <w:trPr>
          <w:trHeight w:val="217"/>
        </w:trPr>
        <w:tc>
          <w:tcPr>
            <w:tcW w:w="3160" w:type="dxa"/>
            <w:vAlign w:val="bottom"/>
          </w:tcPr>
          <w:p>
            <w:pPr>
              <w:spacing w:after="0"/>
              <w:rPr>
                <w:sz w:val="18"/>
                <w:szCs w:val="18"/>
                <w:color w:val="auto"/>
              </w:rPr>
            </w:pPr>
          </w:p>
        </w:tc>
        <w:tc>
          <w:tcPr>
            <w:tcW w:w="3720" w:type="dxa"/>
            <w:vAlign w:val="bottom"/>
          </w:tcPr>
          <w:p>
            <w:pPr>
              <w:jc w:val="center"/>
              <w:ind w:left="930"/>
              <w:spacing w:after="0"/>
              <w:rPr>
                <w:sz w:val="20"/>
                <w:szCs w:val="20"/>
                <w:color w:val="auto"/>
              </w:rPr>
            </w:pPr>
            <w:r>
              <w:rPr>
                <w:rFonts w:ascii="Arial" w:cs="Arial" w:eastAsia="Arial" w:hAnsi="Arial"/>
                <w:sz w:val="18"/>
                <w:szCs w:val="18"/>
                <w:color w:val="auto"/>
                <w:w w:val="99"/>
              </w:rPr>
              <w:t>(Principal Financial Officer)</w:t>
            </w:r>
          </w:p>
        </w:tc>
      </w:tr>
      <w:tr>
        <w:trPr>
          <w:trHeight w:val="500"/>
        </w:trPr>
        <w:tc>
          <w:tcPr>
            <w:tcW w:w="3160" w:type="dxa"/>
            <w:vAlign w:val="bottom"/>
          </w:tcPr>
          <w:p>
            <w:pPr>
              <w:jc w:val="center"/>
              <w:ind w:right="930"/>
              <w:spacing w:after="0"/>
              <w:rPr>
                <w:sz w:val="20"/>
                <w:szCs w:val="20"/>
                <w:color w:val="auto"/>
              </w:rPr>
            </w:pPr>
            <w:r>
              <w:rPr>
                <w:rFonts w:ascii="Arial" w:cs="Arial" w:eastAsia="Arial" w:hAnsi="Arial"/>
                <w:sz w:val="18"/>
                <w:szCs w:val="18"/>
                <w:color w:val="auto"/>
                <w:w w:val="99"/>
              </w:rPr>
              <w:t>Marcel A. Snyman</w:t>
            </w:r>
          </w:p>
        </w:tc>
        <w:tc>
          <w:tcPr>
            <w:tcW w:w="3720" w:type="dxa"/>
            <w:vAlign w:val="bottom"/>
          </w:tcPr>
          <w:p>
            <w:pPr>
              <w:jc w:val="center"/>
              <w:ind w:left="930"/>
              <w:spacing w:after="0"/>
              <w:rPr>
                <w:sz w:val="20"/>
                <w:szCs w:val="20"/>
                <w:color w:val="auto"/>
              </w:rPr>
            </w:pPr>
            <w:r>
              <w:rPr>
                <w:rFonts w:ascii="Arial" w:cs="Arial" w:eastAsia="Arial" w:hAnsi="Arial"/>
                <w:sz w:val="18"/>
                <w:szCs w:val="18"/>
                <w:color w:val="auto"/>
              </w:rPr>
              <w:t>Principal Accounting Officer</w:t>
            </w:r>
          </w:p>
        </w:tc>
      </w:tr>
      <w:tr>
        <w:trPr>
          <w:trHeight w:val="500"/>
        </w:trPr>
        <w:tc>
          <w:tcPr>
            <w:tcW w:w="3160" w:type="dxa"/>
            <w:vAlign w:val="bottom"/>
          </w:tcPr>
          <w:p>
            <w:pPr>
              <w:jc w:val="center"/>
              <w:ind w:right="930"/>
              <w:spacing w:after="0"/>
              <w:rPr>
                <w:sz w:val="20"/>
                <w:szCs w:val="20"/>
                <w:color w:val="auto"/>
              </w:rPr>
            </w:pPr>
            <w:r>
              <w:rPr>
                <w:rFonts w:ascii="Arial" w:cs="Arial" w:eastAsia="Arial" w:hAnsi="Arial"/>
                <w:sz w:val="18"/>
                <w:szCs w:val="18"/>
                <w:color w:val="auto"/>
              </w:rPr>
              <w:t>Donald E. Graham</w:t>
            </w:r>
          </w:p>
        </w:tc>
        <w:tc>
          <w:tcPr>
            <w:tcW w:w="3720" w:type="dxa"/>
            <w:vAlign w:val="bottom"/>
          </w:tcPr>
          <w:p>
            <w:pPr>
              <w:jc w:val="center"/>
              <w:ind w:left="930"/>
              <w:spacing w:after="0"/>
              <w:rPr>
                <w:sz w:val="20"/>
                <w:szCs w:val="20"/>
                <w:color w:val="auto"/>
              </w:rPr>
            </w:pPr>
            <w:r>
              <w:rPr>
                <w:rFonts w:ascii="Arial" w:cs="Arial" w:eastAsia="Arial" w:hAnsi="Arial"/>
                <w:sz w:val="18"/>
                <w:szCs w:val="18"/>
                <w:color w:val="auto"/>
              </w:rPr>
              <w:t>Chairman of the Board</w:t>
            </w:r>
          </w:p>
        </w:tc>
      </w:tr>
      <w:tr>
        <w:trPr>
          <w:trHeight w:val="270"/>
        </w:trPr>
        <w:tc>
          <w:tcPr>
            <w:tcW w:w="3160" w:type="dxa"/>
            <w:vAlign w:val="bottom"/>
          </w:tcPr>
          <w:p>
            <w:pPr>
              <w:jc w:val="center"/>
              <w:ind w:right="910"/>
              <w:spacing w:after="0"/>
              <w:rPr>
                <w:sz w:val="20"/>
                <w:szCs w:val="20"/>
                <w:color w:val="auto"/>
              </w:rPr>
            </w:pPr>
            <w:r>
              <w:rPr>
                <w:rFonts w:ascii="Arial" w:cs="Arial" w:eastAsia="Arial" w:hAnsi="Arial"/>
                <w:sz w:val="18"/>
                <w:szCs w:val="18"/>
                <w:color w:val="auto"/>
                <w:w w:val="99"/>
              </w:rPr>
              <w:t>Lee C. Bollinger</w:t>
            </w:r>
          </w:p>
        </w:tc>
        <w:tc>
          <w:tcPr>
            <w:tcW w:w="3720" w:type="dxa"/>
            <w:vAlign w:val="bottom"/>
          </w:tcPr>
          <w:p>
            <w:pPr>
              <w:jc w:val="center"/>
              <w:ind w:left="930"/>
              <w:spacing w:after="0"/>
              <w:rPr>
                <w:sz w:val="20"/>
                <w:szCs w:val="20"/>
                <w:color w:val="auto"/>
              </w:rPr>
            </w:pPr>
            <w:r>
              <w:rPr>
                <w:rFonts w:ascii="Arial" w:cs="Arial" w:eastAsia="Arial" w:hAnsi="Arial"/>
                <w:sz w:val="18"/>
                <w:szCs w:val="18"/>
                <w:color w:val="auto"/>
                <w:w w:val="98"/>
              </w:rPr>
              <w:t>Director</w:t>
            </w:r>
          </w:p>
        </w:tc>
      </w:tr>
      <w:tr>
        <w:trPr>
          <w:trHeight w:val="257"/>
        </w:trPr>
        <w:tc>
          <w:tcPr>
            <w:tcW w:w="3160" w:type="dxa"/>
            <w:vAlign w:val="bottom"/>
          </w:tcPr>
          <w:p>
            <w:pPr>
              <w:jc w:val="center"/>
              <w:ind w:right="930"/>
              <w:spacing w:after="0"/>
              <w:rPr>
                <w:sz w:val="20"/>
                <w:szCs w:val="20"/>
                <w:color w:val="auto"/>
              </w:rPr>
            </w:pPr>
            <w:r>
              <w:rPr>
                <w:rFonts w:ascii="Arial" w:cs="Arial" w:eastAsia="Arial" w:hAnsi="Arial"/>
                <w:sz w:val="18"/>
                <w:szCs w:val="18"/>
                <w:color w:val="auto"/>
                <w:w w:val="99"/>
              </w:rPr>
              <w:t>Christopher C. Davis</w:t>
            </w:r>
          </w:p>
        </w:tc>
        <w:tc>
          <w:tcPr>
            <w:tcW w:w="3720" w:type="dxa"/>
            <w:vAlign w:val="bottom"/>
          </w:tcPr>
          <w:p>
            <w:pPr>
              <w:jc w:val="center"/>
              <w:ind w:left="930"/>
              <w:spacing w:after="0"/>
              <w:rPr>
                <w:sz w:val="20"/>
                <w:szCs w:val="20"/>
                <w:color w:val="auto"/>
              </w:rPr>
            </w:pPr>
            <w:r>
              <w:rPr>
                <w:rFonts w:ascii="Arial" w:cs="Arial" w:eastAsia="Arial" w:hAnsi="Arial"/>
                <w:sz w:val="18"/>
                <w:szCs w:val="18"/>
                <w:color w:val="auto"/>
                <w:w w:val="98"/>
              </w:rPr>
              <w:t>Director</w:t>
            </w:r>
          </w:p>
        </w:tc>
      </w:tr>
      <w:tr>
        <w:trPr>
          <w:trHeight w:val="257"/>
        </w:trPr>
        <w:tc>
          <w:tcPr>
            <w:tcW w:w="3160" w:type="dxa"/>
            <w:vAlign w:val="bottom"/>
          </w:tcPr>
          <w:p>
            <w:pPr>
              <w:jc w:val="center"/>
              <w:ind w:right="930"/>
              <w:spacing w:after="0"/>
              <w:rPr>
                <w:sz w:val="20"/>
                <w:szCs w:val="20"/>
                <w:color w:val="auto"/>
              </w:rPr>
            </w:pPr>
            <w:r>
              <w:rPr>
                <w:rFonts w:ascii="Arial" w:cs="Arial" w:eastAsia="Arial" w:hAnsi="Arial"/>
                <w:sz w:val="18"/>
                <w:szCs w:val="18"/>
                <w:color w:val="auto"/>
                <w:w w:val="99"/>
              </w:rPr>
              <w:t>Thomas S. Gayner</w:t>
            </w:r>
          </w:p>
        </w:tc>
        <w:tc>
          <w:tcPr>
            <w:tcW w:w="3720" w:type="dxa"/>
            <w:vAlign w:val="bottom"/>
          </w:tcPr>
          <w:p>
            <w:pPr>
              <w:jc w:val="center"/>
              <w:ind w:left="930"/>
              <w:spacing w:after="0"/>
              <w:rPr>
                <w:sz w:val="20"/>
                <w:szCs w:val="20"/>
                <w:color w:val="auto"/>
              </w:rPr>
            </w:pPr>
            <w:r>
              <w:rPr>
                <w:rFonts w:ascii="Arial" w:cs="Arial" w:eastAsia="Arial" w:hAnsi="Arial"/>
                <w:sz w:val="18"/>
                <w:szCs w:val="18"/>
                <w:color w:val="auto"/>
                <w:w w:val="98"/>
              </w:rPr>
              <w:t>Director</w:t>
            </w:r>
          </w:p>
        </w:tc>
      </w:tr>
      <w:tr>
        <w:trPr>
          <w:trHeight w:val="257"/>
        </w:trPr>
        <w:tc>
          <w:tcPr>
            <w:tcW w:w="3160" w:type="dxa"/>
            <w:vAlign w:val="bottom"/>
          </w:tcPr>
          <w:p>
            <w:pPr>
              <w:jc w:val="center"/>
              <w:ind w:right="930"/>
              <w:spacing w:after="0"/>
              <w:rPr>
                <w:sz w:val="20"/>
                <w:szCs w:val="20"/>
                <w:color w:val="auto"/>
              </w:rPr>
            </w:pPr>
            <w:r>
              <w:rPr>
                <w:rFonts w:ascii="Arial" w:cs="Arial" w:eastAsia="Arial" w:hAnsi="Arial"/>
                <w:sz w:val="18"/>
                <w:szCs w:val="18"/>
                <w:color w:val="auto"/>
                <w:w w:val="99"/>
              </w:rPr>
              <w:t>Jack A. Markell</w:t>
            </w:r>
          </w:p>
        </w:tc>
        <w:tc>
          <w:tcPr>
            <w:tcW w:w="3720" w:type="dxa"/>
            <w:vAlign w:val="bottom"/>
          </w:tcPr>
          <w:p>
            <w:pPr>
              <w:jc w:val="center"/>
              <w:ind w:left="930"/>
              <w:spacing w:after="0"/>
              <w:rPr>
                <w:sz w:val="20"/>
                <w:szCs w:val="20"/>
                <w:color w:val="auto"/>
              </w:rPr>
            </w:pPr>
            <w:r>
              <w:rPr>
                <w:rFonts w:ascii="Arial" w:cs="Arial" w:eastAsia="Arial" w:hAnsi="Arial"/>
                <w:sz w:val="18"/>
                <w:szCs w:val="18"/>
                <w:color w:val="auto"/>
                <w:w w:val="98"/>
              </w:rPr>
              <w:t>Director</w:t>
            </w:r>
          </w:p>
        </w:tc>
      </w:tr>
      <w:tr>
        <w:trPr>
          <w:trHeight w:val="257"/>
        </w:trPr>
        <w:tc>
          <w:tcPr>
            <w:tcW w:w="3160" w:type="dxa"/>
            <w:vAlign w:val="bottom"/>
          </w:tcPr>
          <w:p>
            <w:pPr>
              <w:jc w:val="center"/>
              <w:ind w:right="930"/>
              <w:spacing w:after="0"/>
              <w:rPr>
                <w:sz w:val="20"/>
                <w:szCs w:val="20"/>
                <w:color w:val="auto"/>
              </w:rPr>
            </w:pPr>
            <w:r>
              <w:rPr>
                <w:rFonts w:ascii="Arial" w:cs="Arial" w:eastAsia="Arial" w:hAnsi="Arial"/>
                <w:sz w:val="18"/>
                <w:szCs w:val="18"/>
                <w:color w:val="auto"/>
                <w:w w:val="99"/>
              </w:rPr>
              <w:t>Anne M. Mulcahy</w:t>
            </w:r>
          </w:p>
        </w:tc>
        <w:tc>
          <w:tcPr>
            <w:tcW w:w="3720" w:type="dxa"/>
            <w:vAlign w:val="bottom"/>
          </w:tcPr>
          <w:p>
            <w:pPr>
              <w:jc w:val="center"/>
              <w:ind w:left="930"/>
              <w:spacing w:after="0"/>
              <w:rPr>
                <w:sz w:val="20"/>
                <w:szCs w:val="20"/>
                <w:color w:val="auto"/>
              </w:rPr>
            </w:pPr>
            <w:r>
              <w:rPr>
                <w:rFonts w:ascii="Arial" w:cs="Arial" w:eastAsia="Arial" w:hAnsi="Arial"/>
                <w:sz w:val="18"/>
                <w:szCs w:val="18"/>
                <w:color w:val="auto"/>
                <w:w w:val="98"/>
              </w:rPr>
              <w:t>Director</w:t>
            </w:r>
          </w:p>
        </w:tc>
      </w:tr>
      <w:tr>
        <w:trPr>
          <w:trHeight w:val="257"/>
        </w:trPr>
        <w:tc>
          <w:tcPr>
            <w:tcW w:w="3160" w:type="dxa"/>
            <w:vAlign w:val="bottom"/>
          </w:tcPr>
          <w:p>
            <w:pPr>
              <w:jc w:val="center"/>
              <w:ind w:right="930"/>
              <w:spacing w:after="0"/>
              <w:rPr>
                <w:sz w:val="20"/>
                <w:szCs w:val="20"/>
                <w:color w:val="auto"/>
              </w:rPr>
            </w:pPr>
            <w:r>
              <w:rPr>
                <w:rFonts w:ascii="Arial" w:cs="Arial" w:eastAsia="Arial" w:hAnsi="Arial"/>
                <w:sz w:val="18"/>
                <w:szCs w:val="18"/>
                <w:color w:val="auto"/>
                <w:w w:val="99"/>
              </w:rPr>
              <w:t>Larry D. Thompson</w:t>
            </w:r>
          </w:p>
        </w:tc>
        <w:tc>
          <w:tcPr>
            <w:tcW w:w="3720" w:type="dxa"/>
            <w:vAlign w:val="bottom"/>
          </w:tcPr>
          <w:p>
            <w:pPr>
              <w:jc w:val="center"/>
              <w:ind w:left="930"/>
              <w:spacing w:after="0"/>
              <w:rPr>
                <w:sz w:val="20"/>
                <w:szCs w:val="20"/>
                <w:color w:val="auto"/>
              </w:rPr>
            </w:pPr>
            <w:r>
              <w:rPr>
                <w:rFonts w:ascii="Arial" w:cs="Arial" w:eastAsia="Arial" w:hAnsi="Arial"/>
                <w:sz w:val="18"/>
                <w:szCs w:val="18"/>
                <w:color w:val="auto"/>
                <w:w w:val="98"/>
              </w:rPr>
              <w:t>Director</w:t>
            </w:r>
          </w:p>
        </w:tc>
      </w:tr>
      <w:tr>
        <w:trPr>
          <w:trHeight w:val="257"/>
        </w:trPr>
        <w:tc>
          <w:tcPr>
            <w:tcW w:w="3160" w:type="dxa"/>
            <w:vAlign w:val="bottom"/>
          </w:tcPr>
          <w:p>
            <w:pPr>
              <w:jc w:val="center"/>
              <w:ind w:right="910"/>
              <w:spacing w:after="0"/>
              <w:rPr>
                <w:sz w:val="20"/>
                <w:szCs w:val="20"/>
                <w:color w:val="auto"/>
              </w:rPr>
            </w:pPr>
            <w:r>
              <w:rPr>
                <w:rFonts w:ascii="Arial" w:cs="Arial" w:eastAsia="Arial" w:hAnsi="Arial"/>
                <w:sz w:val="18"/>
                <w:szCs w:val="18"/>
                <w:color w:val="auto"/>
                <w:w w:val="98"/>
              </w:rPr>
              <w:t>G. Richard Wagoner, Jr.</w:t>
            </w:r>
          </w:p>
        </w:tc>
        <w:tc>
          <w:tcPr>
            <w:tcW w:w="3720" w:type="dxa"/>
            <w:vAlign w:val="bottom"/>
          </w:tcPr>
          <w:p>
            <w:pPr>
              <w:jc w:val="center"/>
              <w:ind w:left="930"/>
              <w:spacing w:after="0"/>
              <w:rPr>
                <w:sz w:val="20"/>
                <w:szCs w:val="20"/>
                <w:color w:val="auto"/>
              </w:rPr>
            </w:pPr>
            <w:r>
              <w:rPr>
                <w:rFonts w:ascii="Arial" w:cs="Arial" w:eastAsia="Arial" w:hAnsi="Arial"/>
                <w:sz w:val="18"/>
                <w:szCs w:val="18"/>
                <w:color w:val="auto"/>
                <w:w w:val="98"/>
              </w:rPr>
              <w:t>Director</w:t>
            </w:r>
          </w:p>
        </w:tc>
      </w:tr>
      <w:tr>
        <w:trPr>
          <w:trHeight w:val="257"/>
        </w:trPr>
        <w:tc>
          <w:tcPr>
            <w:tcW w:w="3160" w:type="dxa"/>
            <w:vAlign w:val="bottom"/>
          </w:tcPr>
          <w:p>
            <w:pPr>
              <w:jc w:val="center"/>
              <w:ind w:right="910"/>
              <w:spacing w:after="0"/>
              <w:rPr>
                <w:sz w:val="20"/>
                <w:szCs w:val="20"/>
                <w:color w:val="auto"/>
              </w:rPr>
            </w:pPr>
            <w:r>
              <w:rPr>
                <w:rFonts w:ascii="Arial" w:cs="Arial" w:eastAsia="Arial" w:hAnsi="Arial"/>
                <w:sz w:val="18"/>
                <w:szCs w:val="18"/>
                <w:color w:val="auto"/>
                <w:w w:val="99"/>
              </w:rPr>
              <w:t>Katharine Weymouth</w:t>
            </w:r>
          </w:p>
        </w:tc>
        <w:tc>
          <w:tcPr>
            <w:tcW w:w="3720" w:type="dxa"/>
            <w:vAlign w:val="bottom"/>
          </w:tcPr>
          <w:p>
            <w:pPr>
              <w:jc w:val="center"/>
              <w:ind w:left="930"/>
              <w:spacing w:after="0"/>
              <w:rPr>
                <w:sz w:val="20"/>
                <w:szCs w:val="20"/>
                <w:color w:val="auto"/>
              </w:rPr>
            </w:pPr>
            <w:r>
              <w:rPr>
                <w:rFonts w:ascii="Arial" w:cs="Arial" w:eastAsia="Arial" w:hAnsi="Arial"/>
                <w:sz w:val="18"/>
                <w:szCs w:val="18"/>
                <w:color w:val="auto"/>
                <w:w w:val="98"/>
              </w:rPr>
              <w:t>Director</w:t>
            </w:r>
          </w:p>
        </w:tc>
      </w:tr>
    </w:tbl>
    <w:p>
      <w:pPr>
        <w:spacing w:after="0" w:line="364" w:lineRule="exact"/>
        <w:rPr>
          <w:sz w:val="20"/>
          <w:szCs w:val="20"/>
          <w:color w:val="auto"/>
        </w:rPr>
      </w:pPr>
    </w:p>
    <w:tbl>
      <w:tblPr>
        <w:tblLayout w:type="fixed"/>
        <w:tblInd w:w="6700" w:type="dxa"/>
        <w:tblCellMar>
          <w:top w:w="0" w:type="dxa"/>
          <w:left w:w="0" w:type="dxa"/>
          <w:bottom w:w="0" w:type="dxa"/>
          <w:right w:w="0" w:type="dxa"/>
        </w:tblCellMar>
      </w:tblPr>
      <w:tr>
        <w:trPr>
          <w:trHeight w:val="230"/>
        </w:trPr>
        <w:tc>
          <w:tcPr>
            <w:tcW w:w="380" w:type="dxa"/>
            <w:vAlign w:val="bottom"/>
          </w:tcPr>
          <w:p>
            <w:pPr>
              <w:spacing w:after="0"/>
              <w:rPr>
                <w:sz w:val="20"/>
                <w:szCs w:val="20"/>
                <w:color w:val="auto"/>
              </w:rPr>
            </w:pPr>
            <w:r>
              <w:rPr>
                <w:rFonts w:ascii="Arial" w:cs="Arial" w:eastAsia="Arial" w:hAnsi="Arial"/>
                <w:sz w:val="18"/>
                <w:szCs w:val="18"/>
                <w:color w:val="auto"/>
              </w:rPr>
              <w:t>By</w:t>
            </w:r>
          </w:p>
        </w:tc>
        <w:tc>
          <w:tcPr>
            <w:tcW w:w="4340" w:type="dxa"/>
            <w:vAlign w:val="bottom"/>
          </w:tcPr>
          <w:p>
            <w:pPr>
              <w:jc w:val="center"/>
              <w:spacing w:after="0"/>
              <w:rPr>
                <w:sz w:val="20"/>
                <w:szCs w:val="20"/>
                <w:color w:val="auto"/>
              </w:rPr>
            </w:pPr>
            <w:r>
              <w:rPr>
                <w:rFonts w:ascii="Arial" w:cs="Arial" w:eastAsia="Arial" w:hAnsi="Arial"/>
                <w:sz w:val="18"/>
                <w:szCs w:val="18"/>
                <w:color w:val="auto"/>
                <w:w w:val="99"/>
              </w:rPr>
              <w:t>/s/ Wallace R. Cooney</w:t>
            </w:r>
          </w:p>
        </w:tc>
      </w:tr>
      <w:tr>
        <w:trPr>
          <w:trHeight w:val="41"/>
        </w:trPr>
        <w:tc>
          <w:tcPr>
            <w:tcW w:w="380" w:type="dxa"/>
            <w:vAlign w:val="bottom"/>
          </w:tcPr>
          <w:p>
            <w:pPr>
              <w:spacing w:after="0"/>
              <w:rPr>
                <w:sz w:val="3"/>
                <w:szCs w:val="3"/>
                <w:color w:val="auto"/>
              </w:rPr>
            </w:pPr>
          </w:p>
        </w:tc>
        <w:tc>
          <w:tcPr>
            <w:tcW w:w="4340" w:type="dxa"/>
            <w:vAlign w:val="bottom"/>
            <w:tcBorders>
              <w:bottom w:val="single" w:sz="8" w:color="auto"/>
            </w:tcBorders>
          </w:tcPr>
          <w:p>
            <w:pPr>
              <w:spacing w:after="0"/>
              <w:rPr>
                <w:sz w:val="3"/>
                <w:szCs w:val="3"/>
                <w:color w:val="auto"/>
              </w:rPr>
            </w:pPr>
          </w:p>
        </w:tc>
      </w:tr>
      <w:tr>
        <w:trPr>
          <w:trHeight w:val="237"/>
        </w:trPr>
        <w:tc>
          <w:tcPr>
            <w:tcW w:w="380" w:type="dxa"/>
            <w:vAlign w:val="bottom"/>
          </w:tcPr>
          <w:p>
            <w:pPr>
              <w:spacing w:after="0"/>
              <w:rPr>
                <w:sz w:val="20"/>
                <w:szCs w:val="20"/>
                <w:color w:val="auto"/>
              </w:rPr>
            </w:pPr>
          </w:p>
        </w:tc>
        <w:tc>
          <w:tcPr>
            <w:tcW w:w="4340" w:type="dxa"/>
            <w:vAlign w:val="bottom"/>
          </w:tcPr>
          <w:p>
            <w:pPr>
              <w:jc w:val="center"/>
              <w:spacing w:after="0"/>
              <w:rPr>
                <w:sz w:val="20"/>
                <w:szCs w:val="20"/>
                <w:color w:val="auto"/>
              </w:rPr>
            </w:pPr>
            <w:r>
              <w:rPr>
                <w:rFonts w:ascii="Arial" w:cs="Arial" w:eastAsia="Arial" w:hAnsi="Arial"/>
                <w:sz w:val="18"/>
                <w:szCs w:val="18"/>
                <w:color w:val="auto"/>
                <w:w w:val="99"/>
              </w:rPr>
              <w:t>Wallace R. Cooney</w:t>
            </w:r>
          </w:p>
        </w:tc>
      </w:tr>
      <w:tr>
        <w:trPr>
          <w:trHeight w:val="257"/>
        </w:trPr>
        <w:tc>
          <w:tcPr>
            <w:tcW w:w="380" w:type="dxa"/>
            <w:vAlign w:val="bottom"/>
          </w:tcPr>
          <w:p>
            <w:pPr>
              <w:spacing w:after="0"/>
              <w:rPr>
                <w:sz w:val="22"/>
                <w:szCs w:val="22"/>
                <w:color w:val="auto"/>
              </w:rPr>
            </w:pPr>
          </w:p>
        </w:tc>
        <w:tc>
          <w:tcPr>
            <w:tcW w:w="4340" w:type="dxa"/>
            <w:vAlign w:val="bottom"/>
          </w:tcPr>
          <w:p>
            <w:pPr>
              <w:jc w:val="center"/>
              <w:spacing w:after="0"/>
              <w:rPr>
                <w:sz w:val="20"/>
                <w:szCs w:val="20"/>
                <w:color w:val="auto"/>
              </w:rPr>
            </w:pPr>
            <w:r>
              <w:rPr>
                <w:rFonts w:ascii="Arial" w:cs="Arial" w:eastAsia="Arial" w:hAnsi="Arial"/>
                <w:sz w:val="18"/>
                <w:szCs w:val="18"/>
                <w:color w:val="auto"/>
                <w:w w:val="99"/>
              </w:rPr>
              <w:t>Attorney-in-Fact</w:t>
            </w:r>
          </w:p>
        </w:tc>
      </w:tr>
    </w:tbl>
    <w:p>
      <w:pPr>
        <w:spacing w:after="0" w:line="229" w:lineRule="exact"/>
        <w:rPr>
          <w:sz w:val="20"/>
          <w:szCs w:val="20"/>
          <w:color w:val="auto"/>
        </w:rPr>
      </w:pPr>
    </w:p>
    <w:p>
      <w:pPr>
        <w:ind w:right="140"/>
        <w:spacing w:after="0" w:line="256" w:lineRule="auto"/>
        <w:rPr>
          <w:sz w:val="20"/>
          <w:szCs w:val="20"/>
          <w:color w:val="auto"/>
        </w:rPr>
      </w:pPr>
      <w:r>
        <w:rPr>
          <w:rFonts w:ascii="Arial" w:cs="Arial" w:eastAsia="Arial" w:hAnsi="Arial"/>
          <w:sz w:val="18"/>
          <w:szCs w:val="18"/>
          <w:color w:val="auto"/>
        </w:rPr>
        <w:t>An original power of attorney authorizing Timothy J. O’Shaughnessy, Wallace R. Cooney and Nicole M. Maddrey, and each of them, to sign all reports required to be filed by the Registrant pursuant to the Securities Exchange Act of 1934 on behalf of the above-named directors and officers has been filed with the Securities and Exchange Commission.</w:t>
      </w:r>
    </w:p>
    <w:p>
      <w:pPr>
        <w:spacing w:after="0" w:line="33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46</w:t>
      </w:r>
    </w:p>
    <w:p>
      <w:pPr>
        <w:sectPr>
          <w:pgSz w:w="11900" w:h="16838" w:orient="portrait"/>
          <w:cols w:equalWidth="0" w:num="1">
            <w:col w:w="11420"/>
          </w:cols>
          <w:pgMar w:left="240" w:top="738" w:right="239" w:bottom="1440" w:gutter="0" w:footer="0" w:header="0"/>
        </w:sectPr>
      </w:pPr>
    </w:p>
    <w:bookmarkStart w:id="48" w:name="page49"/>
    <w:bookmarkEnd w:id="48"/>
    <w:p>
      <w:pPr>
        <w:jc w:val="center"/>
        <w:ind w:right="-19"/>
        <w:spacing w:after="0"/>
        <w:rPr>
          <w:sz w:val="20"/>
          <w:szCs w:val="20"/>
          <w:color w:val="auto"/>
        </w:rPr>
      </w:pPr>
      <w:r>
        <w:rPr>
          <w:rFonts w:ascii="Arial" w:cs="Arial" w:eastAsia="Arial" w:hAnsi="Arial"/>
          <w:sz w:val="18"/>
          <w:szCs w:val="18"/>
          <w:b w:val="1"/>
          <w:bCs w:val="1"/>
          <w:color w:val="auto"/>
        </w:rPr>
        <w:t>INDEX TO FINANCIAL INFORMATION</w:t>
      </w:r>
    </w:p>
    <w:p>
      <w:pPr>
        <w:spacing w:after="0" w:line="112" w:lineRule="exact"/>
        <w:rPr>
          <w:sz w:val="20"/>
          <w:szCs w:val="20"/>
          <w:color w:val="auto"/>
        </w:rPr>
      </w:pPr>
    </w:p>
    <w:p>
      <w:pPr>
        <w:ind w:left="3320"/>
        <w:spacing w:after="0"/>
        <w:rPr>
          <w:sz w:val="20"/>
          <w:szCs w:val="20"/>
          <w:color w:val="auto"/>
        </w:rPr>
      </w:pPr>
      <w:r>
        <w:rPr>
          <w:rFonts w:ascii="Arial" w:cs="Arial" w:eastAsia="Arial" w:hAnsi="Arial"/>
          <w:sz w:val="18"/>
          <w:szCs w:val="18"/>
          <w:color w:val="auto"/>
        </w:rPr>
        <w:t>________________________________________________</w:t>
      </w:r>
    </w:p>
    <w:p>
      <w:pPr>
        <w:spacing w:after="0" w:line="9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GRAHAM HOLDINGS COMPANY</w:t>
      </w:r>
    </w:p>
    <w:p>
      <w:pPr>
        <w:spacing w:after="0" w:line="280" w:lineRule="exact"/>
        <w:rPr>
          <w:sz w:val="20"/>
          <w:szCs w:val="20"/>
          <w:color w:val="auto"/>
        </w:rPr>
      </w:pPr>
    </w:p>
    <w:tbl>
      <w:tblPr>
        <w:tblLayout w:type="fixed"/>
        <w:tblInd w:w="60" w:type="dxa"/>
        <w:tblCellMar>
          <w:top w:w="0" w:type="dxa"/>
          <w:left w:w="0" w:type="dxa"/>
          <w:bottom w:w="0" w:type="dxa"/>
          <w:right w:w="0" w:type="dxa"/>
        </w:tblCellMar>
      </w:tblPr>
      <w:tr>
        <w:trPr>
          <w:trHeight w:val="184"/>
        </w:trPr>
        <w:tc>
          <w:tcPr>
            <w:tcW w:w="9880" w:type="dxa"/>
            <w:vAlign w:val="bottom"/>
          </w:tcPr>
          <w:p>
            <w:pPr>
              <w:spacing w:after="0"/>
              <w:rPr>
                <w:sz w:val="20"/>
                <w:szCs w:val="20"/>
                <w:color w:val="auto"/>
              </w:rPr>
            </w:pPr>
            <w:r>
              <w:rPr>
                <w:rFonts w:ascii="Arial" w:cs="Arial" w:eastAsia="Arial" w:hAnsi="Arial"/>
                <w:sz w:val="16"/>
                <w:szCs w:val="16"/>
                <w:color w:val="auto"/>
              </w:rPr>
              <w:t>Management’s Discussion and Analysis of Results of Operations and Financial Condition (Unaudited)</w:t>
            </w:r>
          </w:p>
        </w:tc>
        <w:tc>
          <w:tcPr>
            <w:tcW w:w="1460" w:type="dxa"/>
            <w:vAlign w:val="bottom"/>
            <w:gridSpan w:val="3"/>
          </w:tcPr>
          <w:p>
            <w:pPr>
              <w:jc w:val="right"/>
              <w:spacing w:after="0"/>
              <w:rPr>
                <w:rFonts w:ascii="Arial" w:cs="Arial" w:eastAsia="Arial" w:hAnsi="Arial"/>
                <w:sz w:val="16"/>
                <w:szCs w:val="16"/>
                <w:color w:val="0000EE"/>
              </w:rPr>
            </w:pPr>
            <w:hyperlink w:anchor="page50">
              <w:r>
                <w:rPr>
                  <w:rFonts w:ascii="Arial" w:cs="Arial" w:eastAsia="Arial" w:hAnsi="Arial"/>
                  <w:sz w:val="16"/>
                  <w:szCs w:val="16"/>
                  <w:color w:val="0000EE"/>
                </w:rPr>
                <w:t>48</w:t>
              </w:r>
            </w:hyperlink>
          </w:p>
        </w:tc>
      </w:tr>
      <w:tr>
        <w:trPr>
          <w:trHeight w:val="393"/>
        </w:trPr>
        <w:tc>
          <w:tcPr>
            <w:tcW w:w="9880" w:type="dxa"/>
            <w:vAlign w:val="bottom"/>
          </w:tcPr>
          <w:p>
            <w:pPr>
              <w:spacing w:after="0"/>
              <w:rPr>
                <w:sz w:val="20"/>
                <w:szCs w:val="20"/>
                <w:color w:val="auto"/>
              </w:rPr>
            </w:pPr>
            <w:r>
              <w:rPr>
                <w:rFonts w:ascii="Arial" w:cs="Arial" w:eastAsia="Arial" w:hAnsi="Arial"/>
                <w:sz w:val="16"/>
                <w:szCs w:val="16"/>
                <w:color w:val="auto"/>
              </w:rPr>
              <w:t>Financial Statements:</w:t>
            </w:r>
          </w:p>
        </w:tc>
        <w:tc>
          <w:tcPr>
            <w:tcW w:w="1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Borders>
              <w:top w:val="single" w:sz="8" w:color="0000EE"/>
            </w:tcBorders>
          </w:tcPr>
          <w:p>
            <w:pPr>
              <w:spacing w:after="0"/>
              <w:rPr>
                <w:sz w:val="24"/>
                <w:szCs w:val="24"/>
                <w:color w:val="auto"/>
              </w:rPr>
            </w:pPr>
          </w:p>
        </w:tc>
      </w:tr>
      <w:tr>
        <w:trPr>
          <w:trHeight w:val="344"/>
        </w:trPr>
        <w:tc>
          <w:tcPr>
            <w:tcW w:w="9880" w:type="dxa"/>
            <w:vAlign w:val="bottom"/>
          </w:tcPr>
          <w:p>
            <w:pPr>
              <w:ind w:left="220"/>
              <w:spacing w:after="0"/>
              <w:rPr>
                <w:sz w:val="20"/>
                <w:szCs w:val="20"/>
                <w:color w:val="auto"/>
              </w:rPr>
            </w:pPr>
            <w:r>
              <w:rPr>
                <w:rFonts w:ascii="Arial" w:cs="Arial" w:eastAsia="Arial" w:hAnsi="Arial"/>
                <w:sz w:val="16"/>
                <w:szCs w:val="16"/>
                <w:color w:val="auto"/>
              </w:rPr>
              <w:t>Report of Independent Registered Public Accounting Firm</w:t>
            </w:r>
          </w:p>
        </w:tc>
        <w:tc>
          <w:tcPr>
            <w:tcW w:w="1460" w:type="dxa"/>
            <w:vAlign w:val="bottom"/>
            <w:gridSpan w:val="3"/>
          </w:tcPr>
          <w:p>
            <w:pPr>
              <w:jc w:val="right"/>
              <w:spacing w:after="0"/>
              <w:rPr>
                <w:rFonts w:ascii="Arial" w:cs="Arial" w:eastAsia="Arial" w:hAnsi="Arial"/>
                <w:sz w:val="16"/>
                <w:szCs w:val="16"/>
                <w:color w:val="0000EE"/>
              </w:rPr>
            </w:pPr>
            <w:hyperlink w:anchor="page71">
              <w:r>
                <w:rPr>
                  <w:rFonts w:ascii="Arial" w:cs="Arial" w:eastAsia="Arial" w:hAnsi="Arial"/>
                  <w:sz w:val="16"/>
                  <w:szCs w:val="16"/>
                  <w:color w:val="0000EE"/>
                </w:rPr>
                <w:t>69</w:t>
              </w:r>
            </w:hyperlink>
          </w:p>
        </w:tc>
      </w:tr>
      <w:tr>
        <w:trPr>
          <w:trHeight w:val="20"/>
        </w:trPr>
        <w:tc>
          <w:tcPr>
            <w:tcW w:w="988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r>
      <w:tr>
        <w:trPr>
          <w:trHeight w:val="358"/>
        </w:trPr>
        <w:tc>
          <w:tcPr>
            <w:tcW w:w="9880" w:type="dxa"/>
            <w:vAlign w:val="bottom"/>
          </w:tcPr>
          <w:p>
            <w:pPr>
              <w:ind w:left="220"/>
              <w:spacing w:after="0"/>
              <w:rPr>
                <w:sz w:val="20"/>
                <w:szCs w:val="20"/>
                <w:color w:val="auto"/>
              </w:rPr>
            </w:pPr>
            <w:r>
              <w:rPr>
                <w:rFonts w:ascii="Arial" w:cs="Arial" w:eastAsia="Arial" w:hAnsi="Arial"/>
                <w:sz w:val="16"/>
                <w:szCs w:val="16"/>
                <w:color w:val="auto"/>
              </w:rPr>
              <w:t>Consolidated Statements of Operations for the Three Years Ended December 31, 2017</w:t>
            </w:r>
          </w:p>
        </w:tc>
        <w:tc>
          <w:tcPr>
            <w:tcW w:w="1460" w:type="dxa"/>
            <w:vAlign w:val="bottom"/>
            <w:gridSpan w:val="3"/>
          </w:tcPr>
          <w:p>
            <w:pPr>
              <w:jc w:val="right"/>
              <w:spacing w:after="0"/>
              <w:rPr>
                <w:rFonts w:ascii="Arial" w:cs="Arial" w:eastAsia="Arial" w:hAnsi="Arial"/>
                <w:sz w:val="16"/>
                <w:szCs w:val="16"/>
                <w:color w:val="0000EE"/>
              </w:rPr>
            </w:pPr>
            <w:hyperlink w:anchor="page73">
              <w:r>
                <w:rPr>
                  <w:rFonts w:ascii="Arial" w:cs="Arial" w:eastAsia="Arial" w:hAnsi="Arial"/>
                  <w:sz w:val="16"/>
                  <w:szCs w:val="16"/>
                  <w:color w:val="0000EE"/>
                </w:rPr>
                <w:t>71</w:t>
              </w:r>
            </w:hyperlink>
          </w:p>
        </w:tc>
      </w:tr>
      <w:tr>
        <w:trPr>
          <w:trHeight w:val="20"/>
        </w:trPr>
        <w:tc>
          <w:tcPr>
            <w:tcW w:w="988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r>
      <w:tr>
        <w:trPr>
          <w:trHeight w:val="358"/>
        </w:trPr>
        <w:tc>
          <w:tcPr>
            <w:tcW w:w="9880" w:type="dxa"/>
            <w:vAlign w:val="bottom"/>
          </w:tcPr>
          <w:p>
            <w:pPr>
              <w:ind w:left="220"/>
              <w:spacing w:after="0"/>
              <w:rPr>
                <w:sz w:val="20"/>
                <w:szCs w:val="20"/>
                <w:color w:val="auto"/>
              </w:rPr>
            </w:pPr>
            <w:r>
              <w:rPr>
                <w:rFonts w:ascii="Arial" w:cs="Arial" w:eastAsia="Arial" w:hAnsi="Arial"/>
                <w:sz w:val="16"/>
                <w:szCs w:val="16"/>
                <w:color w:val="auto"/>
              </w:rPr>
              <w:t>Consolidated Statements of Comprehensive Income (Loss) for the Three Years Ended December 31, 2017</w:t>
            </w:r>
          </w:p>
        </w:tc>
        <w:tc>
          <w:tcPr>
            <w:tcW w:w="1460" w:type="dxa"/>
            <w:vAlign w:val="bottom"/>
            <w:gridSpan w:val="3"/>
          </w:tcPr>
          <w:p>
            <w:pPr>
              <w:jc w:val="right"/>
              <w:spacing w:after="0"/>
              <w:rPr>
                <w:rFonts w:ascii="Arial" w:cs="Arial" w:eastAsia="Arial" w:hAnsi="Arial"/>
                <w:sz w:val="16"/>
                <w:szCs w:val="16"/>
                <w:color w:val="0000EE"/>
              </w:rPr>
            </w:pPr>
            <w:hyperlink w:anchor="page74">
              <w:r>
                <w:rPr>
                  <w:rFonts w:ascii="Arial" w:cs="Arial" w:eastAsia="Arial" w:hAnsi="Arial"/>
                  <w:sz w:val="16"/>
                  <w:szCs w:val="16"/>
                  <w:color w:val="0000EE"/>
                </w:rPr>
                <w:t>72</w:t>
              </w:r>
            </w:hyperlink>
          </w:p>
        </w:tc>
      </w:tr>
      <w:tr>
        <w:trPr>
          <w:trHeight w:val="20"/>
        </w:trPr>
        <w:tc>
          <w:tcPr>
            <w:tcW w:w="988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r>
      <w:tr>
        <w:trPr>
          <w:trHeight w:val="358"/>
        </w:trPr>
        <w:tc>
          <w:tcPr>
            <w:tcW w:w="9880" w:type="dxa"/>
            <w:vAlign w:val="bottom"/>
          </w:tcPr>
          <w:p>
            <w:pPr>
              <w:ind w:left="220"/>
              <w:spacing w:after="0"/>
              <w:rPr>
                <w:sz w:val="20"/>
                <w:szCs w:val="20"/>
                <w:color w:val="auto"/>
              </w:rPr>
            </w:pPr>
            <w:r>
              <w:rPr>
                <w:rFonts w:ascii="Arial" w:cs="Arial" w:eastAsia="Arial" w:hAnsi="Arial"/>
                <w:sz w:val="16"/>
                <w:szCs w:val="16"/>
                <w:color w:val="auto"/>
              </w:rPr>
              <w:t>Consolidated Balance Sheets at December 31, 2017 and 2016</w:t>
            </w:r>
          </w:p>
        </w:tc>
        <w:tc>
          <w:tcPr>
            <w:tcW w:w="1460" w:type="dxa"/>
            <w:vAlign w:val="bottom"/>
            <w:gridSpan w:val="3"/>
          </w:tcPr>
          <w:p>
            <w:pPr>
              <w:jc w:val="right"/>
              <w:spacing w:after="0"/>
              <w:rPr>
                <w:rFonts w:ascii="Arial" w:cs="Arial" w:eastAsia="Arial" w:hAnsi="Arial"/>
                <w:sz w:val="16"/>
                <w:szCs w:val="16"/>
                <w:color w:val="0000EE"/>
              </w:rPr>
            </w:pPr>
            <w:hyperlink w:anchor="page75">
              <w:r>
                <w:rPr>
                  <w:rFonts w:ascii="Arial" w:cs="Arial" w:eastAsia="Arial" w:hAnsi="Arial"/>
                  <w:sz w:val="16"/>
                  <w:szCs w:val="16"/>
                  <w:color w:val="0000EE"/>
                </w:rPr>
                <w:t>73</w:t>
              </w:r>
            </w:hyperlink>
          </w:p>
        </w:tc>
      </w:tr>
      <w:tr>
        <w:trPr>
          <w:trHeight w:val="20"/>
        </w:trPr>
        <w:tc>
          <w:tcPr>
            <w:tcW w:w="988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r>
      <w:tr>
        <w:trPr>
          <w:trHeight w:val="358"/>
        </w:trPr>
        <w:tc>
          <w:tcPr>
            <w:tcW w:w="9880" w:type="dxa"/>
            <w:vAlign w:val="bottom"/>
          </w:tcPr>
          <w:p>
            <w:pPr>
              <w:ind w:left="220"/>
              <w:spacing w:after="0"/>
              <w:rPr>
                <w:sz w:val="20"/>
                <w:szCs w:val="20"/>
                <w:color w:val="auto"/>
              </w:rPr>
            </w:pPr>
            <w:r>
              <w:rPr>
                <w:rFonts w:ascii="Arial" w:cs="Arial" w:eastAsia="Arial" w:hAnsi="Arial"/>
                <w:sz w:val="16"/>
                <w:szCs w:val="16"/>
                <w:color w:val="auto"/>
              </w:rPr>
              <w:t>Consolidated Statements of Cash Flows for the Three Years Ended December 31, 2017</w:t>
            </w:r>
          </w:p>
        </w:tc>
        <w:tc>
          <w:tcPr>
            <w:tcW w:w="1460" w:type="dxa"/>
            <w:vAlign w:val="bottom"/>
            <w:gridSpan w:val="3"/>
          </w:tcPr>
          <w:p>
            <w:pPr>
              <w:jc w:val="right"/>
              <w:spacing w:after="0"/>
              <w:rPr>
                <w:rFonts w:ascii="Arial" w:cs="Arial" w:eastAsia="Arial" w:hAnsi="Arial"/>
                <w:sz w:val="16"/>
                <w:szCs w:val="16"/>
                <w:color w:val="0000EE"/>
              </w:rPr>
            </w:pPr>
            <w:hyperlink w:anchor="page76">
              <w:r>
                <w:rPr>
                  <w:rFonts w:ascii="Arial" w:cs="Arial" w:eastAsia="Arial" w:hAnsi="Arial"/>
                  <w:sz w:val="16"/>
                  <w:szCs w:val="16"/>
                  <w:color w:val="0000EE"/>
                </w:rPr>
                <w:t>74</w:t>
              </w:r>
            </w:hyperlink>
          </w:p>
        </w:tc>
      </w:tr>
      <w:tr>
        <w:trPr>
          <w:trHeight w:val="20"/>
        </w:trPr>
        <w:tc>
          <w:tcPr>
            <w:tcW w:w="988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r>
      <w:tr>
        <w:trPr>
          <w:trHeight w:val="358"/>
        </w:trPr>
        <w:tc>
          <w:tcPr>
            <w:tcW w:w="9880" w:type="dxa"/>
            <w:vAlign w:val="bottom"/>
          </w:tcPr>
          <w:p>
            <w:pPr>
              <w:ind w:left="220"/>
              <w:spacing w:after="0"/>
              <w:rPr>
                <w:sz w:val="20"/>
                <w:szCs w:val="20"/>
                <w:color w:val="auto"/>
              </w:rPr>
            </w:pPr>
            <w:r>
              <w:rPr>
                <w:rFonts w:ascii="Arial" w:cs="Arial" w:eastAsia="Arial" w:hAnsi="Arial"/>
                <w:sz w:val="16"/>
                <w:szCs w:val="16"/>
                <w:color w:val="auto"/>
              </w:rPr>
              <w:t>Consolidated Statements of Changes in Common Stockholders’ Equity for the Three Years Ended December 31, 2017</w:t>
            </w:r>
          </w:p>
        </w:tc>
        <w:tc>
          <w:tcPr>
            <w:tcW w:w="1460" w:type="dxa"/>
            <w:vAlign w:val="bottom"/>
            <w:gridSpan w:val="3"/>
          </w:tcPr>
          <w:p>
            <w:pPr>
              <w:jc w:val="right"/>
              <w:spacing w:after="0"/>
              <w:rPr>
                <w:rFonts w:ascii="Arial" w:cs="Arial" w:eastAsia="Arial" w:hAnsi="Arial"/>
                <w:sz w:val="16"/>
                <w:szCs w:val="16"/>
                <w:color w:val="0000EE"/>
              </w:rPr>
            </w:pPr>
            <w:hyperlink w:anchor="page78">
              <w:r>
                <w:rPr>
                  <w:rFonts w:ascii="Arial" w:cs="Arial" w:eastAsia="Arial" w:hAnsi="Arial"/>
                  <w:sz w:val="16"/>
                  <w:szCs w:val="16"/>
                  <w:color w:val="0000EE"/>
                </w:rPr>
                <w:t>75</w:t>
              </w:r>
            </w:hyperlink>
          </w:p>
        </w:tc>
      </w:tr>
      <w:tr>
        <w:trPr>
          <w:trHeight w:val="20"/>
        </w:trPr>
        <w:tc>
          <w:tcPr>
            <w:tcW w:w="988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r>
      <w:tr>
        <w:trPr>
          <w:trHeight w:val="358"/>
        </w:trPr>
        <w:tc>
          <w:tcPr>
            <w:tcW w:w="9880" w:type="dxa"/>
            <w:vAlign w:val="bottom"/>
          </w:tcPr>
          <w:p>
            <w:pPr>
              <w:ind w:left="220"/>
              <w:spacing w:after="0"/>
              <w:rPr>
                <w:sz w:val="20"/>
                <w:szCs w:val="20"/>
                <w:color w:val="auto"/>
              </w:rPr>
            </w:pPr>
            <w:r>
              <w:rPr>
                <w:rFonts w:ascii="Arial" w:cs="Arial" w:eastAsia="Arial" w:hAnsi="Arial"/>
                <w:sz w:val="16"/>
                <w:szCs w:val="16"/>
                <w:color w:val="auto"/>
              </w:rPr>
              <w:t>Notes to Consolidated Financial Statements</w:t>
            </w:r>
          </w:p>
        </w:tc>
        <w:tc>
          <w:tcPr>
            <w:tcW w:w="1460" w:type="dxa"/>
            <w:vAlign w:val="bottom"/>
            <w:gridSpan w:val="3"/>
          </w:tcPr>
          <w:p>
            <w:pPr>
              <w:jc w:val="right"/>
              <w:spacing w:after="0"/>
              <w:rPr>
                <w:rFonts w:ascii="Arial" w:cs="Arial" w:eastAsia="Arial" w:hAnsi="Arial"/>
                <w:sz w:val="16"/>
                <w:szCs w:val="16"/>
                <w:color w:val="0000EE"/>
              </w:rPr>
            </w:pPr>
            <w:hyperlink w:anchor="page79">
              <w:r>
                <w:rPr>
                  <w:rFonts w:ascii="Arial" w:cs="Arial" w:eastAsia="Arial" w:hAnsi="Arial"/>
                  <w:sz w:val="16"/>
                  <w:szCs w:val="16"/>
                  <w:color w:val="0000EE"/>
                </w:rPr>
                <w:t>76</w:t>
              </w:r>
            </w:hyperlink>
          </w:p>
        </w:tc>
      </w:tr>
      <w:tr>
        <w:trPr>
          <w:trHeight w:val="20"/>
        </w:trPr>
        <w:tc>
          <w:tcPr>
            <w:tcW w:w="988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r>
      <w:tr>
        <w:trPr>
          <w:trHeight w:val="358"/>
        </w:trPr>
        <w:tc>
          <w:tcPr>
            <w:tcW w:w="9880" w:type="dxa"/>
            <w:vAlign w:val="bottom"/>
          </w:tcPr>
          <w:p>
            <w:pPr>
              <w:spacing w:after="0"/>
              <w:rPr>
                <w:sz w:val="20"/>
                <w:szCs w:val="20"/>
                <w:color w:val="auto"/>
              </w:rPr>
            </w:pPr>
            <w:r>
              <w:rPr>
                <w:rFonts w:ascii="Arial" w:cs="Arial" w:eastAsia="Arial" w:hAnsi="Arial"/>
                <w:sz w:val="16"/>
                <w:szCs w:val="16"/>
                <w:color w:val="auto"/>
              </w:rPr>
              <w:t>Five-Year Summary of Selected Historical Financial Data (Unaudited)</w:t>
            </w:r>
          </w:p>
        </w:tc>
        <w:tc>
          <w:tcPr>
            <w:tcW w:w="1460" w:type="dxa"/>
            <w:vAlign w:val="bottom"/>
            <w:gridSpan w:val="3"/>
          </w:tcPr>
          <w:p>
            <w:pPr>
              <w:jc w:val="right"/>
              <w:spacing w:after="0"/>
              <w:rPr>
                <w:rFonts w:ascii="Arial" w:cs="Arial" w:eastAsia="Arial" w:hAnsi="Arial"/>
                <w:sz w:val="16"/>
                <w:szCs w:val="16"/>
                <w:color w:val="0000EE"/>
              </w:rPr>
            </w:pPr>
            <w:hyperlink w:anchor="page129">
              <w:r>
                <w:rPr>
                  <w:rFonts w:ascii="Arial" w:cs="Arial" w:eastAsia="Arial" w:hAnsi="Arial"/>
                  <w:sz w:val="16"/>
                  <w:szCs w:val="16"/>
                  <w:color w:val="0000EE"/>
                </w:rPr>
                <w:t>124</w:t>
              </w:r>
            </w:hyperlink>
          </w:p>
        </w:tc>
      </w:tr>
      <w:tr>
        <w:trPr>
          <w:trHeight w:val="412"/>
        </w:trPr>
        <w:tc>
          <w:tcPr>
            <w:tcW w:w="9880" w:type="dxa"/>
            <w:vAlign w:val="bottom"/>
          </w:tcPr>
          <w:p>
            <w:pPr>
              <w:ind w:left="3260"/>
              <w:spacing w:after="0"/>
              <w:rPr>
                <w:sz w:val="20"/>
                <w:szCs w:val="20"/>
                <w:color w:val="auto"/>
              </w:rPr>
            </w:pPr>
            <w:r>
              <w:rPr>
                <w:rFonts w:ascii="Arial" w:cs="Arial" w:eastAsia="Arial" w:hAnsi="Arial"/>
                <w:sz w:val="18"/>
                <w:szCs w:val="18"/>
                <w:color w:val="auto"/>
              </w:rPr>
              <w:t>________________________________________________</w:t>
            </w:r>
          </w:p>
        </w:tc>
        <w:tc>
          <w:tcPr>
            <w:tcW w:w="1180" w:type="dxa"/>
            <w:vAlign w:val="bottom"/>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180" w:type="dxa"/>
            <w:vAlign w:val="bottom"/>
            <w:tcBorders>
              <w:top w:val="single" w:sz="8" w:color="0000EE"/>
            </w:tcBorders>
          </w:tcPr>
          <w:p>
            <w:pPr>
              <w:spacing w:after="0"/>
              <w:rPr>
                <w:sz w:val="24"/>
                <w:szCs w:val="24"/>
                <w:color w:val="auto"/>
              </w:rPr>
            </w:pPr>
          </w:p>
        </w:tc>
      </w:tr>
    </w:tbl>
    <w:p>
      <w:pPr>
        <w:spacing w:after="0" w:line="113" w:lineRule="exact"/>
        <w:rPr>
          <w:sz w:val="20"/>
          <w:szCs w:val="20"/>
          <w:color w:val="auto"/>
        </w:rPr>
      </w:pPr>
    </w:p>
    <w:p>
      <w:pPr>
        <w:ind w:right="360"/>
        <w:spacing w:after="0" w:line="258" w:lineRule="auto"/>
        <w:rPr>
          <w:sz w:val="20"/>
          <w:szCs w:val="20"/>
          <w:color w:val="auto"/>
        </w:rPr>
      </w:pPr>
      <w:r>
        <w:rPr>
          <w:rFonts w:ascii="Arial" w:cs="Arial" w:eastAsia="Arial" w:hAnsi="Arial"/>
          <w:sz w:val="14"/>
          <w:szCs w:val="14"/>
          <w:color w:val="auto"/>
        </w:rPr>
        <w:t>All schedules have been omitted either because they are not applicable or because the required information is included in the Consolidated Financial Statements or the notes thereto referred to above.</w:t>
      </w:r>
    </w:p>
    <w:p>
      <w:pPr>
        <w:spacing w:after="0" w:line="32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47</w:t>
      </w:r>
    </w:p>
    <w:p>
      <w:pPr>
        <w:sectPr>
          <w:pgSz w:w="11900" w:h="16838" w:orient="portrait"/>
          <w:cols w:equalWidth="0" w:num="1">
            <w:col w:w="11400"/>
          </w:cols>
          <w:pgMar w:left="240" w:top="738" w:right="259" w:bottom="1440" w:gutter="0" w:footer="0" w:header="0"/>
        </w:sectPr>
      </w:pPr>
    </w:p>
    <w:bookmarkStart w:id="49" w:name="page50"/>
    <w:bookmarkEnd w:id="49"/>
    <w:p>
      <w:pPr>
        <w:ind w:right="1060" w:firstLine="1078"/>
        <w:spacing w:after="0" w:line="420" w:lineRule="auto"/>
        <w:rPr>
          <w:sz w:val="20"/>
          <w:szCs w:val="20"/>
          <w:color w:val="auto"/>
        </w:rPr>
      </w:pPr>
      <w:r>
        <w:rPr>
          <w:rFonts w:ascii="Arial" w:cs="Arial" w:eastAsia="Arial" w:hAnsi="Arial"/>
          <w:sz w:val="18"/>
          <w:szCs w:val="18"/>
          <w:b w:val="1"/>
          <w:bCs w:val="1"/>
          <w:color w:val="auto"/>
        </w:rPr>
        <w:t xml:space="preserve">MANAGEMENT’S DISCUSSION AND ANALYSIS OF RESULTS OF OPERATIONS AND FINANCIAL CONDITION </w:t>
      </w:r>
      <w:r>
        <w:rPr>
          <w:rFonts w:ascii="Arial" w:cs="Arial" w:eastAsia="Arial" w:hAnsi="Arial"/>
          <w:sz w:val="18"/>
          <w:szCs w:val="18"/>
          <w:color w:val="auto"/>
        </w:rPr>
        <w:t xml:space="preserve">This analysis should be read in conjunction with the Consolidated Financial Statements and the notes thereto. </w:t>
      </w:r>
      <w:r>
        <w:rPr>
          <w:rFonts w:ascii="Arial" w:cs="Arial" w:eastAsia="Arial" w:hAnsi="Arial"/>
          <w:sz w:val="18"/>
          <w:szCs w:val="18"/>
          <w:b w:val="1"/>
          <w:bCs w:val="1"/>
          <w:color w:val="auto"/>
        </w:rPr>
        <w:t>OVERVIEW</w:t>
      </w:r>
    </w:p>
    <w:p>
      <w:pPr>
        <w:spacing w:after="0" w:line="2" w:lineRule="exact"/>
        <w:rPr>
          <w:sz w:val="20"/>
          <w:szCs w:val="20"/>
          <w:color w:val="auto"/>
        </w:rPr>
      </w:pPr>
    </w:p>
    <w:p>
      <w:pPr>
        <w:ind w:right="80"/>
        <w:spacing w:after="0" w:line="224" w:lineRule="auto"/>
        <w:rPr>
          <w:sz w:val="20"/>
          <w:szCs w:val="20"/>
          <w:color w:val="auto"/>
        </w:rPr>
      </w:pPr>
      <w:r>
        <w:rPr>
          <w:rFonts w:ascii="Arial" w:cs="Arial" w:eastAsia="Arial" w:hAnsi="Arial"/>
          <w:sz w:val="18"/>
          <w:szCs w:val="18"/>
          <w:color w:val="auto"/>
        </w:rPr>
        <w:t>Graham Holdings Company (the Company) is a diversified education and media company whose operations include educational services; television broadcasting; online, print and local TV news; social-media advertising services; home health and hospice care; and manufacturing. Education is the largest business, and through its subsidiary Kaplan, Inc., the Company provides extensive worldwide education services for individuals, schools and businesses. The Company’s second largest business is television broadcasting. Since November 2012, the Company has completed several acquisitions in home health services and manufacturing. The Company’s business units are diverse and subject to different trends and risks.</w:t>
      </w:r>
    </w:p>
    <w:p>
      <w:pPr>
        <w:spacing w:after="0" w:line="137" w:lineRule="exact"/>
        <w:rPr>
          <w:sz w:val="20"/>
          <w:szCs w:val="20"/>
          <w:color w:val="auto"/>
        </w:rPr>
      </w:pPr>
    </w:p>
    <w:p>
      <w:pPr>
        <w:ind w:right="120"/>
        <w:spacing w:after="0" w:line="224" w:lineRule="auto"/>
        <w:rPr>
          <w:sz w:val="20"/>
          <w:szCs w:val="20"/>
          <w:color w:val="auto"/>
        </w:rPr>
      </w:pPr>
      <w:r>
        <w:rPr>
          <w:rFonts w:ascii="Arial" w:cs="Arial" w:eastAsia="Arial" w:hAnsi="Arial"/>
          <w:sz w:val="18"/>
          <w:szCs w:val="18"/>
          <w:color w:val="auto"/>
        </w:rPr>
        <w:t>The Company’s education division is the largest operating division of the Company, accounting for 59% of the Company’s consolidated revenues in 2017. The Company has devoted significant resources and attention to this division for many years, given its geographic and product diversity; the investment opportunities and growth prospects during this time; and challenges related to government regulation. In recent years, Kaplan has formulated and implemented restructuring plans at most of its businesses, resulting in significant costs in order to establish lower cost levels in future periods. Kaplan is organized into the following three operating segments: Kaplan Higher Education (KHE), Kaplan Test Preparation (KTP) and Kaplan International.</w:t>
      </w:r>
    </w:p>
    <w:p>
      <w:pPr>
        <w:spacing w:after="0" w:line="137" w:lineRule="exact"/>
        <w:rPr>
          <w:sz w:val="20"/>
          <w:szCs w:val="20"/>
          <w:color w:val="auto"/>
        </w:rPr>
      </w:pPr>
    </w:p>
    <w:p>
      <w:pPr>
        <w:ind w:right="460"/>
        <w:spacing w:after="0" w:line="235" w:lineRule="auto"/>
        <w:rPr>
          <w:sz w:val="20"/>
          <w:szCs w:val="20"/>
          <w:color w:val="auto"/>
        </w:rPr>
      </w:pPr>
      <w:r>
        <w:rPr>
          <w:rFonts w:ascii="Arial" w:cs="Arial" w:eastAsia="Arial" w:hAnsi="Arial"/>
          <w:sz w:val="18"/>
          <w:szCs w:val="18"/>
          <w:color w:val="auto"/>
        </w:rPr>
        <w:t>KHE represents 36% of total Kaplan revenues in 2017. KHE’s revenue declined in 2017, largely due to declines in average enrollments at Kaplan University. Operating income at KHE declined in 2017 due primarily to lower enrollment at Kaplan University.</w:t>
      </w:r>
    </w:p>
    <w:p>
      <w:pPr>
        <w:spacing w:after="0" w:line="135" w:lineRule="exact"/>
        <w:rPr>
          <w:sz w:val="20"/>
          <w:szCs w:val="20"/>
          <w:color w:val="auto"/>
        </w:rPr>
      </w:pPr>
    </w:p>
    <w:p>
      <w:pPr>
        <w:ind w:right="60"/>
        <w:spacing w:after="0" w:line="235" w:lineRule="auto"/>
        <w:rPr>
          <w:sz w:val="20"/>
          <w:szCs w:val="20"/>
          <w:color w:val="auto"/>
        </w:rPr>
      </w:pPr>
      <w:r>
        <w:rPr>
          <w:rFonts w:ascii="Arial" w:cs="Arial" w:eastAsia="Arial" w:hAnsi="Arial"/>
          <w:sz w:val="18"/>
          <w:szCs w:val="18"/>
          <w:color w:val="auto"/>
        </w:rPr>
        <w:t>KTP revenues declined in 2017 due to lower unit prices, despite higher enrollments. Operating results improved due primarily to operating cost efficiencies. Due to continued operating losses, KTP closed Dev Bootcamp in the second half of 2017.</w:t>
      </w:r>
    </w:p>
    <w:p>
      <w:pPr>
        <w:spacing w:after="0" w:line="135" w:lineRule="exact"/>
        <w:rPr>
          <w:sz w:val="20"/>
          <w:szCs w:val="20"/>
          <w:color w:val="auto"/>
        </w:rPr>
      </w:pPr>
    </w:p>
    <w:p>
      <w:pPr>
        <w:ind w:right="620"/>
        <w:spacing w:after="0" w:line="235" w:lineRule="auto"/>
        <w:rPr>
          <w:sz w:val="20"/>
          <w:szCs w:val="20"/>
          <w:color w:val="auto"/>
        </w:rPr>
      </w:pPr>
      <w:r>
        <w:rPr>
          <w:rFonts w:ascii="Arial" w:cs="Arial" w:eastAsia="Arial" w:hAnsi="Arial"/>
          <w:sz w:val="18"/>
          <w:szCs w:val="18"/>
          <w:color w:val="auto"/>
        </w:rPr>
        <w:t>Kaplan International reported revenue increases for 2017 due to growth in Pathways enrollments. Kaplan International operating results improved in 2017 due largely to improved Pathways program results, partially offset by a decline in Singapore.</w:t>
      </w:r>
    </w:p>
    <w:p>
      <w:pPr>
        <w:spacing w:after="0" w:line="135" w:lineRule="exact"/>
        <w:rPr>
          <w:sz w:val="20"/>
          <w:szCs w:val="20"/>
          <w:color w:val="auto"/>
        </w:rPr>
      </w:pPr>
    </w:p>
    <w:p>
      <w:pPr>
        <w:jc w:val="both"/>
        <w:ind w:right="400"/>
        <w:spacing w:after="0" w:line="229" w:lineRule="auto"/>
        <w:rPr>
          <w:sz w:val="20"/>
          <w:szCs w:val="20"/>
          <w:color w:val="auto"/>
        </w:rPr>
      </w:pPr>
      <w:r>
        <w:rPr>
          <w:rFonts w:ascii="Arial" w:cs="Arial" w:eastAsia="Arial" w:hAnsi="Arial"/>
          <w:sz w:val="18"/>
          <w:szCs w:val="18"/>
          <w:color w:val="auto"/>
        </w:rPr>
        <w:t>Kaplan made two acquisitions in 2017; three acquisitions in 2016, including Mander Portman Woodward, a leading provider of high-quality bespoke education to the United Kingdom (U.K.) and international students in London, Cambridge and Birmingham; and one acquisition in 2015.</w:t>
      </w:r>
    </w:p>
    <w:p>
      <w:pPr>
        <w:spacing w:after="0" w:line="137" w:lineRule="exact"/>
        <w:rPr>
          <w:sz w:val="20"/>
          <w:szCs w:val="20"/>
          <w:color w:val="auto"/>
        </w:rPr>
      </w:pPr>
    </w:p>
    <w:p>
      <w:pPr>
        <w:ind w:right="20"/>
        <w:spacing w:after="0" w:line="225" w:lineRule="auto"/>
        <w:rPr>
          <w:sz w:val="20"/>
          <w:szCs w:val="20"/>
          <w:color w:val="auto"/>
        </w:rPr>
      </w:pPr>
      <w:r>
        <w:rPr>
          <w:rFonts w:ascii="Arial" w:cs="Arial" w:eastAsia="Arial" w:hAnsi="Arial"/>
          <w:sz w:val="18"/>
          <w:szCs w:val="18"/>
          <w:color w:val="auto"/>
        </w:rPr>
        <w:t>The Company’s television broadcasting division reported higher revenues in 2017, due to the acquisition of two new stations in January 2017. Excluding these stations, revenue and operating income decreased in 2017 as 2016 included significant political and summer Olympics-related advertising revenue. Additionally, 2017 had significantly higher network fees due to the Company’s NBC affiliates in Houston and Detroit operating under a new contract with NBC. In recent years, the television broadcasting division has consistently generated significantly higher operating income amounts and operating income margins than the education division and other businesses.</w:t>
      </w:r>
    </w:p>
    <w:p>
      <w:pPr>
        <w:spacing w:after="0" w:line="137" w:lineRule="exact"/>
        <w:rPr>
          <w:sz w:val="20"/>
          <w:szCs w:val="20"/>
          <w:color w:val="auto"/>
        </w:rPr>
      </w:pPr>
    </w:p>
    <w:p>
      <w:pPr>
        <w:ind w:right="60"/>
        <w:spacing w:after="0" w:line="235" w:lineRule="auto"/>
        <w:rPr>
          <w:sz w:val="20"/>
          <w:szCs w:val="20"/>
          <w:color w:val="auto"/>
        </w:rPr>
      </w:pPr>
      <w:r>
        <w:rPr>
          <w:rFonts w:ascii="Arial" w:cs="Arial" w:eastAsia="Arial" w:hAnsi="Arial"/>
          <w:sz w:val="18"/>
          <w:szCs w:val="18"/>
          <w:color w:val="auto"/>
        </w:rPr>
        <w:t>With the recent healthcare and manufacturing acquisitions and growth at SocialCode, the Company has invested in new lines of business from late 2012 through 2017.</w:t>
      </w:r>
    </w:p>
    <w:p>
      <w:pPr>
        <w:spacing w:after="0" w:line="135" w:lineRule="exact"/>
        <w:rPr>
          <w:sz w:val="20"/>
          <w:szCs w:val="20"/>
          <w:color w:val="auto"/>
        </w:rPr>
      </w:pPr>
    </w:p>
    <w:p>
      <w:pPr>
        <w:spacing w:after="0" w:line="235" w:lineRule="auto"/>
        <w:rPr>
          <w:sz w:val="20"/>
          <w:szCs w:val="20"/>
          <w:color w:val="auto"/>
        </w:rPr>
      </w:pPr>
      <w:r>
        <w:rPr>
          <w:rFonts w:ascii="Arial" w:cs="Arial" w:eastAsia="Arial" w:hAnsi="Arial"/>
          <w:sz w:val="18"/>
          <w:szCs w:val="18"/>
          <w:color w:val="auto"/>
        </w:rPr>
        <w:t>The Company generates a significant amount of cash from its businesses that is used to support its operations, pay down debt and fund capital expenditures, share repurchases, dividends, acquisitions and other investments.</w:t>
      </w:r>
    </w:p>
    <w:p>
      <w:pPr>
        <w:spacing w:after="0" w:line="200" w:lineRule="exact"/>
        <w:rPr>
          <w:sz w:val="20"/>
          <w:szCs w:val="20"/>
          <w:color w:val="auto"/>
        </w:rPr>
      </w:pPr>
    </w:p>
    <w:p>
      <w:pPr>
        <w:spacing w:after="0" w:line="30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48</w:t>
      </w:r>
    </w:p>
    <w:p>
      <w:pPr>
        <w:sectPr>
          <w:pgSz w:w="11900" w:h="16838" w:orient="portrait"/>
          <w:cols w:equalWidth="0" w:num="1">
            <w:col w:w="11400"/>
          </w:cols>
          <w:pgMar w:left="240" w:top="738" w:right="259" w:bottom="1440" w:gutter="0" w:footer="0" w:header="0"/>
        </w:sectPr>
      </w:pPr>
    </w:p>
    <w:bookmarkStart w:id="50" w:name="page51"/>
    <w:bookmarkEnd w:id="50"/>
    <w:p>
      <w:pPr>
        <w:spacing w:after="0"/>
        <w:rPr>
          <w:sz w:val="20"/>
          <w:szCs w:val="20"/>
          <w:color w:val="auto"/>
        </w:rPr>
      </w:pPr>
      <w:r>
        <w:rPr>
          <w:rFonts w:ascii="Arial" w:cs="Arial" w:eastAsia="Arial" w:hAnsi="Arial"/>
          <w:sz w:val="18"/>
          <w:szCs w:val="18"/>
          <w:b w:val="1"/>
          <w:bCs w:val="1"/>
          <w:color w:val="auto"/>
        </w:rPr>
        <w:t>RESULTS OF OPERATIONS — 2017 COMPARED TO 2016</w:t>
      </w:r>
    </w:p>
    <w:p>
      <w:pPr>
        <w:spacing w:after="0" w:line="166" w:lineRule="exact"/>
        <w:rPr>
          <w:sz w:val="20"/>
          <w:szCs w:val="20"/>
          <w:color w:val="auto"/>
        </w:rPr>
      </w:pPr>
    </w:p>
    <w:p>
      <w:pPr>
        <w:ind w:right="20"/>
        <w:spacing w:after="0" w:line="229" w:lineRule="auto"/>
        <w:rPr>
          <w:sz w:val="20"/>
          <w:szCs w:val="20"/>
          <w:color w:val="auto"/>
        </w:rPr>
      </w:pPr>
      <w:r>
        <w:rPr>
          <w:rFonts w:ascii="Arial" w:cs="Arial" w:eastAsia="Arial" w:hAnsi="Arial"/>
          <w:sz w:val="18"/>
          <w:szCs w:val="18"/>
          <w:color w:val="auto"/>
        </w:rPr>
        <w:t>Net income attributable to common shares was $302.0 million ($53.89 per share) for the year ended December 31, 2017, compared to $168.6 million ($29.80 per share) for the year ended December 31, 2016. The Company’s results for 2017 include a significant net deferred income tax benefit related to the Tax Cuts and Jobs Act legislation enacted in December 2017.</w:t>
      </w:r>
    </w:p>
    <w:p>
      <w:pPr>
        <w:spacing w:after="0" w:line="137" w:lineRule="exact"/>
        <w:rPr>
          <w:sz w:val="20"/>
          <w:szCs w:val="20"/>
          <w:color w:val="auto"/>
        </w:rPr>
      </w:pPr>
    </w:p>
    <w:p>
      <w:pPr>
        <w:spacing w:after="0"/>
        <w:rPr>
          <w:sz w:val="20"/>
          <w:szCs w:val="20"/>
          <w:color w:val="auto"/>
        </w:rPr>
      </w:pPr>
      <w:r>
        <w:rPr>
          <w:rFonts w:ascii="Arial" w:cs="Arial" w:eastAsia="Arial" w:hAnsi="Arial"/>
          <w:sz w:val="18"/>
          <w:szCs w:val="18"/>
          <w:color w:val="auto"/>
        </w:rPr>
        <w:t>Items included in the Company’s net income for 2017 are listed below:</w:t>
      </w:r>
    </w:p>
    <w:p>
      <w:pPr>
        <w:spacing w:after="0" w:line="90" w:lineRule="exact"/>
        <w:rPr>
          <w:sz w:val="20"/>
          <w:szCs w:val="20"/>
          <w:color w:val="auto"/>
        </w:rPr>
      </w:pPr>
    </w:p>
    <w:p>
      <w:pPr>
        <w:ind w:left="180" w:hanging="172"/>
        <w:spacing w:after="0"/>
        <w:tabs>
          <w:tab w:leader="none" w:pos="180" w:val="left"/>
        </w:tabs>
        <w:numPr>
          <w:ilvl w:val="0"/>
          <w:numId w:val="48"/>
        </w:numPr>
        <w:rPr>
          <w:rFonts w:ascii="Arial" w:cs="Arial" w:eastAsia="Arial" w:hAnsi="Arial"/>
          <w:sz w:val="18"/>
          <w:szCs w:val="18"/>
          <w:color w:val="auto"/>
        </w:rPr>
      </w:pPr>
      <w:r>
        <w:rPr>
          <w:rFonts w:ascii="Arial" w:cs="Arial" w:eastAsia="Arial" w:hAnsi="Arial"/>
          <w:sz w:val="18"/>
          <w:szCs w:val="18"/>
          <w:color w:val="auto"/>
        </w:rPr>
        <w:t>$10.0 million in restructuring charges at the education division (after-tax impact of $6.3 million, or $1.12 per share);</w:t>
      </w:r>
    </w:p>
    <w:p>
      <w:pPr>
        <w:spacing w:after="0" w:line="76" w:lineRule="exact"/>
        <w:rPr>
          <w:rFonts w:ascii="Arial" w:cs="Arial" w:eastAsia="Arial" w:hAnsi="Arial"/>
          <w:sz w:val="18"/>
          <w:szCs w:val="18"/>
          <w:color w:val="auto"/>
        </w:rPr>
      </w:pPr>
    </w:p>
    <w:p>
      <w:pPr>
        <w:ind w:left="180" w:hanging="172"/>
        <w:spacing w:after="0"/>
        <w:tabs>
          <w:tab w:leader="none" w:pos="180" w:val="left"/>
        </w:tabs>
        <w:numPr>
          <w:ilvl w:val="0"/>
          <w:numId w:val="48"/>
        </w:numPr>
        <w:rPr>
          <w:rFonts w:ascii="Arial" w:cs="Arial" w:eastAsia="Arial" w:hAnsi="Arial"/>
          <w:sz w:val="18"/>
          <w:szCs w:val="18"/>
          <w:color w:val="auto"/>
        </w:rPr>
      </w:pPr>
      <w:r>
        <w:rPr>
          <w:rFonts w:ascii="Arial" w:cs="Arial" w:eastAsia="Arial" w:hAnsi="Arial"/>
          <w:sz w:val="18"/>
          <w:szCs w:val="18"/>
          <w:color w:val="auto"/>
        </w:rPr>
        <w:t>a $9.2 million goodwill and other long-lived asset impairment charge in other businesses (after-tax impact of $5.8 million, or $1.03 per share);</w:t>
      </w:r>
    </w:p>
    <w:p>
      <w:pPr>
        <w:spacing w:after="0" w:line="103" w:lineRule="exact"/>
        <w:rPr>
          <w:rFonts w:ascii="Arial" w:cs="Arial" w:eastAsia="Arial" w:hAnsi="Arial"/>
          <w:sz w:val="18"/>
          <w:szCs w:val="18"/>
          <w:color w:val="auto"/>
        </w:rPr>
      </w:pPr>
    </w:p>
    <w:p>
      <w:pPr>
        <w:ind w:left="180" w:hanging="172"/>
        <w:spacing w:after="0"/>
        <w:tabs>
          <w:tab w:leader="none" w:pos="180" w:val="left"/>
        </w:tabs>
        <w:numPr>
          <w:ilvl w:val="0"/>
          <w:numId w:val="48"/>
        </w:numPr>
        <w:rPr>
          <w:rFonts w:ascii="Arial" w:cs="Arial" w:eastAsia="Arial" w:hAnsi="Arial"/>
          <w:sz w:val="18"/>
          <w:szCs w:val="18"/>
          <w:color w:val="auto"/>
        </w:rPr>
      </w:pPr>
      <w:r>
        <w:rPr>
          <w:rFonts w:ascii="Arial" w:cs="Arial" w:eastAsia="Arial" w:hAnsi="Arial"/>
          <w:sz w:val="18"/>
          <w:szCs w:val="18"/>
          <w:color w:val="auto"/>
        </w:rPr>
        <w:t>$3.3 million in non-operating foreign currency gains (after-tax impact of $2.1 million, or $0.37 per share);</w:t>
      </w:r>
    </w:p>
    <w:p>
      <w:pPr>
        <w:spacing w:after="0" w:line="90" w:lineRule="exact"/>
        <w:rPr>
          <w:rFonts w:ascii="Arial" w:cs="Arial" w:eastAsia="Arial" w:hAnsi="Arial"/>
          <w:sz w:val="18"/>
          <w:szCs w:val="18"/>
          <w:color w:val="auto"/>
        </w:rPr>
      </w:pPr>
    </w:p>
    <w:p>
      <w:pPr>
        <w:ind w:left="180" w:hanging="172"/>
        <w:spacing w:after="0"/>
        <w:tabs>
          <w:tab w:leader="none" w:pos="180" w:val="left"/>
        </w:tabs>
        <w:numPr>
          <w:ilvl w:val="0"/>
          <w:numId w:val="48"/>
        </w:numPr>
        <w:rPr>
          <w:rFonts w:ascii="Arial" w:cs="Arial" w:eastAsia="Arial" w:hAnsi="Arial"/>
          <w:sz w:val="18"/>
          <w:szCs w:val="18"/>
          <w:color w:val="auto"/>
        </w:rPr>
      </w:pPr>
      <w:r>
        <w:rPr>
          <w:rFonts w:ascii="Arial" w:cs="Arial" w:eastAsia="Arial" w:hAnsi="Arial"/>
          <w:sz w:val="18"/>
          <w:szCs w:val="18"/>
          <w:color w:val="auto"/>
        </w:rPr>
        <w:t>$177.5 million in net deferred tax benefits related to the enactment of the Tax Cuts and Jobs Act in December 2017 ($31.68 per share); and</w:t>
      </w:r>
    </w:p>
    <w:p>
      <w:pPr>
        <w:spacing w:after="0" w:line="144" w:lineRule="exact"/>
        <w:rPr>
          <w:rFonts w:ascii="Arial" w:cs="Arial" w:eastAsia="Arial" w:hAnsi="Arial"/>
          <w:sz w:val="18"/>
          <w:szCs w:val="18"/>
          <w:color w:val="auto"/>
        </w:rPr>
      </w:pPr>
    </w:p>
    <w:p>
      <w:pPr>
        <w:ind w:left="180" w:hanging="172"/>
        <w:spacing w:after="0"/>
        <w:tabs>
          <w:tab w:leader="none" w:pos="180" w:val="left"/>
        </w:tabs>
        <w:numPr>
          <w:ilvl w:val="0"/>
          <w:numId w:val="48"/>
        </w:numPr>
        <w:rPr>
          <w:rFonts w:ascii="Arial" w:cs="Arial" w:eastAsia="Arial" w:hAnsi="Arial"/>
          <w:sz w:val="18"/>
          <w:szCs w:val="18"/>
          <w:color w:val="auto"/>
        </w:rPr>
      </w:pPr>
      <w:r>
        <w:rPr>
          <w:rFonts w:ascii="Arial" w:cs="Arial" w:eastAsia="Arial" w:hAnsi="Arial"/>
          <w:sz w:val="18"/>
          <w:szCs w:val="18"/>
          <w:color w:val="auto"/>
        </w:rPr>
        <w:t>$5.9 million in income tax benefits related to stock compensation ($1.06 per share).</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color w:val="auto"/>
        </w:rPr>
        <w:t>Items included in the Company’s net income for 2016 are listed below:</w:t>
      </w:r>
    </w:p>
    <w:p>
      <w:pPr>
        <w:spacing w:after="0" w:line="90" w:lineRule="exact"/>
        <w:rPr>
          <w:sz w:val="20"/>
          <w:szCs w:val="20"/>
          <w:color w:val="auto"/>
        </w:rPr>
      </w:pPr>
    </w:p>
    <w:p>
      <w:pPr>
        <w:ind w:left="180" w:hanging="172"/>
        <w:spacing w:after="0"/>
        <w:tabs>
          <w:tab w:leader="none" w:pos="180" w:val="left"/>
        </w:tabs>
        <w:numPr>
          <w:ilvl w:val="0"/>
          <w:numId w:val="49"/>
        </w:numPr>
        <w:rPr>
          <w:rFonts w:ascii="Arial" w:cs="Arial" w:eastAsia="Arial" w:hAnsi="Arial"/>
          <w:sz w:val="18"/>
          <w:szCs w:val="18"/>
          <w:color w:val="auto"/>
        </w:rPr>
      </w:pPr>
      <w:r>
        <w:rPr>
          <w:rFonts w:ascii="Arial" w:cs="Arial" w:eastAsia="Arial" w:hAnsi="Arial"/>
          <w:sz w:val="18"/>
          <w:szCs w:val="18"/>
          <w:color w:val="auto"/>
        </w:rPr>
        <w:t>an $18.0 million gain related to a bulk lump sum pension program offering (after-tax impact of $10.8 million, or $1.92 per share);</w:t>
      </w:r>
    </w:p>
    <w:p>
      <w:pPr>
        <w:spacing w:after="0" w:line="76" w:lineRule="exact"/>
        <w:rPr>
          <w:rFonts w:ascii="Arial" w:cs="Arial" w:eastAsia="Arial" w:hAnsi="Arial"/>
          <w:sz w:val="18"/>
          <w:szCs w:val="18"/>
          <w:color w:val="auto"/>
        </w:rPr>
      </w:pPr>
    </w:p>
    <w:p>
      <w:pPr>
        <w:ind w:left="180" w:hanging="172"/>
        <w:spacing w:after="0"/>
        <w:tabs>
          <w:tab w:leader="none" w:pos="180" w:val="left"/>
        </w:tabs>
        <w:numPr>
          <w:ilvl w:val="0"/>
          <w:numId w:val="49"/>
        </w:numPr>
        <w:rPr>
          <w:rFonts w:ascii="Arial" w:cs="Arial" w:eastAsia="Arial" w:hAnsi="Arial"/>
          <w:sz w:val="18"/>
          <w:szCs w:val="18"/>
          <w:color w:val="auto"/>
        </w:rPr>
      </w:pPr>
      <w:r>
        <w:rPr>
          <w:rFonts w:ascii="Arial" w:cs="Arial" w:eastAsia="Arial" w:hAnsi="Arial"/>
          <w:sz w:val="18"/>
          <w:szCs w:val="18"/>
          <w:color w:val="auto"/>
        </w:rPr>
        <w:t>$11.9 million in restructuring charges at the education division (after-tax impact of $7.7 million, or $1.36 per share);</w:t>
      </w:r>
    </w:p>
    <w:p>
      <w:pPr>
        <w:spacing w:after="0" w:line="103" w:lineRule="exact"/>
        <w:rPr>
          <w:rFonts w:ascii="Arial" w:cs="Arial" w:eastAsia="Arial" w:hAnsi="Arial"/>
          <w:sz w:val="18"/>
          <w:szCs w:val="18"/>
          <w:color w:val="auto"/>
        </w:rPr>
      </w:pPr>
    </w:p>
    <w:p>
      <w:pPr>
        <w:ind w:left="180" w:right="140" w:hanging="172"/>
        <w:spacing w:after="0" w:line="235" w:lineRule="auto"/>
        <w:tabs>
          <w:tab w:leader="none" w:pos="180" w:val="left"/>
        </w:tabs>
        <w:numPr>
          <w:ilvl w:val="0"/>
          <w:numId w:val="49"/>
        </w:numPr>
        <w:rPr>
          <w:rFonts w:ascii="Arial" w:cs="Arial" w:eastAsia="Arial" w:hAnsi="Arial"/>
          <w:sz w:val="18"/>
          <w:szCs w:val="18"/>
          <w:color w:val="auto"/>
        </w:rPr>
      </w:pPr>
      <w:r>
        <w:rPr>
          <w:rFonts w:ascii="Arial" w:cs="Arial" w:eastAsia="Arial" w:hAnsi="Arial"/>
          <w:sz w:val="18"/>
          <w:szCs w:val="18"/>
          <w:color w:val="auto"/>
        </w:rPr>
        <w:t>$16.8 million in net non-operating gains from the sales of assets and write-downs of cost and equity method investments (after tax impact of $9.5 million, or $1.62 per share);</w:t>
      </w:r>
    </w:p>
    <w:p>
      <w:pPr>
        <w:spacing w:after="0" w:line="80" w:lineRule="exact"/>
        <w:rPr>
          <w:rFonts w:ascii="Arial" w:cs="Arial" w:eastAsia="Arial" w:hAnsi="Arial"/>
          <w:sz w:val="18"/>
          <w:szCs w:val="18"/>
          <w:color w:val="auto"/>
        </w:rPr>
      </w:pPr>
    </w:p>
    <w:p>
      <w:pPr>
        <w:ind w:left="180" w:hanging="172"/>
        <w:spacing w:after="0"/>
        <w:tabs>
          <w:tab w:leader="none" w:pos="180" w:val="left"/>
        </w:tabs>
        <w:numPr>
          <w:ilvl w:val="0"/>
          <w:numId w:val="49"/>
        </w:numPr>
        <w:rPr>
          <w:rFonts w:ascii="Arial" w:cs="Arial" w:eastAsia="Arial" w:hAnsi="Arial"/>
          <w:sz w:val="18"/>
          <w:szCs w:val="18"/>
          <w:color w:val="auto"/>
        </w:rPr>
      </w:pPr>
      <w:r>
        <w:rPr>
          <w:rFonts w:ascii="Arial" w:cs="Arial" w:eastAsia="Arial" w:hAnsi="Arial"/>
          <w:sz w:val="18"/>
          <w:szCs w:val="18"/>
          <w:color w:val="auto"/>
        </w:rPr>
        <w:t>$39.9 million in non-operating foreign currency losses (after-tax impact of $25.5 million, or $4.51 per share); and</w:t>
      </w:r>
    </w:p>
    <w:p>
      <w:pPr>
        <w:spacing w:after="0" w:line="103" w:lineRule="exact"/>
        <w:rPr>
          <w:rFonts w:ascii="Arial" w:cs="Arial" w:eastAsia="Arial" w:hAnsi="Arial"/>
          <w:sz w:val="18"/>
          <w:szCs w:val="18"/>
          <w:color w:val="auto"/>
        </w:rPr>
      </w:pPr>
    </w:p>
    <w:p>
      <w:pPr>
        <w:ind w:left="180" w:hanging="172"/>
        <w:spacing w:after="0"/>
        <w:tabs>
          <w:tab w:leader="none" w:pos="180" w:val="left"/>
        </w:tabs>
        <w:numPr>
          <w:ilvl w:val="0"/>
          <w:numId w:val="49"/>
        </w:numPr>
        <w:rPr>
          <w:rFonts w:ascii="Arial" w:cs="Arial" w:eastAsia="Arial" w:hAnsi="Arial"/>
          <w:sz w:val="18"/>
          <w:szCs w:val="18"/>
          <w:color w:val="auto"/>
        </w:rPr>
      </w:pPr>
      <w:r>
        <w:rPr>
          <w:rFonts w:ascii="Arial" w:cs="Arial" w:eastAsia="Arial" w:hAnsi="Arial"/>
          <w:sz w:val="18"/>
          <w:szCs w:val="18"/>
          <w:color w:val="auto"/>
        </w:rPr>
        <w:t>a net nonrecurring $13.9 million deferred tax benefit related to Kaplan ($2.47 per share).</w:t>
      </w:r>
    </w:p>
    <w:p>
      <w:pPr>
        <w:spacing w:after="0" w:line="212" w:lineRule="exact"/>
        <w:rPr>
          <w:sz w:val="20"/>
          <w:szCs w:val="20"/>
          <w:color w:val="auto"/>
        </w:rPr>
      </w:pPr>
    </w:p>
    <w:p>
      <w:pPr>
        <w:ind w:right="240"/>
        <w:spacing w:after="0" w:line="235" w:lineRule="auto"/>
        <w:rPr>
          <w:sz w:val="20"/>
          <w:szCs w:val="20"/>
          <w:color w:val="auto"/>
        </w:rPr>
      </w:pPr>
      <w:r>
        <w:rPr>
          <w:rFonts w:ascii="Arial" w:cs="Arial" w:eastAsia="Arial" w:hAnsi="Arial"/>
          <w:sz w:val="18"/>
          <w:szCs w:val="18"/>
          <w:color w:val="auto"/>
        </w:rPr>
        <w:t>Revenue for 2017 was $2,591.8 million, up 4% from $2,481.9 million in 2016. Revenues increased in other businesses, offset by a decline at the education division.</w:t>
      </w:r>
    </w:p>
    <w:p>
      <w:pPr>
        <w:spacing w:after="0" w:line="135" w:lineRule="exact"/>
        <w:rPr>
          <w:sz w:val="20"/>
          <w:szCs w:val="20"/>
          <w:color w:val="auto"/>
        </w:rPr>
      </w:pPr>
    </w:p>
    <w:p>
      <w:pPr>
        <w:ind w:right="180"/>
        <w:spacing w:after="0" w:line="227" w:lineRule="auto"/>
        <w:rPr>
          <w:sz w:val="20"/>
          <w:szCs w:val="20"/>
          <w:color w:val="auto"/>
        </w:rPr>
      </w:pPr>
      <w:r>
        <w:rPr>
          <w:rFonts w:ascii="Arial" w:cs="Arial" w:eastAsia="Arial" w:hAnsi="Arial"/>
          <w:sz w:val="18"/>
          <w:szCs w:val="18"/>
          <w:color w:val="auto"/>
        </w:rPr>
        <w:t>In 2017, education revenue was down by 5%, advertising revenue decreased 8% and other revenue increased 39%. The revenue declines at Kaplan account for the reported education revenue decline. The decline in advertising revenue was due to significant political and Olympics-related advertising at the television broadcasting division in 2016. The increase in other revenues was due primarily to the inclusion of revenues from the Hoover acquisition in 2017.</w:t>
      </w:r>
    </w:p>
    <w:p>
      <w:pPr>
        <w:spacing w:after="0" w:line="135" w:lineRule="exact"/>
        <w:rPr>
          <w:sz w:val="20"/>
          <w:szCs w:val="20"/>
          <w:color w:val="auto"/>
        </w:rPr>
      </w:pPr>
    </w:p>
    <w:p>
      <w:pPr>
        <w:jc w:val="both"/>
        <w:ind w:right="20"/>
        <w:spacing w:after="0" w:line="229" w:lineRule="auto"/>
        <w:rPr>
          <w:sz w:val="20"/>
          <w:szCs w:val="20"/>
          <w:color w:val="auto"/>
        </w:rPr>
      </w:pPr>
      <w:r>
        <w:rPr>
          <w:rFonts w:ascii="Arial" w:cs="Arial" w:eastAsia="Arial" w:hAnsi="Arial"/>
          <w:sz w:val="18"/>
          <w:szCs w:val="18"/>
          <w:color w:val="auto"/>
        </w:rPr>
        <w:t>Operating costs and expenses for the year increased 9% to $2,382.7 million in 2017, from $2,178.4 million in 2016. Expenses were higher due to increased network fees at the television broadcasting division in 2017, and increased expenses at other businesses as a result of the Hoover acquisition, partially offset by lower expenses at the education division due to overall declines in business activity.</w:t>
      </w:r>
    </w:p>
    <w:p>
      <w:pPr>
        <w:spacing w:after="0" w:line="137" w:lineRule="exact"/>
        <w:rPr>
          <w:sz w:val="20"/>
          <w:szCs w:val="20"/>
          <w:color w:val="auto"/>
        </w:rPr>
      </w:pPr>
    </w:p>
    <w:p>
      <w:pPr>
        <w:jc w:val="both"/>
        <w:spacing w:after="0" w:line="235" w:lineRule="auto"/>
        <w:rPr>
          <w:sz w:val="20"/>
          <w:szCs w:val="20"/>
          <w:color w:val="auto"/>
        </w:rPr>
      </w:pPr>
      <w:r>
        <w:rPr>
          <w:rFonts w:ascii="Arial" w:cs="Arial" w:eastAsia="Arial" w:hAnsi="Arial"/>
          <w:sz w:val="18"/>
          <w:szCs w:val="18"/>
          <w:color w:val="auto"/>
        </w:rPr>
        <w:t>The Company reported operating income for 2017 of $209.1 million, a decrease of 31%, from $303.5 million in 2016. Operating results declined at the television broadcasting and education divisions and in other businesses.</w:t>
      </w:r>
    </w:p>
    <w:p>
      <w:pPr>
        <w:spacing w:after="0" w:line="135" w:lineRule="exact"/>
        <w:rPr>
          <w:sz w:val="20"/>
          <w:szCs w:val="20"/>
          <w:color w:val="auto"/>
        </w:rPr>
      </w:pPr>
    </w:p>
    <w:p>
      <w:pPr>
        <w:ind w:right="60"/>
        <w:spacing w:after="0" w:line="224" w:lineRule="auto"/>
        <w:rPr>
          <w:sz w:val="20"/>
          <w:szCs w:val="20"/>
          <w:color w:val="auto"/>
        </w:rPr>
      </w:pPr>
      <w:r>
        <w:rPr>
          <w:rFonts w:ascii="Arial" w:cs="Arial" w:eastAsia="Arial" w:hAnsi="Arial"/>
          <w:sz w:val="18"/>
          <w:szCs w:val="18"/>
          <w:color w:val="auto"/>
        </w:rPr>
        <w:t>On April 27, 2017, certain Kaplan subsidiaries entered into a Contribution and Transfer Agreement (Transfer Agreement) to contribute Kaplan University (KU), its institutional assets and operations to a new, non-profit, public-benefit corporation affiliated with Purdue University (Purdue) in exchange for a Transition and Operations Support Agreement (TOSA) to provide key non-academic operations support to the new university for an initial term of 30 years with a buy-out option after six years. The transfer does not include any of the assets of Kaplan University School of Professional and Continuing Education (KU-PACE), which provides professional training and exam preparation for professional certifications and licensures, nor does it include the transfer of other Kaplan businesses such as Kaplan Test Preparation and Kaplan International.</w:t>
      </w:r>
    </w:p>
    <w:p>
      <w:pPr>
        <w:spacing w:after="0" w:line="137" w:lineRule="exact"/>
        <w:rPr>
          <w:sz w:val="20"/>
          <w:szCs w:val="20"/>
          <w:color w:val="auto"/>
        </w:rPr>
      </w:pPr>
    </w:p>
    <w:p>
      <w:pPr>
        <w:ind w:right="180"/>
        <w:spacing w:after="0" w:line="225" w:lineRule="auto"/>
        <w:rPr>
          <w:sz w:val="20"/>
          <w:szCs w:val="20"/>
          <w:color w:val="auto"/>
        </w:rPr>
      </w:pPr>
      <w:r>
        <w:rPr>
          <w:rFonts w:ascii="Arial" w:cs="Arial" w:eastAsia="Arial" w:hAnsi="Arial"/>
          <w:sz w:val="18"/>
          <w:szCs w:val="18"/>
          <w:color w:val="auto"/>
        </w:rPr>
        <w:t>Consummation of the transactions contemplated by the Transfer Agreement is subject to various closing conditions, including, among others, regulatory approvals from the U.S. Department of Education (ED), the Indiana Commission for Higher Education (ICHE) and the Higher Learning Commission (HLC), which is the regional accreditor of both Purdue and KU, and certain other state educational agencies and accreditors of programs. In the third quarter of 2017, ICHE granted its approval and the ED provided preliminary approval based on its review of a pre-acquisition application, subject to certain conditions. Kaplan is unable to predict with certainty when and if HLC</w:t>
      </w:r>
    </w:p>
    <w:p>
      <w:pPr>
        <w:spacing w:after="0" w:line="200" w:lineRule="exact"/>
        <w:rPr>
          <w:sz w:val="20"/>
          <w:szCs w:val="20"/>
          <w:color w:val="auto"/>
        </w:rPr>
      </w:pPr>
    </w:p>
    <w:p>
      <w:pPr>
        <w:spacing w:after="0" w:line="30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49</w:t>
      </w:r>
    </w:p>
    <w:p>
      <w:pPr>
        <w:sectPr>
          <w:pgSz w:w="11900" w:h="16838" w:orient="portrait"/>
          <w:cols w:equalWidth="0" w:num="1">
            <w:col w:w="11420"/>
          </w:cols>
          <w:pgMar w:left="240" w:top="724" w:right="239" w:bottom="1440" w:gutter="0" w:footer="0" w:header="0"/>
        </w:sectPr>
      </w:pPr>
    </w:p>
    <w:bookmarkStart w:id="51" w:name="page52"/>
    <w:bookmarkEnd w:id="51"/>
    <w:p>
      <w:pPr>
        <w:ind w:right="520"/>
        <w:spacing w:after="0" w:line="235" w:lineRule="auto"/>
        <w:rPr>
          <w:sz w:val="20"/>
          <w:szCs w:val="20"/>
          <w:color w:val="auto"/>
        </w:rPr>
      </w:pPr>
      <w:r>
        <w:rPr>
          <w:rFonts w:ascii="Arial" w:cs="Arial" w:eastAsia="Arial" w:hAnsi="Arial"/>
          <w:sz w:val="18"/>
          <w:szCs w:val="18"/>
          <w:color w:val="auto"/>
        </w:rPr>
        <w:t>approval will be obtained; however, a decision is not expected to be received until later in the first quarter of 2018. If the transaction is not consummated by April 30, 2018, either party may terminate the Transfer Agreement.</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Division Results</w:t>
      </w:r>
    </w:p>
    <w:p>
      <w:pPr>
        <w:spacing w:after="0" w:line="144" w:lineRule="exact"/>
        <w:rPr>
          <w:sz w:val="20"/>
          <w:szCs w:val="20"/>
          <w:color w:val="auto"/>
        </w:rPr>
      </w:pPr>
    </w:p>
    <w:p>
      <w:pPr>
        <w:jc w:val="both"/>
        <w:ind w:right="360"/>
        <w:spacing w:after="0" w:line="238" w:lineRule="auto"/>
        <w:rPr>
          <w:sz w:val="20"/>
          <w:szCs w:val="20"/>
          <w:color w:val="auto"/>
        </w:rPr>
      </w:pPr>
      <w:r>
        <w:rPr>
          <w:rFonts w:ascii="Arial" w:cs="Arial" w:eastAsia="Arial" w:hAnsi="Arial"/>
          <w:sz w:val="18"/>
          <w:szCs w:val="18"/>
          <w:b w:val="1"/>
          <w:bCs w:val="1"/>
          <w:color w:val="auto"/>
        </w:rPr>
        <w:t xml:space="preserve">Education Division. </w:t>
      </w:r>
      <w:r>
        <w:rPr>
          <w:rFonts w:ascii="Arial" w:cs="Arial" w:eastAsia="Arial" w:hAnsi="Arial"/>
          <w:sz w:val="18"/>
          <w:szCs w:val="18"/>
          <w:color w:val="auto"/>
        </w:rPr>
        <w:t>Education division revenue in 2017 totaled $1,516.8 million, down 5% from $1,598.5 million in 2016.</w:t>
      </w:r>
      <w:r>
        <w:rPr>
          <w:rFonts w:ascii="Arial" w:cs="Arial" w:eastAsia="Arial" w:hAnsi="Arial"/>
          <w:sz w:val="18"/>
          <w:szCs w:val="18"/>
          <w:b w:val="1"/>
          <w:bCs w:val="1"/>
          <w:color w:val="auto"/>
        </w:rPr>
        <w:t xml:space="preserve"> </w:t>
      </w:r>
      <w:r>
        <w:rPr>
          <w:rFonts w:ascii="Arial" w:cs="Arial" w:eastAsia="Arial" w:hAnsi="Arial"/>
          <w:sz w:val="18"/>
          <w:szCs w:val="18"/>
          <w:color w:val="auto"/>
        </w:rPr>
        <w:t>Kaplan reported</w:t>
      </w:r>
      <w:r>
        <w:rPr>
          <w:rFonts w:ascii="Arial" w:cs="Arial" w:eastAsia="Arial" w:hAnsi="Arial"/>
          <w:sz w:val="18"/>
          <w:szCs w:val="18"/>
          <w:b w:val="1"/>
          <w:bCs w:val="1"/>
          <w:color w:val="auto"/>
        </w:rPr>
        <w:t xml:space="preserve"> </w:t>
      </w:r>
      <w:r>
        <w:rPr>
          <w:rFonts w:ascii="Arial" w:cs="Arial" w:eastAsia="Arial" w:hAnsi="Arial"/>
          <w:sz w:val="18"/>
          <w:szCs w:val="18"/>
          <w:color w:val="auto"/>
        </w:rPr>
        <w:t>operating income of $75.2 million for 2017, a 20% decrease from $93.6 million in 2016. In 2017, operating results declined at KHE, partially offset by improved results at KTP and Kaplan International.</w:t>
      </w:r>
    </w:p>
    <w:p>
      <w:pPr>
        <w:spacing w:after="0" w:line="136" w:lineRule="exact"/>
        <w:rPr>
          <w:sz w:val="20"/>
          <w:szCs w:val="20"/>
          <w:color w:val="auto"/>
        </w:rPr>
      </w:pPr>
    </w:p>
    <w:p>
      <w:pPr>
        <w:jc w:val="both"/>
        <w:ind w:right="140"/>
        <w:spacing w:after="0" w:line="229" w:lineRule="auto"/>
        <w:rPr>
          <w:sz w:val="20"/>
          <w:szCs w:val="20"/>
          <w:color w:val="auto"/>
        </w:rPr>
      </w:pPr>
      <w:r>
        <w:rPr>
          <w:rFonts w:ascii="Arial" w:cs="Arial" w:eastAsia="Arial" w:hAnsi="Arial"/>
          <w:sz w:val="18"/>
          <w:szCs w:val="18"/>
          <w:color w:val="auto"/>
        </w:rPr>
        <w:t>In recent years, Kaplan has formulated and implemented restructuring plans at its various businesses that have resulted in restructuring costs in 2017 and 2016, with the objective of establishing lower cost levels in future periods. Across all businesses, restructuring costs totaled $10.0 million in 2017 and $11.9 million in 2016.</w:t>
      </w:r>
    </w:p>
    <w:p>
      <w:pPr>
        <w:spacing w:after="0" w:line="137" w:lineRule="exact"/>
        <w:rPr>
          <w:sz w:val="20"/>
          <w:szCs w:val="20"/>
          <w:color w:val="auto"/>
        </w:rPr>
      </w:pPr>
    </w:p>
    <w:p>
      <w:pPr>
        <w:spacing w:after="0"/>
        <w:rPr>
          <w:sz w:val="20"/>
          <w:szCs w:val="20"/>
          <w:color w:val="auto"/>
        </w:rPr>
      </w:pPr>
      <w:r>
        <w:rPr>
          <w:rFonts w:ascii="Arial" w:cs="Arial" w:eastAsia="Arial" w:hAnsi="Arial"/>
          <w:sz w:val="18"/>
          <w:szCs w:val="18"/>
          <w:color w:val="auto"/>
        </w:rPr>
        <w:t>A summary of Kaplan’s operating results is as follows:</w:t>
      </w:r>
    </w:p>
    <w:p>
      <w:pPr>
        <w:spacing w:after="0" w:line="199"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73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460" w:type="dxa"/>
            <w:vAlign w:val="bottom"/>
            <w:gridSpan w:val="4"/>
          </w:tcPr>
          <w:p>
            <w:pPr>
              <w:ind w:left="200"/>
              <w:spacing w:after="0"/>
              <w:rPr>
                <w:sz w:val="20"/>
                <w:szCs w:val="20"/>
                <w:color w:val="auto"/>
              </w:rPr>
            </w:pPr>
            <w:r>
              <w:rPr>
                <w:rFonts w:ascii="Arial" w:cs="Arial" w:eastAsia="Arial" w:hAnsi="Arial"/>
                <w:sz w:val="14"/>
                <w:szCs w:val="14"/>
                <w:b w:val="1"/>
                <w:bCs w:val="1"/>
                <w:color w:val="auto"/>
              </w:rPr>
              <w:t>Year Ended December 31</w:t>
            </w:r>
          </w:p>
        </w:tc>
        <w:tc>
          <w:tcPr>
            <w:tcW w:w="13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64"/>
        </w:trPr>
        <w:tc>
          <w:tcPr>
            <w:tcW w:w="736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(in thousands)</w:t>
            </w:r>
          </w:p>
        </w:tc>
        <w:tc>
          <w:tcPr>
            <w:tcW w:w="260" w:type="dxa"/>
            <w:vAlign w:val="bottom"/>
            <w:tcBorders>
              <w:top w:val="single" w:sz="8" w:color="auto"/>
              <w:bottom w:val="single" w:sz="8" w:color="auto"/>
            </w:tcBorders>
          </w:tcPr>
          <w:p>
            <w:pPr>
              <w:spacing w:after="0"/>
              <w:rPr>
                <w:sz w:val="22"/>
                <w:szCs w:val="22"/>
                <w:color w:val="auto"/>
              </w:rPr>
            </w:pPr>
          </w:p>
        </w:tc>
        <w:tc>
          <w:tcPr>
            <w:tcW w:w="1040" w:type="dxa"/>
            <w:vAlign w:val="bottom"/>
            <w:tcBorders>
              <w:top w:val="single" w:sz="8" w:color="auto"/>
              <w:bottom w:val="single" w:sz="8" w:color="auto"/>
            </w:tcBorders>
          </w:tcPr>
          <w:p>
            <w:pPr>
              <w:ind w:left="200"/>
              <w:spacing w:after="0"/>
              <w:rPr>
                <w:sz w:val="20"/>
                <w:szCs w:val="20"/>
                <w:color w:val="auto"/>
              </w:rPr>
            </w:pPr>
            <w:r>
              <w:rPr>
                <w:rFonts w:ascii="Arial" w:cs="Arial" w:eastAsia="Arial" w:hAnsi="Arial"/>
                <w:sz w:val="14"/>
                <w:szCs w:val="14"/>
                <w:b w:val="1"/>
                <w:bCs w:val="1"/>
                <w:color w:val="auto"/>
              </w:rPr>
              <w:t>2017</w:t>
            </w:r>
          </w:p>
        </w:tc>
        <w:tc>
          <w:tcPr>
            <w:tcW w:w="340" w:type="dxa"/>
            <w:vAlign w:val="bottom"/>
            <w:tcBorders>
              <w:top w:val="single" w:sz="8" w:color="auto"/>
              <w:bottom w:val="single" w:sz="8" w:color="auto"/>
            </w:tcBorders>
          </w:tcPr>
          <w:p>
            <w:pPr>
              <w:spacing w:after="0"/>
              <w:rPr>
                <w:sz w:val="22"/>
                <w:szCs w:val="22"/>
                <w:color w:val="auto"/>
              </w:rPr>
            </w:pPr>
          </w:p>
        </w:tc>
        <w:tc>
          <w:tcPr>
            <w:tcW w:w="980" w:type="dxa"/>
            <w:vAlign w:val="bottom"/>
            <w:tcBorders>
              <w:top w:val="single" w:sz="8" w:color="auto"/>
              <w:bottom w:val="single" w:sz="8" w:color="auto"/>
            </w:tcBorders>
          </w:tcPr>
          <w:p>
            <w:pPr>
              <w:jc w:val="right"/>
              <w:ind w:right="400"/>
              <w:spacing w:after="0"/>
              <w:rPr>
                <w:sz w:val="20"/>
                <w:szCs w:val="20"/>
                <w:color w:val="auto"/>
              </w:rPr>
            </w:pPr>
            <w:r>
              <w:rPr>
                <w:rFonts w:ascii="Arial" w:cs="Arial" w:eastAsia="Arial" w:hAnsi="Arial"/>
                <w:sz w:val="14"/>
                <w:szCs w:val="14"/>
                <w:color w:val="auto"/>
              </w:rPr>
              <w:t>2016</w:t>
            </w:r>
          </w:p>
        </w:tc>
        <w:tc>
          <w:tcPr>
            <w:tcW w:w="100" w:type="dxa"/>
            <w:vAlign w:val="bottom"/>
            <w:tcBorders>
              <w:bottom w:val="single" w:sz="8" w:color="auto"/>
            </w:tcBorders>
          </w:tcPr>
          <w:p>
            <w:pPr>
              <w:spacing w:after="0"/>
              <w:rPr>
                <w:sz w:val="22"/>
                <w:szCs w:val="22"/>
                <w:color w:val="auto"/>
              </w:rPr>
            </w:pPr>
          </w:p>
        </w:tc>
        <w:tc>
          <w:tcPr>
            <w:tcW w:w="1340" w:type="dxa"/>
            <w:vAlign w:val="bottom"/>
            <w:tcBorders>
              <w:bottom w:val="single" w:sz="8" w:color="auto"/>
            </w:tcBorders>
          </w:tcPr>
          <w:p>
            <w:pPr>
              <w:jc w:val="right"/>
              <w:ind w:right="260"/>
              <w:spacing w:after="0"/>
              <w:rPr>
                <w:sz w:val="20"/>
                <w:szCs w:val="20"/>
                <w:color w:val="auto"/>
              </w:rPr>
            </w:pPr>
            <w:r>
              <w:rPr>
                <w:rFonts w:ascii="Arial" w:cs="Arial" w:eastAsia="Arial" w:hAnsi="Arial"/>
                <w:sz w:val="14"/>
                <w:szCs w:val="14"/>
                <w:color w:val="auto"/>
              </w:rPr>
              <w:t>% Change</w:t>
            </w:r>
          </w:p>
        </w:tc>
        <w:tc>
          <w:tcPr>
            <w:tcW w:w="0" w:type="dxa"/>
            <w:vAlign w:val="bottom"/>
          </w:tcPr>
          <w:p>
            <w:pPr>
              <w:spacing w:after="0"/>
              <w:rPr>
                <w:sz w:val="1"/>
                <w:szCs w:val="1"/>
                <w:color w:val="auto"/>
              </w:rPr>
            </w:pPr>
          </w:p>
        </w:tc>
      </w:tr>
      <w:tr>
        <w:trPr>
          <w:trHeight w:val="250"/>
        </w:trPr>
        <w:tc>
          <w:tcPr>
            <w:tcW w:w="7360" w:type="dxa"/>
            <w:vAlign w:val="bottom"/>
          </w:tcPr>
          <w:p>
            <w:pPr>
              <w:ind w:left="40"/>
              <w:spacing w:after="0"/>
              <w:rPr>
                <w:sz w:val="20"/>
                <w:szCs w:val="20"/>
                <w:color w:val="auto"/>
              </w:rPr>
            </w:pPr>
            <w:r>
              <w:rPr>
                <w:rFonts w:ascii="Arial" w:cs="Arial" w:eastAsia="Arial" w:hAnsi="Arial"/>
                <w:sz w:val="16"/>
                <w:szCs w:val="16"/>
                <w:b w:val="1"/>
                <w:bCs w:val="1"/>
                <w:color w:val="auto"/>
              </w:rPr>
              <w:t>Revenue</w:t>
            </w:r>
          </w:p>
        </w:tc>
        <w:tc>
          <w:tcPr>
            <w:tcW w:w="26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0"/>
        </w:trPr>
        <w:tc>
          <w:tcPr>
            <w:tcW w:w="7360" w:type="dxa"/>
            <w:vAlign w:val="bottom"/>
          </w:tcPr>
          <w:p>
            <w:pPr>
              <w:ind w:left="40"/>
              <w:spacing w:after="0"/>
              <w:rPr>
                <w:sz w:val="20"/>
                <w:szCs w:val="20"/>
                <w:color w:val="auto"/>
              </w:rPr>
            </w:pPr>
            <w:r>
              <w:rPr>
                <w:rFonts w:ascii="Arial" w:cs="Arial" w:eastAsia="Arial" w:hAnsi="Arial"/>
                <w:sz w:val="16"/>
                <w:szCs w:val="16"/>
                <w:color w:val="auto"/>
              </w:rPr>
              <w:t>Higher education</w:t>
            </w:r>
          </w:p>
        </w:tc>
        <w:tc>
          <w:tcPr>
            <w:tcW w:w="260" w:type="dxa"/>
            <w:vAlign w:val="bottom"/>
          </w:tcPr>
          <w:p>
            <w:pPr>
              <w:jc w:val="right"/>
              <w:ind w:right="59"/>
              <w:spacing w:after="0"/>
              <w:rPr>
                <w:sz w:val="20"/>
                <w:szCs w:val="20"/>
                <w:color w:val="auto"/>
              </w:rPr>
            </w:pPr>
            <w:r>
              <w:rPr>
                <w:rFonts w:ascii="Arial" w:cs="Arial" w:eastAsia="Arial" w:hAnsi="Arial"/>
                <w:sz w:val="16"/>
                <w:szCs w:val="16"/>
                <w:b w:val="1"/>
                <w:bCs w:val="1"/>
                <w:color w:val="auto"/>
              </w:rPr>
              <w:t>$</w:t>
            </w:r>
          </w:p>
        </w:tc>
        <w:tc>
          <w:tcPr>
            <w:tcW w:w="1040" w:type="dxa"/>
            <w:vAlign w:val="bottom"/>
          </w:tcPr>
          <w:p>
            <w:pPr>
              <w:jc w:val="right"/>
              <w:ind w:right="80"/>
              <w:spacing w:after="0"/>
              <w:rPr>
                <w:sz w:val="20"/>
                <w:szCs w:val="20"/>
                <w:color w:val="auto"/>
              </w:rPr>
            </w:pPr>
            <w:r>
              <w:rPr>
                <w:rFonts w:ascii="Arial" w:cs="Arial" w:eastAsia="Arial" w:hAnsi="Arial"/>
                <w:sz w:val="16"/>
                <w:szCs w:val="16"/>
                <w:b w:val="1"/>
                <w:bCs w:val="1"/>
                <w:color w:val="auto"/>
              </w:rPr>
              <w:t>547,264</w:t>
            </w:r>
          </w:p>
        </w:tc>
        <w:tc>
          <w:tcPr>
            <w:tcW w:w="34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980" w:type="dxa"/>
            <w:vAlign w:val="bottom"/>
          </w:tcPr>
          <w:p>
            <w:pPr>
              <w:jc w:val="right"/>
              <w:ind w:right="40"/>
              <w:spacing w:after="0"/>
              <w:rPr>
                <w:sz w:val="20"/>
                <w:szCs w:val="20"/>
                <w:color w:val="auto"/>
              </w:rPr>
            </w:pPr>
            <w:r>
              <w:rPr>
                <w:rFonts w:ascii="Arial" w:cs="Arial" w:eastAsia="Arial" w:hAnsi="Arial"/>
                <w:sz w:val="16"/>
                <w:szCs w:val="16"/>
                <w:color w:val="auto"/>
              </w:rPr>
              <w:t>617,047</w:t>
            </w:r>
          </w:p>
        </w:tc>
        <w:tc>
          <w:tcPr>
            <w:tcW w:w="100" w:type="dxa"/>
            <w:vAlign w:val="bottom"/>
          </w:tcPr>
          <w:p>
            <w:pPr>
              <w:spacing w:after="0"/>
              <w:rPr>
                <w:sz w:val="23"/>
                <w:szCs w:val="23"/>
                <w:color w:val="auto"/>
              </w:rPr>
            </w:pPr>
          </w:p>
        </w:tc>
        <w:tc>
          <w:tcPr>
            <w:tcW w:w="1340" w:type="dxa"/>
            <w:vAlign w:val="bottom"/>
          </w:tcPr>
          <w:p>
            <w:pPr>
              <w:jc w:val="right"/>
              <w:ind w:right="200"/>
              <w:spacing w:after="0"/>
              <w:rPr>
                <w:sz w:val="20"/>
                <w:szCs w:val="20"/>
                <w:color w:val="auto"/>
              </w:rPr>
            </w:pPr>
            <w:r>
              <w:rPr>
                <w:rFonts w:ascii="Arial" w:cs="Arial" w:eastAsia="Arial" w:hAnsi="Arial"/>
                <w:sz w:val="16"/>
                <w:szCs w:val="16"/>
                <w:color w:val="auto"/>
              </w:rPr>
              <w:t>(11)</w:t>
            </w:r>
          </w:p>
        </w:tc>
        <w:tc>
          <w:tcPr>
            <w:tcW w:w="0" w:type="dxa"/>
            <w:vAlign w:val="bottom"/>
          </w:tcPr>
          <w:p>
            <w:pPr>
              <w:spacing w:after="0"/>
              <w:rPr>
                <w:sz w:val="1"/>
                <w:szCs w:val="1"/>
                <w:color w:val="auto"/>
              </w:rPr>
            </w:pPr>
          </w:p>
        </w:tc>
      </w:tr>
      <w:tr>
        <w:trPr>
          <w:trHeight w:val="270"/>
        </w:trPr>
        <w:tc>
          <w:tcPr>
            <w:tcW w:w="7360" w:type="dxa"/>
            <w:vAlign w:val="bottom"/>
          </w:tcPr>
          <w:p>
            <w:pPr>
              <w:ind w:left="40"/>
              <w:spacing w:after="0"/>
              <w:rPr>
                <w:sz w:val="20"/>
                <w:szCs w:val="20"/>
                <w:color w:val="auto"/>
              </w:rPr>
            </w:pPr>
            <w:r>
              <w:rPr>
                <w:rFonts w:ascii="Arial" w:cs="Arial" w:eastAsia="Arial" w:hAnsi="Arial"/>
                <w:sz w:val="16"/>
                <w:szCs w:val="16"/>
                <w:color w:val="auto"/>
              </w:rPr>
              <w:t>Test preparation</w:t>
            </w:r>
          </w:p>
        </w:tc>
        <w:tc>
          <w:tcPr>
            <w:tcW w:w="260" w:type="dxa"/>
            <w:vAlign w:val="bottom"/>
          </w:tcPr>
          <w:p>
            <w:pPr>
              <w:spacing w:after="0"/>
              <w:rPr>
                <w:sz w:val="23"/>
                <w:szCs w:val="23"/>
                <w:color w:val="auto"/>
              </w:rPr>
            </w:pPr>
          </w:p>
        </w:tc>
        <w:tc>
          <w:tcPr>
            <w:tcW w:w="1040" w:type="dxa"/>
            <w:vAlign w:val="bottom"/>
          </w:tcPr>
          <w:p>
            <w:pPr>
              <w:jc w:val="right"/>
              <w:ind w:right="80"/>
              <w:spacing w:after="0"/>
              <w:rPr>
                <w:sz w:val="20"/>
                <w:szCs w:val="20"/>
                <w:color w:val="auto"/>
              </w:rPr>
            </w:pPr>
            <w:r>
              <w:rPr>
                <w:rFonts w:ascii="Arial" w:cs="Arial" w:eastAsia="Arial" w:hAnsi="Arial"/>
                <w:sz w:val="16"/>
                <w:szCs w:val="16"/>
                <w:b w:val="1"/>
                <w:bCs w:val="1"/>
                <w:color w:val="auto"/>
              </w:rPr>
              <w:t>273,298</w:t>
            </w:r>
          </w:p>
        </w:tc>
        <w:tc>
          <w:tcPr>
            <w:tcW w:w="340" w:type="dxa"/>
            <w:vAlign w:val="bottom"/>
          </w:tcPr>
          <w:p>
            <w:pPr>
              <w:spacing w:after="0"/>
              <w:rPr>
                <w:sz w:val="23"/>
                <w:szCs w:val="23"/>
                <w:color w:val="auto"/>
              </w:rPr>
            </w:pPr>
          </w:p>
        </w:tc>
        <w:tc>
          <w:tcPr>
            <w:tcW w:w="980" w:type="dxa"/>
            <w:vAlign w:val="bottom"/>
          </w:tcPr>
          <w:p>
            <w:pPr>
              <w:jc w:val="right"/>
              <w:ind w:right="40"/>
              <w:spacing w:after="0"/>
              <w:rPr>
                <w:sz w:val="20"/>
                <w:szCs w:val="20"/>
                <w:color w:val="auto"/>
              </w:rPr>
            </w:pPr>
            <w:r>
              <w:rPr>
                <w:rFonts w:ascii="Arial" w:cs="Arial" w:eastAsia="Arial" w:hAnsi="Arial"/>
                <w:sz w:val="16"/>
                <w:szCs w:val="16"/>
                <w:color w:val="auto"/>
              </w:rPr>
              <w:t>286,556</w:t>
            </w:r>
          </w:p>
        </w:tc>
        <w:tc>
          <w:tcPr>
            <w:tcW w:w="100" w:type="dxa"/>
            <w:vAlign w:val="bottom"/>
          </w:tcPr>
          <w:p>
            <w:pPr>
              <w:spacing w:after="0"/>
              <w:rPr>
                <w:sz w:val="23"/>
                <w:szCs w:val="23"/>
                <w:color w:val="auto"/>
              </w:rPr>
            </w:pPr>
          </w:p>
        </w:tc>
        <w:tc>
          <w:tcPr>
            <w:tcW w:w="1340" w:type="dxa"/>
            <w:vAlign w:val="bottom"/>
          </w:tcPr>
          <w:p>
            <w:pPr>
              <w:jc w:val="right"/>
              <w:ind w:right="200"/>
              <w:spacing w:after="0"/>
              <w:rPr>
                <w:sz w:val="20"/>
                <w:szCs w:val="20"/>
                <w:color w:val="auto"/>
              </w:rPr>
            </w:pPr>
            <w:r>
              <w:rPr>
                <w:rFonts w:ascii="Arial" w:cs="Arial" w:eastAsia="Arial" w:hAnsi="Arial"/>
                <w:sz w:val="16"/>
                <w:szCs w:val="16"/>
                <w:color w:val="auto"/>
              </w:rPr>
              <w:t>(5)</w:t>
            </w:r>
          </w:p>
        </w:tc>
        <w:tc>
          <w:tcPr>
            <w:tcW w:w="0" w:type="dxa"/>
            <w:vAlign w:val="bottom"/>
          </w:tcPr>
          <w:p>
            <w:pPr>
              <w:spacing w:after="0"/>
              <w:rPr>
                <w:sz w:val="1"/>
                <w:szCs w:val="1"/>
                <w:color w:val="auto"/>
              </w:rPr>
            </w:pPr>
          </w:p>
        </w:tc>
      </w:tr>
      <w:tr>
        <w:trPr>
          <w:trHeight w:val="270"/>
        </w:trPr>
        <w:tc>
          <w:tcPr>
            <w:tcW w:w="7360" w:type="dxa"/>
            <w:vAlign w:val="bottom"/>
          </w:tcPr>
          <w:p>
            <w:pPr>
              <w:ind w:left="40"/>
              <w:spacing w:after="0"/>
              <w:rPr>
                <w:sz w:val="20"/>
                <w:szCs w:val="20"/>
                <w:color w:val="auto"/>
              </w:rPr>
            </w:pPr>
            <w:r>
              <w:rPr>
                <w:rFonts w:ascii="Arial" w:cs="Arial" w:eastAsia="Arial" w:hAnsi="Arial"/>
                <w:sz w:val="16"/>
                <w:szCs w:val="16"/>
                <w:color w:val="auto"/>
              </w:rPr>
              <w:t>Kaplan international</w:t>
            </w:r>
          </w:p>
        </w:tc>
        <w:tc>
          <w:tcPr>
            <w:tcW w:w="260" w:type="dxa"/>
            <w:vAlign w:val="bottom"/>
          </w:tcPr>
          <w:p>
            <w:pPr>
              <w:spacing w:after="0"/>
              <w:rPr>
                <w:sz w:val="23"/>
                <w:szCs w:val="23"/>
                <w:color w:val="auto"/>
              </w:rPr>
            </w:pPr>
          </w:p>
        </w:tc>
        <w:tc>
          <w:tcPr>
            <w:tcW w:w="1040" w:type="dxa"/>
            <w:vAlign w:val="bottom"/>
          </w:tcPr>
          <w:p>
            <w:pPr>
              <w:jc w:val="right"/>
              <w:ind w:right="80"/>
              <w:spacing w:after="0"/>
              <w:rPr>
                <w:sz w:val="20"/>
                <w:szCs w:val="20"/>
                <w:color w:val="auto"/>
              </w:rPr>
            </w:pPr>
            <w:r>
              <w:rPr>
                <w:rFonts w:ascii="Arial" w:cs="Arial" w:eastAsia="Arial" w:hAnsi="Arial"/>
                <w:sz w:val="16"/>
                <w:szCs w:val="16"/>
                <w:b w:val="1"/>
                <w:bCs w:val="1"/>
                <w:color w:val="auto"/>
              </w:rPr>
              <w:t>697,999</w:t>
            </w:r>
          </w:p>
        </w:tc>
        <w:tc>
          <w:tcPr>
            <w:tcW w:w="340" w:type="dxa"/>
            <w:vAlign w:val="bottom"/>
          </w:tcPr>
          <w:p>
            <w:pPr>
              <w:spacing w:after="0"/>
              <w:rPr>
                <w:sz w:val="23"/>
                <w:szCs w:val="23"/>
                <w:color w:val="auto"/>
              </w:rPr>
            </w:pPr>
          </w:p>
        </w:tc>
        <w:tc>
          <w:tcPr>
            <w:tcW w:w="980" w:type="dxa"/>
            <w:vAlign w:val="bottom"/>
          </w:tcPr>
          <w:p>
            <w:pPr>
              <w:jc w:val="right"/>
              <w:ind w:right="40"/>
              <w:spacing w:after="0"/>
              <w:rPr>
                <w:sz w:val="20"/>
                <w:szCs w:val="20"/>
                <w:color w:val="auto"/>
              </w:rPr>
            </w:pPr>
            <w:r>
              <w:rPr>
                <w:rFonts w:ascii="Arial" w:cs="Arial" w:eastAsia="Arial" w:hAnsi="Arial"/>
                <w:sz w:val="16"/>
                <w:szCs w:val="16"/>
                <w:color w:val="auto"/>
              </w:rPr>
              <w:t>696,362</w:t>
            </w:r>
          </w:p>
        </w:tc>
        <w:tc>
          <w:tcPr>
            <w:tcW w:w="100" w:type="dxa"/>
            <w:vAlign w:val="bottom"/>
          </w:tcPr>
          <w:p>
            <w:pPr>
              <w:spacing w:after="0"/>
              <w:rPr>
                <w:sz w:val="23"/>
                <w:szCs w:val="23"/>
                <w:color w:val="auto"/>
              </w:rPr>
            </w:pPr>
          </w:p>
        </w:tc>
        <w:tc>
          <w:tcPr>
            <w:tcW w:w="1340" w:type="dxa"/>
            <w:vAlign w:val="bottom"/>
          </w:tcPr>
          <w:p>
            <w:pPr>
              <w:jc w:val="right"/>
              <w:ind w:right="24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70"/>
        </w:trPr>
        <w:tc>
          <w:tcPr>
            <w:tcW w:w="7360" w:type="dxa"/>
            <w:vAlign w:val="bottom"/>
          </w:tcPr>
          <w:p>
            <w:pPr>
              <w:ind w:left="40"/>
              <w:spacing w:after="0"/>
              <w:rPr>
                <w:sz w:val="20"/>
                <w:szCs w:val="20"/>
                <w:color w:val="auto"/>
              </w:rPr>
            </w:pPr>
            <w:r>
              <w:rPr>
                <w:rFonts w:ascii="Arial" w:cs="Arial" w:eastAsia="Arial" w:hAnsi="Arial"/>
                <w:sz w:val="16"/>
                <w:szCs w:val="16"/>
                <w:color w:val="auto"/>
              </w:rPr>
              <w:t>Kaplan corporate and other</w:t>
            </w:r>
          </w:p>
        </w:tc>
        <w:tc>
          <w:tcPr>
            <w:tcW w:w="260" w:type="dxa"/>
            <w:vAlign w:val="bottom"/>
          </w:tcPr>
          <w:p>
            <w:pPr>
              <w:spacing w:after="0"/>
              <w:rPr>
                <w:sz w:val="23"/>
                <w:szCs w:val="23"/>
                <w:color w:val="auto"/>
              </w:rPr>
            </w:pPr>
          </w:p>
        </w:tc>
        <w:tc>
          <w:tcPr>
            <w:tcW w:w="1040" w:type="dxa"/>
            <w:vAlign w:val="bottom"/>
          </w:tcPr>
          <w:p>
            <w:pPr>
              <w:jc w:val="right"/>
              <w:ind w:right="80"/>
              <w:spacing w:after="0"/>
              <w:rPr>
                <w:sz w:val="20"/>
                <w:szCs w:val="20"/>
                <w:color w:val="auto"/>
              </w:rPr>
            </w:pPr>
            <w:r>
              <w:rPr>
                <w:rFonts w:ascii="Arial" w:cs="Arial" w:eastAsia="Arial" w:hAnsi="Arial"/>
                <w:sz w:val="16"/>
                <w:szCs w:val="16"/>
                <w:b w:val="1"/>
                <w:bCs w:val="1"/>
                <w:color w:val="auto"/>
              </w:rPr>
              <w:t>294</w:t>
            </w:r>
          </w:p>
        </w:tc>
        <w:tc>
          <w:tcPr>
            <w:tcW w:w="340" w:type="dxa"/>
            <w:vAlign w:val="bottom"/>
          </w:tcPr>
          <w:p>
            <w:pPr>
              <w:spacing w:after="0"/>
              <w:rPr>
                <w:sz w:val="23"/>
                <w:szCs w:val="23"/>
                <w:color w:val="auto"/>
              </w:rPr>
            </w:pPr>
          </w:p>
        </w:tc>
        <w:tc>
          <w:tcPr>
            <w:tcW w:w="980" w:type="dxa"/>
            <w:vAlign w:val="bottom"/>
          </w:tcPr>
          <w:p>
            <w:pPr>
              <w:jc w:val="right"/>
              <w:ind w:right="40"/>
              <w:spacing w:after="0"/>
              <w:rPr>
                <w:sz w:val="20"/>
                <w:szCs w:val="20"/>
                <w:color w:val="auto"/>
              </w:rPr>
            </w:pPr>
            <w:r>
              <w:rPr>
                <w:rFonts w:ascii="Arial" w:cs="Arial" w:eastAsia="Arial" w:hAnsi="Arial"/>
                <w:sz w:val="16"/>
                <w:szCs w:val="16"/>
                <w:color w:val="auto"/>
              </w:rPr>
              <w:t>214</w:t>
            </w:r>
          </w:p>
        </w:tc>
        <w:tc>
          <w:tcPr>
            <w:tcW w:w="100" w:type="dxa"/>
            <w:vAlign w:val="bottom"/>
          </w:tcPr>
          <w:p>
            <w:pPr>
              <w:spacing w:after="0"/>
              <w:rPr>
                <w:sz w:val="23"/>
                <w:szCs w:val="23"/>
                <w:color w:val="auto"/>
              </w:rPr>
            </w:pPr>
          </w:p>
        </w:tc>
        <w:tc>
          <w:tcPr>
            <w:tcW w:w="1340" w:type="dxa"/>
            <w:vAlign w:val="bottom"/>
          </w:tcPr>
          <w:p>
            <w:pPr>
              <w:jc w:val="right"/>
              <w:ind w:right="240"/>
              <w:spacing w:after="0"/>
              <w:rPr>
                <w:sz w:val="20"/>
                <w:szCs w:val="20"/>
                <w:color w:val="auto"/>
              </w:rPr>
            </w:pPr>
            <w:r>
              <w:rPr>
                <w:rFonts w:ascii="Arial" w:cs="Arial" w:eastAsia="Arial" w:hAnsi="Arial"/>
                <w:sz w:val="16"/>
                <w:szCs w:val="16"/>
                <w:color w:val="auto"/>
              </w:rPr>
              <w:t>37</w:t>
            </w:r>
          </w:p>
        </w:tc>
        <w:tc>
          <w:tcPr>
            <w:tcW w:w="0" w:type="dxa"/>
            <w:vAlign w:val="bottom"/>
          </w:tcPr>
          <w:p>
            <w:pPr>
              <w:spacing w:after="0"/>
              <w:rPr>
                <w:sz w:val="1"/>
                <w:szCs w:val="1"/>
                <w:color w:val="auto"/>
              </w:rPr>
            </w:pPr>
          </w:p>
        </w:tc>
      </w:tr>
      <w:tr>
        <w:trPr>
          <w:trHeight w:val="283"/>
        </w:trPr>
        <w:tc>
          <w:tcPr>
            <w:tcW w:w="7360" w:type="dxa"/>
            <w:vAlign w:val="bottom"/>
          </w:tcPr>
          <w:p>
            <w:pPr>
              <w:ind w:left="40"/>
              <w:spacing w:after="0"/>
              <w:rPr>
                <w:sz w:val="20"/>
                <w:szCs w:val="20"/>
                <w:color w:val="auto"/>
              </w:rPr>
            </w:pPr>
            <w:r>
              <w:rPr>
                <w:rFonts w:ascii="Arial" w:cs="Arial" w:eastAsia="Arial" w:hAnsi="Arial"/>
                <w:sz w:val="16"/>
                <w:szCs w:val="16"/>
                <w:color w:val="auto"/>
              </w:rPr>
              <w:t>Intersegment elimination</w:t>
            </w:r>
          </w:p>
        </w:tc>
        <w:tc>
          <w:tcPr>
            <w:tcW w:w="26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b w:val="1"/>
                <w:bCs w:val="1"/>
                <w:color w:val="auto"/>
              </w:rPr>
              <w:t>(2,079)</w:t>
            </w:r>
          </w:p>
        </w:tc>
        <w:tc>
          <w:tcPr>
            <w:tcW w:w="34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(1,718)</w:t>
            </w:r>
          </w:p>
        </w:tc>
        <w:tc>
          <w:tcPr>
            <w:tcW w:w="100" w:type="dxa"/>
            <w:vAlign w:val="bottom"/>
            <w:tcBorders>
              <w:bottom w:val="single" w:sz="8" w:color="auto"/>
            </w:tcBorders>
          </w:tcPr>
          <w:p>
            <w:pPr>
              <w:spacing w:after="0"/>
              <w:rPr>
                <w:sz w:val="24"/>
                <w:szCs w:val="24"/>
                <w:color w:val="auto"/>
              </w:rPr>
            </w:pPr>
          </w:p>
        </w:tc>
        <w:tc>
          <w:tcPr>
            <w:tcW w:w="1340" w:type="dxa"/>
            <w:vAlign w:val="bottom"/>
          </w:tcPr>
          <w:p>
            <w:pPr>
              <w:jc w:val="right"/>
              <w:ind w:right="24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64"/>
        </w:trPr>
        <w:tc>
          <w:tcPr>
            <w:tcW w:w="7360" w:type="dxa"/>
            <w:vAlign w:val="bottom"/>
          </w:tcPr>
          <w:p>
            <w:pPr>
              <w:spacing w:after="0"/>
              <w:rPr>
                <w:sz w:val="22"/>
                <w:szCs w:val="22"/>
                <w:color w:val="auto"/>
              </w:rPr>
            </w:pPr>
          </w:p>
        </w:tc>
        <w:tc>
          <w:tcPr>
            <w:tcW w:w="26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b w:val="1"/>
                <w:bCs w:val="1"/>
                <w:color w:val="auto"/>
              </w:rPr>
              <w:t>$</w:t>
            </w:r>
          </w:p>
        </w:tc>
        <w:tc>
          <w:tcPr>
            <w:tcW w:w="1040" w:type="dxa"/>
            <w:vAlign w:val="bottom"/>
            <w:tcBorders>
              <w:bottom w:val="single" w:sz="8" w:color="auto"/>
            </w:tcBorders>
          </w:tcPr>
          <w:p>
            <w:pPr>
              <w:jc w:val="right"/>
              <w:ind w:right="80"/>
              <w:spacing w:after="0"/>
              <w:rPr>
                <w:sz w:val="20"/>
                <w:szCs w:val="20"/>
                <w:color w:val="auto"/>
              </w:rPr>
            </w:pPr>
            <w:r>
              <w:rPr>
                <w:rFonts w:ascii="Arial" w:cs="Arial" w:eastAsia="Arial" w:hAnsi="Arial"/>
                <w:sz w:val="16"/>
                <w:szCs w:val="16"/>
                <w:b w:val="1"/>
                <w:bCs w:val="1"/>
                <w:color w:val="auto"/>
              </w:rPr>
              <w:t>1,516,776</w:t>
            </w:r>
          </w:p>
        </w:tc>
        <w:tc>
          <w:tcPr>
            <w:tcW w:w="34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w:t>
            </w:r>
          </w:p>
        </w:tc>
        <w:tc>
          <w:tcPr>
            <w:tcW w:w="98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color w:val="auto"/>
              </w:rPr>
              <w:t>1,598,461</w:t>
            </w:r>
          </w:p>
        </w:tc>
        <w:tc>
          <w:tcPr>
            <w:tcW w:w="100" w:type="dxa"/>
            <w:vAlign w:val="bottom"/>
            <w:tcBorders>
              <w:bottom w:val="single" w:sz="8" w:color="auto"/>
            </w:tcBorders>
          </w:tcPr>
          <w:p>
            <w:pPr>
              <w:spacing w:after="0"/>
              <w:rPr>
                <w:sz w:val="22"/>
                <w:szCs w:val="22"/>
                <w:color w:val="auto"/>
              </w:rPr>
            </w:pPr>
          </w:p>
        </w:tc>
        <w:tc>
          <w:tcPr>
            <w:tcW w:w="1340" w:type="dxa"/>
            <w:vAlign w:val="bottom"/>
          </w:tcPr>
          <w:p>
            <w:pPr>
              <w:jc w:val="right"/>
              <w:ind w:right="200"/>
              <w:spacing w:after="0"/>
              <w:rPr>
                <w:sz w:val="20"/>
                <w:szCs w:val="20"/>
                <w:color w:val="auto"/>
              </w:rPr>
            </w:pPr>
            <w:r>
              <w:rPr>
                <w:rFonts w:ascii="Arial" w:cs="Arial" w:eastAsia="Arial" w:hAnsi="Arial"/>
                <w:sz w:val="16"/>
                <w:szCs w:val="16"/>
                <w:color w:val="auto"/>
              </w:rPr>
              <w:t>(5)</w:t>
            </w:r>
          </w:p>
        </w:tc>
        <w:tc>
          <w:tcPr>
            <w:tcW w:w="0" w:type="dxa"/>
            <w:vAlign w:val="bottom"/>
          </w:tcPr>
          <w:p>
            <w:pPr>
              <w:spacing w:after="0"/>
              <w:rPr>
                <w:sz w:val="1"/>
                <w:szCs w:val="1"/>
                <w:color w:val="auto"/>
              </w:rPr>
            </w:pPr>
          </w:p>
        </w:tc>
      </w:tr>
      <w:tr>
        <w:trPr>
          <w:trHeight w:val="20"/>
        </w:trPr>
        <w:tc>
          <w:tcPr>
            <w:tcW w:w="7360" w:type="dxa"/>
            <w:vAlign w:val="bottom"/>
            <w:vMerge w:val="restart"/>
          </w:tcPr>
          <w:p>
            <w:pPr>
              <w:ind w:left="40"/>
              <w:spacing w:after="0"/>
              <w:rPr>
                <w:sz w:val="20"/>
                <w:szCs w:val="20"/>
                <w:color w:val="auto"/>
              </w:rPr>
            </w:pPr>
            <w:r>
              <w:rPr>
                <w:rFonts w:ascii="Arial" w:cs="Arial" w:eastAsia="Arial" w:hAnsi="Arial"/>
                <w:sz w:val="16"/>
                <w:szCs w:val="16"/>
                <w:b w:val="1"/>
                <w:bCs w:val="1"/>
                <w:color w:val="auto"/>
              </w:rPr>
              <w:t>Operating Income (Loss)</w:t>
            </w:r>
          </w:p>
        </w:tc>
        <w:tc>
          <w:tcPr>
            <w:tcW w:w="2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7360" w:type="dxa"/>
            <w:vAlign w:val="bottom"/>
            <w:vMerge w:val="continue"/>
          </w:tcPr>
          <w:p>
            <w:pPr>
              <w:spacing w:after="0"/>
              <w:rPr>
                <w:sz w:val="20"/>
                <w:szCs w:val="20"/>
                <w:color w:val="auto"/>
              </w:rPr>
            </w:pPr>
          </w:p>
        </w:tc>
        <w:tc>
          <w:tcPr>
            <w:tcW w:w="26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0"/>
        </w:trPr>
        <w:tc>
          <w:tcPr>
            <w:tcW w:w="7360" w:type="dxa"/>
            <w:vAlign w:val="bottom"/>
          </w:tcPr>
          <w:p>
            <w:pPr>
              <w:ind w:left="40"/>
              <w:spacing w:after="0"/>
              <w:rPr>
                <w:sz w:val="20"/>
                <w:szCs w:val="20"/>
                <w:color w:val="auto"/>
              </w:rPr>
            </w:pPr>
            <w:r>
              <w:rPr>
                <w:rFonts w:ascii="Arial" w:cs="Arial" w:eastAsia="Arial" w:hAnsi="Arial"/>
                <w:sz w:val="16"/>
                <w:szCs w:val="16"/>
                <w:color w:val="auto"/>
              </w:rPr>
              <w:t>Higher education</w:t>
            </w:r>
          </w:p>
        </w:tc>
        <w:tc>
          <w:tcPr>
            <w:tcW w:w="260" w:type="dxa"/>
            <w:vAlign w:val="bottom"/>
          </w:tcPr>
          <w:p>
            <w:pPr>
              <w:jc w:val="right"/>
              <w:ind w:right="59"/>
              <w:spacing w:after="0"/>
              <w:rPr>
                <w:sz w:val="20"/>
                <w:szCs w:val="20"/>
                <w:color w:val="auto"/>
              </w:rPr>
            </w:pPr>
            <w:r>
              <w:rPr>
                <w:rFonts w:ascii="Arial" w:cs="Arial" w:eastAsia="Arial" w:hAnsi="Arial"/>
                <w:sz w:val="16"/>
                <w:szCs w:val="16"/>
                <w:b w:val="1"/>
                <w:bCs w:val="1"/>
                <w:color w:val="auto"/>
              </w:rPr>
              <w:t>$</w:t>
            </w:r>
          </w:p>
        </w:tc>
        <w:tc>
          <w:tcPr>
            <w:tcW w:w="1040" w:type="dxa"/>
            <w:vAlign w:val="bottom"/>
          </w:tcPr>
          <w:p>
            <w:pPr>
              <w:jc w:val="right"/>
              <w:ind w:right="80"/>
              <w:spacing w:after="0"/>
              <w:rPr>
                <w:sz w:val="20"/>
                <w:szCs w:val="20"/>
                <w:color w:val="auto"/>
              </w:rPr>
            </w:pPr>
            <w:r>
              <w:rPr>
                <w:rFonts w:ascii="Arial" w:cs="Arial" w:eastAsia="Arial" w:hAnsi="Arial"/>
                <w:sz w:val="16"/>
                <w:szCs w:val="16"/>
                <w:b w:val="1"/>
                <w:bCs w:val="1"/>
                <w:color w:val="auto"/>
              </w:rPr>
              <w:t>44,277</w:t>
            </w:r>
          </w:p>
        </w:tc>
        <w:tc>
          <w:tcPr>
            <w:tcW w:w="34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980" w:type="dxa"/>
            <w:vAlign w:val="bottom"/>
          </w:tcPr>
          <w:p>
            <w:pPr>
              <w:jc w:val="right"/>
              <w:ind w:right="40"/>
              <w:spacing w:after="0"/>
              <w:rPr>
                <w:sz w:val="20"/>
                <w:szCs w:val="20"/>
                <w:color w:val="auto"/>
              </w:rPr>
            </w:pPr>
            <w:r>
              <w:rPr>
                <w:rFonts w:ascii="Arial" w:cs="Arial" w:eastAsia="Arial" w:hAnsi="Arial"/>
                <w:sz w:val="16"/>
                <w:szCs w:val="16"/>
                <w:color w:val="auto"/>
              </w:rPr>
              <w:t>66,632</w:t>
            </w:r>
          </w:p>
        </w:tc>
        <w:tc>
          <w:tcPr>
            <w:tcW w:w="100" w:type="dxa"/>
            <w:vAlign w:val="bottom"/>
          </w:tcPr>
          <w:p>
            <w:pPr>
              <w:spacing w:after="0"/>
              <w:rPr>
                <w:sz w:val="23"/>
                <w:szCs w:val="23"/>
                <w:color w:val="auto"/>
              </w:rPr>
            </w:pPr>
          </w:p>
        </w:tc>
        <w:tc>
          <w:tcPr>
            <w:tcW w:w="1340" w:type="dxa"/>
            <w:vAlign w:val="bottom"/>
          </w:tcPr>
          <w:p>
            <w:pPr>
              <w:jc w:val="right"/>
              <w:ind w:right="200"/>
              <w:spacing w:after="0"/>
              <w:rPr>
                <w:sz w:val="20"/>
                <w:szCs w:val="20"/>
                <w:color w:val="auto"/>
              </w:rPr>
            </w:pPr>
            <w:r>
              <w:rPr>
                <w:rFonts w:ascii="Arial" w:cs="Arial" w:eastAsia="Arial" w:hAnsi="Arial"/>
                <w:sz w:val="16"/>
                <w:szCs w:val="16"/>
                <w:color w:val="auto"/>
              </w:rPr>
              <w:t>(34)</w:t>
            </w:r>
          </w:p>
        </w:tc>
        <w:tc>
          <w:tcPr>
            <w:tcW w:w="0" w:type="dxa"/>
            <w:vAlign w:val="bottom"/>
          </w:tcPr>
          <w:p>
            <w:pPr>
              <w:spacing w:after="0"/>
              <w:rPr>
                <w:sz w:val="1"/>
                <w:szCs w:val="1"/>
                <w:color w:val="auto"/>
              </w:rPr>
            </w:pPr>
          </w:p>
        </w:tc>
      </w:tr>
      <w:tr>
        <w:trPr>
          <w:trHeight w:val="270"/>
        </w:trPr>
        <w:tc>
          <w:tcPr>
            <w:tcW w:w="7360" w:type="dxa"/>
            <w:vAlign w:val="bottom"/>
          </w:tcPr>
          <w:p>
            <w:pPr>
              <w:ind w:left="40"/>
              <w:spacing w:after="0"/>
              <w:rPr>
                <w:sz w:val="20"/>
                <w:szCs w:val="20"/>
                <w:color w:val="auto"/>
              </w:rPr>
            </w:pPr>
            <w:r>
              <w:rPr>
                <w:rFonts w:ascii="Arial" w:cs="Arial" w:eastAsia="Arial" w:hAnsi="Arial"/>
                <w:sz w:val="16"/>
                <w:szCs w:val="16"/>
                <w:color w:val="auto"/>
              </w:rPr>
              <w:t>Test preparation</w:t>
            </w:r>
          </w:p>
        </w:tc>
        <w:tc>
          <w:tcPr>
            <w:tcW w:w="260" w:type="dxa"/>
            <w:vAlign w:val="bottom"/>
          </w:tcPr>
          <w:p>
            <w:pPr>
              <w:spacing w:after="0"/>
              <w:rPr>
                <w:sz w:val="23"/>
                <w:szCs w:val="23"/>
                <w:color w:val="auto"/>
              </w:rPr>
            </w:pPr>
          </w:p>
        </w:tc>
        <w:tc>
          <w:tcPr>
            <w:tcW w:w="1040" w:type="dxa"/>
            <w:vAlign w:val="bottom"/>
          </w:tcPr>
          <w:p>
            <w:pPr>
              <w:jc w:val="right"/>
              <w:ind w:right="80"/>
              <w:spacing w:after="0"/>
              <w:rPr>
                <w:sz w:val="20"/>
                <w:szCs w:val="20"/>
                <w:color w:val="auto"/>
              </w:rPr>
            </w:pPr>
            <w:r>
              <w:rPr>
                <w:rFonts w:ascii="Arial" w:cs="Arial" w:eastAsia="Arial" w:hAnsi="Arial"/>
                <w:sz w:val="16"/>
                <w:szCs w:val="16"/>
                <w:b w:val="1"/>
                <w:bCs w:val="1"/>
                <w:color w:val="auto"/>
              </w:rPr>
              <w:t>11,507</w:t>
            </w:r>
          </w:p>
        </w:tc>
        <w:tc>
          <w:tcPr>
            <w:tcW w:w="340" w:type="dxa"/>
            <w:vAlign w:val="bottom"/>
          </w:tcPr>
          <w:p>
            <w:pPr>
              <w:spacing w:after="0"/>
              <w:rPr>
                <w:sz w:val="23"/>
                <w:szCs w:val="23"/>
                <w:color w:val="auto"/>
              </w:rPr>
            </w:pPr>
          </w:p>
        </w:tc>
        <w:tc>
          <w:tcPr>
            <w:tcW w:w="980" w:type="dxa"/>
            <w:vAlign w:val="bottom"/>
          </w:tcPr>
          <w:p>
            <w:pPr>
              <w:jc w:val="right"/>
              <w:ind w:right="40"/>
              <w:spacing w:after="0"/>
              <w:rPr>
                <w:sz w:val="20"/>
                <w:szCs w:val="20"/>
                <w:color w:val="auto"/>
              </w:rPr>
            </w:pPr>
            <w:r>
              <w:rPr>
                <w:rFonts w:ascii="Arial" w:cs="Arial" w:eastAsia="Arial" w:hAnsi="Arial"/>
                <w:sz w:val="16"/>
                <w:szCs w:val="16"/>
                <w:color w:val="auto"/>
              </w:rPr>
              <w:t>9,599</w:t>
            </w:r>
          </w:p>
        </w:tc>
        <w:tc>
          <w:tcPr>
            <w:tcW w:w="100" w:type="dxa"/>
            <w:vAlign w:val="bottom"/>
          </w:tcPr>
          <w:p>
            <w:pPr>
              <w:spacing w:after="0"/>
              <w:rPr>
                <w:sz w:val="23"/>
                <w:szCs w:val="23"/>
                <w:color w:val="auto"/>
              </w:rPr>
            </w:pPr>
          </w:p>
        </w:tc>
        <w:tc>
          <w:tcPr>
            <w:tcW w:w="1340" w:type="dxa"/>
            <w:vAlign w:val="bottom"/>
          </w:tcPr>
          <w:p>
            <w:pPr>
              <w:jc w:val="right"/>
              <w:ind w:right="240"/>
              <w:spacing w:after="0"/>
              <w:rPr>
                <w:sz w:val="20"/>
                <w:szCs w:val="20"/>
                <w:color w:val="auto"/>
              </w:rPr>
            </w:pPr>
            <w:r>
              <w:rPr>
                <w:rFonts w:ascii="Arial" w:cs="Arial" w:eastAsia="Arial" w:hAnsi="Arial"/>
                <w:sz w:val="16"/>
                <w:szCs w:val="16"/>
                <w:color w:val="auto"/>
              </w:rPr>
              <w:t>20</w:t>
            </w:r>
          </w:p>
        </w:tc>
        <w:tc>
          <w:tcPr>
            <w:tcW w:w="0" w:type="dxa"/>
            <w:vAlign w:val="bottom"/>
          </w:tcPr>
          <w:p>
            <w:pPr>
              <w:spacing w:after="0"/>
              <w:rPr>
                <w:sz w:val="1"/>
                <w:szCs w:val="1"/>
                <w:color w:val="auto"/>
              </w:rPr>
            </w:pPr>
          </w:p>
        </w:tc>
      </w:tr>
      <w:tr>
        <w:trPr>
          <w:trHeight w:val="270"/>
        </w:trPr>
        <w:tc>
          <w:tcPr>
            <w:tcW w:w="7360" w:type="dxa"/>
            <w:vAlign w:val="bottom"/>
          </w:tcPr>
          <w:p>
            <w:pPr>
              <w:ind w:left="40"/>
              <w:spacing w:after="0"/>
              <w:rPr>
                <w:sz w:val="20"/>
                <w:szCs w:val="20"/>
                <w:color w:val="auto"/>
              </w:rPr>
            </w:pPr>
            <w:r>
              <w:rPr>
                <w:rFonts w:ascii="Arial" w:cs="Arial" w:eastAsia="Arial" w:hAnsi="Arial"/>
                <w:sz w:val="16"/>
                <w:szCs w:val="16"/>
                <w:color w:val="auto"/>
              </w:rPr>
              <w:t>Kaplan international</w:t>
            </w:r>
          </w:p>
        </w:tc>
        <w:tc>
          <w:tcPr>
            <w:tcW w:w="260" w:type="dxa"/>
            <w:vAlign w:val="bottom"/>
          </w:tcPr>
          <w:p>
            <w:pPr>
              <w:spacing w:after="0"/>
              <w:rPr>
                <w:sz w:val="23"/>
                <w:szCs w:val="23"/>
                <w:color w:val="auto"/>
              </w:rPr>
            </w:pPr>
          </w:p>
        </w:tc>
        <w:tc>
          <w:tcPr>
            <w:tcW w:w="1040" w:type="dxa"/>
            <w:vAlign w:val="bottom"/>
          </w:tcPr>
          <w:p>
            <w:pPr>
              <w:jc w:val="right"/>
              <w:ind w:right="80"/>
              <w:spacing w:after="0"/>
              <w:rPr>
                <w:sz w:val="20"/>
                <w:szCs w:val="20"/>
                <w:color w:val="auto"/>
              </w:rPr>
            </w:pPr>
            <w:r>
              <w:rPr>
                <w:rFonts w:ascii="Arial" w:cs="Arial" w:eastAsia="Arial" w:hAnsi="Arial"/>
                <w:sz w:val="16"/>
                <w:szCs w:val="16"/>
                <w:b w:val="1"/>
                <w:bCs w:val="1"/>
                <w:color w:val="auto"/>
              </w:rPr>
              <w:t>50,730</w:t>
            </w:r>
          </w:p>
        </w:tc>
        <w:tc>
          <w:tcPr>
            <w:tcW w:w="340" w:type="dxa"/>
            <w:vAlign w:val="bottom"/>
          </w:tcPr>
          <w:p>
            <w:pPr>
              <w:spacing w:after="0"/>
              <w:rPr>
                <w:sz w:val="23"/>
                <w:szCs w:val="23"/>
                <w:color w:val="auto"/>
              </w:rPr>
            </w:pPr>
          </w:p>
        </w:tc>
        <w:tc>
          <w:tcPr>
            <w:tcW w:w="980" w:type="dxa"/>
            <w:vAlign w:val="bottom"/>
          </w:tcPr>
          <w:p>
            <w:pPr>
              <w:jc w:val="right"/>
              <w:ind w:right="40"/>
              <w:spacing w:after="0"/>
              <w:rPr>
                <w:sz w:val="20"/>
                <w:szCs w:val="20"/>
                <w:color w:val="auto"/>
              </w:rPr>
            </w:pPr>
            <w:r>
              <w:rPr>
                <w:rFonts w:ascii="Arial" w:cs="Arial" w:eastAsia="Arial" w:hAnsi="Arial"/>
                <w:sz w:val="16"/>
                <w:szCs w:val="16"/>
                <w:color w:val="auto"/>
              </w:rPr>
              <w:t>48,398</w:t>
            </w:r>
          </w:p>
        </w:tc>
        <w:tc>
          <w:tcPr>
            <w:tcW w:w="100" w:type="dxa"/>
            <w:vAlign w:val="bottom"/>
          </w:tcPr>
          <w:p>
            <w:pPr>
              <w:spacing w:after="0"/>
              <w:rPr>
                <w:sz w:val="23"/>
                <w:szCs w:val="23"/>
                <w:color w:val="auto"/>
              </w:rPr>
            </w:pPr>
          </w:p>
        </w:tc>
        <w:tc>
          <w:tcPr>
            <w:tcW w:w="1340" w:type="dxa"/>
            <w:vAlign w:val="bottom"/>
          </w:tcPr>
          <w:p>
            <w:pPr>
              <w:jc w:val="right"/>
              <w:ind w:right="240"/>
              <w:spacing w:after="0"/>
              <w:rPr>
                <w:sz w:val="20"/>
                <w:szCs w:val="20"/>
                <w:color w:val="auto"/>
              </w:rPr>
            </w:pPr>
            <w:r>
              <w:rPr>
                <w:rFonts w:ascii="Arial" w:cs="Arial" w:eastAsia="Arial" w:hAnsi="Arial"/>
                <w:sz w:val="16"/>
                <w:szCs w:val="16"/>
                <w:color w:val="auto"/>
              </w:rPr>
              <w:t>5</w:t>
            </w:r>
          </w:p>
        </w:tc>
        <w:tc>
          <w:tcPr>
            <w:tcW w:w="0" w:type="dxa"/>
            <w:vAlign w:val="bottom"/>
          </w:tcPr>
          <w:p>
            <w:pPr>
              <w:spacing w:after="0"/>
              <w:rPr>
                <w:sz w:val="1"/>
                <w:szCs w:val="1"/>
                <w:color w:val="auto"/>
              </w:rPr>
            </w:pPr>
          </w:p>
        </w:tc>
      </w:tr>
      <w:tr>
        <w:trPr>
          <w:trHeight w:val="270"/>
        </w:trPr>
        <w:tc>
          <w:tcPr>
            <w:tcW w:w="7360" w:type="dxa"/>
            <w:vAlign w:val="bottom"/>
          </w:tcPr>
          <w:p>
            <w:pPr>
              <w:ind w:left="40"/>
              <w:spacing w:after="0"/>
              <w:rPr>
                <w:sz w:val="20"/>
                <w:szCs w:val="20"/>
                <w:color w:val="auto"/>
              </w:rPr>
            </w:pPr>
            <w:r>
              <w:rPr>
                <w:rFonts w:ascii="Arial" w:cs="Arial" w:eastAsia="Arial" w:hAnsi="Arial"/>
                <w:sz w:val="16"/>
                <w:szCs w:val="16"/>
                <w:color w:val="auto"/>
              </w:rPr>
              <w:t>Kaplan corporate and other</w:t>
            </w:r>
          </w:p>
        </w:tc>
        <w:tc>
          <w:tcPr>
            <w:tcW w:w="260" w:type="dxa"/>
            <w:vAlign w:val="bottom"/>
          </w:tcPr>
          <w:p>
            <w:pPr>
              <w:spacing w:after="0"/>
              <w:rPr>
                <w:sz w:val="23"/>
                <w:szCs w:val="23"/>
                <w:color w:val="auto"/>
              </w:rPr>
            </w:pPr>
          </w:p>
        </w:tc>
        <w:tc>
          <w:tcPr>
            <w:tcW w:w="1040" w:type="dxa"/>
            <w:vAlign w:val="bottom"/>
          </w:tcPr>
          <w:p>
            <w:pPr>
              <w:jc w:val="right"/>
              <w:ind w:right="20"/>
              <w:spacing w:after="0"/>
              <w:rPr>
                <w:sz w:val="20"/>
                <w:szCs w:val="20"/>
                <w:color w:val="auto"/>
              </w:rPr>
            </w:pPr>
            <w:r>
              <w:rPr>
                <w:rFonts w:ascii="Arial" w:cs="Arial" w:eastAsia="Arial" w:hAnsi="Arial"/>
                <w:sz w:val="16"/>
                <w:szCs w:val="16"/>
                <w:b w:val="1"/>
                <w:bCs w:val="1"/>
                <w:color w:val="auto"/>
              </w:rPr>
              <w:t>(26,326)</w:t>
            </w:r>
          </w:p>
        </w:tc>
        <w:tc>
          <w:tcPr>
            <w:tcW w:w="340" w:type="dxa"/>
            <w:vAlign w:val="bottom"/>
          </w:tcPr>
          <w:p>
            <w:pPr>
              <w:spacing w:after="0"/>
              <w:rPr>
                <w:sz w:val="23"/>
                <w:szCs w:val="23"/>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(23,452)</w:t>
            </w:r>
          </w:p>
        </w:tc>
        <w:tc>
          <w:tcPr>
            <w:tcW w:w="100" w:type="dxa"/>
            <w:vAlign w:val="bottom"/>
          </w:tcPr>
          <w:p>
            <w:pPr>
              <w:spacing w:after="0"/>
              <w:rPr>
                <w:sz w:val="23"/>
                <w:szCs w:val="23"/>
                <w:color w:val="auto"/>
              </w:rPr>
            </w:pPr>
          </w:p>
        </w:tc>
        <w:tc>
          <w:tcPr>
            <w:tcW w:w="1340" w:type="dxa"/>
            <w:vAlign w:val="bottom"/>
          </w:tcPr>
          <w:p>
            <w:pPr>
              <w:jc w:val="right"/>
              <w:ind w:right="200"/>
              <w:spacing w:after="0"/>
              <w:rPr>
                <w:sz w:val="20"/>
                <w:szCs w:val="20"/>
                <w:color w:val="auto"/>
              </w:rPr>
            </w:pPr>
            <w:r>
              <w:rPr>
                <w:rFonts w:ascii="Arial" w:cs="Arial" w:eastAsia="Arial" w:hAnsi="Arial"/>
                <w:sz w:val="16"/>
                <w:szCs w:val="16"/>
                <w:color w:val="auto"/>
              </w:rPr>
              <w:t>(12)</w:t>
            </w:r>
          </w:p>
        </w:tc>
        <w:tc>
          <w:tcPr>
            <w:tcW w:w="0" w:type="dxa"/>
            <w:vAlign w:val="bottom"/>
          </w:tcPr>
          <w:p>
            <w:pPr>
              <w:spacing w:after="0"/>
              <w:rPr>
                <w:sz w:val="1"/>
                <w:szCs w:val="1"/>
                <w:color w:val="auto"/>
              </w:rPr>
            </w:pPr>
          </w:p>
        </w:tc>
      </w:tr>
      <w:tr>
        <w:trPr>
          <w:trHeight w:val="270"/>
        </w:trPr>
        <w:tc>
          <w:tcPr>
            <w:tcW w:w="7360" w:type="dxa"/>
            <w:vAlign w:val="bottom"/>
          </w:tcPr>
          <w:p>
            <w:pPr>
              <w:ind w:left="40"/>
              <w:spacing w:after="0"/>
              <w:rPr>
                <w:sz w:val="20"/>
                <w:szCs w:val="20"/>
                <w:color w:val="auto"/>
              </w:rPr>
            </w:pPr>
            <w:r>
              <w:rPr>
                <w:rFonts w:ascii="Arial" w:cs="Arial" w:eastAsia="Arial" w:hAnsi="Arial"/>
                <w:sz w:val="16"/>
                <w:szCs w:val="16"/>
                <w:color w:val="auto"/>
              </w:rPr>
              <w:t>Amortization of intangible assets</w:t>
            </w:r>
          </w:p>
        </w:tc>
        <w:tc>
          <w:tcPr>
            <w:tcW w:w="260" w:type="dxa"/>
            <w:vAlign w:val="bottom"/>
          </w:tcPr>
          <w:p>
            <w:pPr>
              <w:spacing w:after="0"/>
              <w:rPr>
                <w:sz w:val="23"/>
                <w:szCs w:val="23"/>
                <w:color w:val="auto"/>
              </w:rPr>
            </w:pPr>
          </w:p>
        </w:tc>
        <w:tc>
          <w:tcPr>
            <w:tcW w:w="1040" w:type="dxa"/>
            <w:vAlign w:val="bottom"/>
          </w:tcPr>
          <w:p>
            <w:pPr>
              <w:jc w:val="right"/>
              <w:ind w:right="20"/>
              <w:spacing w:after="0"/>
              <w:rPr>
                <w:sz w:val="20"/>
                <w:szCs w:val="20"/>
                <w:color w:val="auto"/>
              </w:rPr>
            </w:pPr>
            <w:r>
              <w:rPr>
                <w:rFonts w:ascii="Arial" w:cs="Arial" w:eastAsia="Arial" w:hAnsi="Arial"/>
                <w:sz w:val="16"/>
                <w:szCs w:val="16"/>
                <w:b w:val="1"/>
                <w:bCs w:val="1"/>
                <w:color w:val="auto"/>
              </w:rPr>
              <w:t>(5,162)</w:t>
            </w:r>
          </w:p>
        </w:tc>
        <w:tc>
          <w:tcPr>
            <w:tcW w:w="340" w:type="dxa"/>
            <w:vAlign w:val="bottom"/>
          </w:tcPr>
          <w:p>
            <w:pPr>
              <w:spacing w:after="0"/>
              <w:rPr>
                <w:sz w:val="23"/>
                <w:szCs w:val="23"/>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(7,516)</w:t>
            </w:r>
          </w:p>
        </w:tc>
        <w:tc>
          <w:tcPr>
            <w:tcW w:w="100" w:type="dxa"/>
            <w:vAlign w:val="bottom"/>
          </w:tcPr>
          <w:p>
            <w:pPr>
              <w:spacing w:after="0"/>
              <w:rPr>
                <w:sz w:val="23"/>
                <w:szCs w:val="23"/>
                <w:color w:val="auto"/>
              </w:rPr>
            </w:pPr>
          </w:p>
        </w:tc>
        <w:tc>
          <w:tcPr>
            <w:tcW w:w="1340" w:type="dxa"/>
            <w:vAlign w:val="bottom"/>
          </w:tcPr>
          <w:p>
            <w:pPr>
              <w:jc w:val="right"/>
              <w:ind w:right="240"/>
              <w:spacing w:after="0"/>
              <w:rPr>
                <w:sz w:val="20"/>
                <w:szCs w:val="20"/>
                <w:color w:val="auto"/>
              </w:rPr>
            </w:pPr>
            <w:r>
              <w:rPr>
                <w:rFonts w:ascii="Arial" w:cs="Arial" w:eastAsia="Arial" w:hAnsi="Arial"/>
                <w:sz w:val="16"/>
                <w:szCs w:val="16"/>
                <w:color w:val="auto"/>
              </w:rPr>
              <w:t>31</w:t>
            </w:r>
          </w:p>
        </w:tc>
        <w:tc>
          <w:tcPr>
            <w:tcW w:w="0" w:type="dxa"/>
            <w:vAlign w:val="bottom"/>
          </w:tcPr>
          <w:p>
            <w:pPr>
              <w:spacing w:after="0"/>
              <w:rPr>
                <w:sz w:val="1"/>
                <w:szCs w:val="1"/>
                <w:color w:val="auto"/>
              </w:rPr>
            </w:pPr>
          </w:p>
        </w:tc>
      </w:tr>
      <w:tr>
        <w:trPr>
          <w:trHeight w:val="283"/>
        </w:trPr>
        <w:tc>
          <w:tcPr>
            <w:tcW w:w="7360" w:type="dxa"/>
            <w:vAlign w:val="bottom"/>
          </w:tcPr>
          <w:p>
            <w:pPr>
              <w:ind w:left="40"/>
              <w:spacing w:after="0"/>
              <w:rPr>
                <w:sz w:val="20"/>
                <w:szCs w:val="20"/>
                <w:color w:val="auto"/>
              </w:rPr>
            </w:pPr>
            <w:r>
              <w:rPr>
                <w:rFonts w:ascii="Arial" w:cs="Arial" w:eastAsia="Arial" w:hAnsi="Arial"/>
                <w:sz w:val="16"/>
                <w:szCs w:val="16"/>
                <w:color w:val="auto"/>
              </w:rPr>
              <w:t>Intersegment elimination</w:t>
            </w:r>
          </w:p>
        </w:tc>
        <w:tc>
          <w:tcPr>
            <w:tcW w:w="26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jc w:val="right"/>
              <w:ind w:right="80"/>
              <w:spacing w:after="0"/>
              <w:rPr>
                <w:sz w:val="20"/>
                <w:szCs w:val="20"/>
                <w:color w:val="auto"/>
              </w:rPr>
            </w:pPr>
            <w:r>
              <w:rPr>
                <w:rFonts w:ascii="Arial" w:cs="Arial" w:eastAsia="Arial" w:hAnsi="Arial"/>
                <w:sz w:val="16"/>
                <w:szCs w:val="16"/>
                <w:b w:val="1"/>
                <w:bCs w:val="1"/>
                <w:color w:val="auto"/>
              </w:rPr>
              <w:t>143</w:t>
            </w:r>
          </w:p>
        </w:tc>
        <w:tc>
          <w:tcPr>
            <w:tcW w:w="34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(29)</w:t>
            </w:r>
          </w:p>
        </w:tc>
        <w:tc>
          <w:tcPr>
            <w:tcW w:w="100" w:type="dxa"/>
            <w:vAlign w:val="bottom"/>
            <w:tcBorders>
              <w:bottom w:val="single" w:sz="8" w:color="auto"/>
            </w:tcBorders>
          </w:tcPr>
          <w:p>
            <w:pPr>
              <w:spacing w:after="0"/>
              <w:rPr>
                <w:sz w:val="24"/>
                <w:szCs w:val="24"/>
                <w:color w:val="auto"/>
              </w:rPr>
            </w:pPr>
          </w:p>
        </w:tc>
        <w:tc>
          <w:tcPr>
            <w:tcW w:w="1340" w:type="dxa"/>
            <w:vAlign w:val="bottom"/>
          </w:tcPr>
          <w:p>
            <w:pPr>
              <w:jc w:val="right"/>
              <w:ind w:right="24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67"/>
        </w:trPr>
        <w:tc>
          <w:tcPr>
            <w:tcW w:w="7360" w:type="dxa"/>
            <w:vAlign w:val="bottom"/>
          </w:tcPr>
          <w:p>
            <w:pPr>
              <w:spacing w:after="0"/>
              <w:rPr>
                <w:sz w:val="23"/>
                <w:szCs w:val="23"/>
                <w:color w:val="auto"/>
              </w:rPr>
            </w:pPr>
          </w:p>
        </w:tc>
        <w:tc>
          <w:tcPr>
            <w:tcW w:w="26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b w:val="1"/>
                <w:bCs w:val="1"/>
                <w:color w:val="auto"/>
              </w:rPr>
              <w:t>$</w:t>
            </w:r>
          </w:p>
        </w:tc>
        <w:tc>
          <w:tcPr>
            <w:tcW w:w="1040" w:type="dxa"/>
            <w:vAlign w:val="bottom"/>
            <w:tcBorders>
              <w:bottom w:val="single" w:sz="8" w:color="auto"/>
            </w:tcBorders>
          </w:tcPr>
          <w:p>
            <w:pPr>
              <w:jc w:val="right"/>
              <w:ind w:right="80"/>
              <w:spacing w:after="0"/>
              <w:rPr>
                <w:sz w:val="20"/>
                <w:szCs w:val="20"/>
                <w:color w:val="auto"/>
              </w:rPr>
            </w:pPr>
            <w:r>
              <w:rPr>
                <w:rFonts w:ascii="Arial" w:cs="Arial" w:eastAsia="Arial" w:hAnsi="Arial"/>
                <w:sz w:val="16"/>
                <w:szCs w:val="16"/>
                <w:b w:val="1"/>
                <w:bCs w:val="1"/>
                <w:color w:val="auto"/>
              </w:rPr>
              <w:t>75,169</w:t>
            </w:r>
          </w:p>
        </w:tc>
        <w:tc>
          <w:tcPr>
            <w:tcW w:w="34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w:t>
            </w:r>
          </w:p>
        </w:tc>
        <w:tc>
          <w:tcPr>
            <w:tcW w:w="98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color w:val="auto"/>
              </w:rPr>
              <w:t>93,632</w:t>
            </w:r>
          </w:p>
        </w:tc>
        <w:tc>
          <w:tcPr>
            <w:tcW w:w="100" w:type="dxa"/>
            <w:vAlign w:val="bottom"/>
            <w:tcBorders>
              <w:bottom w:val="single" w:sz="8" w:color="auto"/>
            </w:tcBorders>
          </w:tcPr>
          <w:p>
            <w:pPr>
              <w:spacing w:after="0"/>
              <w:rPr>
                <w:sz w:val="23"/>
                <w:szCs w:val="23"/>
                <w:color w:val="auto"/>
              </w:rPr>
            </w:pPr>
          </w:p>
        </w:tc>
        <w:tc>
          <w:tcPr>
            <w:tcW w:w="1340" w:type="dxa"/>
            <w:vAlign w:val="bottom"/>
          </w:tcPr>
          <w:p>
            <w:pPr>
              <w:jc w:val="right"/>
              <w:ind w:right="200"/>
              <w:spacing w:after="0"/>
              <w:rPr>
                <w:sz w:val="20"/>
                <w:szCs w:val="20"/>
                <w:color w:val="auto"/>
              </w:rPr>
            </w:pPr>
            <w:r>
              <w:rPr>
                <w:rFonts w:ascii="Arial" w:cs="Arial" w:eastAsia="Arial" w:hAnsi="Arial"/>
                <w:sz w:val="16"/>
                <w:szCs w:val="16"/>
                <w:color w:val="auto"/>
              </w:rPr>
              <w:t>(20)</w:t>
            </w:r>
          </w:p>
        </w:tc>
        <w:tc>
          <w:tcPr>
            <w:tcW w:w="0" w:type="dxa"/>
            <w:vAlign w:val="bottom"/>
          </w:tcPr>
          <w:p>
            <w:pPr>
              <w:spacing w:after="0"/>
              <w:rPr>
                <w:sz w:val="1"/>
                <w:szCs w:val="1"/>
                <w:color w:val="auto"/>
              </w:rPr>
            </w:pPr>
          </w:p>
        </w:tc>
      </w:tr>
      <w:tr>
        <w:trPr>
          <w:trHeight w:val="20"/>
        </w:trPr>
        <w:tc>
          <w:tcPr>
            <w:tcW w:w="73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8" w:lineRule="exact"/>
        <w:rPr>
          <w:sz w:val="20"/>
          <w:szCs w:val="20"/>
          <w:color w:val="auto"/>
        </w:rPr>
      </w:pPr>
    </w:p>
    <w:p>
      <w:pPr>
        <w:ind w:right="100"/>
        <w:spacing w:after="0" w:line="235" w:lineRule="auto"/>
        <w:rPr>
          <w:sz w:val="20"/>
          <w:szCs w:val="20"/>
          <w:color w:val="auto"/>
        </w:rPr>
      </w:pPr>
      <w:r>
        <w:rPr>
          <w:rFonts w:ascii="Arial" w:cs="Arial" w:eastAsia="Arial" w:hAnsi="Arial"/>
          <w:sz w:val="18"/>
          <w:szCs w:val="18"/>
          <w:color w:val="auto"/>
        </w:rPr>
        <w:t>KHE includes Kaplan’s domestic postsecondary education businesses, made up of fixed-facility colleges and online postsecondary and career programs. KHE also includes the domestic professional training and other continuing education businesses.</w:t>
      </w:r>
    </w:p>
    <w:p>
      <w:pPr>
        <w:spacing w:after="0" w:line="135" w:lineRule="exact"/>
        <w:rPr>
          <w:sz w:val="20"/>
          <w:szCs w:val="20"/>
          <w:color w:val="auto"/>
        </w:rPr>
      </w:pPr>
    </w:p>
    <w:p>
      <w:pPr>
        <w:jc w:val="both"/>
        <w:ind w:right="120"/>
        <w:spacing w:after="0" w:line="229" w:lineRule="auto"/>
        <w:rPr>
          <w:sz w:val="20"/>
          <w:szCs w:val="20"/>
          <w:color w:val="auto"/>
        </w:rPr>
      </w:pPr>
      <w:r>
        <w:rPr>
          <w:rFonts w:ascii="Arial" w:cs="Arial" w:eastAsia="Arial" w:hAnsi="Arial"/>
          <w:sz w:val="18"/>
          <w:szCs w:val="18"/>
          <w:color w:val="auto"/>
        </w:rPr>
        <w:t>In 2017, KHE revenue declined 11% due to declines in average enrollments at Kaplan University. KHE operating income declined in 2017 due primarily to lower enrollment at Kaplan University, partially offset by lower restructuring costs. Restructuring costs at KHE were $1.8 million for 2017, compared to $7.2 million for 2016.</w:t>
      </w:r>
    </w:p>
    <w:p>
      <w:pPr>
        <w:spacing w:after="0" w:line="119" w:lineRule="exact"/>
        <w:rPr>
          <w:sz w:val="20"/>
          <w:szCs w:val="20"/>
          <w:color w:val="auto"/>
        </w:rPr>
      </w:pPr>
    </w:p>
    <w:p>
      <w:pPr>
        <w:spacing w:after="0"/>
        <w:rPr>
          <w:sz w:val="20"/>
          <w:szCs w:val="20"/>
          <w:color w:val="auto"/>
        </w:rPr>
      </w:pPr>
      <w:r>
        <w:rPr>
          <w:rFonts w:ascii="Arial" w:cs="Arial" w:eastAsia="Arial" w:hAnsi="Arial"/>
          <w:sz w:val="18"/>
          <w:szCs w:val="18"/>
          <w:color w:val="auto"/>
        </w:rPr>
        <w:t>New higher education student enrollments at Kaplan University declined 4% in 2017 due to lower demand across Kaplan University programs.</w:t>
      </w:r>
    </w:p>
    <w:p>
      <w:pPr>
        <w:spacing w:after="0"/>
        <w:rPr>
          <w:sz w:val="20"/>
          <w:szCs w:val="20"/>
          <w:color w:val="auto"/>
        </w:rPr>
      </w:pPr>
      <w:r>
        <w:rPr>
          <w:rFonts w:ascii="Arial" w:cs="Arial" w:eastAsia="Arial" w:hAnsi="Arial"/>
          <w:sz w:val="18"/>
          <w:szCs w:val="18"/>
          <w:color w:val="auto"/>
        </w:rPr>
        <w:t>Total students at Kaplan University were 28,718 at December 31, 2017, down 11% from December 31, 2016.</w:t>
      </w:r>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color w:val="auto"/>
        </w:rPr>
        <w:t>Kaplan University higher education student enrollments by certificate and degree programs are as follows:</w:t>
      </w:r>
    </w:p>
    <w:p>
      <w:pPr>
        <w:spacing w:after="0" w:line="199"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9160" w:type="dxa"/>
            <w:vAlign w:val="bottom"/>
          </w:tcPr>
          <w:p>
            <w:pPr>
              <w:spacing w:after="0"/>
              <w:rPr>
                <w:sz w:val="17"/>
                <w:szCs w:val="17"/>
                <w:color w:val="auto"/>
              </w:rPr>
            </w:pPr>
          </w:p>
        </w:tc>
        <w:tc>
          <w:tcPr>
            <w:tcW w:w="2260" w:type="dxa"/>
            <w:vAlign w:val="bottom"/>
            <w:tcBorders>
              <w:bottom w:val="single" w:sz="8" w:color="auto"/>
            </w:tcBorders>
            <w:gridSpan w:val="2"/>
          </w:tcPr>
          <w:p>
            <w:pPr>
              <w:jc w:val="right"/>
              <w:ind w:right="400"/>
              <w:spacing w:after="0"/>
              <w:rPr>
                <w:sz w:val="20"/>
                <w:szCs w:val="20"/>
                <w:color w:val="auto"/>
              </w:rPr>
            </w:pPr>
            <w:r>
              <w:rPr>
                <w:rFonts w:ascii="Arial" w:cs="Arial" w:eastAsia="Arial" w:hAnsi="Arial"/>
                <w:sz w:val="14"/>
                <w:szCs w:val="14"/>
                <w:b w:val="1"/>
                <w:bCs w:val="1"/>
                <w:color w:val="auto"/>
              </w:rPr>
              <w:t>As of December 31</w:t>
            </w:r>
          </w:p>
        </w:tc>
      </w:tr>
      <w:tr>
        <w:trPr>
          <w:trHeight w:val="264"/>
        </w:trPr>
        <w:tc>
          <w:tcPr>
            <w:tcW w:w="9160" w:type="dxa"/>
            <w:vAlign w:val="bottom"/>
            <w:tcBorders>
              <w:bottom w:val="single" w:sz="8" w:color="auto"/>
            </w:tcBorders>
          </w:tcPr>
          <w:p>
            <w:pPr>
              <w:spacing w:after="0"/>
              <w:rPr>
                <w:sz w:val="22"/>
                <w:szCs w:val="22"/>
                <w:color w:val="auto"/>
              </w:rPr>
            </w:pPr>
          </w:p>
        </w:tc>
        <w:tc>
          <w:tcPr>
            <w:tcW w:w="1300" w:type="dxa"/>
            <w:vAlign w:val="bottom"/>
            <w:tcBorders>
              <w:bottom w:val="single" w:sz="8" w:color="auto"/>
            </w:tcBorders>
          </w:tcPr>
          <w:p>
            <w:pPr>
              <w:jc w:val="right"/>
              <w:ind w:right="522"/>
              <w:spacing w:after="0"/>
              <w:rPr>
                <w:sz w:val="20"/>
                <w:szCs w:val="20"/>
                <w:color w:val="auto"/>
              </w:rPr>
            </w:pPr>
            <w:r>
              <w:rPr>
                <w:rFonts w:ascii="Arial" w:cs="Arial" w:eastAsia="Arial" w:hAnsi="Arial"/>
                <w:sz w:val="14"/>
                <w:szCs w:val="14"/>
                <w:b w:val="1"/>
                <w:bCs w:val="1"/>
                <w:color w:val="auto"/>
              </w:rPr>
              <w:t>2017</w:t>
            </w:r>
          </w:p>
        </w:tc>
        <w:tc>
          <w:tcPr>
            <w:tcW w:w="960" w:type="dxa"/>
            <w:vAlign w:val="bottom"/>
            <w:tcBorders>
              <w:bottom w:val="single" w:sz="8" w:color="auto"/>
            </w:tcBorders>
          </w:tcPr>
          <w:p>
            <w:pPr>
              <w:jc w:val="right"/>
              <w:ind w:right="300"/>
              <w:spacing w:after="0"/>
              <w:rPr>
                <w:sz w:val="20"/>
                <w:szCs w:val="20"/>
                <w:color w:val="auto"/>
              </w:rPr>
            </w:pPr>
            <w:r>
              <w:rPr>
                <w:rFonts w:ascii="Arial" w:cs="Arial" w:eastAsia="Arial" w:hAnsi="Arial"/>
                <w:sz w:val="14"/>
                <w:szCs w:val="14"/>
                <w:color w:val="auto"/>
              </w:rPr>
              <w:t>2016</w:t>
            </w:r>
          </w:p>
        </w:tc>
      </w:tr>
      <w:tr>
        <w:trPr>
          <w:trHeight w:val="250"/>
        </w:trPr>
        <w:tc>
          <w:tcPr>
            <w:tcW w:w="9160" w:type="dxa"/>
            <w:vAlign w:val="bottom"/>
          </w:tcPr>
          <w:p>
            <w:pPr>
              <w:ind w:left="40"/>
              <w:spacing w:after="0"/>
              <w:rPr>
                <w:sz w:val="20"/>
                <w:szCs w:val="20"/>
                <w:color w:val="auto"/>
              </w:rPr>
            </w:pPr>
            <w:r>
              <w:rPr>
                <w:rFonts w:ascii="Arial" w:cs="Arial" w:eastAsia="Arial" w:hAnsi="Arial"/>
                <w:sz w:val="16"/>
                <w:szCs w:val="16"/>
                <w:color w:val="auto"/>
              </w:rPr>
              <w:t>Certificate</w:t>
            </w:r>
          </w:p>
        </w:tc>
        <w:tc>
          <w:tcPr>
            <w:tcW w:w="1300" w:type="dxa"/>
            <w:vAlign w:val="bottom"/>
          </w:tcPr>
          <w:p>
            <w:pPr>
              <w:jc w:val="right"/>
              <w:ind w:right="182"/>
              <w:spacing w:after="0"/>
              <w:rPr>
                <w:sz w:val="20"/>
                <w:szCs w:val="20"/>
                <w:color w:val="auto"/>
              </w:rPr>
            </w:pPr>
            <w:r>
              <w:rPr>
                <w:rFonts w:ascii="Arial" w:cs="Arial" w:eastAsia="Arial" w:hAnsi="Arial"/>
                <w:sz w:val="16"/>
                <w:szCs w:val="16"/>
                <w:b w:val="1"/>
                <w:bCs w:val="1"/>
                <w:color w:val="auto"/>
              </w:rPr>
              <w:t>9.5%</w:t>
            </w:r>
          </w:p>
        </w:tc>
        <w:tc>
          <w:tcPr>
            <w:tcW w:w="960" w:type="dxa"/>
            <w:vAlign w:val="bottom"/>
          </w:tcPr>
          <w:p>
            <w:pPr>
              <w:jc w:val="right"/>
              <w:spacing w:after="0"/>
              <w:rPr>
                <w:sz w:val="20"/>
                <w:szCs w:val="20"/>
                <w:color w:val="auto"/>
              </w:rPr>
            </w:pPr>
            <w:r>
              <w:rPr>
                <w:rFonts w:ascii="Arial" w:cs="Arial" w:eastAsia="Arial" w:hAnsi="Arial"/>
                <w:sz w:val="16"/>
                <w:szCs w:val="16"/>
                <w:color w:val="auto"/>
              </w:rPr>
              <w:t>7.7%</w:t>
            </w:r>
          </w:p>
        </w:tc>
      </w:tr>
      <w:tr>
        <w:trPr>
          <w:trHeight w:val="270"/>
        </w:trPr>
        <w:tc>
          <w:tcPr>
            <w:tcW w:w="9160" w:type="dxa"/>
            <w:vAlign w:val="bottom"/>
          </w:tcPr>
          <w:p>
            <w:pPr>
              <w:ind w:left="40"/>
              <w:spacing w:after="0"/>
              <w:rPr>
                <w:sz w:val="20"/>
                <w:szCs w:val="20"/>
                <w:color w:val="auto"/>
              </w:rPr>
            </w:pPr>
            <w:r>
              <w:rPr>
                <w:rFonts w:ascii="Arial" w:cs="Arial" w:eastAsia="Arial" w:hAnsi="Arial"/>
                <w:sz w:val="16"/>
                <w:szCs w:val="16"/>
                <w:color w:val="auto"/>
              </w:rPr>
              <w:t>Associate’s</w:t>
            </w:r>
          </w:p>
        </w:tc>
        <w:tc>
          <w:tcPr>
            <w:tcW w:w="1300" w:type="dxa"/>
            <w:vAlign w:val="bottom"/>
          </w:tcPr>
          <w:p>
            <w:pPr>
              <w:jc w:val="right"/>
              <w:ind w:right="182"/>
              <w:spacing w:after="0"/>
              <w:rPr>
                <w:sz w:val="20"/>
                <w:szCs w:val="20"/>
                <w:color w:val="auto"/>
              </w:rPr>
            </w:pPr>
            <w:r>
              <w:rPr>
                <w:rFonts w:ascii="Arial" w:cs="Arial" w:eastAsia="Arial" w:hAnsi="Arial"/>
                <w:sz w:val="16"/>
                <w:szCs w:val="16"/>
                <w:b w:val="1"/>
                <w:bCs w:val="1"/>
                <w:color w:val="auto"/>
              </w:rPr>
              <w:t>16.5%</w:t>
            </w:r>
          </w:p>
        </w:tc>
        <w:tc>
          <w:tcPr>
            <w:tcW w:w="960" w:type="dxa"/>
            <w:vAlign w:val="bottom"/>
          </w:tcPr>
          <w:p>
            <w:pPr>
              <w:jc w:val="right"/>
              <w:spacing w:after="0"/>
              <w:rPr>
                <w:sz w:val="20"/>
                <w:szCs w:val="20"/>
                <w:color w:val="auto"/>
              </w:rPr>
            </w:pPr>
            <w:r>
              <w:rPr>
                <w:rFonts w:ascii="Arial" w:cs="Arial" w:eastAsia="Arial" w:hAnsi="Arial"/>
                <w:sz w:val="16"/>
                <w:szCs w:val="16"/>
                <w:color w:val="auto"/>
              </w:rPr>
              <w:t>18.1%</w:t>
            </w:r>
          </w:p>
        </w:tc>
      </w:tr>
      <w:tr>
        <w:trPr>
          <w:trHeight w:val="270"/>
        </w:trPr>
        <w:tc>
          <w:tcPr>
            <w:tcW w:w="9160" w:type="dxa"/>
            <w:vAlign w:val="bottom"/>
          </w:tcPr>
          <w:p>
            <w:pPr>
              <w:ind w:left="40"/>
              <w:spacing w:after="0"/>
              <w:rPr>
                <w:sz w:val="20"/>
                <w:szCs w:val="20"/>
                <w:color w:val="auto"/>
              </w:rPr>
            </w:pPr>
            <w:r>
              <w:rPr>
                <w:rFonts w:ascii="Arial" w:cs="Arial" w:eastAsia="Arial" w:hAnsi="Arial"/>
                <w:sz w:val="16"/>
                <w:szCs w:val="16"/>
                <w:color w:val="auto"/>
              </w:rPr>
              <w:t>Bachelor’s</w:t>
            </w:r>
          </w:p>
        </w:tc>
        <w:tc>
          <w:tcPr>
            <w:tcW w:w="1300" w:type="dxa"/>
            <w:vAlign w:val="bottom"/>
          </w:tcPr>
          <w:p>
            <w:pPr>
              <w:jc w:val="right"/>
              <w:ind w:right="182"/>
              <w:spacing w:after="0"/>
              <w:rPr>
                <w:sz w:val="20"/>
                <w:szCs w:val="20"/>
                <w:color w:val="auto"/>
              </w:rPr>
            </w:pPr>
            <w:r>
              <w:rPr>
                <w:rFonts w:ascii="Arial" w:cs="Arial" w:eastAsia="Arial" w:hAnsi="Arial"/>
                <w:sz w:val="16"/>
                <w:szCs w:val="16"/>
                <w:b w:val="1"/>
                <w:bCs w:val="1"/>
                <w:color w:val="auto"/>
              </w:rPr>
              <w:t>50.9%</w:t>
            </w:r>
          </w:p>
        </w:tc>
        <w:tc>
          <w:tcPr>
            <w:tcW w:w="960" w:type="dxa"/>
            <w:vAlign w:val="bottom"/>
          </w:tcPr>
          <w:p>
            <w:pPr>
              <w:jc w:val="right"/>
              <w:spacing w:after="0"/>
              <w:rPr>
                <w:sz w:val="20"/>
                <w:szCs w:val="20"/>
                <w:color w:val="auto"/>
              </w:rPr>
            </w:pPr>
            <w:r>
              <w:rPr>
                <w:rFonts w:ascii="Arial" w:cs="Arial" w:eastAsia="Arial" w:hAnsi="Arial"/>
                <w:sz w:val="16"/>
                <w:szCs w:val="16"/>
                <w:color w:val="auto"/>
              </w:rPr>
              <w:t>50.9%</w:t>
            </w:r>
          </w:p>
        </w:tc>
      </w:tr>
      <w:tr>
        <w:trPr>
          <w:trHeight w:val="283"/>
        </w:trPr>
        <w:tc>
          <w:tcPr>
            <w:tcW w:w="9160" w:type="dxa"/>
            <w:vAlign w:val="bottom"/>
          </w:tcPr>
          <w:p>
            <w:pPr>
              <w:ind w:left="40"/>
              <w:spacing w:after="0"/>
              <w:rPr>
                <w:sz w:val="20"/>
                <w:szCs w:val="20"/>
                <w:color w:val="auto"/>
              </w:rPr>
            </w:pPr>
            <w:r>
              <w:rPr>
                <w:rFonts w:ascii="Arial" w:cs="Arial" w:eastAsia="Arial" w:hAnsi="Arial"/>
                <w:sz w:val="16"/>
                <w:szCs w:val="16"/>
                <w:color w:val="auto"/>
              </w:rPr>
              <w:t>Master’s</w:t>
            </w:r>
          </w:p>
        </w:tc>
        <w:tc>
          <w:tcPr>
            <w:tcW w:w="1300" w:type="dxa"/>
            <w:vAlign w:val="bottom"/>
            <w:tcBorders>
              <w:bottom w:val="single" w:sz="8" w:color="auto"/>
            </w:tcBorders>
          </w:tcPr>
          <w:p>
            <w:pPr>
              <w:jc w:val="right"/>
              <w:ind w:right="182"/>
              <w:spacing w:after="0"/>
              <w:rPr>
                <w:sz w:val="20"/>
                <w:szCs w:val="20"/>
                <w:color w:val="auto"/>
              </w:rPr>
            </w:pPr>
            <w:r>
              <w:rPr>
                <w:rFonts w:ascii="Arial" w:cs="Arial" w:eastAsia="Arial" w:hAnsi="Arial"/>
                <w:sz w:val="16"/>
                <w:szCs w:val="16"/>
                <w:b w:val="1"/>
                <w:bCs w:val="1"/>
                <w:color w:val="auto"/>
              </w:rPr>
              <w:t>23.1%</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23.3%</w:t>
            </w:r>
          </w:p>
        </w:tc>
      </w:tr>
      <w:tr>
        <w:trPr>
          <w:trHeight w:val="264"/>
        </w:trPr>
        <w:tc>
          <w:tcPr>
            <w:tcW w:w="9160" w:type="dxa"/>
            <w:vAlign w:val="bottom"/>
          </w:tcPr>
          <w:p>
            <w:pPr>
              <w:spacing w:after="0"/>
              <w:rPr>
                <w:sz w:val="22"/>
                <w:szCs w:val="22"/>
                <w:color w:val="auto"/>
              </w:rPr>
            </w:pPr>
          </w:p>
        </w:tc>
        <w:tc>
          <w:tcPr>
            <w:tcW w:w="1300" w:type="dxa"/>
            <w:vAlign w:val="bottom"/>
            <w:tcBorders>
              <w:bottom w:val="single" w:sz="8" w:color="auto"/>
            </w:tcBorders>
          </w:tcPr>
          <w:p>
            <w:pPr>
              <w:jc w:val="right"/>
              <w:ind w:right="182"/>
              <w:spacing w:after="0"/>
              <w:rPr>
                <w:sz w:val="20"/>
                <w:szCs w:val="20"/>
                <w:color w:val="auto"/>
              </w:rPr>
            </w:pPr>
            <w:r>
              <w:rPr>
                <w:rFonts w:ascii="Arial" w:cs="Arial" w:eastAsia="Arial" w:hAnsi="Arial"/>
                <w:sz w:val="16"/>
                <w:szCs w:val="16"/>
                <w:b w:val="1"/>
                <w:bCs w:val="1"/>
                <w:color w:val="auto"/>
              </w:rPr>
              <w:t>100.0%</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100.0%</w:t>
            </w:r>
          </w:p>
        </w:tc>
      </w:tr>
      <w:tr>
        <w:trPr>
          <w:trHeight w:val="20"/>
        </w:trPr>
        <w:tc>
          <w:tcPr>
            <w:tcW w:w="9160" w:type="dxa"/>
            <w:vAlign w:val="bottom"/>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ind w:right="20"/>
        <w:spacing w:after="0" w:line="224" w:lineRule="auto"/>
        <w:rPr>
          <w:sz w:val="20"/>
          <w:szCs w:val="20"/>
          <w:color w:val="auto"/>
        </w:rPr>
      </w:pPr>
      <w:r>
        <w:rPr>
          <w:rFonts w:ascii="Arial" w:cs="Arial" w:eastAsia="Arial" w:hAnsi="Arial"/>
          <w:sz w:val="18"/>
          <w:szCs w:val="18"/>
          <w:color w:val="auto"/>
        </w:rPr>
        <w:t>KTP includes Kaplan’s standardized test preparation and new economy skills training programs. KTP revenue declined 5% in 2017. Enrollments, excluding the new economy skills training offerings, were up 4% in 2017; however, unit prices were generally lower. In comparison to 2016, KTP operating results improved in 2017 due primarily to operating cost efficiencies. Operating losses for the new economy skills training programs were $16.7 million and $13.0 million for 2017 and 2016, respectively, including restructuring costs incurred in connection with the closing of Dev Bootcamp that was completed in the second half of 2017. Dev Bootcamp made up the majority of KTP’s new economy skills training programs.</w:t>
      </w:r>
    </w:p>
    <w:p>
      <w:pPr>
        <w:spacing w:after="0" w:line="137" w:lineRule="exact"/>
        <w:rPr>
          <w:sz w:val="20"/>
          <w:szCs w:val="20"/>
          <w:color w:val="auto"/>
        </w:rPr>
      </w:pPr>
    </w:p>
    <w:p>
      <w:pPr>
        <w:ind w:right="140"/>
        <w:spacing w:after="0" w:line="229" w:lineRule="auto"/>
        <w:rPr>
          <w:sz w:val="20"/>
          <w:szCs w:val="20"/>
          <w:color w:val="auto"/>
        </w:rPr>
      </w:pPr>
      <w:r>
        <w:rPr>
          <w:rFonts w:ascii="Arial" w:cs="Arial" w:eastAsia="Arial" w:hAnsi="Arial"/>
          <w:sz w:val="18"/>
          <w:szCs w:val="18"/>
          <w:color w:val="auto"/>
        </w:rPr>
        <w:t>Kaplan International includes English-language programs and postsecondary education and professional training businesses largely outside the United States. Kaplan International revenue increased slightly in 2017, and on a constant currency basis, revenue increased 2%, primarily due to growth in Pathways enrollments. Kaplan</w:t>
      </w:r>
    </w:p>
    <w:p>
      <w:pPr>
        <w:sectPr>
          <w:pgSz w:w="11900" w:h="16838" w:orient="portrait"/>
          <w:cols w:equalWidth="0" w:num="1">
            <w:col w:w="11420"/>
          </w:cols>
          <w:pgMar w:left="240" w:top="746" w:right="239" w:bottom="948" w:gutter="0" w:footer="0" w:header="0"/>
        </w:sectPr>
      </w:pPr>
    </w:p>
    <w:p>
      <w:pPr>
        <w:spacing w:after="0" w:line="200" w:lineRule="exact"/>
        <w:rPr>
          <w:sz w:val="20"/>
          <w:szCs w:val="20"/>
          <w:color w:val="auto"/>
        </w:rPr>
      </w:pPr>
    </w:p>
    <w:p>
      <w:pPr>
        <w:spacing w:after="0" w:line="301"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50</w:t>
      </w:r>
    </w:p>
    <w:p>
      <w:pPr>
        <w:sectPr>
          <w:pgSz w:w="11900" w:h="16838" w:orient="portrait"/>
          <w:cols w:equalWidth="0" w:num="1">
            <w:col w:w="11420"/>
          </w:cols>
          <w:pgMar w:left="240" w:top="746" w:right="239" w:bottom="948" w:gutter="0" w:footer="0" w:header="0"/>
          <w:type w:val="continuous"/>
        </w:sectPr>
      </w:pPr>
    </w:p>
    <w:bookmarkStart w:id="52" w:name="page53"/>
    <w:bookmarkEnd w:id="52"/>
    <w:p>
      <w:pPr>
        <w:ind w:right="680"/>
        <w:spacing w:after="0" w:line="235" w:lineRule="auto"/>
        <w:rPr>
          <w:sz w:val="20"/>
          <w:szCs w:val="20"/>
          <w:color w:val="auto"/>
        </w:rPr>
      </w:pPr>
      <w:r>
        <w:rPr>
          <w:rFonts w:ascii="Arial" w:cs="Arial" w:eastAsia="Arial" w:hAnsi="Arial"/>
          <w:sz w:val="18"/>
          <w:szCs w:val="18"/>
          <w:color w:val="auto"/>
        </w:rPr>
        <w:t>International operating income increased 5% in 2017, due largely to improved Pathways program results, partially offset by a decline in Singapore. Restructuring costs at Kaplan International totaled $3.8 million and $4.7 million in 2017 and 2016, respectively.</w:t>
      </w:r>
    </w:p>
    <w:p>
      <w:pPr>
        <w:spacing w:after="0" w:line="135" w:lineRule="exact"/>
        <w:rPr>
          <w:sz w:val="20"/>
          <w:szCs w:val="20"/>
          <w:color w:val="auto"/>
        </w:rPr>
      </w:pPr>
    </w:p>
    <w:p>
      <w:pPr>
        <w:ind w:right="400"/>
        <w:spacing w:after="0" w:line="235" w:lineRule="auto"/>
        <w:rPr>
          <w:sz w:val="20"/>
          <w:szCs w:val="20"/>
          <w:color w:val="auto"/>
        </w:rPr>
      </w:pPr>
      <w:r>
        <w:rPr>
          <w:rFonts w:ascii="Arial" w:cs="Arial" w:eastAsia="Arial" w:hAnsi="Arial"/>
          <w:sz w:val="18"/>
          <w:szCs w:val="18"/>
          <w:color w:val="auto"/>
        </w:rPr>
        <w:t>Kaplan corporate and other represents unallocated expenses of Kaplan, Inc.’s corporate office, other minor businesses and certain shared activities.</w:t>
      </w:r>
    </w:p>
    <w:p>
      <w:pPr>
        <w:spacing w:after="0" w:line="113" w:lineRule="exact"/>
        <w:rPr>
          <w:sz w:val="20"/>
          <w:szCs w:val="20"/>
          <w:color w:val="auto"/>
        </w:rPr>
      </w:pPr>
    </w:p>
    <w:p>
      <w:pPr>
        <w:spacing w:after="0" w:line="233" w:lineRule="auto"/>
        <w:rPr>
          <w:sz w:val="20"/>
          <w:szCs w:val="20"/>
          <w:color w:val="auto"/>
        </w:rPr>
      </w:pPr>
      <w:r>
        <w:rPr>
          <w:rFonts w:ascii="Arial" w:cs="Arial" w:eastAsia="Arial" w:hAnsi="Arial"/>
          <w:sz w:val="18"/>
          <w:szCs w:val="18"/>
          <w:b w:val="1"/>
          <w:bCs w:val="1"/>
          <w:color w:val="auto"/>
        </w:rPr>
        <w:t xml:space="preserve">Television Broadcasting Division. </w:t>
      </w:r>
      <w:r>
        <w:rPr>
          <w:rFonts w:ascii="Arial" w:cs="Arial" w:eastAsia="Arial" w:hAnsi="Arial"/>
          <w:sz w:val="18"/>
          <w:szCs w:val="18"/>
          <w:color w:val="auto"/>
        </w:rPr>
        <w:t>On January 17, 2017, the Company closed on its agreement with Nexstar Broadcasting Group, Inc. and</w:t>
      </w:r>
      <w:r>
        <w:rPr>
          <w:rFonts w:ascii="Arial" w:cs="Arial" w:eastAsia="Arial" w:hAnsi="Arial"/>
          <w:sz w:val="18"/>
          <w:szCs w:val="18"/>
          <w:b w:val="1"/>
          <w:bCs w:val="1"/>
          <w:color w:val="auto"/>
        </w:rPr>
        <w:t xml:space="preserve"> </w:t>
      </w:r>
      <w:r>
        <w:rPr>
          <w:rFonts w:ascii="Arial" w:cs="Arial" w:eastAsia="Arial" w:hAnsi="Arial"/>
          <w:sz w:val="18"/>
          <w:szCs w:val="18"/>
          <w:color w:val="auto"/>
        </w:rPr>
        <w:t>Media General, Inc. to acquire WCWJ, a CW affiliate television station in Jacksonville, FL, and WSLS, an NBC affiliate television station in Roanoke, VA, for $60 million in cash and the assumption of certain pension obligations. The Company continues to operate both stations under their current network affiliations.</w:t>
      </w:r>
    </w:p>
    <w:p>
      <w:pPr>
        <w:spacing w:after="0" w:line="137" w:lineRule="exact"/>
        <w:rPr>
          <w:sz w:val="20"/>
          <w:szCs w:val="20"/>
          <w:color w:val="auto"/>
        </w:rPr>
      </w:pPr>
    </w:p>
    <w:p>
      <w:pPr>
        <w:ind w:right="180"/>
        <w:spacing w:after="0" w:line="223" w:lineRule="auto"/>
        <w:rPr>
          <w:sz w:val="20"/>
          <w:szCs w:val="20"/>
          <w:color w:val="auto"/>
        </w:rPr>
      </w:pPr>
      <w:r>
        <w:rPr>
          <w:rFonts w:ascii="Arial" w:cs="Arial" w:eastAsia="Arial" w:hAnsi="Arial"/>
          <w:sz w:val="18"/>
          <w:szCs w:val="18"/>
          <w:color w:val="auto"/>
        </w:rPr>
        <w:t>Revenue at the television broadcasting division increased slightly to $409.9 million in 2017, from $409.7 million in 2016. Excluding revenue from the two newly acquired stations, revenue declined 6% due to a $28.7 million decrease in political advertising revenue, $13.1 million in 2016 incremental summer Olympics-related advertising revenue at the Company’s NBC affiliates, lower network revenue and the adverse impact from hurricanes Harvey and Irma in the third quarter of 2017, partially offset by $20.7 million in increased retransmission revenues. As previously disclosed, the Company’s NBC affiliates in Houston and Detroit are operating under a new contract with NBC effective January 1, 2017 that has resulted in a significant increase in network fees in 2017, compared to 2016. Operating income for 2017 was down 32% to $137.2 million, from $200.5 million in 2016 due to lower revenues, the significantly higher network fees and increased amortization of intangibles expense.</w:t>
      </w:r>
    </w:p>
    <w:p>
      <w:pPr>
        <w:spacing w:after="0" w:line="136" w:lineRule="exact"/>
        <w:rPr>
          <w:sz w:val="20"/>
          <w:szCs w:val="20"/>
          <w:color w:val="auto"/>
        </w:rPr>
      </w:pPr>
    </w:p>
    <w:p>
      <w:pPr>
        <w:spacing w:after="0"/>
        <w:rPr>
          <w:sz w:val="20"/>
          <w:szCs w:val="20"/>
          <w:color w:val="auto"/>
        </w:rPr>
      </w:pPr>
      <w:r>
        <w:rPr>
          <w:rFonts w:ascii="Arial" w:cs="Arial" w:eastAsia="Arial" w:hAnsi="Arial"/>
          <w:sz w:val="18"/>
          <w:szCs w:val="18"/>
          <w:color w:val="auto"/>
        </w:rPr>
        <w:t>Operating margin at the television broadcasting division was 33% in 2017 and 49% in 2016.</w:t>
      </w:r>
    </w:p>
    <w:p>
      <w:pPr>
        <w:spacing w:after="0" w:line="144" w:lineRule="exact"/>
        <w:rPr>
          <w:sz w:val="20"/>
          <w:szCs w:val="20"/>
          <w:color w:val="auto"/>
        </w:rPr>
      </w:pPr>
    </w:p>
    <w:p>
      <w:pPr>
        <w:ind w:right="40"/>
        <w:spacing w:after="0" w:line="227" w:lineRule="auto"/>
        <w:rPr>
          <w:sz w:val="20"/>
          <w:szCs w:val="20"/>
          <w:color w:val="auto"/>
        </w:rPr>
      </w:pPr>
      <w:r>
        <w:rPr>
          <w:rFonts w:ascii="Arial" w:cs="Arial" w:eastAsia="Arial" w:hAnsi="Arial"/>
          <w:sz w:val="18"/>
          <w:szCs w:val="18"/>
          <w:color w:val="auto"/>
        </w:rPr>
        <w:t>The Company’s television station ratings remained strong across our markets. On average in the November 2017 ratings period, KPRC in Houston, WDIV in Detroit, KSAT in San Antonio and WJXT in Jacksonville ranked number one in the key 6am, 6pm and late newscasts among target demographic viewers age 25 to 54; WKMG in Orlando ranked number two and WSLS in Roanoke ranked third in key newscasts. WCWJ in Jacksonville demonstrated success with its syndicated programming in daytime and early fringe, ranking number two.</w:t>
      </w:r>
    </w:p>
    <w:p>
      <w:pPr>
        <w:spacing w:after="0" w:line="200" w:lineRule="exact"/>
        <w:rPr>
          <w:sz w:val="20"/>
          <w:szCs w:val="20"/>
          <w:color w:val="auto"/>
        </w:rPr>
      </w:pPr>
    </w:p>
    <w:p>
      <w:pPr>
        <w:spacing w:after="0" w:line="30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51</w:t>
      </w:r>
    </w:p>
    <w:p>
      <w:pPr>
        <w:sectPr>
          <w:pgSz w:w="11900" w:h="16838" w:orient="portrait"/>
          <w:cols w:equalWidth="0" w:num="1">
            <w:col w:w="11400"/>
          </w:cols>
          <w:pgMar w:left="240" w:top="746" w:right="259" w:bottom="1440" w:gutter="0" w:footer="0" w:header="0"/>
        </w:sectPr>
      </w:pPr>
    </w:p>
    <w:bookmarkStart w:id="53" w:name="page54"/>
    <w:bookmarkEnd w:id="53"/>
    <w:p>
      <w:pPr>
        <w:spacing w:after="0"/>
        <w:rPr>
          <w:sz w:val="20"/>
          <w:szCs w:val="20"/>
          <w:color w:val="auto"/>
        </w:rPr>
      </w:pPr>
      <w:r>
        <w:rPr>
          <w:rFonts w:ascii="Arial" w:cs="Arial" w:eastAsia="Arial" w:hAnsi="Arial"/>
          <w:sz w:val="18"/>
          <w:szCs w:val="18"/>
          <w:b w:val="1"/>
          <w:bCs w:val="1"/>
          <w:color w:val="auto"/>
        </w:rPr>
        <w:t xml:space="preserve">Other Businesses. </w:t>
      </w:r>
      <w:r>
        <w:rPr>
          <w:rFonts w:ascii="Arial" w:cs="Arial" w:eastAsia="Arial" w:hAnsi="Arial"/>
          <w:sz w:val="18"/>
          <w:szCs w:val="18"/>
          <w:color w:val="auto"/>
        </w:rPr>
        <w:t>A summary of Other Businesses’ operating results for 2017 compared to 2016 is as follows: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812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2160" w:type="dxa"/>
            <w:vAlign w:val="bottom"/>
            <w:tcBorders>
              <w:bottom w:val="single" w:sz="8" w:color="auto"/>
            </w:tcBorders>
            <w:gridSpan w:val="3"/>
          </w:tcPr>
          <w:p>
            <w:pPr>
              <w:jc w:val="right"/>
              <w:ind w:right="239"/>
              <w:spacing w:after="0"/>
              <w:rPr>
                <w:sz w:val="20"/>
                <w:szCs w:val="20"/>
                <w:color w:val="auto"/>
              </w:rPr>
            </w:pPr>
            <w:r>
              <w:rPr>
                <w:rFonts w:ascii="Arial" w:cs="Arial" w:eastAsia="Arial" w:hAnsi="Arial"/>
                <w:sz w:val="14"/>
                <w:szCs w:val="14"/>
                <w:b w:val="1"/>
                <w:bCs w:val="1"/>
                <w:color w:val="auto"/>
              </w:rPr>
              <w:t>Year Ended December 31</w:t>
            </w:r>
          </w:p>
        </w:tc>
        <w:tc>
          <w:tcPr>
            <w:tcW w:w="900" w:type="dxa"/>
            <w:vAlign w:val="bottom"/>
          </w:tcPr>
          <w:p>
            <w:pPr>
              <w:jc w:val="right"/>
              <w:ind w:right="240"/>
              <w:spacing w:after="0"/>
              <w:rPr>
                <w:sz w:val="20"/>
                <w:szCs w:val="20"/>
                <w:color w:val="auto"/>
              </w:rPr>
            </w:pPr>
            <w:r>
              <w:rPr>
                <w:rFonts w:ascii="Arial" w:cs="Arial" w:eastAsia="Arial" w:hAnsi="Arial"/>
                <w:sz w:val="14"/>
                <w:szCs w:val="14"/>
                <w:color w:val="auto"/>
              </w:rPr>
              <w:t>%</w:t>
            </w:r>
          </w:p>
        </w:tc>
      </w:tr>
      <w:tr>
        <w:trPr>
          <w:trHeight w:val="264"/>
        </w:trPr>
        <w:tc>
          <w:tcPr>
            <w:tcW w:w="812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(in thousands)</w:t>
            </w:r>
          </w:p>
        </w:tc>
        <w:tc>
          <w:tcPr>
            <w:tcW w:w="24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380"/>
              <w:spacing w:after="0"/>
              <w:rPr>
                <w:sz w:val="20"/>
                <w:szCs w:val="20"/>
                <w:color w:val="auto"/>
              </w:rPr>
            </w:pPr>
            <w:r>
              <w:rPr>
                <w:rFonts w:ascii="Arial" w:cs="Arial" w:eastAsia="Arial" w:hAnsi="Arial"/>
                <w:sz w:val="14"/>
                <w:szCs w:val="14"/>
                <w:b w:val="1"/>
                <w:bCs w:val="1"/>
                <w:color w:val="auto"/>
              </w:rPr>
              <w:t>2017</w:t>
            </w:r>
          </w:p>
        </w:tc>
        <w:tc>
          <w:tcPr>
            <w:tcW w:w="34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jc w:val="right"/>
              <w:ind w:right="319"/>
              <w:spacing w:after="0"/>
              <w:rPr>
                <w:sz w:val="20"/>
                <w:szCs w:val="20"/>
                <w:color w:val="auto"/>
              </w:rPr>
            </w:pPr>
            <w:r>
              <w:rPr>
                <w:rFonts w:ascii="Arial" w:cs="Arial" w:eastAsia="Arial" w:hAnsi="Arial"/>
                <w:sz w:val="14"/>
                <w:szCs w:val="14"/>
                <w:color w:val="auto"/>
              </w:rPr>
              <w:t>2016</w:t>
            </w:r>
          </w:p>
        </w:tc>
        <w:tc>
          <w:tcPr>
            <w:tcW w:w="900" w:type="dxa"/>
            <w:vAlign w:val="bottom"/>
            <w:tcBorders>
              <w:bottom w:val="single" w:sz="8" w:color="auto"/>
            </w:tcBorders>
          </w:tcPr>
          <w:p>
            <w:pPr>
              <w:jc w:val="right"/>
              <w:ind w:right="60"/>
              <w:spacing w:after="0"/>
              <w:rPr>
                <w:sz w:val="20"/>
                <w:szCs w:val="20"/>
                <w:color w:val="auto"/>
              </w:rPr>
            </w:pPr>
            <w:r>
              <w:rPr>
                <w:rFonts w:ascii="Arial" w:cs="Arial" w:eastAsia="Arial" w:hAnsi="Arial"/>
                <w:sz w:val="14"/>
                <w:szCs w:val="14"/>
                <w:color w:val="auto"/>
              </w:rPr>
              <w:t>Change</w:t>
            </w:r>
          </w:p>
        </w:tc>
      </w:tr>
      <w:tr>
        <w:trPr>
          <w:trHeight w:val="250"/>
        </w:trPr>
        <w:tc>
          <w:tcPr>
            <w:tcW w:w="8120" w:type="dxa"/>
            <w:vAlign w:val="bottom"/>
          </w:tcPr>
          <w:p>
            <w:pPr>
              <w:ind w:left="40"/>
              <w:spacing w:after="0"/>
              <w:rPr>
                <w:sz w:val="20"/>
                <w:szCs w:val="20"/>
                <w:color w:val="auto"/>
              </w:rPr>
            </w:pPr>
            <w:r>
              <w:rPr>
                <w:rFonts w:ascii="Arial" w:cs="Arial" w:eastAsia="Arial" w:hAnsi="Arial"/>
                <w:sz w:val="16"/>
                <w:szCs w:val="16"/>
                <w:b w:val="1"/>
                <w:bCs w:val="1"/>
                <w:color w:val="auto"/>
              </w:rPr>
              <w:t>Operating Revenues</w:t>
            </w:r>
          </w:p>
        </w:tc>
        <w:tc>
          <w:tcPr>
            <w:tcW w:w="24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900" w:type="dxa"/>
            <w:vAlign w:val="bottom"/>
          </w:tcPr>
          <w:p>
            <w:pPr>
              <w:spacing w:after="0"/>
              <w:rPr>
                <w:sz w:val="21"/>
                <w:szCs w:val="21"/>
                <w:color w:val="auto"/>
              </w:rPr>
            </w:pPr>
          </w:p>
        </w:tc>
      </w:tr>
      <w:tr>
        <w:trPr>
          <w:trHeight w:val="270"/>
        </w:trPr>
        <w:tc>
          <w:tcPr>
            <w:tcW w:w="8120" w:type="dxa"/>
            <w:vAlign w:val="bottom"/>
          </w:tcPr>
          <w:p>
            <w:pPr>
              <w:ind w:left="180"/>
              <w:spacing w:after="0"/>
              <w:rPr>
                <w:sz w:val="20"/>
                <w:szCs w:val="20"/>
                <w:color w:val="auto"/>
              </w:rPr>
            </w:pPr>
            <w:r>
              <w:rPr>
                <w:rFonts w:ascii="Arial" w:cs="Arial" w:eastAsia="Arial" w:hAnsi="Arial"/>
                <w:sz w:val="16"/>
                <w:szCs w:val="16"/>
                <w:color w:val="auto"/>
              </w:rPr>
              <w:t>Manufacturing</w:t>
            </w:r>
          </w:p>
        </w:tc>
        <w:tc>
          <w:tcPr>
            <w:tcW w:w="240" w:type="dxa"/>
            <w:vAlign w:val="bottom"/>
          </w:tcPr>
          <w:p>
            <w:pPr>
              <w:jc w:val="right"/>
              <w:ind w:right="39"/>
              <w:spacing w:after="0"/>
              <w:rPr>
                <w:sz w:val="20"/>
                <w:szCs w:val="20"/>
                <w:color w:val="auto"/>
              </w:rPr>
            </w:pPr>
            <w:r>
              <w:rPr>
                <w:rFonts w:ascii="Arial" w:cs="Arial" w:eastAsia="Arial" w:hAnsi="Arial"/>
                <w:sz w:val="16"/>
                <w:szCs w:val="16"/>
                <w:b w:val="1"/>
                <w:bCs w:val="1"/>
                <w:color w:val="auto"/>
              </w:rPr>
              <w:t>$</w:t>
            </w:r>
          </w:p>
        </w:tc>
        <w:tc>
          <w:tcPr>
            <w:tcW w:w="960" w:type="dxa"/>
            <w:vAlign w:val="bottom"/>
          </w:tcPr>
          <w:p>
            <w:pPr>
              <w:jc w:val="right"/>
              <w:ind w:right="60"/>
              <w:spacing w:after="0"/>
              <w:rPr>
                <w:sz w:val="20"/>
                <w:szCs w:val="20"/>
                <w:color w:val="auto"/>
              </w:rPr>
            </w:pPr>
            <w:r>
              <w:rPr>
                <w:rFonts w:ascii="Arial" w:cs="Arial" w:eastAsia="Arial" w:hAnsi="Arial"/>
                <w:sz w:val="16"/>
                <w:szCs w:val="16"/>
                <w:b w:val="1"/>
                <w:bCs w:val="1"/>
                <w:color w:val="auto"/>
              </w:rPr>
              <w:t>414,193</w:t>
            </w:r>
          </w:p>
        </w:tc>
        <w:tc>
          <w:tcPr>
            <w:tcW w:w="34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860" w:type="dxa"/>
            <w:vAlign w:val="bottom"/>
          </w:tcPr>
          <w:p>
            <w:pPr>
              <w:jc w:val="right"/>
              <w:ind w:right="19"/>
              <w:spacing w:after="0"/>
              <w:rPr>
                <w:sz w:val="20"/>
                <w:szCs w:val="20"/>
                <w:color w:val="auto"/>
              </w:rPr>
            </w:pPr>
            <w:r>
              <w:rPr>
                <w:rFonts w:ascii="Arial" w:cs="Arial" w:eastAsia="Arial" w:hAnsi="Arial"/>
                <w:sz w:val="16"/>
                <w:szCs w:val="16"/>
                <w:color w:val="auto"/>
              </w:rPr>
              <w:t>241,604</w:t>
            </w:r>
          </w:p>
        </w:tc>
        <w:tc>
          <w:tcPr>
            <w:tcW w:w="900" w:type="dxa"/>
            <w:vAlign w:val="bottom"/>
          </w:tcPr>
          <w:p>
            <w:pPr>
              <w:jc w:val="right"/>
              <w:ind w:right="20"/>
              <w:spacing w:after="0"/>
              <w:rPr>
                <w:sz w:val="20"/>
                <w:szCs w:val="20"/>
                <w:color w:val="auto"/>
              </w:rPr>
            </w:pPr>
            <w:r>
              <w:rPr>
                <w:rFonts w:ascii="Arial" w:cs="Arial" w:eastAsia="Arial" w:hAnsi="Arial"/>
                <w:sz w:val="16"/>
                <w:szCs w:val="16"/>
                <w:color w:val="auto"/>
              </w:rPr>
              <w:t>71</w:t>
            </w:r>
          </w:p>
        </w:tc>
      </w:tr>
      <w:tr>
        <w:trPr>
          <w:trHeight w:val="270"/>
        </w:trPr>
        <w:tc>
          <w:tcPr>
            <w:tcW w:w="8120" w:type="dxa"/>
            <w:vAlign w:val="bottom"/>
          </w:tcPr>
          <w:p>
            <w:pPr>
              <w:ind w:left="180"/>
              <w:spacing w:after="0"/>
              <w:rPr>
                <w:sz w:val="20"/>
                <w:szCs w:val="20"/>
                <w:color w:val="auto"/>
              </w:rPr>
            </w:pPr>
            <w:r>
              <w:rPr>
                <w:rFonts w:ascii="Arial" w:cs="Arial" w:eastAsia="Arial" w:hAnsi="Arial"/>
                <w:sz w:val="16"/>
                <w:szCs w:val="16"/>
                <w:color w:val="auto"/>
              </w:rPr>
              <w:t>Healthcare</w:t>
            </w:r>
          </w:p>
        </w:tc>
        <w:tc>
          <w:tcPr>
            <w:tcW w:w="240" w:type="dxa"/>
            <w:vAlign w:val="bottom"/>
          </w:tcPr>
          <w:p>
            <w:pPr>
              <w:spacing w:after="0"/>
              <w:rPr>
                <w:sz w:val="23"/>
                <w:szCs w:val="23"/>
                <w:color w:val="auto"/>
              </w:rPr>
            </w:pPr>
          </w:p>
        </w:tc>
        <w:tc>
          <w:tcPr>
            <w:tcW w:w="960" w:type="dxa"/>
            <w:vAlign w:val="bottom"/>
          </w:tcPr>
          <w:p>
            <w:pPr>
              <w:jc w:val="right"/>
              <w:ind w:right="60"/>
              <w:spacing w:after="0"/>
              <w:rPr>
                <w:sz w:val="20"/>
                <w:szCs w:val="20"/>
                <w:color w:val="auto"/>
              </w:rPr>
            </w:pPr>
            <w:r>
              <w:rPr>
                <w:rFonts w:ascii="Arial" w:cs="Arial" w:eastAsia="Arial" w:hAnsi="Arial"/>
                <w:sz w:val="16"/>
                <w:szCs w:val="16"/>
                <w:b w:val="1"/>
                <w:bCs w:val="1"/>
                <w:color w:val="auto"/>
              </w:rPr>
              <w:t>154,202</w:t>
            </w:r>
          </w:p>
        </w:tc>
        <w:tc>
          <w:tcPr>
            <w:tcW w:w="340" w:type="dxa"/>
            <w:vAlign w:val="bottom"/>
          </w:tcPr>
          <w:p>
            <w:pPr>
              <w:spacing w:after="0"/>
              <w:rPr>
                <w:sz w:val="23"/>
                <w:szCs w:val="23"/>
                <w:color w:val="auto"/>
              </w:rPr>
            </w:pPr>
          </w:p>
        </w:tc>
        <w:tc>
          <w:tcPr>
            <w:tcW w:w="860" w:type="dxa"/>
            <w:vAlign w:val="bottom"/>
          </w:tcPr>
          <w:p>
            <w:pPr>
              <w:jc w:val="right"/>
              <w:ind w:right="19"/>
              <w:spacing w:after="0"/>
              <w:rPr>
                <w:sz w:val="20"/>
                <w:szCs w:val="20"/>
                <w:color w:val="auto"/>
              </w:rPr>
            </w:pPr>
            <w:r>
              <w:rPr>
                <w:rFonts w:ascii="Arial" w:cs="Arial" w:eastAsia="Arial" w:hAnsi="Arial"/>
                <w:sz w:val="16"/>
                <w:szCs w:val="16"/>
                <w:color w:val="auto"/>
              </w:rPr>
              <w:t>146,962</w:t>
            </w:r>
          </w:p>
        </w:tc>
        <w:tc>
          <w:tcPr>
            <w:tcW w:w="900" w:type="dxa"/>
            <w:vAlign w:val="bottom"/>
          </w:tcPr>
          <w:p>
            <w:pPr>
              <w:jc w:val="right"/>
              <w:ind w:right="20"/>
              <w:spacing w:after="0"/>
              <w:rPr>
                <w:sz w:val="20"/>
                <w:szCs w:val="20"/>
                <w:color w:val="auto"/>
              </w:rPr>
            </w:pPr>
            <w:r>
              <w:rPr>
                <w:rFonts w:ascii="Arial" w:cs="Arial" w:eastAsia="Arial" w:hAnsi="Arial"/>
                <w:sz w:val="16"/>
                <w:szCs w:val="16"/>
                <w:color w:val="auto"/>
              </w:rPr>
              <w:t>5</w:t>
            </w:r>
          </w:p>
        </w:tc>
      </w:tr>
      <w:tr>
        <w:trPr>
          <w:trHeight w:val="270"/>
        </w:trPr>
        <w:tc>
          <w:tcPr>
            <w:tcW w:w="8120" w:type="dxa"/>
            <w:vAlign w:val="bottom"/>
          </w:tcPr>
          <w:p>
            <w:pPr>
              <w:ind w:left="180"/>
              <w:spacing w:after="0"/>
              <w:rPr>
                <w:sz w:val="20"/>
                <w:szCs w:val="20"/>
                <w:color w:val="auto"/>
              </w:rPr>
            </w:pPr>
            <w:r>
              <w:rPr>
                <w:rFonts w:ascii="Arial" w:cs="Arial" w:eastAsia="Arial" w:hAnsi="Arial"/>
                <w:sz w:val="16"/>
                <w:szCs w:val="16"/>
                <w:color w:val="auto"/>
              </w:rPr>
              <w:t>SocialCode</w:t>
            </w:r>
          </w:p>
        </w:tc>
        <w:tc>
          <w:tcPr>
            <w:tcW w:w="240" w:type="dxa"/>
            <w:vAlign w:val="bottom"/>
          </w:tcPr>
          <w:p>
            <w:pPr>
              <w:spacing w:after="0"/>
              <w:rPr>
                <w:sz w:val="23"/>
                <w:szCs w:val="23"/>
                <w:color w:val="auto"/>
              </w:rPr>
            </w:pPr>
          </w:p>
        </w:tc>
        <w:tc>
          <w:tcPr>
            <w:tcW w:w="960" w:type="dxa"/>
            <w:vAlign w:val="bottom"/>
          </w:tcPr>
          <w:p>
            <w:pPr>
              <w:jc w:val="right"/>
              <w:ind w:right="60"/>
              <w:spacing w:after="0"/>
              <w:rPr>
                <w:sz w:val="20"/>
                <w:szCs w:val="20"/>
                <w:color w:val="auto"/>
              </w:rPr>
            </w:pPr>
            <w:r>
              <w:rPr>
                <w:rFonts w:ascii="Arial" w:cs="Arial" w:eastAsia="Arial" w:hAnsi="Arial"/>
                <w:sz w:val="16"/>
                <w:szCs w:val="16"/>
                <w:b w:val="1"/>
                <w:bCs w:val="1"/>
                <w:color w:val="auto"/>
              </w:rPr>
              <w:t>62,077</w:t>
            </w:r>
          </w:p>
        </w:tc>
        <w:tc>
          <w:tcPr>
            <w:tcW w:w="340" w:type="dxa"/>
            <w:vAlign w:val="bottom"/>
          </w:tcPr>
          <w:p>
            <w:pPr>
              <w:spacing w:after="0"/>
              <w:rPr>
                <w:sz w:val="23"/>
                <w:szCs w:val="23"/>
                <w:color w:val="auto"/>
              </w:rPr>
            </w:pPr>
          </w:p>
        </w:tc>
        <w:tc>
          <w:tcPr>
            <w:tcW w:w="860" w:type="dxa"/>
            <w:vAlign w:val="bottom"/>
          </w:tcPr>
          <w:p>
            <w:pPr>
              <w:jc w:val="right"/>
              <w:ind w:right="19"/>
              <w:spacing w:after="0"/>
              <w:rPr>
                <w:sz w:val="20"/>
                <w:szCs w:val="20"/>
                <w:color w:val="auto"/>
              </w:rPr>
            </w:pPr>
            <w:r>
              <w:rPr>
                <w:rFonts w:ascii="Arial" w:cs="Arial" w:eastAsia="Arial" w:hAnsi="Arial"/>
                <w:sz w:val="16"/>
                <w:szCs w:val="16"/>
                <w:color w:val="auto"/>
              </w:rPr>
              <w:t>58,851</w:t>
            </w:r>
          </w:p>
        </w:tc>
        <w:tc>
          <w:tcPr>
            <w:tcW w:w="900" w:type="dxa"/>
            <w:vAlign w:val="bottom"/>
          </w:tcPr>
          <w:p>
            <w:pPr>
              <w:jc w:val="right"/>
              <w:ind w:right="20"/>
              <w:spacing w:after="0"/>
              <w:rPr>
                <w:sz w:val="20"/>
                <w:szCs w:val="20"/>
                <w:color w:val="auto"/>
              </w:rPr>
            </w:pPr>
            <w:r>
              <w:rPr>
                <w:rFonts w:ascii="Arial" w:cs="Arial" w:eastAsia="Arial" w:hAnsi="Arial"/>
                <w:sz w:val="16"/>
                <w:szCs w:val="16"/>
                <w:color w:val="auto"/>
              </w:rPr>
              <w:t>5</w:t>
            </w:r>
          </w:p>
        </w:tc>
      </w:tr>
      <w:tr>
        <w:trPr>
          <w:trHeight w:val="283"/>
        </w:trPr>
        <w:tc>
          <w:tcPr>
            <w:tcW w:w="8120" w:type="dxa"/>
            <w:vAlign w:val="bottom"/>
          </w:tcPr>
          <w:p>
            <w:pPr>
              <w:ind w:left="180"/>
              <w:spacing w:after="0"/>
              <w:rPr>
                <w:sz w:val="20"/>
                <w:szCs w:val="20"/>
                <w:color w:val="auto"/>
              </w:rPr>
            </w:pPr>
            <w:r>
              <w:rPr>
                <w:rFonts w:ascii="Arial" w:cs="Arial" w:eastAsia="Arial" w:hAnsi="Arial"/>
                <w:sz w:val="16"/>
                <w:szCs w:val="16"/>
                <w:color w:val="auto"/>
              </w:rPr>
              <w:t>Other</w:t>
            </w:r>
          </w:p>
        </w:tc>
        <w:tc>
          <w:tcPr>
            <w:tcW w:w="24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jc w:val="right"/>
              <w:ind w:right="60"/>
              <w:spacing w:after="0"/>
              <w:rPr>
                <w:sz w:val="20"/>
                <w:szCs w:val="20"/>
                <w:color w:val="auto"/>
              </w:rPr>
            </w:pPr>
            <w:r>
              <w:rPr>
                <w:rFonts w:ascii="Arial" w:cs="Arial" w:eastAsia="Arial" w:hAnsi="Arial"/>
                <w:sz w:val="16"/>
                <w:szCs w:val="16"/>
                <w:b w:val="1"/>
                <w:bCs w:val="1"/>
                <w:color w:val="auto"/>
              </w:rPr>
              <w:t>34,733</w:t>
            </w:r>
          </w:p>
        </w:tc>
        <w:tc>
          <w:tcPr>
            <w:tcW w:w="34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26,433</w:t>
            </w:r>
          </w:p>
        </w:tc>
        <w:tc>
          <w:tcPr>
            <w:tcW w:w="900" w:type="dxa"/>
            <w:vAlign w:val="bottom"/>
          </w:tcPr>
          <w:p>
            <w:pPr>
              <w:jc w:val="right"/>
              <w:ind w:right="20"/>
              <w:spacing w:after="0"/>
              <w:rPr>
                <w:sz w:val="20"/>
                <w:szCs w:val="20"/>
                <w:color w:val="auto"/>
              </w:rPr>
            </w:pPr>
            <w:r>
              <w:rPr>
                <w:rFonts w:ascii="Arial" w:cs="Arial" w:eastAsia="Arial" w:hAnsi="Arial"/>
                <w:sz w:val="16"/>
                <w:szCs w:val="16"/>
                <w:color w:val="auto"/>
              </w:rPr>
              <w:t>31</w:t>
            </w:r>
          </w:p>
        </w:tc>
      </w:tr>
      <w:tr>
        <w:trPr>
          <w:trHeight w:val="264"/>
        </w:trPr>
        <w:tc>
          <w:tcPr>
            <w:tcW w:w="8120" w:type="dxa"/>
            <w:vAlign w:val="bottom"/>
          </w:tcPr>
          <w:p>
            <w:pPr>
              <w:spacing w:after="0"/>
              <w:rPr>
                <w:sz w:val="22"/>
                <w:szCs w:val="22"/>
                <w:color w:val="auto"/>
              </w:rPr>
            </w:pPr>
          </w:p>
        </w:tc>
        <w:tc>
          <w:tcPr>
            <w:tcW w:w="24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b w:val="1"/>
                <w:bCs w:val="1"/>
                <w:color w:val="auto"/>
              </w:rPr>
              <w:t>$</w:t>
            </w:r>
          </w:p>
        </w:tc>
        <w:tc>
          <w:tcPr>
            <w:tcW w:w="960" w:type="dxa"/>
            <w:vAlign w:val="bottom"/>
            <w:tcBorders>
              <w:bottom w:val="single" w:sz="8" w:color="auto"/>
            </w:tcBorders>
          </w:tcPr>
          <w:p>
            <w:pPr>
              <w:jc w:val="right"/>
              <w:ind w:right="60"/>
              <w:spacing w:after="0"/>
              <w:rPr>
                <w:sz w:val="20"/>
                <w:szCs w:val="20"/>
                <w:color w:val="auto"/>
              </w:rPr>
            </w:pPr>
            <w:r>
              <w:rPr>
                <w:rFonts w:ascii="Arial" w:cs="Arial" w:eastAsia="Arial" w:hAnsi="Arial"/>
                <w:sz w:val="16"/>
                <w:szCs w:val="16"/>
                <w:b w:val="1"/>
                <w:bCs w:val="1"/>
                <w:color w:val="auto"/>
              </w:rPr>
              <w:t>665,205</w:t>
            </w:r>
          </w:p>
        </w:tc>
        <w:tc>
          <w:tcPr>
            <w:tcW w:w="34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w:t>
            </w:r>
          </w:p>
        </w:tc>
        <w:tc>
          <w:tcPr>
            <w:tcW w:w="86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473,850</w:t>
            </w:r>
          </w:p>
        </w:tc>
        <w:tc>
          <w:tcPr>
            <w:tcW w:w="900" w:type="dxa"/>
            <w:vAlign w:val="bottom"/>
          </w:tcPr>
          <w:p>
            <w:pPr>
              <w:jc w:val="right"/>
              <w:ind w:right="20"/>
              <w:spacing w:after="0"/>
              <w:rPr>
                <w:sz w:val="20"/>
                <w:szCs w:val="20"/>
                <w:color w:val="auto"/>
              </w:rPr>
            </w:pPr>
            <w:r>
              <w:rPr>
                <w:rFonts w:ascii="Arial" w:cs="Arial" w:eastAsia="Arial" w:hAnsi="Arial"/>
                <w:sz w:val="16"/>
                <w:szCs w:val="16"/>
                <w:color w:val="auto"/>
              </w:rPr>
              <w:t>40</w:t>
            </w:r>
          </w:p>
        </w:tc>
      </w:tr>
      <w:tr>
        <w:trPr>
          <w:trHeight w:val="251"/>
        </w:trPr>
        <w:tc>
          <w:tcPr>
            <w:tcW w:w="8120" w:type="dxa"/>
            <w:vAlign w:val="bottom"/>
          </w:tcPr>
          <w:p>
            <w:pPr>
              <w:ind w:left="40"/>
              <w:spacing w:after="0"/>
              <w:rPr>
                <w:sz w:val="20"/>
                <w:szCs w:val="20"/>
                <w:color w:val="auto"/>
              </w:rPr>
            </w:pPr>
            <w:r>
              <w:rPr>
                <w:rFonts w:ascii="Arial" w:cs="Arial" w:eastAsia="Arial" w:hAnsi="Arial"/>
                <w:sz w:val="16"/>
                <w:szCs w:val="16"/>
                <w:b w:val="1"/>
                <w:bCs w:val="1"/>
                <w:color w:val="auto"/>
              </w:rPr>
              <w:t>Operating Expenses</w:t>
            </w:r>
          </w:p>
        </w:tc>
        <w:tc>
          <w:tcPr>
            <w:tcW w:w="24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900" w:type="dxa"/>
            <w:vAlign w:val="bottom"/>
          </w:tcPr>
          <w:p>
            <w:pPr>
              <w:spacing w:after="0"/>
              <w:rPr>
                <w:sz w:val="21"/>
                <w:szCs w:val="21"/>
                <w:color w:val="auto"/>
              </w:rPr>
            </w:pPr>
          </w:p>
        </w:tc>
      </w:tr>
      <w:tr>
        <w:trPr>
          <w:trHeight w:val="270"/>
        </w:trPr>
        <w:tc>
          <w:tcPr>
            <w:tcW w:w="8120" w:type="dxa"/>
            <w:vAlign w:val="bottom"/>
          </w:tcPr>
          <w:p>
            <w:pPr>
              <w:ind w:left="180"/>
              <w:spacing w:after="0"/>
              <w:rPr>
                <w:sz w:val="20"/>
                <w:szCs w:val="20"/>
                <w:color w:val="auto"/>
              </w:rPr>
            </w:pPr>
            <w:r>
              <w:rPr>
                <w:rFonts w:ascii="Arial" w:cs="Arial" w:eastAsia="Arial" w:hAnsi="Arial"/>
                <w:sz w:val="16"/>
                <w:szCs w:val="16"/>
                <w:color w:val="auto"/>
              </w:rPr>
              <w:t>Manufacturing</w:t>
            </w:r>
          </w:p>
        </w:tc>
        <w:tc>
          <w:tcPr>
            <w:tcW w:w="240" w:type="dxa"/>
            <w:vAlign w:val="bottom"/>
          </w:tcPr>
          <w:p>
            <w:pPr>
              <w:jc w:val="right"/>
              <w:ind w:right="39"/>
              <w:spacing w:after="0"/>
              <w:rPr>
                <w:sz w:val="20"/>
                <w:szCs w:val="20"/>
                <w:color w:val="auto"/>
              </w:rPr>
            </w:pPr>
            <w:r>
              <w:rPr>
                <w:rFonts w:ascii="Arial" w:cs="Arial" w:eastAsia="Arial" w:hAnsi="Arial"/>
                <w:sz w:val="16"/>
                <w:szCs w:val="16"/>
                <w:b w:val="1"/>
                <w:bCs w:val="1"/>
                <w:color w:val="auto"/>
              </w:rPr>
              <w:t>$</w:t>
            </w:r>
          </w:p>
        </w:tc>
        <w:tc>
          <w:tcPr>
            <w:tcW w:w="960" w:type="dxa"/>
            <w:vAlign w:val="bottom"/>
          </w:tcPr>
          <w:p>
            <w:pPr>
              <w:jc w:val="right"/>
              <w:ind w:right="60"/>
              <w:spacing w:after="0"/>
              <w:rPr>
                <w:sz w:val="20"/>
                <w:szCs w:val="20"/>
                <w:color w:val="auto"/>
              </w:rPr>
            </w:pPr>
            <w:r>
              <w:rPr>
                <w:rFonts w:ascii="Arial" w:cs="Arial" w:eastAsia="Arial" w:hAnsi="Arial"/>
                <w:sz w:val="16"/>
                <w:szCs w:val="16"/>
                <w:b w:val="1"/>
                <w:bCs w:val="1"/>
                <w:color w:val="auto"/>
              </w:rPr>
              <w:t>400,178</w:t>
            </w:r>
          </w:p>
        </w:tc>
        <w:tc>
          <w:tcPr>
            <w:tcW w:w="34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860" w:type="dxa"/>
            <w:vAlign w:val="bottom"/>
          </w:tcPr>
          <w:p>
            <w:pPr>
              <w:jc w:val="right"/>
              <w:ind w:right="19"/>
              <w:spacing w:after="0"/>
              <w:rPr>
                <w:sz w:val="20"/>
                <w:szCs w:val="20"/>
                <w:color w:val="auto"/>
              </w:rPr>
            </w:pPr>
            <w:r>
              <w:rPr>
                <w:rFonts w:ascii="Arial" w:cs="Arial" w:eastAsia="Arial" w:hAnsi="Arial"/>
                <w:sz w:val="16"/>
                <w:szCs w:val="16"/>
                <w:color w:val="auto"/>
              </w:rPr>
              <w:t>228,887</w:t>
            </w:r>
          </w:p>
        </w:tc>
        <w:tc>
          <w:tcPr>
            <w:tcW w:w="900" w:type="dxa"/>
            <w:vAlign w:val="bottom"/>
          </w:tcPr>
          <w:p>
            <w:pPr>
              <w:jc w:val="right"/>
              <w:ind w:right="20"/>
              <w:spacing w:after="0"/>
              <w:rPr>
                <w:sz w:val="20"/>
                <w:szCs w:val="20"/>
                <w:color w:val="auto"/>
              </w:rPr>
            </w:pPr>
            <w:r>
              <w:rPr>
                <w:rFonts w:ascii="Arial" w:cs="Arial" w:eastAsia="Arial" w:hAnsi="Arial"/>
                <w:sz w:val="16"/>
                <w:szCs w:val="16"/>
                <w:color w:val="auto"/>
              </w:rPr>
              <w:t>75</w:t>
            </w:r>
          </w:p>
        </w:tc>
      </w:tr>
      <w:tr>
        <w:trPr>
          <w:trHeight w:val="270"/>
        </w:trPr>
        <w:tc>
          <w:tcPr>
            <w:tcW w:w="8120" w:type="dxa"/>
            <w:vAlign w:val="bottom"/>
          </w:tcPr>
          <w:p>
            <w:pPr>
              <w:ind w:left="180"/>
              <w:spacing w:after="0"/>
              <w:rPr>
                <w:sz w:val="20"/>
                <w:szCs w:val="20"/>
                <w:color w:val="auto"/>
              </w:rPr>
            </w:pPr>
            <w:r>
              <w:rPr>
                <w:rFonts w:ascii="Arial" w:cs="Arial" w:eastAsia="Arial" w:hAnsi="Arial"/>
                <w:sz w:val="16"/>
                <w:szCs w:val="16"/>
                <w:color w:val="auto"/>
              </w:rPr>
              <w:t>Healthcare</w:t>
            </w:r>
          </w:p>
        </w:tc>
        <w:tc>
          <w:tcPr>
            <w:tcW w:w="240" w:type="dxa"/>
            <w:vAlign w:val="bottom"/>
          </w:tcPr>
          <w:p>
            <w:pPr>
              <w:spacing w:after="0"/>
              <w:rPr>
                <w:sz w:val="23"/>
                <w:szCs w:val="23"/>
                <w:color w:val="auto"/>
              </w:rPr>
            </w:pPr>
          </w:p>
        </w:tc>
        <w:tc>
          <w:tcPr>
            <w:tcW w:w="960" w:type="dxa"/>
            <w:vAlign w:val="bottom"/>
          </w:tcPr>
          <w:p>
            <w:pPr>
              <w:jc w:val="right"/>
              <w:ind w:right="60"/>
              <w:spacing w:after="0"/>
              <w:rPr>
                <w:sz w:val="20"/>
                <w:szCs w:val="20"/>
                <w:color w:val="auto"/>
              </w:rPr>
            </w:pPr>
            <w:r>
              <w:rPr>
                <w:rFonts w:ascii="Arial" w:cs="Arial" w:eastAsia="Arial" w:hAnsi="Arial"/>
                <w:sz w:val="16"/>
                <w:szCs w:val="16"/>
                <w:b w:val="1"/>
                <w:bCs w:val="1"/>
                <w:color w:val="auto"/>
              </w:rPr>
              <w:t>156,771</w:t>
            </w:r>
          </w:p>
        </w:tc>
        <w:tc>
          <w:tcPr>
            <w:tcW w:w="340" w:type="dxa"/>
            <w:vAlign w:val="bottom"/>
          </w:tcPr>
          <w:p>
            <w:pPr>
              <w:spacing w:after="0"/>
              <w:rPr>
                <w:sz w:val="23"/>
                <w:szCs w:val="23"/>
                <w:color w:val="auto"/>
              </w:rPr>
            </w:pPr>
          </w:p>
        </w:tc>
        <w:tc>
          <w:tcPr>
            <w:tcW w:w="860" w:type="dxa"/>
            <w:vAlign w:val="bottom"/>
          </w:tcPr>
          <w:p>
            <w:pPr>
              <w:jc w:val="right"/>
              <w:ind w:right="19"/>
              <w:spacing w:after="0"/>
              <w:rPr>
                <w:sz w:val="20"/>
                <w:szCs w:val="20"/>
                <w:color w:val="auto"/>
              </w:rPr>
            </w:pPr>
            <w:r>
              <w:rPr>
                <w:rFonts w:ascii="Arial" w:cs="Arial" w:eastAsia="Arial" w:hAnsi="Arial"/>
                <w:sz w:val="16"/>
                <w:szCs w:val="16"/>
                <w:color w:val="auto"/>
              </w:rPr>
              <w:t>144,163</w:t>
            </w:r>
          </w:p>
        </w:tc>
        <w:tc>
          <w:tcPr>
            <w:tcW w:w="900" w:type="dxa"/>
            <w:vAlign w:val="bottom"/>
          </w:tcPr>
          <w:p>
            <w:pPr>
              <w:jc w:val="right"/>
              <w:ind w:right="20"/>
              <w:spacing w:after="0"/>
              <w:rPr>
                <w:sz w:val="20"/>
                <w:szCs w:val="20"/>
                <w:color w:val="auto"/>
              </w:rPr>
            </w:pPr>
            <w:r>
              <w:rPr>
                <w:rFonts w:ascii="Arial" w:cs="Arial" w:eastAsia="Arial" w:hAnsi="Arial"/>
                <w:sz w:val="16"/>
                <w:szCs w:val="16"/>
                <w:color w:val="auto"/>
              </w:rPr>
              <w:t>9</w:t>
            </w:r>
          </w:p>
        </w:tc>
      </w:tr>
      <w:tr>
        <w:trPr>
          <w:trHeight w:val="270"/>
        </w:trPr>
        <w:tc>
          <w:tcPr>
            <w:tcW w:w="8120" w:type="dxa"/>
            <w:vAlign w:val="bottom"/>
          </w:tcPr>
          <w:p>
            <w:pPr>
              <w:ind w:left="180"/>
              <w:spacing w:after="0"/>
              <w:rPr>
                <w:sz w:val="20"/>
                <w:szCs w:val="20"/>
                <w:color w:val="auto"/>
              </w:rPr>
            </w:pPr>
            <w:r>
              <w:rPr>
                <w:rFonts w:ascii="Arial" w:cs="Arial" w:eastAsia="Arial" w:hAnsi="Arial"/>
                <w:sz w:val="16"/>
                <w:szCs w:val="16"/>
                <w:color w:val="auto"/>
              </w:rPr>
              <w:t>SocialCode</w:t>
            </w:r>
          </w:p>
        </w:tc>
        <w:tc>
          <w:tcPr>
            <w:tcW w:w="240" w:type="dxa"/>
            <w:vAlign w:val="bottom"/>
          </w:tcPr>
          <w:p>
            <w:pPr>
              <w:spacing w:after="0"/>
              <w:rPr>
                <w:sz w:val="23"/>
                <w:szCs w:val="23"/>
                <w:color w:val="auto"/>
              </w:rPr>
            </w:pPr>
          </w:p>
        </w:tc>
        <w:tc>
          <w:tcPr>
            <w:tcW w:w="960" w:type="dxa"/>
            <w:vAlign w:val="bottom"/>
          </w:tcPr>
          <w:p>
            <w:pPr>
              <w:jc w:val="right"/>
              <w:ind w:right="60"/>
              <w:spacing w:after="0"/>
              <w:rPr>
                <w:sz w:val="20"/>
                <w:szCs w:val="20"/>
                <w:color w:val="auto"/>
              </w:rPr>
            </w:pPr>
            <w:r>
              <w:rPr>
                <w:rFonts w:ascii="Arial" w:cs="Arial" w:eastAsia="Arial" w:hAnsi="Arial"/>
                <w:sz w:val="16"/>
                <w:szCs w:val="16"/>
                <w:b w:val="1"/>
                <w:bCs w:val="1"/>
                <w:color w:val="auto"/>
              </w:rPr>
              <w:t>65,751</w:t>
            </w:r>
          </w:p>
        </w:tc>
        <w:tc>
          <w:tcPr>
            <w:tcW w:w="340" w:type="dxa"/>
            <w:vAlign w:val="bottom"/>
          </w:tcPr>
          <w:p>
            <w:pPr>
              <w:spacing w:after="0"/>
              <w:rPr>
                <w:sz w:val="23"/>
                <w:szCs w:val="23"/>
                <w:color w:val="auto"/>
              </w:rPr>
            </w:pPr>
          </w:p>
        </w:tc>
        <w:tc>
          <w:tcPr>
            <w:tcW w:w="860" w:type="dxa"/>
            <w:vAlign w:val="bottom"/>
          </w:tcPr>
          <w:p>
            <w:pPr>
              <w:jc w:val="right"/>
              <w:ind w:right="19"/>
              <w:spacing w:after="0"/>
              <w:rPr>
                <w:sz w:val="20"/>
                <w:szCs w:val="20"/>
                <w:color w:val="auto"/>
              </w:rPr>
            </w:pPr>
            <w:r>
              <w:rPr>
                <w:rFonts w:ascii="Arial" w:cs="Arial" w:eastAsia="Arial" w:hAnsi="Arial"/>
                <w:sz w:val="16"/>
                <w:szCs w:val="16"/>
                <w:color w:val="auto"/>
              </w:rPr>
              <w:t>71,258</w:t>
            </w:r>
          </w:p>
        </w:tc>
        <w:tc>
          <w:tcPr>
            <w:tcW w:w="900" w:type="dxa"/>
            <w:vAlign w:val="bottom"/>
          </w:tcPr>
          <w:p>
            <w:pPr>
              <w:jc w:val="right"/>
              <w:spacing w:after="0"/>
              <w:rPr>
                <w:sz w:val="20"/>
                <w:szCs w:val="20"/>
                <w:color w:val="auto"/>
              </w:rPr>
            </w:pPr>
            <w:r>
              <w:rPr>
                <w:rFonts w:ascii="Arial" w:cs="Arial" w:eastAsia="Arial" w:hAnsi="Arial"/>
                <w:sz w:val="16"/>
                <w:szCs w:val="16"/>
                <w:color w:val="auto"/>
              </w:rPr>
              <w:t>(8)</w:t>
            </w:r>
          </w:p>
        </w:tc>
      </w:tr>
      <w:tr>
        <w:trPr>
          <w:trHeight w:val="283"/>
        </w:trPr>
        <w:tc>
          <w:tcPr>
            <w:tcW w:w="8120" w:type="dxa"/>
            <w:vAlign w:val="bottom"/>
          </w:tcPr>
          <w:p>
            <w:pPr>
              <w:ind w:left="180"/>
              <w:spacing w:after="0"/>
              <w:rPr>
                <w:sz w:val="20"/>
                <w:szCs w:val="20"/>
                <w:color w:val="auto"/>
              </w:rPr>
            </w:pPr>
            <w:r>
              <w:rPr>
                <w:rFonts w:ascii="Arial" w:cs="Arial" w:eastAsia="Arial" w:hAnsi="Arial"/>
                <w:sz w:val="16"/>
                <w:szCs w:val="16"/>
                <w:color w:val="auto"/>
              </w:rPr>
              <w:t>Other</w:t>
            </w:r>
          </w:p>
        </w:tc>
        <w:tc>
          <w:tcPr>
            <w:tcW w:w="24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jc w:val="right"/>
              <w:ind w:right="60"/>
              <w:spacing w:after="0"/>
              <w:rPr>
                <w:sz w:val="20"/>
                <w:szCs w:val="20"/>
                <w:color w:val="auto"/>
              </w:rPr>
            </w:pPr>
            <w:r>
              <w:rPr>
                <w:rFonts w:ascii="Arial" w:cs="Arial" w:eastAsia="Arial" w:hAnsi="Arial"/>
                <w:sz w:val="16"/>
                <w:szCs w:val="16"/>
                <w:b w:val="1"/>
                <w:bCs w:val="1"/>
                <w:color w:val="auto"/>
              </w:rPr>
              <w:t>65,269</w:t>
            </w:r>
          </w:p>
        </w:tc>
        <w:tc>
          <w:tcPr>
            <w:tcW w:w="34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51,644</w:t>
            </w:r>
          </w:p>
        </w:tc>
        <w:tc>
          <w:tcPr>
            <w:tcW w:w="900" w:type="dxa"/>
            <w:vAlign w:val="bottom"/>
          </w:tcPr>
          <w:p>
            <w:pPr>
              <w:jc w:val="right"/>
              <w:ind w:right="20"/>
              <w:spacing w:after="0"/>
              <w:rPr>
                <w:sz w:val="20"/>
                <w:szCs w:val="20"/>
                <w:color w:val="auto"/>
              </w:rPr>
            </w:pPr>
            <w:r>
              <w:rPr>
                <w:rFonts w:ascii="Arial" w:cs="Arial" w:eastAsia="Arial" w:hAnsi="Arial"/>
                <w:sz w:val="16"/>
                <w:szCs w:val="16"/>
                <w:color w:val="auto"/>
              </w:rPr>
              <w:t>26</w:t>
            </w:r>
          </w:p>
        </w:tc>
      </w:tr>
      <w:tr>
        <w:trPr>
          <w:trHeight w:val="264"/>
        </w:trPr>
        <w:tc>
          <w:tcPr>
            <w:tcW w:w="8120" w:type="dxa"/>
            <w:vAlign w:val="bottom"/>
          </w:tcPr>
          <w:p>
            <w:pPr>
              <w:spacing w:after="0"/>
              <w:rPr>
                <w:sz w:val="22"/>
                <w:szCs w:val="22"/>
                <w:color w:val="auto"/>
              </w:rPr>
            </w:pPr>
          </w:p>
        </w:tc>
        <w:tc>
          <w:tcPr>
            <w:tcW w:w="24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b w:val="1"/>
                <w:bCs w:val="1"/>
                <w:color w:val="auto"/>
              </w:rPr>
              <w:t>$</w:t>
            </w:r>
          </w:p>
        </w:tc>
        <w:tc>
          <w:tcPr>
            <w:tcW w:w="960" w:type="dxa"/>
            <w:vAlign w:val="bottom"/>
            <w:tcBorders>
              <w:bottom w:val="single" w:sz="8" w:color="auto"/>
            </w:tcBorders>
          </w:tcPr>
          <w:p>
            <w:pPr>
              <w:jc w:val="right"/>
              <w:ind w:right="60"/>
              <w:spacing w:after="0"/>
              <w:rPr>
                <w:sz w:val="20"/>
                <w:szCs w:val="20"/>
                <w:color w:val="auto"/>
              </w:rPr>
            </w:pPr>
            <w:r>
              <w:rPr>
                <w:rFonts w:ascii="Arial" w:cs="Arial" w:eastAsia="Arial" w:hAnsi="Arial"/>
                <w:sz w:val="16"/>
                <w:szCs w:val="16"/>
                <w:b w:val="1"/>
                <w:bCs w:val="1"/>
                <w:color w:val="auto"/>
              </w:rPr>
              <w:t>687,969</w:t>
            </w:r>
          </w:p>
        </w:tc>
        <w:tc>
          <w:tcPr>
            <w:tcW w:w="34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w:t>
            </w:r>
          </w:p>
        </w:tc>
        <w:tc>
          <w:tcPr>
            <w:tcW w:w="86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495,952</w:t>
            </w:r>
          </w:p>
        </w:tc>
        <w:tc>
          <w:tcPr>
            <w:tcW w:w="900" w:type="dxa"/>
            <w:vAlign w:val="bottom"/>
          </w:tcPr>
          <w:p>
            <w:pPr>
              <w:jc w:val="right"/>
              <w:ind w:right="20"/>
              <w:spacing w:after="0"/>
              <w:rPr>
                <w:sz w:val="20"/>
                <w:szCs w:val="20"/>
                <w:color w:val="auto"/>
              </w:rPr>
            </w:pPr>
            <w:r>
              <w:rPr>
                <w:rFonts w:ascii="Arial" w:cs="Arial" w:eastAsia="Arial" w:hAnsi="Arial"/>
                <w:sz w:val="16"/>
                <w:szCs w:val="16"/>
                <w:color w:val="auto"/>
              </w:rPr>
              <w:t>39</w:t>
            </w:r>
          </w:p>
        </w:tc>
      </w:tr>
      <w:tr>
        <w:trPr>
          <w:trHeight w:val="251"/>
        </w:trPr>
        <w:tc>
          <w:tcPr>
            <w:tcW w:w="8120" w:type="dxa"/>
            <w:vAlign w:val="bottom"/>
          </w:tcPr>
          <w:p>
            <w:pPr>
              <w:ind w:left="40"/>
              <w:spacing w:after="0"/>
              <w:rPr>
                <w:sz w:val="20"/>
                <w:szCs w:val="20"/>
                <w:color w:val="auto"/>
              </w:rPr>
            </w:pPr>
            <w:r>
              <w:rPr>
                <w:rFonts w:ascii="Arial" w:cs="Arial" w:eastAsia="Arial" w:hAnsi="Arial"/>
                <w:sz w:val="16"/>
                <w:szCs w:val="16"/>
                <w:b w:val="1"/>
                <w:bCs w:val="1"/>
                <w:color w:val="auto"/>
              </w:rPr>
              <w:t>Operating Income (Loss)</w:t>
            </w:r>
          </w:p>
        </w:tc>
        <w:tc>
          <w:tcPr>
            <w:tcW w:w="24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900" w:type="dxa"/>
            <w:vAlign w:val="bottom"/>
          </w:tcPr>
          <w:p>
            <w:pPr>
              <w:spacing w:after="0"/>
              <w:rPr>
                <w:sz w:val="21"/>
                <w:szCs w:val="21"/>
                <w:color w:val="auto"/>
              </w:rPr>
            </w:pPr>
          </w:p>
        </w:tc>
      </w:tr>
      <w:tr>
        <w:trPr>
          <w:trHeight w:val="270"/>
        </w:trPr>
        <w:tc>
          <w:tcPr>
            <w:tcW w:w="8120" w:type="dxa"/>
            <w:vAlign w:val="bottom"/>
          </w:tcPr>
          <w:p>
            <w:pPr>
              <w:ind w:left="180"/>
              <w:spacing w:after="0"/>
              <w:rPr>
                <w:sz w:val="20"/>
                <w:szCs w:val="20"/>
                <w:color w:val="auto"/>
              </w:rPr>
            </w:pPr>
            <w:r>
              <w:rPr>
                <w:rFonts w:ascii="Arial" w:cs="Arial" w:eastAsia="Arial" w:hAnsi="Arial"/>
                <w:sz w:val="16"/>
                <w:szCs w:val="16"/>
                <w:color w:val="auto"/>
              </w:rPr>
              <w:t>Manufacturing</w:t>
            </w:r>
          </w:p>
        </w:tc>
        <w:tc>
          <w:tcPr>
            <w:tcW w:w="240" w:type="dxa"/>
            <w:vAlign w:val="bottom"/>
          </w:tcPr>
          <w:p>
            <w:pPr>
              <w:jc w:val="right"/>
              <w:ind w:right="39"/>
              <w:spacing w:after="0"/>
              <w:rPr>
                <w:sz w:val="20"/>
                <w:szCs w:val="20"/>
                <w:color w:val="auto"/>
              </w:rPr>
            </w:pPr>
            <w:r>
              <w:rPr>
                <w:rFonts w:ascii="Arial" w:cs="Arial" w:eastAsia="Arial" w:hAnsi="Arial"/>
                <w:sz w:val="16"/>
                <w:szCs w:val="16"/>
                <w:b w:val="1"/>
                <w:bCs w:val="1"/>
                <w:color w:val="auto"/>
              </w:rPr>
              <w:t>$</w:t>
            </w:r>
          </w:p>
        </w:tc>
        <w:tc>
          <w:tcPr>
            <w:tcW w:w="960" w:type="dxa"/>
            <w:vAlign w:val="bottom"/>
          </w:tcPr>
          <w:p>
            <w:pPr>
              <w:jc w:val="right"/>
              <w:ind w:right="60"/>
              <w:spacing w:after="0"/>
              <w:rPr>
                <w:sz w:val="20"/>
                <w:szCs w:val="20"/>
                <w:color w:val="auto"/>
              </w:rPr>
            </w:pPr>
            <w:r>
              <w:rPr>
                <w:rFonts w:ascii="Arial" w:cs="Arial" w:eastAsia="Arial" w:hAnsi="Arial"/>
                <w:sz w:val="16"/>
                <w:szCs w:val="16"/>
                <w:b w:val="1"/>
                <w:bCs w:val="1"/>
                <w:color w:val="auto"/>
              </w:rPr>
              <w:t>14,015</w:t>
            </w:r>
          </w:p>
        </w:tc>
        <w:tc>
          <w:tcPr>
            <w:tcW w:w="34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860" w:type="dxa"/>
            <w:vAlign w:val="bottom"/>
          </w:tcPr>
          <w:p>
            <w:pPr>
              <w:jc w:val="right"/>
              <w:ind w:right="19"/>
              <w:spacing w:after="0"/>
              <w:rPr>
                <w:sz w:val="20"/>
                <w:szCs w:val="20"/>
                <w:color w:val="auto"/>
              </w:rPr>
            </w:pPr>
            <w:r>
              <w:rPr>
                <w:rFonts w:ascii="Arial" w:cs="Arial" w:eastAsia="Arial" w:hAnsi="Arial"/>
                <w:sz w:val="16"/>
                <w:szCs w:val="16"/>
                <w:color w:val="auto"/>
              </w:rPr>
              <w:t>12,717</w:t>
            </w:r>
          </w:p>
        </w:tc>
        <w:tc>
          <w:tcPr>
            <w:tcW w:w="900" w:type="dxa"/>
            <w:vAlign w:val="bottom"/>
          </w:tcPr>
          <w:p>
            <w:pPr>
              <w:jc w:val="right"/>
              <w:ind w:right="20"/>
              <w:spacing w:after="0"/>
              <w:rPr>
                <w:sz w:val="20"/>
                <w:szCs w:val="20"/>
                <w:color w:val="auto"/>
              </w:rPr>
            </w:pPr>
            <w:r>
              <w:rPr>
                <w:rFonts w:ascii="Arial" w:cs="Arial" w:eastAsia="Arial" w:hAnsi="Arial"/>
                <w:sz w:val="16"/>
                <w:szCs w:val="16"/>
                <w:color w:val="auto"/>
              </w:rPr>
              <w:t>10</w:t>
            </w:r>
          </w:p>
        </w:tc>
      </w:tr>
      <w:tr>
        <w:trPr>
          <w:trHeight w:val="270"/>
        </w:trPr>
        <w:tc>
          <w:tcPr>
            <w:tcW w:w="8120" w:type="dxa"/>
            <w:vAlign w:val="bottom"/>
          </w:tcPr>
          <w:p>
            <w:pPr>
              <w:ind w:left="180"/>
              <w:spacing w:after="0"/>
              <w:rPr>
                <w:sz w:val="20"/>
                <w:szCs w:val="20"/>
                <w:color w:val="auto"/>
              </w:rPr>
            </w:pPr>
            <w:r>
              <w:rPr>
                <w:rFonts w:ascii="Arial" w:cs="Arial" w:eastAsia="Arial" w:hAnsi="Arial"/>
                <w:sz w:val="16"/>
                <w:szCs w:val="16"/>
                <w:color w:val="auto"/>
              </w:rPr>
              <w:t>Healthcare</w:t>
            </w:r>
          </w:p>
        </w:tc>
        <w:tc>
          <w:tcPr>
            <w:tcW w:w="240" w:type="dxa"/>
            <w:vAlign w:val="bottom"/>
          </w:tcPr>
          <w:p>
            <w:pPr>
              <w:spacing w:after="0"/>
              <w:rPr>
                <w:sz w:val="23"/>
                <w:szCs w:val="23"/>
                <w:color w:val="auto"/>
              </w:rPr>
            </w:pPr>
          </w:p>
        </w:tc>
        <w:tc>
          <w:tcPr>
            <w:tcW w:w="960" w:type="dxa"/>
            <w:vAlign w:val="bottom"/>
          </w:tcPr>
          <w:p>
            <w:pPr>
              <w:jc w:val="right"/>
              <w:spacing w:after="0"/>
              <w:rPr>
                <w:sz w:val="20"/>
                <w:szCs w:val="20"/>
                <w:color w:val="auto"/>
              </w:rPr>
            </w:pPr>
            <w:r>
              <w:rPr>
                <w:rFonts w:ascii="Arial" w:cs="Arial" w:eastAsia="Arial" w:hAnsi="Arial"/>
                <w:sz w:val="16"/>
                <w:szCs w:val="16"/>
                <w:b w:val="1"/>
                <w:bCs w:val="1"/>
                <w:color w:val="auto"/>
              </w:rPr>
              <w:t>(2,569)</w:t>
            </w:r>
          </w:p>
        </w:tc>
        <w:tc>
          <w:tcPr>
            <w:tcW w:w="340" w:type="dxa"/>
            <w:vAlign w:val="bottom"/>
          </w:tcPr>
          <w:p>
            <w:pPr>
              <w:spacing w:after="0"/>
              <w:rPr>
                <w:sz w:val="23"/>
                <w:szCs w:val="23"/>
                <w:color w:val="auto"/>
              </w:rPr>
            </w:pPr>
          </w:p>
        </w:tc>
        <w:tc>
          <w:tcPr>
            <w:tcW w:w="860" w:type="dxa"/>
            <w:vAlign w:val="bottom"/>
          </w:tcPr>
          <w:p>
            <w:pPr>
              <w:jc w:val="right"/>
              <w:ind w:right="19"/>
              <w:spacing w:after="0"/>
              <w:rPr>
                <w:sz w:val="20"/>
                <w:szCs w:val="20"/>
                <w:color w:val="auto"/>
              </w:rPr>
            </w:pPr>
            <w:r>
              <w:rPr>
                <w:rFonts w:ascii="Arial" w:cs="Arial" w:eastAsia="Arial" w:hAnsi="Arial"/>
                <w:sz w:val="16"/>
                <w:szCs w:val="16"/>
                <w:color w:val="auto"/>
              </w:rPr>
              <w:t>2,799</w:t>
            </w:r>
          </w:p>
        </w:tc>
        <w:tc>
          <w:tcPr>
            <w:tcW w:w="900" w:type="dxa"/>
            <w:vAlign w:val="bottom"/>
          </w:tcPr>
          <w:p>
            <w:pPr>
              <w:jc w:val="right"/>
              <w:ind w:right="20"/>
              <w:spacing w:after="0"/>
              <w:rPr>
                <w:sz w:val="20"/>
                <w:szCs w:val="20"/>
                <w:color w:val="auto"/>
              </w:rPr>
            </w:pPr>
            <w:r>
              <w:rPr>
                <w:rFonts w:ascii="Arial" w:cs="Arial" w:eastAsia="Arial" w:hAnsi="Arial"/>
                <w:sz w:val="16"/>
                <w:szCs w:val="16"/>
                <w:color w:val="auto"/>
              </w:rPr>
              <w:t>—</w:t>
            </w:r>
          </w:p>
        </w:tc>
      </w:tr>
      <w:tr>
        <w:trPr>
          <w:trHeight w:val="270"/>
        </w:trPr>
        <w:tc>
          <w:tcPr>
            <w:tcW w:w="8120" w:type="dxa"/>
            <w:vAlign w:val="bottom"/>
          </w:tcPr>
          <w:p>
            <w:pPr>
              <w:ind w:left="180"/>
              <w:spacing w:after="0"/>
              <w:rPr>
                <w:sz w:val="20"/>
                <w:szCs w:val="20"/>
                <w:color w:val="auto"/>
              </w:rPr>
            </w:pPr>
            <w:r>
              <w:rPr>
                <w:rFonts w:ascii="Arial" w:cs="Arial" w:eastAsia="Arial" w:hAnsi="Arial"/>
                <w:sz w:val="16"/>
                <w:szCs w:val="16"/>
                <w:color w:val="auto"/>
              </w:rPr>
              <w:t>SocialCode</w:t>
            </w:r>
          </w:p>
        </w:tc>
        <w:tc>
          <w:tcPr>
            <w:tcW w:w="240" w:type="dxa"/>
            <w:vAlign w:val="bottom"/>
          </w:tcPr>
          <w:p>
            <w:pPr>
              <w:spacing w:after="0"/>
              <w:rPr>
                <w:sz w:val="23"/>
                <w:szCs w:val="23"/>
                <w:color w:val="auto"/>
              </w:rPr>
            </w:pPr>
          </w:p>
        </w:tc>
        <w:tc>
          <w:tcPr>
            <w:tcW w:w="960" w:type="dxa"/>
            <w:vAlign w:val="bottom"/>
          </w:tcPr>
          <w:p>
            <w:pPr>
              <w:jc w:val="right"/>
              <w:spacing w:after="0"/>
              <w:rPr>
                <w:sz w:val="20"/>
                <w:szCs w:val="20"/>
                <w:color w:val="auto"/>
              </w:rPr>
            </w:pPr>
            <w:r>
              <w:rPr>
                <w:rFonts w:ascii="Arial" w:cs="Arial" w:eastAsia="Arial" w:hAnsi="Arial"/>
                <w:sz w:val="16"/>
                <w:szCs w:val="16"/>
                <w:b w:val="1"/>
                <w:bCs w:val="1"/>
                <w:color w:val="auto"/>
              </w:rPr>
              <w:t>(3,674)</w:t>
            </w:r>
          </w:p>
        </w:tc>
        <w:tc>
          <w:tcPr>
            <w:tcW w:w="340" w:type="dxa"/>
            <w:vAlign w:val="bottom"/>
          </w:tcPr>
          <w:p>
            <w:pPr>
              <w:spacing w:after="0"/>
              <w:rPr>
                <w:sz w:val="23"/>
                <w:szCs w:val="23"/>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(12,407)</w:t>
            </w:r>
          </w:p>
        </w:tc>
        <w:tc>
          <w:tcPr>
            <w:tcW w:w="900" w:type="dxa"/>
            <w:vAlign w:val="bottom"/>
          </w:tcPr>
          <w:p>
            <w:pPr>
              <w:jc w:val="right"/>
              <w:ind w:right="20"/>
              <w:spacing w:after="0"/>
              <w:rPr>
                <w:sz w:val="20"/>
                <w:szCs w:val="20"/>
                <w:color w:val="auto"/>
              </w:rPr>
            </w:pPr>
            <w:r>
              <w:rPr>
                <w:rFonts w:ascii="Arial" w:cs="Arial" w:eastAsia="Arial" w:hAnsi="Arial"/>
                <w:sz w:val="16"/>
                <w:szCs w:val="16"/>
                <w:color w:val="auto"/>
              </w:rPr>
              <w:t>70</w:t>
            </w:r>
          </w:p>
        </w:tc>
      </w:tr>
      <w:tr>
        <w:trPr>
          <w:trHeight w:val="283"/>
        </w:trPr>
        <w:tc>
          <w:tcPr>
            <w:tcW w:w="8120" w:type="dxa"/>
            <w:vAlign w:val="bottom"/>
          </w:tcPr>
          <w:p>
            <w:pPr>
              <w:ind w:left="180"/>
              <w:spacing w:after="0"/>
              <w:rPr>
                <w:sz w:val="20"/>
                <w:szCs w:val="20"/>
                <w:color w:val="auto"/>
              </w:rPr>
            </w:pPr>
            <w:r>
              <w:rPr>
                <w:rFonts w:ascii="Arial" w:cs="Arial" w:eastAsia="Arial" w:hAnsi="Arial"/>
                <w:sz w:val="16"/>
                <w:szCs w:val="16"/>
                <w:color w:val="auto"/>
              </w:rPr>
              <w:t>Other</w:t>
            </w:r>
          </w:p>
        </w:tc>
        <w:tc>
          <w:tcPr>
            <w:tcW w:w="24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(30,536)</w:t>
            </w:r>
          </w:p>
        </w:tc>
        <w:tc>
          <w:tcPr>
            <w:tcW w:w="34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(25,211)</w:t>
            </w:r>
          </w:p>
        </w:tc>
        <w:tc>
          <w:tcPr>
            <w:tcW w:w="900" w:type="dxa"/>
            <w:vAlign w:val="bottom"/>
          </w:tcPr>
          <w:p>
            <w:pPr>
              <w:jc w:val="right"/>
              <w:spacing w:after="0"/>
              <w:rPr>
                <w:sz w:val="20"/>
                <w:szCs w:val="20"/>
                <w:color w:val="auto"/>
              </w:rPr>
            </w:pPr>
            <w:r>
              <w:rPr>
                <w:rFonts w:ascii="Arial" w:cs="Arial" w:eastAsia="Arial" w:hAnsi="Arial"/>
                <w:sz w:val="16"/>
                <w:szCs w:val="16"/>
                <w:color w:val="auto"/>
              </w:rPr>
              <w:t>(21)</w:t>
            </w:r>
          </w:p>
        </w:tc>
      </w:tr>
      <w:tr>
        <w:trPr>
          <w:trHeight w:val="264"/>
        </w:trPr>
        <w:tc>
          <w:tcPr>
            <w:tcW w:w="8120" w:type="dxa"/>
            <w:vAlign w:val="bottom"/>
          </w:tcPr>
          <w:p>
            <w:pPr>
              <w:spacing w:after="0"/>
              <w:rPr>
                <w:sz w:val="22"/>
                <w:szCs w:val="22"/>
                <w:color w:val="auto"/>
              </w:rPr>
            </w:pPr>
          </w:p>
        </w:tc>
        <w:tc>
          <w:tcPr>
            <w:tcW w:w="24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b w:val="1"/>
                <w:bCs w:val="1"/>
                <w:color w:val="auto"/>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(22,764)</w:t>
            </w:r>
          </w:p>
        </w:tc>
        <w:tc>
          <w:tcPr>
            <w:tcW w:w="34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(22,102)</w:t>
            </w:r>
          </w:p>
        </w:tc>
        <w:tc>
          <w:tcPr>
            <w:tcW w:w="900" w:type="dxa"/>
            <w:vAlign w:val="bottom"/>
          </w:tcPr>
          <w:p>
            <w:pPr>
              <w:jc w:val="right"/>
              <w:spacing w:after="0"/>
              <w:rPr>
                <w:sz w:val="20"/>
                <w:szCs w:val="20"/>
                <w:color w:val="auto"/>
              </w:rPr>
            </w:pPr>
            <w:r>
              <w:rPr>
                <w:rFonts w:ascii="Arial" w:cs="Arial" w:eastAsia="Arial" w:hAnsi="Arial"/>
                <w:sz w:val="16"/>
                <w:szCs w:val="16"/>
                <w:color w:val="auto"/>
              </w:rPr>
              <w:t>(3)</w:t>
            </w:r>
          </w:p>
        </w:tc>
      </w:tr>
      <w:tr>
        <w:trPr>
          <w:trHeight w:val="251"/>
        </w:trPr>
        <w:tc>
          <w:tcPr>
            <w:tcW w:w="8120" w:type="dxa"/>
            <w:vAlign w:val="bottom"/>
          </w:tcPr>
          <w:p>
            <w:pPr>
              <w:ind w:left="40"/>
              <w:spacing w:after="0"/>
              <w:rPr>
                <w:sz w:val="20"/>
                <w:szCs w:val="20"/>
                <w:color w:val="auto"/>
              </w:rPr>
            </w:pPr>
            <w:r>
              <w:rPr>
                <w:rFonts w:ascii="Arial" w:cs="Arial" w:eastAsia="Arial" w:hAnsi="Arial"/>
                <w:sz w:val="16"/>
                <w:szCs w:val="16"/>
                <w:b w:val="1"/>
                <w:bCs w:val="1"/>
                <w:color w:val="auto"/>
              </w:rPr>
              <w:t>Depreciation</w:t>
            </w:r>
          </w:p>
        </w:tc>
        <w:tc>
          <w:tcPr>
            <w:tcW w:w="24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900" w:type="dxa"/>
            <w:vAlign w:val="bottom"/>
          </w:tcPr>
          <w:p>
            <w:pPr>
              <w:spacing w:after="0"/>
              <w:rPr>
                <w:sz w:val="21"/>
                <w:szCs w:val="21"/>
                <w:color w:val="auto"/>
              </w:rPr>
            </w:pPr>
          </w:p>
        </w:tc>
      </w:tr>
      <w:tr>
        <w:trPr>
          <w:trHeight w:val="270"/>
        </w:trPr>
        <w:tc>
          <w:tcPr>
            <w:tcW w:w="8120" w:type="dxa"/>
            <w:vAlign w:val="bottom"/>
          </w:tcPr>
          <w:p>
            <w:pPr>
              <w:ind w:left="180"/>
              <w:spacing w:after="0"/>
              <w:rPr>
                <w:sz w:val="20"/>
                <w:szCs w:val="20"/>
                <w:color w:val="auto"/>
              </w:rPr>
            </w:pPr>
            <w:r>
              <w:rPr>
                <w:rFonts w:ascii="Arial" w:cs="Arial" w:eastAsia="Arial" w:hAnsi="Arial"/>
                <w:sz w:val="16"/>
                <w:szCs w:val="16"/>
                <w:color w:val="auto"/>
              </w:rPr>
              <w:t>Manufacturing</w:t>
            </w:r>
          </w:p>
        </w:tc>
        <w:tc>
          <w:tcPr>
            <w:tcW w:w="240" w:type="dxa"/>
            <w:vAlign w:val="bottom"/>
          </w:tcPr>
          <w:p>
            <w:pPr>
              <w:jc w:val="right"/>
              <w:ind w:right="39"/>
              <w:spacing w:after="0"/>
              <w:rPr>
                <w:sz w:val="20"/>
                <w:szCs w:val="20"/>
                <w:color w:val="auto"/>
              </w:rPr>
            </w:pPr>
            <w:r>
              <w:rPr>
                <w:rFonts w:ascii="Arial" w:cs="Arial" w:eastAsia="Arial" w:hAnsi="Arial"/>
                <w:sz w:val="16"/>
                <w:szCs w:val="16"/>
                <w:b w:val="1"/>
                <w:bCs w:val="1"/>
                <w:color w:val="auto"/>
              </w:rPr>
              <w:t>$</w:t>
            </w:r>
          </w:p>
        </w:tc>
        <w:tc>
          <w:tcPr>
            <w:tcW w:w="960" w:type="dxa"/>
            <w:vAlign w:val="bottom"/>
          </w:tcPr>
          <w:p>
            <w:pPr>
              <w:jc w:val="right"/>
              <w:ind w:right="60"/>
              <w:spacing w:after="0"/>
              <w:rPr>
                <w:sz w:val="20"/>
                <w:szCs w:val="20"/>
                <w:color w:val="auto"/>
              </w:rPr>
            </w:pPr>
            <w:r>
              <w:rPr>
                <w:rFonts w:ascii="Arial" w:cs="Arial" w:eastAsia="Arial" w:hAnsi="Arial"/>
                <w:sz w:val="16"/>
                <w:szCs w:val="16"/>
                <w:b w:val="1"/>
                <w:bCs w:val="1"/>
                <w:color w:val="auto"/>
              </w:rPr>
              <w:t>9,173</w:t>
            </w:r>
          </w:p>
        </w:tc>
        <w:tc>
          <w:tcPr>
            <w:tcW w:w="34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860" w:type="dxa"/>
            <w:vAlign w:val="bottom"/>
          </w:tcPr>
          <w:p>
            <w:pPr>
              <w:jc w:val="right"/>
              <w:ind w:right="19"/>
              <w:spacing w:after="0"/>
              <w:rPr>
                <w:sz w:val="20"/>
                <w:szCs w:val="20"/>
                <w:color w:val="auto"/>
              </w:rPr>
            </w:pPr>
            <w:r>
              <w:rPr>
                <w:rFonts w:ascii="Arial" w:cs="Arial" w:eastAsia="Arial" w:hAnsi="Arial"/>
                <w:sz w:val="16"/>
                <w:szCs w:val="16"/>
                <w:color w:val="auto"/>
              </w:rPr>
              <w:t>7,251</w:t>
            </w:r>
          </w:p>
        </w:tc>
        <w:tc>
          <w:tcPr>
            <w:tcW w:w="900" w:type="dxa"/>
            <w:vAlign w:val="bottom"/>
          </w:tcPr>
          <w:p>
            <w:pPr>
              <w:jc w:val="right"/>
              <w:ind w:right="20"/>
              <w:spacing w:after="0"/>
              <w:rPr>
                <w:sz w:val="20"/>
                <w:szCs w:val="20"/>
                <w:color w:val="auto"/>
              </w:rPr>
            </w:pPr>
            <w:r>
              <w:rPr>
                <w:rFonts w:ascii="Arial" w:cs="Arial" w:eastAsia="Arial" w:hAnsi="Arial"/>
                <w:sz w:val="16"/>
                <w:szCs w:val="16"/>
                <w:color w:val="auto"/>
              </w:rPr>
              <w:t>27</w:t>
            </w:r>
          </w:p>
        </w:tc>
      </w:tr>
      <w:tr>
        <w:trPr>
          <w:trHeight w:val="270"/>
        </w:trPr>
        <w:tc>
          <w:tcPr>
            <w:tcW w:w="8120" w:type="dxa"/>
            <w:vAlign w:val="bottom"/>
          </w:tcPr>
          <w:p>
            <w:pPr>
              <w:ind w:left="180"/>
              <w:spacing w:after="0"/>
              <w:rPr>
                <w:sz w:val="20"/>
                <w:szCs w:val="20"/>
                <w:color w:val="auto"/>
              </w:rPr>
            </w:pPr>
            <w:r>
              <w:rPr>
                <w:rFonts w:ascii="Arial" w:cs="Arial" w:eastAsia="Arial" w:hAnsi="Arial"/>
                <w:sz w:val="16"/>
                <w:szCs w:val="16"/>
                <w:color w:val="auto"/>
              </w:rPr>
              <w:t>Healthcare</w:t>
            </w:r>
          </w:p>
        </w:tc>
        <w:tc>
          <w:tcPr>
            <w:tcW w:w="240" w:type="dxa"/>
            <w:vAlign w:val="bottom"/>
          </w:tcPr>
          <w:p>
            <w:pPr>
              <w:spacing w:after="0"/>
              <w:rPr>
                <w:sz w:val="23"/>
                <w:szCs w:val="23"/>
                <w:color w:val="auto"/>
              </w:rPr>
            </w:pPr>
          </w:p>
        </w:tc>
        <w:tc>
          <w:tcPr>
            <w:tcW w:w="960" w:type="dxa"/>
            <w:vAlign w:val="bottom"/>
          </w:tcPr>
          <w:p>
            <w:pPr>
              <w:jc w:val="right"/>
              <w:ind w:right="60"/>
              <w:spacing w:after="0"/>
              <w:rPr>
                <w:sz w:val="20"/>
                <w:szCs w:val="20"/>
                <w:color w:val="auto"/>
              </w:rPr>
            </w:pPr>
            <w:r>
              <w:rPr>
                <w:rFonts w:ascii="Arial" w:cs="Arial" w:eastAsia="Arial" w:hAnsi="Arial"/>
                <w:sz w:val="16"/>
                <w:szCs w:val="16"/>
                <w:b w:val="1"/>
                <w:bCs w:val="1"/>
                <w:color w:val="auto"/>
              </w:rPr>
              <w:t>4,583</w:t>
            </w:r>
          </w:p>
        </w:tc>
        <w:tc>
          <w:tcPr>
            <w:tcW w:w="340" w:type="dxa"/>
            <w:vAlign w:val="bottom"/>
          </w:tcPr>
          <w:p>
            <w:pPr>
              <w:spacing w:after="0"/>
              <w:rPr>
                <w:sz w:val="23"/>
                <w:szCs w:val="23"/>
                <w:color w:val="auto"/>
              </w:rPr>
            </w:pPr>
          </w:p>
        </w:tc>
        <w:tc>
          <w:tcPr>
            <w:tcW w:w="860" w:type="dxa"/>
            <w:vAlign w:val="bottom"/>
          </w:tcPr>
          <w:p>
            <w:pPr>
              <w:jc w:val="right"/>
              <w:ind w:right="19"/>
              <w:spacing w:after="0"/>
              <w:rPr>
                <w:sz w:val="20"/>
                <w:szCs w:val="20"/>
                <w:color w:val="auto"/>
              </w:rPr>
            </w:pPr>
            <w:r>
              <w:rPr>
                <w:rFonts w:ascii="Arial" w:cs="Arial" w:eastAsia="Arial" w:hAnsi="Arial"/>
                <w:sz w:val="16"/>
                <w:szCs w:val="16"/>
                <w:color w:val="auto"/>
              </w:rPr>
              <w:t>2,805</w:t>
            </w:r>
          </w:p>
        </w:tc>
        <w:tc>
          <w:tcPr>
            <w:tcW w:w="900" w:type="dxa"/>
            <w:vAlign w:val="bottom"/>
          </w:tcPr>
          <w:p>
            <w:pPr>
              <w:jc w:val="right"/>
              <w:ind w:right="20"/>
              <w:spacing w:after="0"/>
              <w:rPr>
                <w:sz w:val="20"/>
                <w:szCs w:val="20"/>
                <w:color w:val="auto"/>
              </w:rPr>
            </w:pPr>
            <w:r>
              <w:rPr>
                <w:rFonts w:ascii="Arial" w:cs="Arial" w:eastAsia="Arial" w:hAnsi="Arial"/>
                <w:sz w:val="16"/>
                <w:szCs w:val="16"/>
                <w:color w:val="auto"/>
              </w:rPr>
              <w:t>63</w:t>
            </w:r>
          </w:p>
        </w:tc>
      </w:tr>
      <w:tr>
        <w:trPr>
          <w:trHeight w:val="270"/>
        </w:trPr>
        <w:tc>
          <w:tcPr>
            <w:tcW w:w="8120" w:type="dxa"/>
            <w:vAlign w:val="bottom"/>
          </w:tcPr>
          <w:p>
            <w:pPr>
              <w:ind w:left="180"/>
              <w:spacing w:after="0"/>
              <w:rPr>
                <w:sz w:val="20"/>
                <w:szCs w:val="20"/>
                <w:color w:val="auto"/>
              </w:rPr>
            </w:pPr>
            <w:r>
              <w:rPr>
                <w:rFonts w:ascii="Arial" w:cs="Arial" w:eastAsia="Arial" w:hAnsi="Arial"/>
                <w:sz w:val="16"/>
                <w:szCs w:val="16"/>
                <w:color w:val="auto"/>
              </w:rPr>
              <w:t>SocialCode</w:t>
            </w:r>
          </w:p>
        </w:tc>
        <w:tc>
          <w:tcPr>
            <w:tcW w:w="240" w:type="dxa"/>
            <w:vAlign w:val="bottom"/>
          </w:tcPr>
          <w:p>
            <w:pPr>
              <w:spacing w:after="0"/>
              <w:rPr>
                <w:sz w:val="23"/>
                <w:szCs w:val="23"/>
                <w:color w:val="auto"/>
              </w:rPr>
            </w:pPr>
          </w:p>
        </w:tc>
        <w:tc>
          <w:tcPr>
            <w:tcW w:w="960" w:type="dxa"/>
            <w:vAlign w:val="bottom"/>
          </w:tcPr>
          <w:p>
            <w:pPr>
              <w:jc w:val="right"/>
              <w:ind w:right="60"/>
              <w:spacing w:after="0"/>
              <w:rPr>
                <w:sz w:val="20"/>
                <w:szCs w:val="20"/>
                <w:color w:val="auto"/>
              </w:rPr>
            </w:pPr>
            <w:r>
              <w:rPr>
                <w:rFonts w:ascii="Arial" w:cs="Arial" w:eastAsia="Arial" w:hAnsi="Arial"/>
                <w:sz w:val="16"/>
                <w:szCs w:val="16"/>
                <w:b w:val="1"/>
                <w:bCs w:val="1"/>
                <w:color w:val="auto"/>
              </w:rPr>
              <w:t>1,004</w:t>
            </w:r>
          </w:p>
        </w:tc>
        <w:tc>
          <w:tcPr>
            <w:tcW w:w="340" w:type="dxa"/>
            <w:vAlign w:val="bottom"/>
          </w:tcPr>
          <w:p>
            <w:pPr>
              <w:spacing w:after="0"/>
              <w:rPr>
                <w:sz w:val="23"/>
                <w:szCs w:val="23"/>
                <w:color w:val="auto"/>
              </w:rPr>
            </w:pPr>
          </w:p>
        </w:tc>
        <w:tc>
          <w:tcPr>
            <w:tcW w:w="860" w:type="dxa"/>
            <w:vAlign w:val="bottom"/>
          </w:tcPr>
          <w:p>
            <w:pPr>
              <w:jc w:val="right"/>
              <w:ind w:right="19"/>
              <w:spacing w:after="0"/>
              <w:rPr>
                <w:sz w:val="20"/>
                <w:szCs w:val="20"/>
                <w:color w:val="auto"/>
              </w:rPr>
            </w:pPr>
            <w:r>
              <w:rPr>
                <w:rFonts w:ascii="Arial" w:cs="Arial" w:eastAsia="Arial" w:hAnsi="Arial"/>
                <w:sz w:val="16"/>
                <w:szCs w:val="16"/>
                <w:color w:val="auto"/>
              </w:rPr>
              <w:t>929</w:t>
            </w:r>
          </w:p>
        </w:tc>
        <w:tc>
          <w:tcPr>
            <w:tcW w:w="900" w:type="dxa"/>
            <w:vAlign w:val="bottom"/>
          </w:tcPr>
          <w:p>
            <w:pPr>
              <w:jc w:val="right"/>
              <w:ind w:right="20"/>
              <w:spacing w:after="0"/>
              <w:rPr>
                <w:sz w:val="20"/>
                <w:szCs w:val="20"/>
                <w:color w:val="auto"/>
              </w:rPr>
            </w:pPr>
            <w:r>
              <w:rPr>
                <w:rFonts w:ascii="Arial" w:cs="Arial" w:eastAsia="Arial" w:hAnsi="Arial"/>
                <w:sz w:val="16"/>
                <w:szCs w:val="16"/>
                <w:color w:val="auto"/>
              </w:rPr>
              <w:t>8</w:t>
            </w:r>
          </w:p>
        </w:tc>
      </w:tr>
      <w:tr>
        <w:trPr>
          <w:trHeight w:val="283"/>
        </w:trPr>
        <w:tc>
          <w:tcPr>
            <w:tcW w:w="8120" w:type="dxa"/>
            <w:vAlign w:val="bottom"/>
          </w:tcPr>
          <w:p>
            <w:pPr>
              <w:ind w:left="180"/>
              <w:spacing w:after="0"/>
              <w:rPr>
                <w:sz w:val="20"/>
                <w:szCs w:val="20"/>
                <w:color w:val="auto"/>
              </w:rPr>
            </w:pPr>
            <w:r>
              <w:rPr>
                <w:rFonts w:ascii="Arial" w:cs="Arial" w:eastAsia="Arial" w:hAnsi="Arial"/>
                <w:sz w:val="16"/>
                <w:szCs w:val="16"/>
                <w:color w:val="auto"/>
              </w:rPr>
              <w:t>Other</w:t>
            </w:r>
          </w:p>
        </w:tc>
        <w:tc>
          <w:tcPr>
            <w:tcW w:w="24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jc w:val="right"/>
              <w:ind w:right="60"/>
              <w:spacing w:after="0"/>
              <w:rPr>
                <w:sz w:val="20"/>
                <w:szCs w:val="20"/>
                <w:color w:val="auto"/>
              </w:rPr>
            </w:pPr>
            <w:r>
              <w:rPr>
                <w:rFonts w:ascii="Arial" w:cs="Arial" w:eastAsia="Arial" w:hAnsi="Arial"/>
                <w:sz w:val="16"/>
                <w:szCs w:val="16"/>
                <w:b w:val="1"/>
                <w:bCs w:val="1"/>
                <w:color w:val="auto"/>
              </w:rPr>
              <w:t>1,546</w:t>
            </w:r>
          </w:p>
        </w:tc>
        <w:tc>
          <w:tcPr>
            <w:tcW w:w="34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1,390</w:t>
            </w:r>
          </w:p>
        </w:tc>
        <w:tc>
          <w:tcPr>
            <w:tcW w:w="900" w:type="dxa"/>
            <w:vAlign w:val="bottom"/>
          </w:tcPr>
          <w:p>
            <w:pPr>
              <w:jc w:val="right"/>
              <w:ind w:right="20"/>
              <w:spacing w:after="0"/>
              <w:rPr>
                <w:sz w:val="20"/>
                <w:szCs w:val="20"/>
                <w:color w:val="auto"/>
              </w:rPr>
            </w:pPr>
            <w:r>
              <w:rPr>
                <w:rFonts w:ascii="Arial" w:cs="Arial" w:eastAsia="Arial" w:hAnsi="Arial"/>
                <w:sz w:val="16"/>
                <w:szCs w:val="16"/>
                <w:color w:val="auto"/>
              </w:rPr>
              <w:t>11</w:t>
            </w:r>
          </w:p>
        </w:tc>
      </w:tr>
      <w:tr>
        <w:trPr>
          <w:trHeight w:val="264"/>
        </w:trPr>
        <w:tc>
          <w:tcPr>
            <w:tcW w:w="8120" w:type="dxa"/>
            <w:vAlign w:val="bottom"/>
          </w:tcPr>
          <w:p>
            <w:pPr>
              <w:spacing w:after="0"/>
              <w:rPr>
                <w:sz w:val="22"/>
                <w:szCs w:val="22"/>
                <w:color w:val="auto"/>
              </w:rPr>
            </w:pPr>
          </w:p>
        </w:tc>
        <w:tc>
          <w:tcPr>
            <w:tcW w:w="24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b w:val="1"/>
                <w:bCs w:val="1"/>
                <w:color w:val="auto"/>
              </w:rPr>
              <w:t>$</w:t>
            </w:r>
          </w:p>
        </w:tc>
        <w:tc>
          <w:tcPr>
            <w:tcW w:w="960" w:type="dxa"/>
            <w:vAlign w:val="bottom"/>
            <w:tcBorders>
              <w:bottom w:val="single" w:sz="8" w:color="auto"/>
            </w:tcBorders>
          </w:tcPr>
          <w:p>
            <w:pPr>
              <w:jc w:val="right"/>
              <w:ind w:right="60"/>
              <w:spacing w:after="0"/>
              <w:rPr>
                <w:sz w:val="20"/>
                <w:szCs w:val="20"/>
                <w:color w:val="auto"/>
              </w:rPr>
            </w:pPr>
            <w:r>
              <w:rPr>
                <w:rFonts w:ascii="Arial" w:cs="Arial" w:eastAsia="Arial" w:hAnsi="Arial"/>
                <w:sz w:val="16"/>
                <w:szCs w:val="16"/>
                <w:b w:val="1"/>
                <w:bCs w:val="1"/>
                <w:color w:val="auto"/>
              </w:rPr>
              <w:t>16,306</w:t>
            </w:r>
          </w:p>
        </w:tc>
        <w:tc>
          <w:tcPr>
            <w:tcW w:w="34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w:t>
            </w:r>
          </w:p>
        </w:tc>
        <w:tc>
          <w:tcPr>
            <w:tcW w:w="86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12,375</w:t>
            </w:r>
          </w:p>
        </w:tc>
        <w:tc>
          <w:tcPr>
            <w:tcW w:w="900" w:type="dxa"/>
            <w:vAlign w:val="bottom"/>
          </w:tcPr>
          <w:p>
            <w:pPr>
              <w:jc w:val="right"/>
              <w:ind w:right="20"/>
              <w:spacing w:after="0"/>
              <w:rPr>
                <w:sz w:val="20"/>
                <w:szCs w:val="20"/>
                <w:color w:val="auto"/>
              </w:rPr>
            </w:pPr>
            <w:r>
              <w:rPr>
                <w:rFonts w:ascii="Arial" w:cs="Arial" w:eastAsia="Arial" w:hAnsi="Arial"/>
                <w:sz w:val="16"/>
                <w:szCs w:val="16"/>
                <w:color w:val="auto"/>
              </w:rPr>
              <w:t>32</w:t>
            </w:r>
          </w:p>
        </w:tc>
      </w:tr>
      <w:tr>
        <w:trPr>
          <w:trHeight w:val="251"/>
        </w:trPr>
        <w:tc>
          <w:tcPr>
            <w:tcW w:w="8120" w:type="dxa"/>
            <w:vAlign w:val="bottom"/>
          </w:tcPr>
          <w:p>
            <w:pPr>
              <w:ind w:left="40"/>
              <w:spacing w:after="0"/>
              <w:rPr>
                <w:sz w:val="20"/>
                <w:szCs w:val="20"/>
                <w:color w:val="auto"/>
              </w:rPr>
            </w:pPr>
            <w:r>
              <w:rPr>
                <w:rFonts w:ascii="Arial" w:cs="Arial" w:eastAsia="Arial" w:hAnsi="Arial"/>
                <w:sz w:val="16"/>
                <w:szCs w:val="16"/>
                <w:b w:val="1"/>
                <w:bCs w:val="1"/>
                <w:color w:val="auto"/>
              </w:rPr>
              <w:t>Amortization of Intangible Assets and Impairment of Goodwill and Other Long-Lived Assets</w:t>
            </w:r>
          </w:p>
        </w:tc>
        <w:tc>
          <w:tcPr>
            <w:tcW w:w="24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900" w:type="dxa"/>
            <w:vAlign w:val="bottom"/>
          </w:tcPr>
          <w:p>
            <w:pPr>
              <w:spacing w:after="0"/>
              <w:rPr>
                <w:sz w:val="21"/>
                <w:szCs w:val="21"/>
                <w:color w:val="auto"/>
              </w:rPr>
            </w:pPr>
          </w:p>
        </w:tc>
      </w:tr>
      <w:tr>
        <w:trPr>
          <w:trHeight w:val="270"/>
        </w:trPr>
        <w:tc>
          <w:tcPr>
            <w:tcW w:w="8120" w:type="dxa"/>
            <w:vAlign w:val="bottom"/>
          </w:tcPr>
          <w:p>
            <w:pPr>
              <w:ind w:left="180"/>
              <w:spacing w:after="0"/>
              <w:rPr>
                <w:sz w:val="20"/>
                <w:szCs w:val="20"/>
                <w:color w:val="auto"/>
              </w:rPr>
            </w:pPr>
            <w:r>
              <w:rPr>
                <w:rFonts w:ascii="Arial" w:cs="Arial" w:eastAsia="Arial" w:hAnsi="Arial"/>
                <w:sz w:val="16"/>
                <w:szCs w:val="16"/>
                <w:color w:val="auto"/>
              </w:rPr>
              <w:t>Manufacturing</w:t>
            </w:r>
          </w:p>
        </w:tc>
        <w:tc>
          <w:tcPr>
            <w:tcW w:w="240" w:type="dxa"/>
            <w:vAlign w:val="bottom"/>
          </w:tcPr>
          <w:p>
            <w:pPr>
              <w:jc w:val="right"/>
              <w:ind w:right="39"/>
              <w:spacing w:after="0"/>
              <w:rPr>
                <w:sz w:val="20"/>
                <w:szCs w:val="20"/>
                <w:color w:val="auto"/>
              </w:rPr>
            </w:pPr>
            <w:r>
              <w:rPr>
                <w:rFonts w:ascii="Arial" w:cs="Arial" w:eastAsia="Arial" w:hAnsi="Arial"/>
                <w:sz w:val="16"/>
                <w:szCs w:val="16"/>
                <w:b w:val="1"/>
                <w:bCs w:val="1"/>
                <w:color w:val="auto"/>
              </w:rPr>
              <w:t>$</w:t>
            </w:r>
          </w:p>
        </w:tc>
        <w:tc>
          <w:tcPr>
            <w:tcW w:w="960" w:type="dxa"/>
            <w:vAlign w:val="bottom"/>
          </w:tcPr>
          <w:p>
            <w:pPr>
              <w:jc w:val="right"/>
              <w:ind w:right="60"/>
              <w:spacing w:after="0"/>
              <w:rPr>
                <w:sz w:val="20"/>
                <w:szCs w:val="20"/>
                <w:color w:val="auto"/>
              </w:rPr>
            </w:pPr>
            <w:r>
              <w:rPr>
                <w:rFonts w:ascii="Arial" w:cs="Arial" w:eastAsia="Arial" w:hAnsi="Arial"/>
                <w:sz w:val="16"/>
                <w:szCs w:val="16"/>
                <w:b w:val="1"/>
                <w:bCs w:val="1"/>
                <w:color w:val="auto"/>
              </w:rPr>
              <w:t>31,052</w:t>
            </w:r>
          </w:p>
        </w:tc>
        <w:tc>
          <w:tcPr>
            <w:tcW w:w="34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860" w:type="dxa"/>
            <w:vAlign w:val="bottom"/>
          </w:tcPr>
          <w:p>
            <w:pPr>
              <w:jc w:val="right"/>
              <w:ind w:right="19"/>
              <w:spacing w:after="0"/>
              <w:rPr>
                <w:sz w:val="20"/>
                <w:szCs w:val="20"/>
                <w:color w:val="auto"/>
              </w:rPr>
            </w:pPr>
            <w:r>
              <w:rPr>
                <w:rFonts w:ascii="Arial" w:cs="Arial" w:eastAsia="Arial" w:hAnsi="Arial"/>
                <w:sz w:val="16"/>
                <w:szCs w:val="16"/>
                <w:color w:val="auto"/>
              </w:rPr>
              <w:t>12,119</w:t>
            </w:r>
          </w:p>
        </w:tc>
        <w:tc>
          <w:tcPr>
            <w:tcW w:w="900" w:type="dxa"/>
            <w:vAlign w:val="bottom"/>
          </w:tcPr>
          <w:p>
            <w:pPr>
              <w:jc w:val="right"/>
              <w:ind w:right="20"/>
              <w:spacing w:after="0"/>
              <w:rPr>
                <w:sz w:val="20"/>
                <w:szCs w:val="20"/>
                <w:color w:val="auto"/>
              </w:rPr>
            </w:pPr>
            <w:r>
              <w:rPr>
                <w:rFonts w:ascii="Arial" w:cs="Arial" w:eastAsia="Arial" w:hAnsi="Arial"/>
                <w:sz w:val="16"/>
                <w:szCs w:val="16"/>
                <w:color w:val="auto"/>
              </w:rPr>
              <w:t>—</w:t>
            </w:r>
          </w:p>
        </w:tc>
      </w:tr>
      <w:tr>
        <w:trPr>
          <w:trHeight w:val="270"/>
        </w:trPr>
        <w:tc>
          <w:tcPr>
            <w:tcW w:w="8120" w:type="dxa"/>
            <w:vAlign w:val="bottom"/>
          </w:tcPr>
          <w:p>
            <w:pPr>
              <w:ind w:left="180"/>
              <w:spacing w:after="0"/>
              <w:rPr>
                <w:sz w:val="20"/>
                <w:szCs w:val="20"/>
                <w:color w:val="auto"/>
              </w:rPr>
            </w:pPr>
            <w:r>
              <w:rPr>
                <w:rFonts w:ascii="Arial" w:cs="Arial" w:eastAsia="Arial" w:hAnsi="Arial"/>
                <w:sz w:val="16"/>
                <w:szCs w:val="16"/>
                <w:color w:val="auto"/>
              </w:rPr>
              <w:t>Healthcare</w:t>
            </w:r>
          </w:p>
        </w:tc>
        <w:tc>
          <w:tcPr>
            <w:tcW w:w="240" w:type="dxa"/>
            <w:vAlign w:val="bottom"/>
          </w:tcPr>
          <w:p>
            <w:pPr>
              <w:spacing w:after="0"/>
              <w:rPr>
                <w:sz w:val="23"/>
                <w:szCs w:val="23"/>
                <w:color w:val="auto"/>
              </w:rPr>
            </w:pPr>
          </w:p>
        </w:tc>
        <w:tc>
          <w:tcPr>
            <w:tcW w:w="960" w:type="dxa"/>
            <w:vAlign w:val="bottom"/>
          </w:tcPr>
          <w:p>
            <w:pPr>
              <w:jc w:val="right"/>
              <w:ind w:right="60"/>
              <w:spacing w:after="0"/>
              <w:rPr>
                <w:sz w:val="20"/>
                <w:szCs w:val="20"/>
                <w:color w:val="auto"/>
              </w:rPr>
            </w:pPr>
            <w:r>
              <w:rPr>
                <w:rFonts w:ascii="Arial" w:cs="Arial" w:eastAsia="Arial" w:hAnsi="Arial"/>
                <w:sz w:val="16"/>
                <w:szCs w:val="16"/>
                <w:b w:val="1"/>
                <w:bCs w:val="1"/>
                <w:color w:val="auto"/>
              </w:rPr>
              <w:t>7,905</w:t>
            </w:r>
          </w:p>
        </w:tc>
        <w:tc>
          <w:tcPr>
            <w:tcW w:w="340" w:type="dxa"/>
            <w:vAlign w:val="bottom"/>
          </w:tcPr>
          <w:p>
            <w:pPr>
              <w:spacing w:after="0"/>
              <w:rPr>
                <w:sz w:val="23"/>
                <w:szCs w:val="23"/>
                <w:color w:val="auto"/>
              </w:rPr>
            </w:pPr>
          </w:p>
        </w:tc>
        <w:tc>
          <w:tcPr>
            <w:tcW w:w="860" w:type="dxa"/>
            <w:vAlign w:val="bottom"/>
          </w:tcPr>
          <w:p>
            <w:pPr>
              <w:jc w:val="right"/>
              <w:ind w:right="19"/>
              <w:spacing w:after="0"/>
              <w:rPr>
                <w:sz w:val="20"/>
                <w:szCs w:val="20"/>
                <w:color w:val="auto"/>
              </w:rPr>
            </w:pPr>
            <w:r>
              <w:rPr>
                <w:rFonts w:ascii="Arial" w:cs="Arial" w:eastAsia="Arial" w:hAnsi="Arial"/>
                <w:sz w:val="16"/>
                <w:szCs w:val="16"/>
                <w:color w:val="auto"/>
              </w:rPr>
              <w:t>6,701</w:t>
            </w:r>
          </w:p>
        </w:tc>
        <w:tc>
          <w:tcPr>
            <w:tcW w:w="900" w:type="dxa"/>
            <w:vAlign w:val="bottom"/>
          </w:tcPr>
          <w:p>
            <w:pPr>
              <w:jc w:val="right"/>
              <w:ind w:right="20"/>
              <w:spacing w:after="0"/>
              <w:rPr>
                <w:sz w:val="20"/>
                <w:szCs w:val="20"/>
                <w:color w:val="auto"/>
              </w:rPr>
            </w:pPr>
            <w:r>
              <w:rPr>
                <w:rFonts w:ascii="Arial" w:cs="Arial" w:eastAsia="Arial" w:hAnsi="Arial"/>
                <w:sz w:val="16"/>
                <w:szCs w:val="16"/>
                <w:color w:val="auto"/>
              </w:rPr>
              <w:t>18</w:t>
            </w:r>
          </w:p>
        </w:tc>
      </w:tr>
      <w:tr>
        <w:trPr>
          <w:trHeight w:val="270"/>
        </w:trPr>
        <w:tc>
          <w:tcPr>
            <w:tcW w:w="8120" w:type="dxa"/>
            <w:vAlign w:val="bottom"/>
          </w:tcPr>
          <w:p>
            <w:pPr>
              <w:ind w:left="180"/>
              <w:spacing w:after="0"/>
              <w:rPr>
                <w:sz w:val="20"/>
                <w:szCs w:val="20"/>
                <w:color w:val="auto"/>
              </w:rPr>
            </w:pPr>
            <w:r>
              <w:rPr>
                <w:rFonts w:ascii="Arial" w:cs="Arial" w:eastAsia="Arial" w:hAnsi="Arial"/>
                <w:sz w:val="16"/>
                <w:szCs w:val="16"/>
                <w:color w:val="auto"/>
              </w:rPr>
              <w:t>SocialCode</w:t>
            </w:r>
          </w:p>
        </w:tc>
        <w:tc>
          <w:tcPr>
            <w:tcW w:w="240" w:type="dxa"/>
            <w:vAlign w:val="bottom"/>
          </w:tcPr>
          <w:p>
            <w:pPr>
              <w:spacing w:after="0"/>
              <w:rPr>
                <w:sz w:val="23"/>
                <w:szCs w:val="23"/>
                <w:color w:val="auto"/>
              </w:rPr>
            </w:pPr>
          </w:p>
        </w:tc>
        <w:tc>
          <w:tcPr>
            <w:tcW w:w="960" w:type="dxa"/>
            <w:vAlign w:val="bottom"/>
          </w:tcPr>
          <w:p>
            <w:pPr>
              <w:jc w:val="right"/>
              <w:ind w:right="60"/>
              <w:spacing w:after="0"/>
              <w:rPr>
                <w:sz w:val="20"/>
                <w:szCs w:val="20"/>
                <w:color w:val="auto"/>
              </w:rPr>
            </w:pPr>
            <w:r>
              <w:rPr>
                <w:rFonts w:ascii="Arial" w:cs="Arial" w:eastAsia="Arial" w:hAnsi="Arial"/>
                <w:sz w:val="16"/>
                <w:szCs w:val="16"/>
                <w:b w:val="1"/>
                <w:bCs w:val="1"/>
                <w:color w:val="auto"/>
              </w:rPr>
              <w:t>333</w:t>
            </w:r>
          </w:p>
        </w:tc>
        <w:tc>
          <w:tcPr>
            <w:tcW w:w="340" w:type="dxa"/>
            <w:vAlign w:val="bottom"/>
          </w:tcPr>
          <w:p>
            <w:pPr>
              <w:spacing w:after="0"/>
              <w:rPr>
                <w:sz w:val="23"/>
                <w:szCs w:val="23"/>
                <w:color w:val="auto"/>
              </w:rPr>
            </w:pPr>
          </w:p>
        </w:tc>
        <w:tc>
          <w:tcPr>
            <w:tcW w:w="86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900" w:type="dxa"/>
            <w:vAlign w:val="bottom"/>
          </w:tcPr>
          <w:p>
            <w:pPr>
              <w:jc w:val="right"/>
              <w:ind w:right="20"/>
              <w:spacing w:after="0"/>
              <w:rPr>
                <w:sz w:val="20"/>
                <w:szCs w:val="20"/>
                <w:color w:val="auto"/>
              </w:rPr>
            </w:pPr>
            <w:r>
              <w:rPr>
                <w:rFonts w:ascii="Arial" w:cs="Arial" w:eastAsia="Arial" w:hAnsi="Arial"/>
                <w:sz w:val="16"/>
                <w:szCs w:val="16"/>
                <w:color w:val="auto"/>
              </w:rPr>
              <w:t>—</w:t>
            </w:r>
          </w:p>
        </w:tc>
      </w:tr>
      <w:tr>
        <w:trPr>
          <w:trHeight w:val="283"/>
        </w:trPr>
        <w:tc>
          <w:tcPr>
            <w:tcW w:w="8120" w:type="dxa"/>
            <w:vAlign w:val="bottom"/>
          </w:tcPr>
          <w:p>
            <w:pPr>
              <w:ind w:left="180"/>
              <w:spacing w:after="0"/>
              <w:rPr>
                <w:sz w:val="20"/>
                <w:szCs w:val="20"/>
                <w:color w:val="auto"/>
              </w:rPr>
            </w:pPr>
            <w:r>
              <w:rPr>
                <w:rFonts w:ascii="Arial" w:cs="Arial" w:eastAsia="Arial" w:hAnsi="Arial"/>
                <w:sz w:val="16"/>
                <w:szCs w:val="16"/>
                <w:color w:val="auto"/>
              </w:rPr>
              <w:t>Other</w:t>
            </w:r>
          </w:p>
        </w:tc>
        <w:tc>
          <w:tcPr>
            <w:tcW w:w="24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jc w:val="right"/>
              <w:ind w:right="60"/>
              <w:spacing w:after="0"/>
              <w:rPr>
                <w:sz w:val="20"/>
                <w:szCs w:val="20"/>
                <w:color w:val="auto"/>
              </w:rPr>
            </w:pPr>
            <w:r>
              <w:rPr>
                <w:rFonts w:ascii="Arial" w:cs="Arial" w:eastAsia="Arial" w:hAnsi="Arial"/>
                <w:sz w:val="16"/>
                <w:szCs w:val="16"/>
                <w:b w:val="1"/>
                <w:bCs w:val="1"/>
                <w:color w:val="auto"/>
              </w:rPr>
              <w:t>—</w:t>
            </w:r>
          </w:p>
        </w:tc>
        <w:tc>
          <w:tcPr>
            <w:tcW w:w="34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1,687</w:t>
            </w:r>
          </w:p>
        </w:tc>
        <w:tc>
          <w:tcPr>
            <w:tcW w:w="900" w:type="dxa"/>
            <w:vAlign w:val="bottom"/>
          </w:tcPr>
          <w:p>
            <w:pPr>
              <w:jc w:val="right"/>
              <w:ind w:right="20"/>
              <w:spacing w:after="0"/>
              <w:rPr>
                <w:sz w:val="20"/>
                <w:szCs w:val="20"/>
                <w:color w:val="auto"/>
              </w:rPr>
            </w:pPr>
            <w:r>
              <w:rPr>
                <w:rFonts w:ascii="Arial" w:cs="Arial" w:eastAsia="Arial" w:hAnsi="Arial"/>
                <w:sz w:val="16"/>
                <w:szCs w:val="16"/>
                <w:color w:val="auto"/>
              </w:rPr>
              <w:t>—</w:t>
            </w:r>
          </w:p>
        </w:tc>
      </w:tr>
      <w:tr>
        <w:trPr>
          <w:trHeight w:val="264"/>
        </w:trPr>
        <w:tc>
          <w:tcPr>
            <w:tcW w:w="8120" w:type="dxa"/>
            <w:vAlign w:val="bottom"/>
          </w:tcPr>
          <w:p>
            <w:pPr>
              <w:spacing w:after="0"/>
              <w:rPr>
                <w:sz w:val="22"/>
                <w:szCs w:val="22"/>
                <w:color w:val="auto"/>
              </w:rPr>
            </w:pPr>
          </w:p>
        </w:tc>
        <w:tc>
          <w:tcPr>
            <w:tcW w:w="24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b w:val="1"/>
                <w:bCs w:val="1"/>
                <w:color w:val="auto"/>
              </w:rPr>
              <w:t>$</w:t>
            </w:r>
          </w:p>
        </w:tc>
        <w:tc>
          <w:tcPr>
            <w:tcW w:w="960" w:type="dxa"/>
            <w:vAlign w:val="bottom"/>
            <w:tcBorders>
              <w:bottom w:val="single" w:sz="8" w:color="auto"/>
            </w:tcBorders>
          </w:tcPr>
          <w:p>
            <w:pPr>
              <w:jc w:val="right"/>
              <w:ind w:right="60"/>
              <w:spacing w:after="0"/>
              <w:rPr>
                <w:sz w:val="20"/>
                <w:szCs w:val="20"/>
                <w:color w:val="auto"/>
              </w:rPr>
            </w:pPr>
            <w:r>
              <w:rPr>
                <w:rFonts w:ascii="Arial" w:cs="Arial" w:eastAsia="Arial" w:hAnsi="Arial"/>
                <w:sz w:val="16"/>
                <w:szCs w:val="16"/>
                <w:b w:val="1"/>
                <w:bCs w:val="1"/>
                <w:color w:val="auto"/>
              </w:rPr>
              <w:t>39,290</w:t>
            </w:r>
          </w:p>
        </w:tc>
        <w:tc>
          <w:tcPr>
            <w:tcW w:w="34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w:t>
            </w:r>
          </w:p>
        </w:tc>
        <w:tc>
          <w:tcPr>
            <w:tcW w:w="86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20,507</w:t>
            </w:r>
          </w:p>
        </w:tc>
        <w:tc>
          <w:tcPr>
            <w:tcW w:w="900" w:type="dxa"/>
            <w:vAlign w:val="bottom"/>
          </w:tcPr>
          <w:p>
            <w:pPr>
              <w:jc w:val="right"/>
              <w:ind w:right="20"/>
              <w:spacing w:after="0"/>
              <w:rPr>
                <w:sz w:val="20"/>
                <w:szCs w:val="20"/>
                <w:color w:val="auto"/>
              </w:rPr>
            </w:pPr>
            <w:r>
              <w:rPr>
                <w:rFonts w:ascii="Arial" w:cs="Arial" w:eastAsia="Arial" w:hAnsi="Arial"/>
                <w:sz w:val="16"/>
                <w:szCs w:val="16"/>
                <w:color w:val="auto"/>
              </w:rPr>
              <w:t>92</w:t>
            </w:r>
          </w:p>
        </w:tc>
      </w:tr>
      <w:tr>
        <w:trPr>
          <w:trHeight w:val="251"/>
        </w:trPr>
        <w:tc>
          <w:tcPr>
            <w:tcW w:w="8120" w:type="dxa"/>
            <w:vAlign w:val="bottom"/>
          </w:tcPr>
          <w:p>
            <w:pPr>
              <w:ind w:left="40"/>
              <w:spacing w:after="0"/>
              <w:rPr>
                <w:sz w:val="20"/>
                <w:szCs w:val="20"/>
                <w:color w:val="auto"/>
              </w:rPr>
            </w:pPr>
            <w:r>
              <w:rPr>
                <w:rFonts w:ascii="Arial" w:cs="Arial" w:eastAsia="Arial" w:hAnsi="Arial"/>
                <w:sz w:val="16"/>
                <w:szCs w:val="16"/>
                <w:b w:val="1"/>
                <w:bCs w:val="1"/>
                <w:color w:val="auto"/>
              </w:rPr>
              <w:t>Pension Expense</w:t>
            </w:r>
          </w:p>
        </w:tc>
        <w:tc>
          <w:tcPr>
            <w:tcW w:w="24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900" w:type="dxa"/>
            <w:vAlign w:val="bottom"/>
          </w:tcPr>
          <w:p>
            <w:pPr>
              <w:spacing w:after="0"/>
              <w:rPr>
                <w:sz w:val="21"/>
                <w:szCs w:val="21"/>
                <w:color w:val="auto"/>
              </w:rPr>
            </w:pPr>
          </w:p>
        </w:tc>
      </w:tr>
      <w:tr>
        <w:trPr>
          <w:trHeight w:val="270"/>
        </w:trPr>
        <w:tc>
          <w:tcPr>
            <w:tcW w:w="8120" w:type="dxa"/>
            <w:vAlign w:val="bottom"/>
          </w:tcPr>
          <w:p>
            <w:pPr>
              <w:ind w:left="180"/>
              <w:spacing w:after="0"/>
              <w:rPr>
                <w:sz w:val="20"/>
                <w:szCs w:val="20"/>
                <w:color w:val="auto"/>
              </w:rPr>
            </w:pPr>
            <w:r>
              <w:rPr>
                <w:rFonts w:ascii="Arial" w:cs="Arial" w:eastAsia="Arial" w:hAnsi="Arial"/>
                <w:sz w:val="16"/>
                <w:szCs w:val="16"/>
                <w:color w:val="auto"/>
              </w:rPr>
              <w:t>Manufacturing</w:t>
            </w:r>
          </w:p>
        </w:tc>
        <w:tc>
          <w:tcPr>
            <w:tcW w:w="240" w:type="dxa"/>
            <w:vAlign w:val="bottom"/>
          </w:tcPr>
          <w:p>
            <w:pPr>
              <w:jc w:val="right"/>
              <w:ind w:right="39"/>
              <w:spacing w:after="0"/>
              <w:rPr>
                <w:sz w:val="20"/>
                <w:szCs w:val="20"/>
                <w:color w:val="auto"/>
              </w:rPr>
            </w:pPr>
            <w:r>
              <w:rPr>
                <w:rFonts w:ascii="Arial" w:cs="Arial" w:eastAsia="Arial" w:hAnsi="Arial"/>
                <w:sz w:val="16"/>
                <w:szCs w:val="16"/>
                <w:b w:val="1"/>
                <w:bCs w:val="1"/>
                <w:color w:val="auto"/>
              </w:rPr>
              <w:t>$</w:t>
            </w:r>
          </w:p>
        </w:tc>
        <w:tc>
          <w:tcPr>
            <w:tcW w:w="960" w:type="dxa"/>
            <w:vAlign w:val="bottom"/>
          </w:tcPr>
          <w:p>
            <w:pPr>
              <w:jc w:val="right"/>
              <w:ind w:right="60"/>
              <w:spacing w:after="0"/>
              <w:rPr>
                <w:sz w:val="20"/>
                <w:szCs w:val="20"/>
                <w:color w:val="auto"/>
              </w:rPr>
            </w:pPr>
            <w:r>
              <w:rPr>
                <w:rFonts w:ascii="Arial" w:cs="Arial" w:eastAsia="Arial" w:hAnsi="Arial"/>
                <w:sz w:val="16"/>
                <w:szCs w:val="16"/>
                <w:b w:val="1"/>
                <w:bCs w:val="1"/>
                <w:color w:val="auto"/>
              </w:rPr>
              <w:t>1,011</w:t>
            </w:r>
          </w:p>
        </w:tc>
        <w:tc>
          <w:tcPr>
            <w:tcW w:w="34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860" w:type="dxa"/>
            <w:vAlign w:val="bottom"/>
          </w:tcPr>
          <w:p>
            <w:pPr>
              <w:jc w:val="right"/>
              <w:ind w:right="19"/>
              <w:spacing w:after="0"/>
              <w:rPr>
                <w:sz w:val="20"/>
                <w:szCs w:val="20"/>
                <w:color w:val="auto"/>
              </w:rPr>
            </w:pPr>
            <w:r>
              <w:rPr>
                <w:rFonts w:ascii="Arial" w:cs="Arial" w:eastAsia="Arial" w:hAnsi="Arial"/>
                <w:sz w:val="16"/>
                <w:szCs w:val="16"/>
                <w:color w:val="auto"/>
              </w:rPr>
              <w:t>86</w:t>
            </w:r>
          </w:p>
        </w:tc>
        <w:tc>
          <w:tcPr>
            <w:tcW w:w="900" w:type="dxa"/>
            <w:vAlign w:val="bottom"/>
          </w:tcPr>
          <w:p>
            <w:pPr>
              <w:jc w:val="right"/>
              <w:ind w:right="20"/>
              <w:spacing w:after="0"/>
              <w:rPr>
                <w:sz w:val="20"/>
                <w:szCs w:val="20"/>
                <w:color w:val="auto"/>
              </w:rPr>
            </w:pPr>
            <w:r>
              <w:rPr>
                <w:rFonts w:ascii="Arial" w:cs="Arial" w:eastAsia="Arial" w:hAnsi="Arial"/>
                <w:sz w:val="16"/>
                <w:szCs w:val="16"/>
                <w:color w:val="auto"/>
              </w:rPr>
              <w:t>—</w:t>
            </w:r>
          </w:p>
        </w:tc>
      </w:tr>
      <w:tr>
        <w:trPr>
          <w:trHeight w:val="270"/>
        </w:trPr>
        <w:tc>
          <w:tcPr>
            <w:tcW w:w="8120" w:type="dxa"/>
            <w:vAlign w:val="bottom"/>
          </w:tcPr>
          <w:p>
            <w:pPr>
              <w:ind w:left="180"/>
              <w:spacing w:after="0"/>
              <w:rPr>
                <w:sz w:val="20"/>
                <w:szCs w:val="20"/>
                <w:color w:val="auto"/>
              </w:rPr>
            </w:pPr>
            <w:r>
              <w:rPr>
                <w:rFonts w:ascii="Arial" w:cs="Arial" w:eastAsia="Arial" w:hAnsi="Arial"/>
                <w:sz w:val="16"/>
                <w:szCs w:val="16"/>
                <w:color w:val="auto"/>
              </w:rPr>
              <w:t>Healthcare</w:t>
            </w:r>
          </w:p>
        </w:tc>
        <w:tc>
          <w:tcPr>
            <w:tcW w:w="240" w:type="dxa"/>
            <w:vAlign w:val="bottom"/>
          </w:tcPr>
          <w:p>
            <w:pPr>
              <w:spacing w:after="0"/>
              <w:rPr>
                <w:sz w:val="23"/>
                <w:szCs w:val="23"/>
                <w:color w:val="auto"/>
              </w:rPr>
            </w:pPr>
          </w:p>
        </w:tc>
        <w:tc>
          <w:tcPr>
            <w:tcW w:w="960" w:type="dxa"/>
            <w:vAlign w:val="bottom"/>
          </w:tcPr>
          <w:p>
            <w:pPr>
              <w:jc w:val="right"/>
              <w:ind w:right="60"/>
              <w:spacing w:after="0"/>
              <w:rPr>
                <w:sz w:val="20"/>
                <w:szCs w:val="20"/>
                <w:color w:val="auto"/>
              </w:rPr>
            </w:pPr>
            <w:r>
              <w:rPr>
                <w:rFonts w:ascii="Arial" w:cs="Arial" w:eastAsia="Arial" w:hAnsi="Arial"/>
                <w:sz w:val="16"/>
                <w:szCs w:val="16"/>
                <w:b w:val="1"/>
                <w:bCs w:val="1"/>
                <w:color w:val="auto"/>
              </w:rPr>
              <w:t>665</w:t>
            </w:r>
          </w:p>
        </w:tc>
        <w:tc>
          <w:tcPr>
            <w:tcW w:w="340" w:type="dxa"/>
            <w:vAlign w:val="bottom"/>
          </w:tcPr>
          <w:p>
            <w:pPr>
              <w:spacing w:after="0"/>
              <w:rPr>
                <w:sz w:val="23"/>
                <w:szCs w:val="23"/>
                <w:color w:val="auto"/>
              </w:rPr>
            </w:pPr>
          </w:p>
        </w:tc>
        <w:tc>
          <w:tcPr>
            <w:tcW w:w="86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900" w:type="dxa"/>
            <w:vAlign w:val="bottom"/>
          </w:tcPr>
          <w:p>
            <w:pPr>
              <w:jc w:val="right"/>
              <w:ind w:right="20"/>
              <w:spacing w:after="0"/>
              <w:rPr>
                <w:sz w:val="20"/>
                <w:szCs w:val="20"/>
                <w:color w:val="auto"/>
              </w:rPr>
            </w:pPr>
            <w:r>
              <w:rPr>
                <w:rFonts w:ascii="Arial" w:cs="Arial" w:eastAsia="Arial" w:hAnsi="Arial"/>
                <w:sz w:val="16"/>
                <w:szCs w:val="16"/>
                <w:color w:val="auto"/>
              </w:rPr>
              <w:t>—</w:t>
            </w:r>
          </w:p>
        </w:tc>
      </w:tr>
      <w:tr>
        <w:trPr>
          <w:trHeight w:val="270"/>
        </w:trPr>
        <w:tc>
          <w:tcPr>
            <w:tcW w:w="8120" w:type="dxa"/>
            <w:vAlign w:val="bottom"/>
          </w:tcPr>
          <w:p>
            <w:pPr>
              <w:ind w:left="180"/>
              <w:spacing w:after="0"/>
              <w:rPr>
                <w:sz w:val="20"/>
                <w:szCs w:val="20"/>
                <w:color w:val="auto"/>
              </w:rPr>
            </w:pPr>
            <w:r>
              <w:rPr>
                <w:rFonts w:ascii="Arial" w:cs="Arial" w:eastAsia="Arial" w:hAnsi="Arial"/>
                <w:sz w:val="16"/>
                <w:szCs w:val="16"/>
                <w:color w:val="auto"/>
              </w:rPr>
              <w:t>SocialCode</w:t>
            </w:r>
          </w:p>
        </w:tc>
        <w:tc>
          <w:tcPr>
            <w:tcW w:w="240" w:type="dxa"/>
            <w:vAlign w:val="bottom"/>
          </w:tcPr>
          <w:p>
            <w:pPr>
              <w:spacing w:after="0"/>
              <w:rPr>
                <w:sz w:val="23"/>
                <w:szCs w:val="23"/>
                <w:color w:val="auto"/>
              </w:rPr>
            </w:pPr>
          </w:p>
        </w:tc>
        <w:tc>
          <w:tcPr>
            <w:tcW w:w="960" w:type="dxa"/>
            <w:vAlign w:val="bottom"/>
          </w:tcPr>
          <w:p>
            <w:pPr>
              <w:jc w:val="right"/>
              <w:ind w:right="60"/>
              <w:spacing w:after="0"/>
              <w:rPr>
                <w:sz w:val="20"/>
                <w:szCs w:val="20"/>
                <w:color w:val="auto"/>
              </w:rPr>
            </w:pPr>
            <w:r>
              <w:rPr>
                <w:rFonts w:ascii="Arial" w:cs="Arial" w:eastAsia="Arial" w:hAnsi="Arial"/>
                <w:sz w:val="16"/>
                <w:szCs w:val="16"/>
                <w:b w:val="1"/>
                <w:bCs w:val="1"/>
                <w:color w:val="auto"/>
              </w:rPr>
              <w:t>593</w:t>
            </w:r>
          </w:p>
        </w:tc>
        <w:tc>
          <w:tcPr>
            <w:tcW w:w="340" w:type="dxa"/>
            <w:vAlign w:val="bottom"/>
          </w:tcPr>
          <w:p>
            <w:pPr>
              <w:spacing w:after="0"/>
              <w:rPr>
                <w:sz w:val="23"/>
                <w:szCs w:val="23"/>
                <w:color w:val="auto"/>
              </w:rPr>
            </w:pPr>
          </w:p>
        </w:tc>
        <w:tc>
          <w:tcPr>
            <w:tcW w:w="860" w:type="dxa"/>
            <w:vAlign w:val="bottom"/>
          </w:tcPr>
          <w:p>
            <w:pPr>
              <w:jc w:val="right"/>
              <w:ind w:right="19"/>
              <w:spacing w:after="0"/>
              <w:rPr>
                <w:sz w:val="20"/>
                <w:szCs w:val="20"/>
                <w:color w:val="auto"/>
              </w:rPr>
            </w:pPr>
            <w:r>
              <w:rPr>
                <w:rFonts w:ascii="Arial" w:cs="Arial" w:eastAsia="Arial" w:hAnsi="Arial"/>
                <w:sz w:val="16"/>
                <w:szCs w:val="16"/>
                <w:color w:val="auto"/>
              </w:rPr>
              <w:t>541</w:t>
            </w:r>
          </w:p>
        </w:tc>
        <w:tc>
          <w:tcPr>
            <w:tcW w:w="900" w:type="dxa"/>
            <w:vAlign w:val="bottom"/>
          </w:tcPr>
          <w:p>
            <w:pPr>
              <w:jc w:val="right"/>
              <w:ind w:right="20"/>
              <w:spacing w:after="0"/>
              <w:rPr>
                <w:sz w:val="20"/>
                <w:szCs w:val="20"/>
                <w:color w:val="auto"/>
              </w:rPr>
            </w:pPr>
            <w:r>
              <w:rPr>
                <w:rFonts w:ascii="Arial" w:cs="Arial" w:eastAsia="Arial" w:hAnsi="Arial"/>
                <w:sz w:val="16"/>
                <w:szCs w:val="16"/>
                <w:color w:val="auto"/>
              </w:rPr>
              <w:t>10</w:t>
            </w:r>
          </w:p>
        </w:tc>
      </w:tr>
      <w:tr>
        <w:trPr>
          <w:trHeight w:val="283"/>
        </w:trPr>
        <w:tc>
          <w:tcPr>
            <w:tcW w:w="8120" w:type="dxa"/>
            <w:vAlign w:val="bottom"/>
          </w:tcPr>
          <w:p>
            <w:pPr>
              <w:ind w:left="180"/>
              <w:spacing w:after="0"/>
              <w:rPr>
                <w:sz w:val="20"/>
                <w:szCs w:val="20"/>
                <w:color w:val="auto"/>
              </w:rPr>
            </w:pPr>
            <w:r>
              <w:rPr>
                <w:rFonts w:ascii="Arial" w:cs="Arial" w:eastAsia="Arial" w:hAnsi="Arial"/>
                <w:sz w:val="16"/>
                <w:szCs w:val="16"/>
                <w:color w:val="auto"/>
              </w:rPr>
              <w:t>Other</w:t>
            </w:r>
          </w:p>
        </w:tc>
        <w:tc>
          <w:tcPr>
            <w:tcW w:w="24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jc w:val="right"/>
              <w:ind w:right="60"/>
              <w:spacing w:after="0"/>
              <w:rPr>
                <w:sz w:val="20"/>
                <w:szCs w:val="20"/>
                <w:color w:val="auto"/>
              </w:rPr>
            </w:pPr>
            <w:r>
              <w:rPr>
                <w:rFonts w:ascii="Arial" w:cs="Arial" w:eastAsia="Arial" w:hAnsi="Arial"/>
                <w:sz w:val="16"/>
                <w:szCs w:val="16"/>
                <w:b w:val="1"/>
                <w:bCs w:val="1"/>
                <w:color w:val="auto"/>
              </w:rPr>
              <w:t>453</w:t>
            </w:r>
          </w:p>
        </w:tc>
        <w:tc>
          <w:tcPr>
            <w:tcW w:w="34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491</w:t>
            </w:r>
          </w:p>
        </w:tc>
        <w:tc>
          <w:tcPr>
            <w:tcW w:w="900" w:type="dxa"/>
            <w:vAlign w:val="bottom"/>
          </w:tcPr>
          <w:p>
            <w:pPr>
              <w:jc w:val="right"/>
              <w:spacing w:after="0"/>
              <w:rPr>
                <w:sz w:val="20"/>
                <w:szCs w:val="20"/>
                <w:color w:val="auto"/>
              </w:rPr>
            </w:pPr>
            <w:r>
              <w:rPr>
                <w:rFonts w:ascii="Arial" w:cs="Arial" w:eastAsia="Arial" w:hAnsi="Arial"/>
                <w:sz w:val="16"/>
                <w:szCs w:val="16"/>
                <w:color w:val="auto"/>
              </w:rPr>
              <w:t>(8)</w:t>
            </w:r>
          </w:p>
        </w:tc>
      </w:tr>
      <w:tr>
        <w:trPr>
          <w:trHeight w:val="264"/>
        </w:trPr>
        <w:tc>
          <w:tcPr>
            <w:tcW w:w="8120" w:type="dxa"/>
            <w:vAlign w:val="bottom"/>
          </w:tcPr>
          <w:p>
            <w:pPr>
              <w:spacing w:after="0"/>
              <w:rPr>
                <w:sz w:val="22"/>
                <w:szCs w:val="22"/>
                <w:color w:val="auto"/>
              </w:rPr>
            </w:pPr>
          </w:p>
        </w:tc>
        <w:tc>
          <w:tcPr>
            <w:tcW w:w="24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b w:val="1"/>
                <w:bCs w:val="1"/>
                <w:color w:val="auto"/>
              </w:rPr>
              <w:t>$</w:t>
            </w:r>
          </w:p>
        </w:tc>
        <w:tc>
          <w:tcPr>
            <w:tcW w:w="960" w:type="dxa"/>
            <w:vAlign w:val="bottom"/>
            <w:tcBorders>
              <w:bottom w:val="single" w:sz="8" w:color="auto"/>
            </w:tcBorders>
          </w:tcPr>
          <w:p>
            <w:pPr>
              <w:jc w:val="right"/>
              <w:ind w:right="60"/>
              <w:spacing w:after="0"/>
              <w:rPr>
                <w:sz w:val="20"/>
                <w:szCs w:val="20"/>
                <w:color w:val="auto"/>
              </w:rPr>
            </w:pPr>
            <w:r>
              <w:rPr>
                <w:rFonts w:ascii="Arial" w:cs="Arial" w:eastAsia="Arial" w:hAnsi="Arial"/>
                <w:sz w:val="16"/>
                <w:szCs w:val="16"/>
                <w:b w:val="1"/>
                <w:bCs w:val="1"/>
                <w:color w:val="auto"/>
              </w:rPr>
              <w:t>2,722</w:t>
            </w:r>
          </w:p>
        </w:tc>
        <w:tc>
          <w:tcPr>
            <w:tcW w:w="34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w:t>
            </w:r>
          </w:p>
        </w:tc>
        <w:tc>
          <w:tcPr>
            <w:tcW w:w="86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1,118</w:t>
            </w:r>
          </w:p>
        </w:tc>
        <w:tc>
          <w:tcPr>
            <w:tcW w:w="900" w:type="dxa"/>
            <w:vAlign w:val="bottom"/>
          </w:tcPr>
          <w:p>
            <w:pPr>
              <w:jc w:val="right"/>
              <w:ind w:right="20"/>
              <w:spacing w:after="0"/>
              <w:rPr>
                <w:sz w:val="20"/>
                <w:szCs w:val="20"/>
                <w:color w:val="auto"/>
              </w:rPr>
            </w:pPr>
            <w:r>
              <w:rPr>
                <w:rFonts w:ascii="Arial" w:cs="Arial" w:eastAsia="Arial" w:hAnsi="Arial"/>
                <w:sz w:val="16"/>
                <w:szCs w:val="16"/>
                <w:color w:val="auto"/>
              </w:rPr>
              <w:t>—</w:t>
            </w:r>
          </w:p>
        </w:tc>
      </w:tr>
    </w:tbl>
    <w:p>
      <w:pPr>
        <w:spacing w:after="0" w:line="148" w:lineRule="exact"/>
        <w:rPr>
          <w:sz w:val="20"/>
          <w:szCs w:val="20"/>
          <w:color w:val="auto"/>
        </w:rPr>
      </w:pPr>
    </w:p>
    <w:p>
      <w:pPr>
        <w:ind w:right="140"/>
        <w:spacing w:after="0" w:line="224" w:lineRule="auto"/>
        <w:rPr>
          <w:sz w:val="20"/>
          <w:szCs w:val="20"/>
          <w:color w:val="auto"/>
        </w:rPr>
      </w:pPr>
      <w:r>
        <w:rPr>
          <w:rFonts w:ascii="Arial" w:cs="Arial" w:eastAsia="Arial" w:hAnsi="Arial"/>
          <w:sz w:val="18"/>
          <w:szCs w:val="18"/>
          <w:color w:val="auto"/>
        </w:rPr>
        <w:t>Manufacturing includes four businesses: Dekko, a manufacturer of electrical workspace solutions, architectural lighting and electrical components and assemblies; Joyce/Dayton Corp., a manufacturer of screw jacks and other linear motion systems; Forney, a supplier of products and systems that control and monitor combustion processes in electric utility and industrial applications; and Hoover Treated Wood Products, Inc., a supplier of pressure impregnated kiln-dried lumber and plywood products for fire retardant and preservative applications that the Company acquired in April 2017. In September 2016, Dekko acquired Electri-Cable Assemblies (ECA), a manufacturer of power, data and electrical solutions for the office furniture industry.</w:t>
      </w:r>
    </w:p>
    <w:p>
      <w:pPr>
        <w:spacing w:after="0" w:line="137" w:lineRule="exact"/>
        <w:rPr>
          <w:sz w:val="20"/>
          <w:szCs w:val="20"/>
          <w:color w:val="auto"/>
        </w:rPr>
      </w:pPr>
    </w:p>
    <w:p>
      <w:pPr>
        <w:ind w:right="60"/>
        <w:spacing w:after="0" w:line="225" w:lineRule="auto"/>
        <w:rPr>
          <w:sz w:val="20"/>
          <w:szCs w:val="20"/>
          <w:color w:val="auto"/>
        </w:rPr>
      </w:pPr>
      <w:r>
        <w:rPr>
          <w:rFonts w:ascii="Arial" w:cs="Arial" w:eastAsia="Arial" w:hAnsi="Arial"/>
          <w:sz w:val="18"/>
          <w:szCs w:val="18"/>
          <w:color w:val="auto"/>
        </w:rPr>
        <w:t>In the second quarter of 2017, the Company recorded a $9.2 million goodwill and other long-lived asset impairment charge at Forney, due to lower than expected revenues resulting from sluggish overall demand for its energy products. Excluding this impairment charge, manufacturing revenues and operating income increased in 2017 due to the Hoover acquisition and growth and improved results at Dekko, including the ECA acquisition, offset by a decline in results at Forney, which included $1.2 million in expense related to a separation incentive program implemented in the third quarter of 2017 that was mostly funded from the assets of the Company’s pension plan.</w:t>
      </w:r>
    </w:p>
    <w:p>
      <w:pPr>
        <w:sectPr>
          <w:pgSz w:w="11900" w:h="16838" w:orient="portrait"/>
          <w:cols w:equalWidth="0" w:num="1">
            <w:col w:w="11420"/>
          </w:cols>
          <w:pgMar w:left="240" w:top="724" w:right="239" w:bottom="1440" w:gutter="0" w:footer="0" w:header="0"/>
        </w:sectPr>
      </w:pPr>
    </w:p>
    <w:p>
      <w:pPr>
        <w:spacing w:after="0" w:line="200" w:lineRule="exact"/>
        <w:rPr>
          <w:sz w:val="20"/>
          <w:szCs w:val="20"/>
          <w:color w:val="auto"/>
        </w:rPr>
      </w:pPr>
    </w:p>
    <w:p>
      <w:pPr>
        <w:spacing w:after="0" w:line="302"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52</w:t>
      </w:r>
    </w:p>
    <w:p>
      <w:pPr>
        <w:sectPr>
          <w:pgSz w:w="11900" w:h="16838" w:orient="portrait"/>
          <w:cols w:equalWidth="0" w:num="1">
            <w:col w:w="11420"/>
          </w:cols>
          <w:pgMar w:left="240" w:top="724" w:right="239" w:bottom="1440" w:gutter="0" w:footer="0" w:header="0"/>
          <w:type w:val="continuous"/>
        </w:sectPr>
      </w:pPr>
    </w:p>
    <w:bookmarkStart w:id="54" w:name="page55"/>
    <w:bookmarkEnd w:id="54"/>
    <w:p>
      <w:pPr>
        <w:spacing w:after="0" w:line="224" w:lineRule="auto"/>
        <w:rPr>
          <w:sz w:val="20"/>
          <w:szCs w:val="20"/>
          <w:color w:val="auto"/>
        </w:rPr>
      </w:pPr>
      <w:r>
        <w:rPr>
          <w:rFonts w:ascii="Arial" w:cs="Arial" w:eastAsia="Arial" w:hAnsi="Arial"/>
          <w:sz w:val="18"/>
          <w:szCs w:val="18"/>
          <w:color w:val="auto"/>
        </w:rPr>
        <w:t>Graham Healthcare Group (GHG) provides home health and hospice services in three states. In June 2016, the Company acquired the outstanding 20% redeemable noncontrolling interest in Residential Healthcare (Residential). Also in June 2016, Celtic Healthcare (Celtic) and Residential combined their business operations and the Company now owns 90% of the combined entity. The Company incurred approximately $2.0 million in expenses in conjunction with these transactions in the second quarter of 2016. At the end of June 2017, GHG acquired Hometown Home Health and Hospice, a Lapeer, MI-based healthcare services provider. Healthcare revenues increased 5% in 2017, while operating results were down, due largely to increased bad debt expenses and higher information systems and other integration costs.</w:t>
      </w:r>
    </w:p>
    <w:p>
      <w:pPr>
        <w:spacing w:after="0" w:line="137" w:lineRule="exact"/>
        <w:rPr>
          <w:sz w:val="20"/>
          <w:szCs w:val="20"/>
          <w:color w:val="auto"/>
        </w:rPr>
      </w:pPr>
    </w:p>
    <w:p>
      <w:pPr>
        <w:ind w:right="400"/>
        <w:spacing w:after="0" w:line="227" w:lineRule="auto"/>
        <w:rPr>
          <w:sz w:val="20"/>
          <w:szCs w:val="20"/>
          <w:color w:val="auto"/>
        </w:rPr>
      </w:pPr>
      <w:r>
        <w:rPr>
          <w:rFonts w:ascii="Arial" w:cs="Arial" w:eastAsia="Arial" w:hAnsi="Arial"/>
          <w:sz w:val="18"/>
          <w:szCs w:val="18"/>
          <w:color w:val="auto"/>
        </w:rPr>
        <w:t>In June 2016, Residential and a Michigan hospital formed a joint venture to provide home health services to West Michigan patients. GHG manages the operations of the joint venture and holds a 40% interest. The pro rata operating results of the joint venture are included in the Company’s equity in earnings of affiliates. In connection with this transaction, the Company recorded a pre-tax gain of $3.2 million in the second quarter of 2016 that is included in other income (expense), net.</w:t>
      </w:r>
    </w:p>
    <w:p>
      <w:pPr>
        <w:spacing w:after="0" w:line="135" w:lineRule="exact"/>
        <w:rPr>
          <w:sz w:val="20"/>
          <w:szCs w:val="20"/>
          <w:color w:val="auto"/>
        </w:rPr>
      </w:pPr>
    </w:p>
    <w:p>
      <w:pPr>
        <w:ind w:right="80"/>
        <w:spacing w:after="0" w:line="225" w:lineRule="auto"/>
        <w:rPr>
          <w:sz w:val="20"/>
          <w:szCs w:val="20"/>
          <w:color w:val="auto"/>
        </w:rPr>
      </w:pPr>
      <w:r>
        <w:rPr>
          <w:rFonts w:ascii="Arial" w:cs="Arial" w:eastAsia="Arial" w:hAnsi="Arial"/>
          <w:sz w:val="18"/>
          <w:szCs w:val="18"/>
          <w:color w:val="auto"/>
        </w:rPr>
        <w:t>SocialCode is a provider of marketing solutions on social, mobile and video platforms. SocialCode revenue increased 5% in 2017, due to continued growth in digital advertising service revenues. SocialCode reported an operating loss of $3.7 million in 2017 compared to $12.4 million in 2016. SocialCode’s operating results included incentive accruals of $1.4 million related to phantom equity appreciation plans in 2017; whereas 2016 results included incentive accruals of $12.8 million related to phantom equity plans. As of December 31, 2017, the accrual balance related to these plans was $15.1 million.</w:t>
      </w:r>
    </w:p>
    <w:p>
      <w:pPr>
        <w:spacing w:after="0" w:line="137" w:lineRule="exact"/>
        <w:rPr>
          <w:sz w:val="20"/>
          <w:szCs w:val="20"/>
          <w:color w:val="auto"/>
        </w:rPr>
      </w:pPr>
    </w:p>
    <w:p>
      <w:pPr>
        <w:ind w:right="400"/>
        <w:spacing w:after="0" w:line="235" w:lineRule="auto"/>
        <w:rPr>
          <w:sz w:val="20"/>
          <w:szCs w:val="20"/>
          <w:color w:val="auto"/>
        </w:rPr>
      </w:pPr>
      <w:r>
        <w:rPr>
          <w:rFonts w:ascii="Arial" w:cs="Arial" w:eastAsia="Arial" w:hAnsi="Arial"/>
          <w:sz w:val="18"/>
          <w:szCs w:val="18"/>
          <w:color w:val="auto"/>
        </w:rPr>
        <w:t>Other businesses also include Slate and Foreign Policy, which publish online and print magazines and websites; and two investment stage businesses, Panoply and CyberVista. Losses from each of these businesses in 2017 adversely affected operating results.</w:t>
      </w:r>
    </w:p>
    <w:p>
      <w:pPr>
        <w:spacing w:after="0" w:line="113" w:lineRule="exact"/>
        <w:rPr>
          <w:sz w:val="20"/>
          <w:szCs w:val="20"/>
          <w:color w:val="auto"/>
        </w:rPr>
      </w:pPr>
    </w:p>
    <w:p>
      <w:pPr>
        <w:ind w:right="140"/>
        <w:spacing w:after="0" w:line="238" w:lineRule="auto"/>
        <w:rPr>
          <w:sz w:val="20"/>
          <w:szCs w:val="20"/>
          <w:color w:val="auto"/>
        </w:rPr>
      </w:pPr>
      <w:r>
        <w:rPr>
          <w:rFonts w:ascii="Arial" w:cs="Arial" w:eastAsia="Arial" w:hAnsi="Arial"/>
          <w:sz w:val="18"/>
          <w:szCs w:val="18"/>
          <w:b w:val="1"/>
          <w:bCs w:val="1"/>
          <w:color w:val="auto"/>
        </w:rPr>
        <w:t xml:space="preserve">Corporate Office. </w:t>
      </w:r>
      <w:r>
        <w:rPr>
          <w:rFonts w:ascii="Arial" w:cs="Arial" w:eastAsia="Arial" w:hAnsi="Arial"/>
          <w:sz w:val="18"/>
          <w:szCs w:val="18"/>
          <w:color w:val="auto"/>
        </w:rPr>
        <w:t>Corporate office includes the expenses of the Company’s corporate office, the pension credit for the Company’s traditional</w:t>
      </w:r>
      <w:r>
        <w:rPr>
          <w:rFonts w:ascii="Arial" w:cs="Arial" w:eastAsia="Arial" w:hAnsi="Arial"/>
          <w:sz w:val="18"/>
          <w:szCs w:val="18"/>
          <w:b w:val="1"/>
          <w:bCs w:val="1"/>
          <w:color w:val="auto"/>
        </w:rPr>
        <w:t xml:space="preserve"> </w:t>
      </w:r>
      <w:r>
        <w:rPr>
          <w:rFonts w:ascii="Arial" w:cs="Arial" w:eastAsia="Arial" w:hAnsi="Arial"/>
          <w:sz w:val="18"/>
          <w:szCs w:val="18"/>
          <w:color w:val="auto"/>
        </w:rPr>
        <w:t>defined benefit plan and certain continuing obligations related to prior business dispositions. In the fourth quarter of 2016, the Company recorded an $18.0 million gain related to a bulk lump sum pension program offering.</w:t>
      </w:r>
    </w:p>
    <w:p>
      <w:pPr>
        <w:spacing w:after="0" w:line="136" w:lineRule="exact"/>
        <w:rPr>
          <w:sz w:val="20"/>
          <w:szCs w:val="20"/>
          <w:color w:val="auto"/>
        </w:rPr>
      </w:pPr>
    </w:p>
    <w:p>
      <w:pPr>
        <w:ind w:right="280"/>
        <w:spacing w:after="0" w:line="235" w:lineRule="auto"/>
        <w:rPr>
          <w:sz w:val="20"/>
          <w:szCs w:val="20"/>
          <w:color w:val="auto"/>
        </w:rPr>
      </w:pPr>
      <w:r>
        <w:rPr>
          <w:rFonts w:ascii="Arial" w:cs="Arial" w:eastAsia="Arial" w:hAnsi="Arial"/>
          <w:sz w:val="18"/>
          <w:szCs w:val="18"/>
          <w:color w:val="auto"/>
        </w:rPr>
        <w:t>Excluding the pension gain, the total pension credit for the Company’s traditional defined benefit plan was $72.9 million and $64.1 million for 2017 and 2016, respectively.</w:t>
      </w:r>
    </w:p>
    <w:p>
      <w:pPr>
        <w:spacing w:after="0" w:line="135" w:lineRule="exact"/>
        <w:rPr>
          <w:sz w:val="20"/>
          <w:szCs w:val="20"/>
          <w:color w:val="auto"/>
        </w:rPr>
      </w:pPr>
    </w:p>
    <w:p>
      <w:pPr>
        <w:spacing w:after="0"/>
        <w:rPr>
          <w:sz w:val="20"/>
          <w:szCs w:val="20"/>
          <w:color w:val="auto"/>
        </w:rPr>
      </w:pPr>
      <w:r>
        <w:rPr>
          <w:rFonts w:ascii="Arial" w:cs="Arial" w:eastAsia="Arial" w:hAnsi="Arial"/>
          <w:sz w:val="18"/>
          <w:szCs w:val="18"/>
          <w:color w:val="auto"/>
        </w:rPr>
        <w:t>Excluding the pension credit, corporate office expenses increased slightly in 2017 due primarily to higher professional services costs.</w:t>
      </w:r>
    </w:p>
    <w:p>
      <w:pPr>
        <w:spacing w:after="0" w:line="122" w:lineRule="exact"/>
        <w:rPr>
          <w:sz w:val="20"/>
          <w:szCs w:val="20"/>
          <w:color w:val="auto"/>
        </w:rPr>
      </w:pPr>
    </w:p>
    <w:p>
      <w:pPr>
        <w:ind w:right="120"/>
        <w:spacing w:after="0" w:line="228" w:lineRule="auto"/>
        <w:rPr>
          <w:sz w:val="20"/>
          <w:szCs w:val="20"/>
          <w:color w:val="auto"/>
        </w:rPr>
      </w:pPr>
      <w:r>
        <w:rPr>
          <w:rFonts w:ascii="Arial" w:cs="Arial" w:eastAsia="Arial" w:hAnsi="Arial"/>
          <w:sz w:val="18"/>
          <w:szCs w:val="18"/>
          <w:b w:val="1"/>
          <w:bCs w:val="1"/>
          <w:color w:val="auto"/>
        </w:rPr>
        <w:t xml:space="preserve">Equity in Losses of Affiliates. </w:t>
      </w:r>
      <w:r>
        <w:rPr>
          <w:rFonts w:ascii="Arial" w:cs="Arial" w:eastAsia="Arial" w:hAnsi="Arial"/>
          <w:sz w:val="18"/>
          <w:szCs w:val="18"/>
          <w:color w:val="auto"/>
        </w:rPr>
        <w:t>At December 31, 2017, the Company held interests in a number of home health and hospice joint ventures,</w:t>
      </w:r>
      <w:r>
        <w:rPr>
          <w:rFonts w:ascii="Arial" w:cs="Arial" w:eastAsia="Arial" w:hAnsi="Arial"/>
          <w:sz w:val="18"/>
          <w:szCs w:val="18"/>
          <w:b w:val="1"/>
          <w:bCs w:val="1"/>
          <w:color w:val="auto"/>
        </w:rPr>
        <w:t xml:space="preserve"> </w:t>
      </w:r>
      <w:r>
        <w:rPr>
          <w:rFonts w:ascii="Arial" w:cs="Arial" w:eastAsia="Arial" w:hAnsi="Arial"/>
          <w:sz w:val="18"/>
          <w:szCs w:val="18"/>
          <w:color w:val="auto"/>
        </w:rPr>
        <w:t>and interests in several other affiliates. During 2017, the Company acquired approximately 11% of Intersection Holdings, LLC, a company that provides digital marketing and advertising services and products for cities, transit systems, airports, and other public and private spaces. The Company recorded equity in losses of affiliates of $3.2 million for 2017, compared to $7.9 million in 2016. In the fourth quarter of 2016, the Company recorded an $8.4 million write-down on its investment in HomeHero, a company that managed an online senior home care marketplace.</w:t>
      </w:r>
    </w:p>
    <w:p>
      <w:pPr>
        <w:spacing w:after="0" w:line="117" w:lineRule="exact"/>
        <w:rPr>
          <w:sz w:val="20"/>
          <w:szCs w:val="20"/>
          <w:color w:val="auto"/>
        </w:rPr>
      </w:pPr>
    </w:p>
    <w:p>
      <w:pPr>
        <w:ind w:right="40"/>
        <w:spacing w:after="0" w:line="256" w:lineRule="auto"/>
        <w:rPr>
          <w:sz w:val="20"/>
          <w:szCs w:val="20"/>
          <w:color w:val="auto"/>
        </w:rPr>
      </w:pPr>
      <w:r>
        <w:rPr>
          <w:rFonts w:ascii="Arial" w:cs="Arial" w:eastAsia="Arial" w:hAnsi="Arial"/>
          <w:sz w:val="18"/>
          <w:szCs w:val="18"/>
          <w:b w:val="1"/>
          <w:bCs w:val="1"/>
          <w:color w:val="auto"/>
        </w:rPr>
        <w:t xml:space="preserve">Other Non-Operating Income (Expense). </w:t>
      </w:r>
      <w:r>
        <w:rPr>
          <w:rFonts w:ascii="Arial" w:cs="Arial" w:eastAsia="Arial" w:hAnsi="Arial"/>
          <w:sz w:val="18"/>
          <w:szCs w:val="18"/>
          <w:color w:val="auto"/>
        </w:rPr>
        <w:t>The Company recorded total other non-operating income, net, of $4.2 million in 2017, compared to</w:t>
      </w:r>
      <w:r>
        <w:rPr>
          <w:rFonts w:ascii="Arial" w:cs="Arial" w:eastAsia="Arial" w:hAnsi="Arial"/>
          <w:sz w:val="18"/>
          <w:szCs w:val="18"/>
          <w:b w:val="1"/>
          <w:bCs w:val="1"/>
          <w:color w:val="auto"/>
        </w:rPr>
        <w:t xml:space="preserve"> </w:t>
      </w:r>
      <w:r>
        <w:rPr>
          <w:rFonts w:ascii="Arial" w:cs="Arial" w:eastAsia="Arial" w:hAnsi="Arial"/>
          <w:sz w:val="18"/>
          <w:szCs w:val="18"/>
          <w:color w:val="auto"/>
        </w:rPr>
        <w:t>non-operating expense, net, of $12.6 million in 2016.</w:t>
      </w:r>
    </w:p>
    <w:p>
      <w:pPr>
        <w:spacing w:after="0" w:line="134" w:lineRule="exact"/>
        <w:rPr>
          <w:sz w:val="20"/>
          <w:szCs w:val="20"/>
          <w:color w:val="auto"/>
        </w:rPr>
      </w:pPr>
    </w:p>
    <w:p>
      <w:pPr>
        <w:ind w:right="80"/>
        <w:spacing w:after="0" w:line="254" w:lineRule="auto"/>
        <w:rPr>
          <w:sz w:val="20"/>
          <w:szCs w:val="20"/>
          <w:color w:val="auto"/>
        </w:rPr>
      </w:pPr>
      <w:r>
        <w:rPr>
          <w:rFonts w:ascii="Arial" w:cs="Arial" w:eastAsia="Arial" w:hAnsi="Arial"/>
          <w:sz w:val="18"/>
          <w:szCs w:val="18"/>
          <w:color w:val="auto"/>
        </w:rPr>
        <w:t>The 2017 non-operating income, net, included $3.3 million in foreign currency gains and other items. The 2016 non-operating expense, net, included $39.9 million in foreign currency losses; $29.4 million in cost method investment write-downs; and $1.8 million in net losses on the sales of marketable securities, partially offset by a $34.1 million gain on the sale of land; an $18.9 million gain on the sale of a business; a $3.2 million gain on the Residential joint venture transaction and other items.</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Net Interest Expense. </w:t>
      </w:r>
      <w:r>
        <w:rPr>
          <w:rFonts w:ascii="Arial" w:cs="Arial" w:eastAsia="Arial" w:hAnsi="Arial"/>
          <w:sz w:val="18"/>
          <w:szCs w:val="18"/>
          <w:color w:val="auto"/>
        </w:rPr>
        <w:t>The Company incurred net interest expense of $27.3 million in 2017, compared to $32.3 million in 2016. At</w:t>
      </w:r>
    </w:p>
    <w:p>
      <w:pPr>
        <w:spacing w:after="0" w:line="4" w:lineRule="exact"/>
        <w:rPr>
          <w:sz w:val="20"/>
          <w:szCs w:val="20"/>
          <w:color w:val="auto"/>
        </w:rPr>
      </w:pPr>
    </w:p>
    <w:p>
      <w:pPr>
        <w:spacing w:after="0" w:line="235" w:lineRule="auto"/>
        <w:rPr>
          <w:sz w:val="20"/>
          <w:szCs w:val="20"/>
          <w:color w:val="auto"/>
        </w:rPr>
      </w:pPr>
      <w:r>
        <w:rPr>
          <w:rFonts w:ascii="Arial" w:cs="Arial" w:eastAsia="Arial" w:hAnsi="Arial"/>
          <w:sz w:val="18"/>
          <w:szCs w:val="18"/>
          <w:color w:val="auto"/>
        </w:rPr>
        <w:t>December 31, 2017, the Company had $493.3 million in borrowings outstanding at an average interest rate of 6.3%; at December 31, 2016, the Company had $491.8 million in borrowings outstanding at an average interest rate of 6.3%.</w:t>
      </w:r>
    </w:p>
    <w:p>
      <w:pPr>
        <w:spacing w:after="0" w:line="113" w:lineRule="exact"/>
        <w:rPr>
          <w:sz w:val="20"/>
          <w:szCs w:val="20"/>
          <w:color w:val="auto"/>
        </w:rPr>
      </w:pPr>
    </w:p>
    <w:p>
      <w:pPr>
        <w:ind w:right="200"/>
        <w:spacing w:after="0" w:line="230" w:lineRule="auto"/>
        <w:rPr>
          <w:sz w:val="20"/>
          <w:szCs w:val="20"/>
          <w:color w:val="auto"/>
        </w:rPr>
      </w:pPr>
      <w:r>
        <w:rPr>
          <w:rFonts w:ascii="Arial" w:cs="Arial" w:eastAsia="Arial" w:hAnsi="Arial"/>
          <w:sz w:val="18"/>
          <w:szCs w:val="18"/>
          <w:b w:val="1"/>
          <w:bCs w:val="1"/>
          <w:color w:val="auto"/>
        </w:rPr>
        <w:t xml:space="preserve">(Benefit from) Provision for Income Taxes. </w:t>
      </w:r>
      <w:r>
        <w:rPr>
          <w:rFonts w:ascii="Arial" w:cs="Arial" w:eastAsia="Arial" w:hAnsi="Arial"/>
          <w:sz w:val="18"/>
          <w:szCs w:val="18"/>
          <w:color w:val="auto"/>
        </w:rPr>
        <w:t>The Company is reporting an income tax benefit of $119.7 million for 2017, which was</w:t>
      </w:r>
      <w:r>
        <w:rPr>
          <w:rFonts w:ascii="Arial" w:cs="Arial" w:eastAsia="Arial" w:hAnsi="Arial"/>
          <w:sz w:val="18"/>
          <w:szCs w:val="18"/>
          <w:b w:val="1"/>
          <w:bCs w:val="1"/>
          <w:color w:val="auto"/>
        </w:rPr>
        <w:t xml:space="preserve"> </w:t>
      </w:r>
      <w:r>
        <w:rPr>
          <w:rFonts w:ascii="Arial" w:cs="Arial" w:eastAsia="Arial" w:hAnsi="Arial"/>
          <w:sz w:val="18"/>
          <w:szCs w:val="18"/>
          <w:color w:val="auto"/>
        </w:rPr>
        <w:t>significantly impacted by the enactment of the Tax Cuts and Jobs Act in December 2017. Overall, the Company recorded a $177.5 million net deferred tax benefit in the fourth quarter of 2017 as a result of enactment of this legislation, due largely to the revaluation of the Company’s U.S. deferred tax assets and liabilities to the lower federal tax rate and a significant reduction in the amount of deferred taxes previously provided on undistributed earnings of investments in non-U.S. subsidiaries. In the first quarter of 2017, the Company recorded a</w:t>
      </w:r>
    </w:p>
    <w:p>
      <w:pPr>
        <w:spacing w:after="0" w:line="200" w:lineRule="exact"/>
        <w:rPr>
          <w:sz w:val="20"/>
          <w:szCs w:val="20"/>
          <w:color w:val="auto"/>
        </w:rPr>
      </w:pPr>
    </w:p>
    <w:p>
      <w:pPr>
        <w:spacing w:after="0" w:line="30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53</w:t>
      </w:r>
    </w:p>
    <w:p>
      <w:pPr>
        <w:sectPr>
          <w:pgSz w:w="11900" w:h="16838" w:orient="portrait"/>
          <w:cols w:equalWidth="0" w:num="1">
            <w:col w:w="11420"/>
          </w:cols>
          <w:pgMar w:left="240" w:top="746" w:right="239" w:bottom="1440" w:gutter="0" w:footer="0" w:header="0"/>
        </w:sectPr>
      </w:pPr>
    </w:p>
    <w:bookmarkStart w:id="55" w:name="page56"/>
    <w:bookmarkEnd w:id="55"/>
    <w:p>
      <w:pPr>
        <w:ind w:right="260"/>
        <w:spacing w:after="0" w:line="229" w:lineRule="auto"/>
        <w:rPr>
          <w:sz w:val="20"/>
          <w:szCs w:val="20"/>
          <w:color w:val="auto"/>
        </w:rPr>
      </w:pPr>
      <w:r>
        <w:rPr>
          <w:rFonts w:ascii="Arial" w:cs="Arial" w:eastAsia="Arial" w:hAnsi="Arial"/>
          <w:sz w:val="18"/>
          <w:szCs w:val="18"/>
          <w:color w:val="auto"/>
        </w:rPr>
        <w:t>$5.9 million income tax benefit related to the vesting of restricted stock awards in connection with the adoption of a new accounting standard that requires all excess income tax benefits and deficiencies from stock compensation to be recorded as discrete items in the provision for income taxes. Excluding the effect of these items, the effective tax rate for 2017 was 34.9%.</w:t>
      </w:r>
    </w:p>
    <w:p>
      <w:pPr>
        <w:spacing w:after="0" w:line="137" w:lineRule="exact"/>
        <w:rPr>
          <w:sz w:val="20"/>
          <w:szCs w:val="20"/>
          <w:color w:val="auto"/>
        </w:rPr>
      </w:pPr>
    </w:p>
    <w:p>
      <w:pPr>
        <w:spacing w:after="0" w:line="227" w:lineRule="auto"/>
        <w:rPr>
          <w:sz w:val="20"/>
          <w:szCs w:val="20"/>
          <w:color w:val="auto"/>
        </w:rPr>
      </w:pPr>
      <w:r>
        <w:rPr>
          <w:rFonts w:ascii="Arial" w:cs="Arial" w:eastAsia="Arial" w:hAnsi="Arial"/>
          <w:sz w:val="18"/>
          <w:szCs w:val="18"/>
          <w:color w:val="auto"/>
        </w:rPr>
        <w:t>The Company’s effective tax rate for 2016 was 32.4%. In the third quarter of 2016, a net nonrecurring $ 8.3 million deferred tax benefit related to Kaplan’s international operations was recorded. In the second quarter of 2016, the Company benefited from a favorable $5.6 million out of period deferred tax adjustment related to the KHE goodwill impairment recorded in the third quarter of 2015. Excluding the effect of these items, the effective tax rate in 2016 was 37.9%.</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 — 2016 COMPARED TO 2015</w:t>
      </w:r>
    </w:p>
    <w:p>
      <w:pPr>
        <w:spacing w:after="0" w:line="180" w:lineRule="exact"/>
        <w:rPr>
          <w:sz w:val="20"/>
          <w:szCs w:val="20"/>
          <w:color w:val="auto"/>
        </w:rPr>
      </w:pPr>
    </w:p>
    <w:p>
      <w:pPr>
        <w:ind w:right="140"/>
        <w:spacing w:after="0" w:line="254" w:lineRule="auto"/>
        <w:rPr>
          <w:sz w:val="20"/>
          <w:szCs w:val="20"/>
          <w:color w:val="auto"/>
        </w:rPr>
      </w:pPr>
      <w:r>
        <w:rPr>
          <w:rFonts w:ascii="Arial" w:cs="Arial" w:eastAsia="Arial" w:hAnsi="Arial"/>
          <w:sz w:val="18"/>
          <w:szCs w:val="18"/>
          <w:color w:val="auto"/>
        </w:rPr>
        <w:t>Income from continuing operations attributable to common shares was $168.6 million ($29.80 per share) for the year ended December 31, 2016, compared to a net loss of $143.5 million ($ 25.23 per share) for the year ended December 31, 2015. Net loss attributable to common shares was $ 101.3 million ($17.87 per share) for the year ended December 31, 2015, including $42.2 million ($7.36 per share) in income from discontinued operations.</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color w:val="auto"/>
        </w:rPr>
        <w:t>Items included in the Company’s income from continuing operations for 2016 are listed below:</w:t>
      </w:r>
    </w:p>
    <w:p>
      <w:pPr>
        <w:spacing w:after="0" w:line="90" w:lineRule="exact"/>
        <w:rPr>
          <w:sz w:val="20"/>
          <w:szCs w:val="20"/>
          <w:color w:val="auto"/>
        </w:rPr>
      </w:pPr>
    </w:p>
    <w:p>
      <w:pPr>
        <w:ind w:left="180" w:hanging="172"/>
        <w:spacing w:after="0"/>
        <w:tabs>
          <w:tab w:leader="none" w:pos="180" w:val="left"/>
        </w:tabs>
        <w:numPr>
          <w:ilvl w:val="0"/>
          <w:numId w:val="50"/>
        </w:numPr>
        <w:rPr>
          <w:rFonts w:ascii="Arial" w:cs="Arial" w:eastAsia="Arial" w:hAnsi="Arial"/>
          <w:sz w:val="18"/>
          <w:szCs w:val="18"/>
          <w:color w:val="auto"/>
        </w:rPr>
      </w:pPr>
      <w:r>
        <w:rPr>
          <w:rFonts w:ascii="Arial" w:cs="Arial" w:eastAsia="Arial" w:hAnsi="Arial"/>
          <w:sz w:val="18"/>
          <w:szCs w:val="18"/>
          <w:color w:val="auto"/>
        </w:rPr>
        <w:t>an $18.0 million gain related to a bulk lump sum pension program offering (after-tax impact of $10.8 million, or $1.92 per share);</w:t>
      </w:r>
    </w:p>
    <w:p>
      <w:pPr>
        <w:spacing w:after="0" w:line="90" w:lineRule="exact"/>
        <w:rPr>
          <w:rFonts w:ascii="Arial" w:cs="Arial" w:eastAsia="Arial" w:hAnsi="Arial"/>
          <w:sz w:val="18"/>
          <w:szCs w:val="18"/>
          <w:color w:val="auto"/>
        </w:rPr>
      </w:pPr>
    </w:p>
    <w:p>
      <w:pPr>
        <w:ind w:left="180" w:hanging="172"/>
        <w:spacing w:after="0"/>
        <w:tabs>
          <w:tab w:leader="none" w:pos="180" w:val="left"/>
        </w:tabs>
        <w:numPr>
          <w:ilvl w:val="0"/>
          <w:numId w:val="50"/>
        </w:numPr>
        <w:rPr>
          <w:rFonts w:ascii="Arial" w:cs="Arial" w:eastAsia="Arial" w:hAnsi="Arial"/>
          <w:sz w:val="18"/>
          <w:szCs w:val="18"/>
          <w:color w:val="auto"/>
        </w:rPr>
      </w:pPr>
      <w:r>
        <w:rPr>
          <w:rFonts w:ascii="Arial" w:cs="Arial" w:eastAsia="Arial" w:hAnsi="Arial"/>
          <w:sz w:val="18"/>
          <w:szCs w:val="18"/>
          <w:color w:val="auto"/>
        </w:rPr>
        <w:t>$11.9 million in restructuring charges at the education division (after-tax impact of $7.7 million, or $1.36 per share);</w:t>
      </w:r>
    </w:p>
    <w:p>
      <w:pPr>
        <w:spacing w:after="0" w:line="90" w:lineRule="exact"/>
        <w:rPr>
          <w:rFonts w:ascii="Arial" w:cs="Arial" w:eastAsia="Arial" w:hAnsi="Arial"/>
          <w:sz w:val="18"/>
          <w:szCs w:val="18"/>
          <w:color w:val="auto"/>
        </w:rPr>
      </w:pPr>
    </w:p>
    <w:p>
      <w:pPr>
        <w:ind w:left="180" w:right="300" w:hanging="172"/>
        <w:spacing w:after="0" w:line="235" w:lineRule="auto"/>
        <w:tabs>
          <w:tab w:leader="none" w:pos="180" w:val="left"/>
        </w:tabs>
        <w:numPr>
          <w:ilvl w:val="0"/>
          <w:numId w:val="50"/>
        </w:numPr>
        <w:rPr>
          <w:rFonts w:ascii="Arial" w:cs="Arial" w:eastAsia="Arial" w:hAnsi="Arial"/>
          <w:sz w:val="18"/>
          <w:szCs w:val="18"/>
          <w:color w:val="auto"/>
        </w:rPr>
      </w:pPr>
      <w:r>
        <w:rPr>
          <w:rFonts w:ascii="Arial" w:cs="Arial" w:eastAsia="Arial" w:hAnsi="Arial"/>
          <w:sz w:val="18"/>
          <w:szCs w:val="18"/>
          <w:color w:val="auto"/>
        </w:rPr>
        <w:t>$32.2 million net non-operating gain from the sales of land and marketable equity securities (after-tax impact of $20.0 million, or $3.52 per share);</w:t>
      </w:r>
    </w:p>
    <w:p>
      <w:pPr>
        <w:spacing w:after="0" w:line="80" w:lineRule="exact"/>
        <w:rPr>
          <w:rFonts w:ascii="Arial" w:cs="Arial" w:eastAsia="Arial" w:hAnsi="Arial"/>
          <w:sz w:val="18"/>
          <w:szCs w:val="18"/>
          <w:color w:val="auto"/>
        </w:rPr>
      </w:pPr>
    </w:p>
    <w:p>
      <w:pPr>
        <w:ind w:left="180" w:right="60" w:hanging="172"/>
        <w:spacing w:after="0" w:line="235" w:lineRule="auto"/>
        <w:tabs>
          <w:tab w:leader="none" w:pos="180" w:val="left"/>
        </w:tabs>
        <w:numPr>
          <w:ilvl w:val="0"/>
          <w:numId w:val="50"/>
        </w:numPr>
        <w:rPr>
          <w:rFonts w:ascii="Arial" w:cs="Arial" w:eastAsia="Arial" w:hAnsi="Arial"/>
          <w:sz w:val="18"/>
          <w:szCs w:val="18"/>
          <w:color w:val="auto"/>
        </w:rPr>
      </w:pPr>
      <w:r>
        <w:rPr>
          <w:rFonts w:ascii="Arial" w:cs="Arial" w:eastAsia="Arial" w:hAnsi="Arial"/>
          <w:sz w:val="18"/>
          <w:szCs w:val="18"/>
          <w:color w:val="auto"/>
        </w:rPr>
        <w:t>a $22.2 million non-operating gain arising from the sale of a business and the formation of a joint venture (after-tax impact of $13.6 million, or $2.37 per share);</w:t>
      </w:r>
    </w:p>
    <w:p>
      <w:pPr>
        <w:spacing w:after="0" w:line="80" w:lineRule="exact"/>
        <w:rPr>
          <w:rFonts w:ascii="Arial" w:cs="Arial" w:eastAsia="Arial" w:hAnsi="Arial"/>
          <w:sz w:val="18"/>
          <w:szCs w:val="18"/>
          <w:color w:val="auto"/>
        </w:rPr>
      </w:pPr>
    </w:p>
    <w:p>
      <w:pPr>
        <w:ind w:left="180" w:right="380" w:hanging="172"/>
        <w:spacing w:after="0" w:line="235" w:lineRule="auto"/>
        <w:tabs>
          <w:tab w:leader="none" w:pos="180" w:val="left"/>
        </w:tabs>
        <w:numPr>
          <w:ilvl w:val="0"/>
          <w:numId w:val="50"/>
        </w:numPr>
        <w:rPr>
          <w:rFonts w:ascii="Arial" w:cs="Arial" w:eastAsia="Arial" w:hAnsi="Arial"/>
          <w:sz w:val="18"/>
          <w:szCs w:val="18"/>
          <w:color w:val="auto"/>
        </w:rPr>
      </w:pPr>
      <w:r>
        <w:rPr>
          <w:rFonts w:ascii="Arial" w:cs="Arial" w:eastAsia="Arial" w:hAnsi="Arial"/>
          <w:sz w:val="18"/>
          <w:szCs w:val="18"/>
          <w:color w:val="auto"/>
        </w:rPr>
        <w:t>$37.6 million in non-operating expenses from the write-down of cost method investments and investments in affiliates (after-tax impact of $24.1 million, or $4.27 per share);</w:t>
      </w:r>
    </w:p>
    <w:p>
      <w:pPr>
        <w:spacing w:after="0" w:line="80" w:lineRule="exact"/>
        <w:rPr>
          <w:rFonts w:ascii="Arial" w:cs="Arial" w:eastAsia="Arial" w:hAnsi="Arial"/>
          <w:sz w:val="18"/>
          <w:szCs w:val="18"/>
          <w:color w:val="auto"/>
        </w:rPr>
      </w:pPr>
    </w:p>
    <w:p>
      <w:pPr>
        <w:ind w:left="180" w:hanging="172"/>
        <w:spacing w:after="0"/>
        <w:tabs>
          <w:tab w:leader="none" w:pos="180" w:val="left"/>
        </w:tabs>
        <w:numPr>
          <w:ilvl w:val="0"/>
          <w:numId w:val="50"/>
        </w:numPr>
        <w:rPr>
          <w:rFonts w:ascii="Arial" w:cs="Arial" w:eastAsia="Arial" w:hAnsi="Arial"/>
          <w:sz w:val="18"/>
          <w:szCs w:val="18"/>
          <w:color w:val="auto"/>
        </w:rPr>
      </w:pPr>
      <w:r>
        <w:rPr>
          <w:rFonts w:ascii="Arial" w:cs="Arial" w:eastAsia="Arial" w:hAnsi="Arial"/>
          <w:sz w:val="18"/>
          <w:szCs w:val="18"/>
          <w:color w:val="auto"/>
        </w:rPr>
        <w:t>$39.9 million in non-operating foreign currency losses (after-tax impact of $25.5 million, or $4.51 per share);</w:t>
      </w:r>
    </w:p>
    <w:p>
      <w:pPr>
        <w:spacing w:after="0" w:line="90" w:lineRule="exact"/>
        <w:rPr>
          <w:rFonts w:ascii="Arial" w:cs="Arial" w:eastAsia="Arial" w:hAnsi="Arial"/>
          <w:sz w:val="18"/>
          <w:szCs w:val="18"/>
          <w:color w:val="auto"/>
        </w:rPr>
      </w:pPr>
    </w:p>
    <w:p>
      <w:pPr>
        <w:ind w:left="180" w:hanging="172"/>
        <w:spacing w:after="0"/>
        <w:tabs>
          <w:tab w:leader="none" w:pos="180" w:val="left"/>
        </w:tabs>
        <w:numPr>
          <w:ilvl w:val="0"/>
          <w:numId w:val="50"/>
        </w:numPr>
        <w:rPr>
          <w:rFonts w:ascii="Arial" w:cs="Arial" w:eastAsia="Arial" w:hAnsi="Arial"/>
          <w:sz w:val="18"/>
          <w:szCs w:val="18"/>
          <w:color w:val="auto"/>
        </w:rPr>
      </w:pPr>
      <w:r>
        <w:rPr>
          <w:rFonts w:ascii="Arial" w:cs="Arial" w:eastAsia="Arial" w:hAnsi="Arial"/>
          <w:sz w:val="18"/>
          <w:szCs w:val="18"/>
          <w:color w:val="auto"/>
        </w:rPr>
        <w:t>a net nonrecurring $8.3 million deferred tax benefit related to Kaplan’s international operations ($1.47 per share); and</w:t>
      </w:r>
    </w:p>
    <w:p>
      <w:pPr>
        <w:spacing w:after="0" w:line="90" w:lineRule="exact"/>
        <w:rPr>
          <w:rFonts w:ascii="Arial" w:cs="Arial" w:eastAsia="Arial" w:hAnsi="Arial"/>
          <w:sz w:val="18"/>
          <w:szCs w:val="18"/>
          <w:color w:val="auto"/>
        </w:rPr>
      </w:pPr>
    </w:p>
    <w:p>
      <w:pPr>
        <w:ind w:left="180" w:right="320" w:hanging="172"/>
        <w:spacing w:after="0" w:line="235" w:lineRule="auto"/>
        <w:tabs>
          <w:tab w:leader="none" w:pos="180" w:val="left"/>
        </w:tabs>
        <w:numPr>
          <w:ilvl w:val="0"/>
          <w:numId w:val="50"/>
        </w:numPr>
        <w:rPr>
          <w:rFonts w:ascii="Arial" w:cs="Arial" w:eastAsia="Arial" w:hAnsi="Arial"/>
          <w:sz w:val="18"/>
          <w:szCs w:val="18"/>
          <w:color w:val="auto"/>
        </w:rPr>
      </w:pPr>
      <w:r>
        <w:rPr>
          <w:rFonts w:ascii="Arial" w:cs="Arial" w:eastAsia="Arial" w:hAnsi="Arial"/>
          <w:sz w:val="18"/>
          <w:szCs w:val="18"/>
          <w:color w:val="auto"/>
        </w:rPr>
        <w:t>a favorable $5.6 million out of period deferred tax adjustment related to the KHE goodwill impairment recorded in the third quarter of 2015 ($1.00 per share).</w:t>
      </w:r>
    </w:p>
    <w:p>
      <w:pPr>
        <w:spacing w:after="0" w:line="81" w:lineRule="exact"/>
        <w:rPr>
          <w:sz w:val="20"/>
          <w:szCs w:val="20"/>
          <w:color w:val="auto"/>
        </w:rPr>
      </w:pPr>
    </w:p>
    <w:p>
      <w:pPr>
        <w:spacing w:after="0"/>
        <w:rPr>
          <w:sz w:val="20"/>
          <w:szCs w:val="20"/>
          <w:color w:val="auto"/>
        </w:rPr>
      </w:pPr>
      <w:r>
        <w:rPr>
          <w:rFonts w:ascii="Arial" w:cs="Arial" w:eastAsia="Arial" w:hAnsi="Arial"/>
          <w:sz w:val="18"/>
          <w:szCs w:val="18"/>
          <w:color w:val="auto"/>
        </w:rPr>
        <w:t>Items included in the Company’s income from continuing operations for 2015 are listed below:</w:t>
      </w:r>
    </w:p>
    <w:p>
      <w:pPr>
        <w:spacing w:after="0" w:line="90" w:lineRule="exact"/>
        <w:rPr>
          <w:sz w:val="20"/>
          <w:szCs w:val="20"/>
          <w:color w:val="auto"/>
        </w:rPr>
      </w:pPr>
    </w:p>
    <w:p>
      <w:pPr>
        <w:ind w:left="180" w:right="180" w:hanging="172"/>
        <w:spacing w:after="0" w:line="235" w:lineRule="auto"/>
        <w:tabs>
          <w:tab w:leader="none" w:pos="180" w:val="left"/>
        </w:tabs>
        <w:numPr>
          <w:ilvl w:val="0"/>
          <w:numId w:val="51"/>
        </w:numPr>
        <w:rPr>
          <w:rFonts w:ascii="Arial" w:cs="Arial" w:eastAsia="Arial" w:hAnsi="Arial"/>
          <w:sz w:val="18"/>
          <w:szCs w:val="18"/>
          <w:color w:val="auto"/>
        </w:rPr>
      </w:pPr>
      <w:r>
        <w:rPr>
          <w:rFonts w:ascii="Arial" w:cs="Arial" w:eastAsia="Arial" w:hAnsi="Arial"/>
          <w:sz w:val="18"/>
          <w:szCs w:val="18"/>
          <w:color w:val="auto"/>
        </w:rPr>
        <w:t>$259.7 million goodwill and long-lived assets impairment charges at the education division and other businesses (after-tax impact of $225.2 million, or $38.96 per share);</w:t>
      </w:r>
    </w:p>
    <w:p>
      <w:pPr>
        <w:spacing w:after="0" w:line="80" w:lineRule="exact"/>
        <w:rPr>
          <w:rFonts w:ascii="Arial" w:cs="Arial" w:eastAsia="Arial" w:hAnsi="Arial"/>
          <w:sz w:val="18"/>
          <w:szCs w:val="18"/>
          <w:color w:val="auto"/>
        </w:rPr>
      </w:pPr>
    </w:p>
    <w:p>
      <w:pPr>
        <w:ind w:left="180" w:right="360" w:hanging="172"/>
        <w:spacing w:after="0" w:line="235" w:lineRule="auto"/>
        <w:tabs>
          <w:tab w:leader="none" w:pos="180" w:val="left"/>
        </w:tabs>
        <w:numPr>
          <w:ilvl w:val="0"/>
          <w:numId w:val="51"/>
        </w:numPr>
        <w:rPr>
          <w:rFonts w:ascii="Arial" w:cs="Arial" w:eastAsia="Arial" w:hAnsi="Arial"/>
          <w:sz w:val="18"/>
          <w:szCs w:val="18"/>
          <w:color w:val="auto"/>
        </w:rPr>
      </w:pPr>
      <w:r>
        <w:rPr>
          <w:rFonts w:ascii="Arial" w:cs="Arial" w:eastAsia="Arial" w:hAnsi="Arial"/>
          <w:sz w:val="18"/>
          <w:szCs w:val="18"/>
          <w:color w:val="auto"/>
        </w:rPr>
        <w:t>$45.8 million in restructuring charges at the education division, corporate office and other businesses (after-tax impact of $28.9 million, or $4.97 per share);</w:t>
      </w:r>
    </w:p>
    <w:p>
      <w:pPr>
        <w:spacing w:after="0" w:line="80" w:lineRule="exact"/>
        <w:rPr>
          <w:rFonts w:ascii="Arial" w:cs="Arial" w:eastAsia="Arial" w:hAnsi="Arial"/>
          <w:sz w:val="18"/>
          <w:szCs w:val="18"/>
          <w:color w:val="auto"/>
        </w:rPr>
      </w:pPr>
    </w:p>
    <w:p>
      <w:pPr>
        <w:ind w:left="180" w:right="80" w:hanging="172"/>
        <w:spacing w:after="0" w:line="235" w:lineRule="auto"/>
        <w:tabs>
          <w:tab w:leader="none" w:pos="180" w:val="left"/>
        </w:tabs>
        <w:numPr>
          <w:ilvl w:val="0"/>
          <w:numId w:val="51"/>
        </w:numPr>
        <w:rPr>
          <w:rFonts w:ascii="Arial" w:cs="Arial" w:eastAsia="Arial" w:hAnsi="Arial"/>
          <w:sz w:val="18"/>
          <w:szCs w:val="18"/>
          <w:color w:val="auto"/>
        </w:rPr>
      </w:pPr>
      <w:r>
        <w:rPr>
          <w:rFonts w:ascii="Arial" w:cs="Arial" w:eastAsia="Arial" w:hAnsi="Arial"/>
          <w:sz w:val="18"/>
          <w:szCs w:val="18"/>
          <w:color w:val="auto"/>
        </w:rPr>
        <w:t>$24.9 million in expense related to the modification of stock option awards in conjunction with the Cable ONE spin-off and the modification of restricted stock awards (after-tax impact of $15.3 million, or $2.64 per share);</w:t>
      </w:r>
    </w:p>
    <w:p>
      <w:pPr>
        <w:spacing w:after="0" w:line="80" w:lineRule="exact"/>
        <w:rPr>
          <w:rFonts w:ascii="Arial" w:cs="Arial" w:eastAsia="Arial" w:hAnsi="Arial"/>
          <w:sz w:val="18"/>
          <w:szCs w:val="18"/>
          <w:color w:val="auto"/>
        </w:rPr>
      </w:pPr>
    </w:p>
    <w:p>
      <w:pPr>
        <w:ind w:left="180" w:right="140" w:hanging="172"/>
        <w:spacing w:after="0" w:line="235" w:lineRule="auto"/>
        <w:tabs>
          <w:tab w:leader="none" w:pos="180" w:val="left"/>
        </w:tabs>
        <w:numPr>
          <w:ilvl w:val="0"/>
          <w:numId w:val="51"/>
        </w:numPr>
        <w:rPr>
          <w:rFonts w:ascii="Arial" w:cs="Arial" w:eastAsia="Arial" w:hAnsi="Arial"/>
          <w:sz w:val="18"/>
          <w:szCs w:val="18"/>
          <w:color w:val="auto"/>
        </w:rPr>
      </w:pPr>
      <w:r>
        <w:rPr>
          <w:rFonts w:ascii="Arial" w:cs="Arial" w:eastAsia="Arial" w:hAnsi="Arial"/>
          <w:sz w:val="18"/>
          <w:szCs w:val="18"/>
          <w:color w:val="auto"/>
        </w:rPr>
        <w:t>$12.5 million in net non-operating losses arising from the sales of five businesses and an investment, and on the formation of a joint venture (after-tax impact of $15.7 million, or $2.82 per share);</w:t>
      </w:r>
    </w:p>
    <w:p>
      <w:pPr>
        <w:spacing w:after="0" w:line="80" w:lineRule="exact"/>
        <w:rPr>
          <w:rFonts w:ascii="Arial" w:cs="Arial" w:eastAsia="Arial" w:hAnsi="Arial"/>
          <w:sz w:val="18"/>
          <w:szCs w:val="18"/>
          <w:color w:val="auto"/>
        </w:rPr>
      </w:pPr>
    </w:p>
    <w:p>
      <w:pPr>
        <w:ind w:left="180" w:hanging="172"/>
        <w:spacing w:after="0"/>
        <w:tabs>
          <w:tab w:leader="none" w:pos="180" w:val="left"/>
        </w:tabs>
        <w:numPr>
          <w:ilvl w:val="0"/>
          <w:numId w:val="51"/>
        </w:numPr>
        <w:rPr>
          <w:rFonts w:ascii="Arial" w:cs="Arial" w:eastAsia="Arial" w:hAnsi="Arial"/>
          <w:sz w:val="18"/>
          <w:szCs w:val="18"/>
          <w:color w:val="auto"/>
        </w:rPr>
      </w:pPr>
      <w:r>
        <w:rPr>
          <w:rFonts w:ascii="Arial" w:cs="Arial" w:eastAsia="Arial" w:hAnsi="Arial"/>
          <w:sz w:val="18"/>
          <w:szCs w:val="18"/>
          <w:color w:val="auto"/>
        </w:rPr>
        <w:t>$21.4 million gain on the sale of land (after-tax impact of $13.2 million, or $2.27 per share); and</w:t>
      </w:r>
    </w:p>
    <w:p>
      <w:pPr>
        <w:spacing w:after="0" w:line="90" w:lineRule="exact"/>
        <w:rPr>
          <w:rFonts w:ascii="Arial" w:cs="Arial" w:eastAsia="Arial" w:hAnsi="Arial"/>
          <w:sz w:val="18"/>
          <w:szCs w:val="18"/>
          <w:color w:val="auto"/>
        </w:rPr>
      </w:pPr>
    </w:p>
    <w:p>
      <w:pPr>
        <w:ind w:left="180" w:hanging="172"/>
        <w:spacing w:after="0"/>
        <w:tabs>
          <w:tab w:leader="none" w:pos="180" w:val="left"/>
        </w:tabs>
        <w:numPr>
          <w:ilvl w:val="0"/>
          <w:numId w:val="51"/>
        </w:numPr>
        <w:rPr>
          <w:rFonts w:ascii="Arial" w:cs="Arial" w:eastAsia="Arial" w:hAnsi="Arial"/>
          <w:sz w:val="18"/>
          <w:szCs w:val="18"/>
          <w:color w:val="auto"/>
        </w:rPr>
      </w:pPr>
      <w:r>
        <w:rPr>
          <w:rFonts w:ascii="Arial" w:cs="Arial" w:eastAsia="Arial" w:hAnsi="Arial"/>
          <w:sz w:val="18"/>
          <w:szCs w:val="18"/>
          <w:color w:val="auto"/>
        </w:rPr>
        <w:t>$15.6 million in non-operating unrealized foreign currency losses (after-tax impact of $9.7 million, or $1.67 per share).</w:t>
      </w:r>
    </w:p>
    <w:p>
      <w:pPr>
        <w:spacing w:after="0" w:line="144" w:lineRule="exact"/>
        <w:rPr>
          <w:sz w:val="20"/>
          <w:szCs w:val="20"/>
          <w:color w:val="auto"/>
        </w:rPr>
      </w:pPr>
    </w:p>
    <w:p>
      <w:pPr>
        <w:ind w:right="460"/>
        <w:spacing w:after="0" w:line="235" w:lineRule="auto"/>
        <w:rPr>
          <w:sz w:val="20"/>
          <w:szCs w:val="20"/>
          <w:color w:val="auto"/>
        </w:rPr>
      </w:pPr>
      <w:r>
        <w:rPr>
          <w:rFonts w:ascii="Arial" w:cs="Arial" w:eastAsia="Arial" w:hAnsi="Arial"/>
          <w:sz w:val="18"/>
          <w:szCs w:val="18"/>
          <w:color w:val="auto"/>
        </w:rPr>
        <w:t>Revenue for 2016 was $2,481.9 million, down 4% from $2,586.1 million in 2015. Revenues declined at the education division, offset by an increase at the television broadcasting division and in other businesses.</w:t>
      </w:r>
    </w:p>
    <w:p>
      <w:pPr>
        <w:spacing w:after="0" w:line="135" w:lineRule="exact"/>
        <w:rPr>
          <w:sz w:val="20"/>
          <w:szCs w:val="20"/>
          <w:color w:val="auto"/>
        </w:rPr>
      </w:pPr>
    </w:p>
    <w:p>
      <w:pPr>
        <w:ind w:right="40"/>
        <w:spacing w:after="0" w:line="229" w:lineRule="auto"/>
        <w:rPr>
          <w:sz w:val="20"/>
          <w:szCs w:val="20"/>
          <w:color w:val="auto"/>
        </w:rPr>
      </w:pPr>
      <w:r>
        <w:rPr>
          <w:rFonts w:ascii="Arial" w:cs="Arial" w:eastAsia="Arial" w:hAnsi="Arial"/>
          <w:sz w:val="18"/>
          <w:szCs w:val="18"/>
          <w:color w:val="auto"/>
        </w:rPr>
        <w:t>In 2016, education revenue was down by 17%, advertising revenue increased 11% and other revenue increased 54%. The revenue declines at Kaplan account for the reported education revenue. The growth in advertising revenue is due to increased television broadcasting revenue. The increase in other revenues is due primarily to the inclusion of revenues from businesses acquired in 2016 and 2015.</w:t>
      </w:r>
    </w:p>
    <w:p>
      <w:pPr>
        <w:spacing w:after="0" w:line="200" w:lineRule="exact"/>
        <w:rPr>
          <w:sz w:val="20"/>
          <w:szCs w:val="20"/>
          <w:color w:val="auto"/>
        </w:rPr>
      </w:pPr>
    </w:p>
    <w:p>
      <w:pPr>
        <w:spacing w:after="0" w:line="30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54</w:t>
      </w:r>
    </w:p>
    <w:p>
      <w:pPr>
        <w:sectPr>
          <w:pgSz w:w="11900" w:h="16838" w:orient="portrait"/>
          <w:cols w:equalWidth="0" w:num="1">
            <w:col w:w="11420"/>
          </w:cols>
          <w:pgMar w:left="240" w:top="746" w:right="239" w:bottom="1440" w:gutter="0" w:footer="0" w:header="0"/>
        </w:sectPr>
      </w:pPr>
    </w:p>
    <w:bookmarkStart w:id="56" w:name="page57"/>
    <w:bookmarkEnd w:id="56"/>
    <w:p>
      <w:pPr>
        <w:jc w:val="both"/>
        <w:ind w:right="60"/>
        <w:spacing w:after="0" w:line="227" w:lineRule="auto"/>
        <w:rPr>
          <w:sz w:val="20"/>
          <w:szCs w:val="20"/>
          <w:color w:val="auto"/>
        </w:rPr>
      </w:pPr>
      <w:r>
        <w:rPr>
          <w:rFonts w:ascii="Arial" w:cs="Arial" w:eastAsia="Arial" w:hAnsi="Arial"/>
          <w:sz w:val="18"/>
          <w:szCs w:val="18"/>
          <w:color w:val="auto"/>
        </w:rPr>
        <w:t>Operating costs and expenses for the year decreased 18% to $2,178.4 million in 2016, from $2,666.9 million in 2015. Expenses were lower at the education division due to goodwill and other long-lived assets impairment charges recorded in 2015, partially offset by increased spending on digital initiatives and network fees at the television broadcasting division in 2016, and increased expenses at other businesses as a result of businesses acquired in 2016 and 2015.</w:t>
      </w:r>
    </w:p>
    <w:p>
      <w:pPr>
        <w:spacing w:after="0" w:line="135" w:lineRule="exact"/>
        <w:rPr>
          <w:sz w:val="20"/>
          <w:szCs w:val="20"/>
          <w:color w:val="auto"/>
        </w:rPr>
      </w:pPr>
    </w:p>
    <w:p>
      <w:pPr>
        <w:ind w:right="580"/>
        <w:spacing w:after="0" w:line="235" w:lineRule="auto"/>
        <w:rPr>
          <w:sz w:val="20"/>
          <w:szCs w:val="20"/>
          <w:color w:val="auto"/>
        </w:rPr>
      </w:pPr>
      <w:r>
        <w:rPr>
          <w:rFonts w:ascii="Arial" w:cs="Arial" w:eastAsia="Arial" w:hAnsi="Arial"/>
          <w:sz w:val="18"/>
          <w:szCs w:val="18"/>
          <w:color w:val="auto"/>
        </w:rPr>
        <w:t>The Company reported operating income for 2016 of $303.5 million, compared with an operating loss of $80.8 million in 2015. Operating results improved at the education and television broadcasting divisions, offset by a decline in other businesses.</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Division Results</w:t>
      </w:r>
    </w:p>
    <w:p>
      <w:pPr>
        <w:spacing w:after="0" w:line="144" w:lineRule="exact"/>
        <w:rPr>
          <w:sz w:val="20"/>
          <w:szCs w:val="20"/>
          <w:color w:val="auto"/>
        </w:rPr>
      </w:pPr>
    </w:p>
    <w:p>
      <w:pPr>
        <w:ind w:right="80"/>
        <w:spacing w:after="0" w:line="233" w:lineRule="auto"/>
        <w:rPr>
          <w:sz w:val="20"/>
          <w:szCs w:val="20"/>
          <w:color w:val="auto"/>
        </w:rPr>
      </w:pPr>
      <w:r>
        <w:rPr>
          <w:rFonts w:ascii="Arial" w:cs="Arial" w:eastAsia="Arial" w:hAnsi="Arial"/>
          <w:sz w:val="18"/>
          <w:szCs w:val="18"/>
          <w:b w:val="1"/>
          <w:bCs w:val="1"/>
          <w:color w:val="auto"/>
        </w:rPr>
        <w:t xml:space="preserve">Education Division. </w:t>
      </w:r>
      <w:r>
        <w:rPr>
          <w:rFonts w:ascii="Arial" w:cs="Arial" w:eastAsia="Arial" w:hAnsi="Arial"/>
          <w:sz w:val="18"/>
          <w:szCs w:val="18"/>
          <w:color w:val="auto"/>
        </w:rPr>
        <w:t>Education division revenue in 2016 totaled $1,598.5 million, down 17% from $ 1,927.5 million in 2015. Kaplan reported</w:t>
      </w:r>
      <w:r>
        <w:rPr>
          <w:rFonts w:ascii="Arial" w:cs="Arial" w:eastAsia="Arial" w:hAnsi="Arial"/>
          <w:sz w:val="18"/>
          <w:szCs w:val="18"/>
          <w:b w:val="1"/>
          <w:bCs w:val="1"/>
          <w:color w:val="auto"/>
        </w:rPr>
        <w:t xml:space="preserve"> </w:t>
      </w:r>
      <w:r>
        <w:rPr>
          <w:rFonts w:ascii="Arial" w:cs="Arial" w:eastAsia="Arial" w:hAnsi="Arial"/>
          <w:sz w:val="18"/>
          <w:szCs w:val="18"/>
          <w:color w:val="auto"/>
        </w:rPr>
        <w:t>operating income of $93.6 million for 2016, compared to an operating loss of $223.5 million in 2015. Kaplan’s 2015 operating results include goodwill and intangible assets impairment charges of $256.8 million. In 2016, operating results at Kaplan Higher Education (KHE) were up and costs at Kaplan corporate and other declined, partially offset by declines at Kaplan Test Preparation (KTP) and Kaplan International.</w:t>
      </w:r>
    </w:p>
    <w:p>
      <w:pPr>
        <w:spacing w:after="0" w:line="137" w:lineRule="exact"/>
        <w:rPr>
          <w:sz w:val="20"/>
          <w:szCs w:val="20"/>
          <w:color w:val="auto"/>
        </w:rPr>
      </w:pPr>
    </w:p>
    <w:p>
      <w:pPr>
        <w:jc w:val="both"/>
        <w:ind w:right="140"/>
        <w:spacing w:after="0" w:line="229" w:lineRule="auto"/>
        <w:rPr>
          <w:sz w:val="20"/>
          <w:szCs w:val="20"/>
          <w:color w:val="auto"/>
        </w:rPr>
      </w:pPr>
      <w:r>
        <w:rPr>
          <w:rFonts w:ascii="Arial" w:cs="Arial" w:eastAsia="Arial" w:hAnsi="Arial"/>
          <w:sz w:val="18"/>
          <w:szCs w:val="18"/>
          <w:color w:val="auto"/>
        </w:rPr>
        <w:t>In recent years, Kaplan has formulated and implemented restructuring plans at its various businesses that have resulted in restructuring costs in 2016 and 2015, with the objective of establishing lower cost levels in future periods. Across all businesses, restructuring costs totaled $11.9 million in 2016 and $44.4 million in 2015.</w:t>
      </w:r>
    </w:p>
    <w:p>
      <w:pPr>
        <w:spacing w:after="0" w:line="137" w:lineRule="exact"/>
        <w:rPr>
          <w:sz w:val="20"/>
          <w:szCs w:val="20"/>
          <w:color w:val="auto"/>
        </w:rPr>
      </w:pPr>
    </w:p>
    <w:p>
      <w:pPr>
        <w:spacing w:after="0"/>
        <w:rPr>
          <w:sz w:val="20"/>
          <w:szCs w:val="20"/>
          <w:color w:val="auto"/>
        </w:rPr>
      </w:pPr>
      <w:r>
        <w:rPr>
          <w:rFonts w:ascii="Arial" w:cs="Arial" w:eastAsia="Arial" w:hAnsi="Arial"/>
          <w:sz w:val="18"/>
          <w:szCs w:val="18"/>
          <w:color w:val="auto"/>
        </w:rPr>
        <w:t>A summary of Kaplan’s operating results is as follows:</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7480" w:type="dxa"/>
            <w:vAlign w:val="bottom"/>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2360" w:type="dxa"/>
            <w:vAlign w:val="bottom"/>
            <w:tcBorders>
              <w:bottom w:val="single" w:sz="8" w:color="auto"/>
            </w:tcBorders>
            <w:gridSpan w:val="3"/>
          </w:tcPr>
          <w:p>
            <w:pPr>
              <w:jc w:val="right"/>
              <w:ind w:right="400"/>
              <w:spacing w:after="0"/>
              <w:rPr>
                <w:sz w:val="20"/>
                <w:szCs w:val="20"/>
                <w:color w:val="auto"/>
              </w:rPr>
            </w:pPr>
            <w:r>
              <w:rPr>
                <w:rFonts w:ascii="Arial" w:cs="Arial" w:eastAsia="Arial" w:hAnsi="Arial"/>
                <w:sz w:val="14"/>
                <w:szCs w:val="14"/>
                <w:color w:val="auto"/>
              </w:rPr>
              <w:t>Year Ended December 31</w:t>
            </w:r>
          </w:p>
        </w:tc>
        <w:tc>
          <w:tcPr>
            <w:tcW w:w="100" w:type="dxa"/>
            <w:vAlign w:val="bottom"/>
            <w:tcBorders>
              <w:bottom w:val="single" w:sz="8" w:color="auto"/>
            </w:tcBorders>
          </w:tcPr>
          <w:p>
            <w:pPr>
              <w:spacing w:after="0"/>
              <w:rPr>
                <w:sz w:val="15"/>
                <w:szCs w:val="15"/>
                <w:color w:val="auto"/>
              </w:rPr>
            </w:pPr>
          </w:p>
        </w:tc>
        <w:tc>
          <w:tcPr>
            <w:tcW w:w="12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64"/>
        </w:trPr>
        <w:tc>
          <w:tcPr>
            <w:tcW w:w="748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(in thousands)</w:t>
            </w:r>
          </w:p>
        </w:tc>
        <w:tc>
          <w:tcPr>
            <w:tcW w:w="26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ind w:right="440"/>
              <w:spacing w:after="0"/>
              <w:rPr>
                <w:sz w:val="20"/>
                <w:szCs w:val="20"/>
                <w:color w:val="auto"/>
              </w:rPr>
            </w:pPr>
            <w:r>
              <w:rPr>
                <w:rFonts w:ascii="Arial" w:cs="Arial" w:eastAsia="Arial" w:hAnsi="Arial"/>
                <w:sz w:val="14"/>
                <w:szCs w:val="14"/>
                <w:color w:val="auto"/>
              </w:rPr>
              <w:t>2016</w:t>
            </w:r>
          </w:p>
        </w:tc>
        <w:tc>
          <w:tcPr>
            <w:tcW w:w="34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ind w:right="400"/>
              <w:spacing w:after="0"/>
              <w:rPr>
                <w:sz w:val="20"/>
                <w:szCs w:val="20"/>
                <w:color w:val="auto"/>
              </w:rPr>
            </w:pPr>
            <w:r>
              <w:rPr>
                <w:rFonts w:ascii="Arial" w:cs="Arial" w:eastAsia="Arial" w:hAnsi="Arial"/>
                <w:sz w:val="14"/>
                <w:szCs w:val="14"/>
                <w:color w:val="auto"/>
              </w:rPr>
              <w:t>2015</w:t>
            </w:r>
          </w:p>
        </w:tc>
        <w:tc>
          <w:tcPr>
            <w:tcW w:w="100" w:type="dxa"/>
            <w:vAlign w:val="bottom"/>
            <w:tcBorders>
              <w:bottom w:val="single" w:sz="8" w:color="auto"/>
            </w:tcBorders>
          </w:tcPr>
          <w:p>
            <w:pPr>
              <w:spacing w:after="0"/>
              <w:rPr>
                <w:sz w:val="22"/>
                <w:szCs w:val="22"/>
                <w:color w:val="auto"/>
              </w:rPr>
            </w:pPr>
          </w:p>
        </w:tc>
        <w:tc>
          <w:tcPr>
            <w:tcW w:w="1220" w:type="dxa"/>
            <w:vAlign w:val="bottom"/>
            <w:tcBorders>
              <w:bottom w:val="single" w:sz="8" w:color="auto"/>
            </w:tcBorders>
          </w:tcPr>
          <w:p>
            <w:pPr>
              <w:jc w:val="right"/>
              <w:ind w:right="201"/>
              <w:spacing w:after="0"/>
              <w:rPr>
                <w:sz w:val="20"/>
                <w:szCs w:val="20"/>
                <w:color w:val="auto"/>
              </w:rPr>
            </w:pPr>
            <w:r>
              <w:rPr>
                <w:rFonts w:ascii="Arial" w:cs="Arial" w:eastAsia="Arial" w:hAnsi="Arial"/>
                <w:sz w:val="14"/>
                <w:szCs w:val="14"/>
                <w:color w:val="auto"/>
              </w:rPr>
              <w:t>% Change</w:t>
            </w:r>
          </w:p>
        </w:tc>
        <w:tc>
          <w:tcPr>
            <w:tcW w:w="0" w:type="dxa"/>
            <w:vAlign w:val="bottom"/>
          </w:tcPr>
          <w:p>
            <w:pPr>
              <w:spacing w:after="0"/>
              <w:rPr>
                <w:sz w:val="1"/>
                <w:szCs w:val="1"/>
                <w:color w:val="auto"/>
              </w:rPr>
            </w:pPr>
          </w:p>
        </w:tc>
      </w:tr>
      <w:tr>
        <w:trPr>
          <w:trHeight w:val="250"/>
        </w:trPr>
        <w:tc>
          <w:tcPr>
            <w:tcW w:w="7480" w:type="dxa"/>
            <w:vAlign w:val="bottom"/>
          </w:tcPr>
          <w:p>
            <w:pPr>
              <w:ind w:left="40"/>
              <w:spacing w:after="0"/>
              <w:rPr>
                <w:sz w:val="20"/>
                <w:szCs w:val="20"/>
                <w:color w:val="auto"/>
              </w:rPr>
            </w:pPr>
            <w:r>
              <w:rPr>
                <w:rFonts w:ascii="Arial" w:cs="Arial" w:eastAsia="Arial" w:hAnsi="Arial"/>
                <w:sz w:val="16"/>
                <w:szCs w:val="16"/>
                <w:b w:val="1"/>
                <w:bCs w:val="1"/>
                <w:color w:val="auto"/>
              </w:rPr>
              <w:t>Revenue</w:t>
            </w:r>
          </w:p>
        </w:tc>
        <w:tc>
          <w:tcPr>
            <w:tcW w:w="26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0"/>
        </w:trPr>
        <w:tc>
          <w:tcPr>
            <w:tcW w:w="7480" w:type="dxa"/>
            <w:vAlign w:val="bottom"/>
          </w:tcPr>
          <w:p>
            <w:pPr>
              <w:ind w:left="40"/>
              <w:spacing w:after="0"/>
              <w:rPr>
                <w:sz w:val="20"/>
                <w:szCs w:val="20"/>
                <w:color w:val="auto"/>
              </w:rPr>
            </w:pPr>
            <w:r>
              <w:rPr>
                <w:rFonts w:ascii="Arial" w:cs="Arial" w:eastAsia="Arial" w:hAnsi="Arial"/>
                <w:sz w:val="16"/>
                <w:szCs w:val="16"/>
                <w:color w:val="auto"/>
              </w:rPr>
              <w:t>Higher education</w:t>
            </w:r>
          </w:p>
        </w:tc>
        <w:tc>
          <w:tcPr>
            <w:tcW w:w="26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1040" w:type="dxa"/>
            <w:vAlign w:val="bottom"/>
          </w:tcPr>
          <w:p>
            <w:pPr>
              <w:jc w:val="right"/>
              <w:ind w:right="80"/>
              <w:spacing w:after="0"/>
              <w:rPr>
                <w:sz w:val="20"/>
                <w:szCs w:val="20"/>
                <w:color w:val="auto"/>
              </w:rPr>
            </w:pPr>
            <w:r>
              <w:rPr>
                <w:rFonts w:ascii="Arial" w:cs="Arial" w:eastAsia="Arial" w:hAnsi="Arial"/>
                <w:sz w:val="16"/>
                <w:szCs w:val="16"/>
                <w:color w:val="auto"/>
              </w:rPr>
              <w:t>617,047</w:t>
            </w:r>
          </w:p>
        </w:tc>
        <w:tc>
          <w:tcPr>
            <w:tcW w:w="34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980" w:type="dxa"/>
            <w:vAlign w:val="bottom"/>
          </w:tcPr>
          <w:p>
            <w:pPr>
              <w:jc w:val="right"/>
              <w:ind w:right="40"/>
              <w:spacing w:after="0"/>
              <w:rPr>
                <w:sz w:val="20"/>
                <w:szCs w:val="20"/>
                <w:color w:val="auto"/>
              </w:rPr>
            </w:pPr>
            <w:r>
              <w:rPr>
                <w:rFonts w:ascii="Arial" w:cs="Arial" w:eastAsia="Arial" w:hAnsi="Arial"/>
                <w:sz w:val="16"/>
                <w:szCs w:val="16"/>
                <w:color w:val="auto"/>
              </w:rPr>
              <w:t>849,625</w:t>
            </w:r>
          </w:p>
        </w:tc>
        <w:tc>
          <w:tcPr>
            <w:tcW w:w="1320" w:type="dxa"/>
            <w:vAlign w:val="bottom"/>
            <w:gridSpan w:val="2"/>
          </w:tcPr>
          <w:p>
            <w:pPr>
              <w:jc w:val="right"/>
              <w:ind w:right="201"/>
              <w:spacing w:after="0"/>
              <w:rPr>
                <w:sz w:val="20"/>
                <w:szCs w:val="20"/>
                <w:color w:val="auto"/>
              </w:rPr>
            </w:pPr>
            <w:r>
              <w:rPr>
                <w:rFonts w:ascii="Arial" w:cs="Arial" w:eastAsia="Arial" w:hAnsi="Arial"/>
                <w:sz w:val="16"/>
                <w:szCs w:val="16"/>
                <w:color w:val="auto"/>
              </w:rPr>
              <w:t>(27)</w:t>
            </w:r>
          </w:p>
        </w:tc>
        <w:tc>
          <w:tcPr>
            <w:tcW w:w="0" w:type="dxa"/>
            <w:vAlign w:val="bottom"/>
          </w:tcPr>
          <w:p>
            <w:pPr>
              <w:spacing w:after="0"/>
              <w:rPr>
                <w:sz w:val="1"/>
                <w:szCs w:val="1"/>
                <w:color w:val="auto"/>
              </w:rPr>
            </w:pPr>
          </w:p>
        </w:tc>
      </w:tr>
      <w:tr>
        <w:trPr>
          <w:trHeight w:val="270"/>
        </w:trPr>
        <w:tc>
          <w:tcPr>
            <w:tcW w:w="7480" w:type="dxa"/>
            <w:vAlign w:val="bottom"/>
          </w:tcPr>
          <w:p>
            <w:pPr>
              <w:ind w:left="40"/>
              <w:spacing w:after="0"/>
              <w:rPr>
                <w:sz w:val="20"/>
                <w:szCs w:val="20"/>
                <w:color w:val="auto"/>
              </w:rPr>
            </w:pPr>
            <w:r>
              <w:rPr>
                <w:rFonts w:ascii="Arial" w:cs="Arial" w:eastAsia="Arial" w:hAnsi="Arial"/>
                <w:sz w:val="16"/>
                <w:szCs w:val="16"/>
                <w:color w:val="auto"/>
              </w:rPr>
              <w:t>Test preparation</w:t>
            </w:r>
          </w:p>
        </w:tc>
        <w:tc>
          <w:tcPr>
            <w:tcW w:w="260" w:type="dxa"/>
            <w:vAlign w:val="bottom"/>
          </w:tcPr>
          <w:p>
            <w:pPr>
              <w:spacing w:after="0"/>
              <w:rPr>
                <w:sz w:val="23"/>
                <w:szCs w:val="23"/>
                <w:color w:val="auto"/>
              </w:rPr>
            </w:pPr>
          </w:p>
        </w:tc>
        <w:tc>
          <w:tcPr>
            <w:tcW w:w="1040" w:type="dxa"/>
            <w:vAlign w:val="bottom"/>
          </w:tcPr>
          <w:p>
            <w:pPr>
              <w:jc w:val="right"/>
              <w:ind w:right="80"/>
              <w:spacing w:after="0"/>
              <w:rPr>
                <w:sz w:val="20"/>
                <w:szCs w:val="20"/>
                <w:color w:val="auto"/>
              </w:rPr>
            </w:pPr>
            <w:r>
              <w:rPr>
                <w:rFonts w:ascii="Arial" w:cs="Arial" w:eastAsia="Arial" w:hAnsi="Arial"/>
                <w:sz w:val="16"/>
                <w:szCs w:val="16"/>
                <w:color w:val="auto"/>
              </w:rPr>
              <w:t>286,556</w:t>
            </w:r>
          </w:p>
        </w:tc>
        <w:tc>
          <w:tcPr>
            <w:tcW w:w="340" w:type="dxa"/>
            <w:vAlign w:val="bottom"/>
          </w:tcPr>
          <w:p>
            <w:pPr>
              <w:spacing w:after="0"/>
              <w:rPr>
                <w:sz w:val="23"/>
                <w:szCs w:val="23"/>
                <w:color w:val="auto"/>
              </w:rPr>
            </w:pPr>
          </w:p>
        </w:tc>
        <w:tc>
          <w:tcPr>
            <w:tcW w:w="980" w:type="dxa"/>
            <w:vAlign w:val="bottom"/>
          </w:tcPr>
          <w:p>
            <w:pPr>
              <w:jc w:val="right"/>
              <w:ind w:right="40"/>
              <w:spacing w:after="0"/>
              <w:rPr>
                <w:sz w:val="20"/>
                <w:szCs w:val="20"/>
                <w:color w:val="auto"/>
              </w:rPr>
            </w:pPr>
            <w:r>
              <w:rPr>
                <w:rFonts w:ascii="Arial" w:cs="Arial" w:eastAsia="Arial" w:hAnsi="Arial"/>
                <w:sz w:val="16"/>
                <w:szCs w:val="16"/>
                <w:color w:val="auto"/>
              </w:rPr>
              <w:t>301,607</w:t>
            </w:r>
          </w:p>
        </w:tc>
        <w:tc>
          <w:tcPr>
            <w:tcW w:w="1320" w:type="dxa"/>
            <w:vAlign w:val="bottom"/>
            <w:gridSpan w:val="2"/>
          </w:tcPr>
          <w:p>
            <w:pPr>
              <w:jc w:val="right"/>
              <w:ind w:right="201"/>
              <w:spacing w:after="0"/>
              <w:rPr>
                <w:sz w:val="20"/>
                <w:szCs w:val="20"/>
                <w:color w:val="auto"/>
              </w:rPr>
            </w:pPr>
            <w:r>
              <w:rPr>
                <w:rFonts w:ascii="Arial" w:cs="Arial" w:eastAsia="Arial" w:hAnsi="Arial"/>
                <w:sz w:val="16"/>
                <w:szCs w:val="16"/>
                <w:color w:val="auto"/>
              </w:rPr>
              <w:t>(5)</w:t>
            </w:r>
          </w:p>
        </w:tc>
        <w:tc>
          <w:tcPr>
            <w:tcW w:w="0" w:type="dxa"/>
            <w:vAlign w:val="bottom"/>
          </w:tcPr>
          <w:p>
            <w:pPr>
              <w:spacing w:after="0"/>
              <w:rPr>
                <w:sz w:val="1"/>
                <w:szCs w:val="1"/>
                <w:color w:val="auto"/>
              </w:rPr>
            </w:pPr>
          </w:p>
        </w:tc>
      </w:tr>
      <w:tr>
        <w:trPr>
          <w:trHeight w:val="270"/>
        </w:trPr>
        <w:tc>
          <w:tcPr>
            <w:tcW w:w="7480" w:type="dxa"/>
            <w:vAlign w:val="bottom"/>
          </w:tcPr>
          <w:p>
            <w:pPr>
              <w:ind w:left="40"/>
              <w:spacing w:after="0"/>
              <w:rPr>
                <w:sz w:val="20"/>
                <w:szCs w:val="20"/>
                <w:color w:val="auto"/>
              </w:rPr>
            </w:pPr>
            <w:r>
              <w:rPr>
                <w:rFonts w:ascii="Arial" w:cs="Arial" w:eastAsia="Arial" w:hAnsi="Arial"/>
                <w:sz w:val="16"/>
                <w:szCs w:val="16"/>
                <w:color w:val="auto"/>
              </w:rPr>
              <w:t>Kaplan international</w:t>
            </w:r>
          </w:p>
        </w:tc>
        <w:tc>
          <w:tcPr>
            <w:tcW w:w="260" w:type="dxa"/>
            <w:vAlign w:val="bottom"/>
          </w:tcPr>
          <w:p>
            <w:pPr>
              <w:spacing w:after="0"/>
              <w:rPr>
                <w:sz w:val="23"/>
                <w:szCs w:val="23"/>
                <w:color w:val="auto"/>
              </w:rPr>
            </w:pPr>
          </w:p>
        </w:tc>
        <w:tc>
          <w:tcPr>
            <w:tcW w:w="1040" w:type="dxa"/>
            <w:vAlign w:val="bottom"/>
          </w:tcPr>
          <w:p>
            <w:pPr>
              <w:jc w:val="right"/>
              <w:ind w:right="80"/>
              <w:spacing w:after="0"/>
              <w:rPr>
                <w:sz w:val="20"/>
                <w:szCs w:val="20"/>
                <w:color w:val="auto"/>
              </w:rPr>
            </w:pPr>
            <w:r>
              <w:rPr>
                <w:rFonts w:ascii="Arial" w:cs="Arial" w:eastAsia="Arial" w:hAnsi="Arial"/>
                <w:sz w:val="16"/>
                <w:szCs w:val="16"/>
                <w:color w:val="auto"/>
              </w:rPr>
              <w:t>696,362</w:t>
            </w:r>
          </w:p>
        </w:tc>
        <w:tc>
          <w:tcPr>
            <w:tcW w:w="340" w:type="dxa"/>
            <w:vAlign w:val="bottom"/>
          </w:tcPr>
          <w:p>
            <w:pPr>
              <w:spacing w:after="0"/>
              <w:rPr>
                <w:sz w:val="23"/>
                <w:szCs w:val="23"/>
                <w:color w:val="auto"/>
              </w:rPr>
            </w:pPr>
          </w:p>
        </w:tc>
        <w:tc>
          <w:tcPr>
            <w:tcW w:w="980" w:type="dxa"/>
            <w:vAlign w:val="bottom"/>
          </w:tcPr>
          <w:p>
            <w:pPr>
              <w:jc w:val="right"/>
              <w:ind w:right="40"/>
              <w:spacing w:after="0"/>
              <w:rPr>
                <w:sz w:val="20"/>
                <w:szCs w:val="20"/>
                <w:color w:val="auto"/>
              </w:rPr>
            </w:pPr>
            <w:r>
              <w:rPr>
                <w:rFonts w:ascii="Arial" w:cs="Arial" w:eastAsia="Arial" w:hAnsi="Arial"/>
                <w:sz w:val="16"/>
                <w:szCs w:val="16"/>
                <w:color w:val="auto"/>
              </w:rPr>
              <w:t>770,273</w:t>
            </w:r>
          </w:p>
        </w:tc>
        <w:tc>
          <w:tcPr>
            <w:tcW w:w="1320" w:type="dxa"/>
            <w:vAlign w:val="bottom"/>
            <w:gridSpan w:val="2"/>
          </w:tcPr>
          <w:p>
            <w:pPr>
              <w:jc w:val="right"/>
              <w:ind w:right="201"/>
              <w:spacing w:after="0"/>
              <w:rPr>
                <w:sz w:val="20"/>
                <w:szCs w:val="20"/>
                <w:color w:val="auto"/>
              </w:rPr>
            </w:pPr>
            <w:r>
              <w:rPr>
                <w:rFonts w:ascii="Arial" w:cs="Arial" w:eastAsia="Arial" w:hAnsi="Arial"/>
                <w:sz w:val="16"/>
                <w:szCs w:val="16"/>
                <w:color w:val="auto"/>
              </w:rPr>
              <w:t>(10)</w:t>
            </w:r>
          </w:p>
        </w:tc>
        <w:tc>
          <w:tcPr>
            <w:tcW w:w="0" w:type="dxa"/>
            <w:vAlign w:val="bottom"/>
          </w:tcPr>
          <w:p>
            <w:pPr>
              <w:spacing w:after="0"/>
              <w:rPr>
                <w:sz w:val="1"/>
                <w:szCs w:val="1"/>
                <w:color w:val="auto"/>
              </w:rPr>
            </w:pPr>
          </w:p>
        </w:tc>
      </w:tr>
      <w:tr>
        <w:trPr>
          <w:trHeight w:val="270"/>
        </w:trPr>
        <w:tc>
          <w:tcPr>
            <w:tcW w:w="7480" w:type="dxa"/>
            <w:vAlign w:val="bottom"/>
          </w:tcPr>
          <w:p>
            <w:pPr>
              <w:ind w:left="40"/>
              <w:spacing w:after="0"/>
              <w:rPr>
                <w:sz w:val="20"/>
                <w:szCs w:val="20"/>
                <w:color w:val="auto"/>
              </w:rPr>
            </w:pPr>
            <w:r>
              <w:rPr>
                <w:rFonts w:ascii="Arial" w:cs="Arial" w:eastAsia="Arial" w:hAnsi="Arial"/>
                <w:sz w:val="16"/>
                <w:szCs w:val="16"/>
                <w:color w:val="auto"/>
              </w:rPr>
              <w:t>Kaplan corporate and other</w:t>
            </w:r>
          </w:p>
        </w:tc>
        <w:tc>
          <w:tcPr>
            <w:tcW w:w="260" w:type="dxa"/>
            <w:vAlign w:val="bottom"/>
          </w:tcPr>
          <w:p>
            <w:pPr>
              <w:spacing w:after="0"/>
              <w:rPr>
                <w:sz w:val="23"/>
                <w:szCs w:val="23"/>
                <w:color w:val="auto"/>
              </w:rPr>
            </w:pPr>
          </w:p>
        </w:tc>
        <w:tc>
          <w:tcPr>
            <w:tcW w:w="1040" w:type="dxa"/>
            <w:vAlign w:val="bottom"/>
          </w:tcPr>
          <w:p>
            <w:pPr>
              <w:jc w:val="right"/>
              <w:ind w:right="80"/>
              <w:spacing w:after="0"/>
              <w:rPr>
                <w:sz w:val="20"/>
                <w:szCs w:val="20"/>
                <w:color w:val="auto"/>
              </w:rPr>
            </w:pPr>
            <w:r>
              <w:rPr>
                <w:rFonts w:ascii="Arial" w:cs="Arial" w:eastAsia="Arial" w:hAnsi="Arial"/>
                <w:sz w:val="16"/>
                <w:szCs w:val="16"/>
                <w:color w:val="auto"/>
              </w:rPr>
              <w:t>214</w:t>
            </w:r>
          </w:p>
        </w:tc>
        <w:tc>
          <w:tcPr>
            <w:tcW w:w="340" w:type="dxa"/>
            <w:vAlign w:val="bottom"/>
          </w:tcPr>
          <w:p>
            <w:pPr>
              <w:spacing w:after="0"/>
              <w:rPr>
                <w:sz w:val="23"/>
                <w:szCs w:val="23"/>
                <w:color w:val="auto"/>
              </w:rPr>
            </w:pPr>
          </w:p>
        </w:tc>
        <w:tc>
          <w:tcPr>
            <w:tcW w:w="980" w:type="dxa"/>
            <w:vAlign w:val="bottom"/>
          </w:tcPr>
          <w:p>
            <w:pPr>
              <w:jc w:val="right"/>
              <w:ind w:right="40"/>
              <w:spacing w:after="0"/>
              <w:rPr>
                <w:sz w:val="20"/>
                <w:szCs w:val="20"/>
                <w:color w:val="auto"/>
              </w:rPr>
            </w:pPr>
            <w:r>
              <w:rPr>
                <w:rFonts w:ascii="Arial" w:cs="Arial" w:eastAsia="Arial" w:hAnsi="Arial"/>
                <w:sz w:val="16"/>
                <w:szCs w:val="16"/>
                <w:color w:val="auto"/>
              </w:rPr>
              <w:t>6,502</w:t>
            </w:r>
          </w:p>
        </w:tc>
        <w:tc>
          <w:tcPr>
            <w:tcW w:w="1320" w:type="dxa"/>
            <w:vAlign w:val="bottom"/>
            <w:gridSpan w:val="2"/>
          </w:tcPr>
          <w:p>
            <w:pPr>
              <w:jc w:val="right"/>
              <w:ind w:right="201"/>
              <w:spacing w:after="0"/>
              <w:rPr>
                <w:sz w:val="20"/>
                <w:szCs w:val="20"/>
                <w:color w:val="auto"/>
              </w:rPr>
            </w:pPr>
            <w:r>
              <w:rPr>
                <w:rFonts w:ascii="Arial" w:cs="Arial" w:eastAsia="Arial" w:hAnsi="Arial"/>
                <w:sz w:val="16"/>
                <w:szCs w:val="16"/>
                <w:color w:val="auto"/>
              </w:rPr>
              <w:t>(97)</w:t>
            </w:r>
          </w:p>
        </w:tc>
        <w:tc>
          <w:tcPr>
            <w:tcW w:w="0" w:type="dxa"/>
            <w:vAlign w:val="bottom"/>
          </w:tcPr>
          <w:p>
            <w:pPr>
              <w:spacing w:after="0"/>
              <w:rPr>
                <w:sz w:val="1"/>
                <w:szCs w:val="1"/>
                <w:color w:val="auto"/>
              </w:rPr>
            </w:pPr>
          </w:p>
        </w:tc>
      </w:tr>
      <w:tr>
        <w:trPr>
          <w:trHeight w:val="283"/>
        </w:trPr>
        <w:tc>
          <w:tcPr>
            <w:tcW w:w="7480" w:type="dxa"/>
            <w:vAlign w:val="bottom"/>
          </w:tcPr>
          <w:p>
            <w:pPr>
              <w:ind w:left="40"/>
              <w:spacing w:after="0"/>
              <w:rPr>
                <w:sz w:val="20"/>
                <w:szCs w:val="20"/>
                <w:color w:val="auto"/>
              </w:rPr>
            </w:pPr>
            <w:r>
              <w:rPr>
                <w:rFonts w:ascii="Arial" w:cs="Arial" w:eastAsia="Arial" w:hAnsi="Arial"/>
                <w:sz w:val="16"/>
                <w:szCs w:val="16"/>
                <w:color w:val="auto"/>
              </w:rPr>
              <w:t>Intersegment elimination</w:t>
            </w:r>
          </w:p>
        </w:tc>
        <w:tc>
          <w:tcPr>
            <w:tcW w:w="26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(1,718)</w:t>
            </w:r>
          </w:p>
        </w:tc>
        <w:tc>
          <w:tcPr>
            <w:tcW w:w="34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(486)</w:t>
            </w:r>
          </w:p>
        </w:tc>
        <w:tc>
          <w:tcPr>
            <w:tcW w:w="100" w:type="dxa"/>
            <w:vAlign w:val="bottom"/>
            <w:tcBorders>
              <w:bottom w:val="single" w:sz="8" w:color="auto"/>
            </w:tcBorders>
          </w:tcPr>
          <w:p>
            <w:pPr>
              <w:spacing w:after="0"/>
              <w:rPr>
                <w:sz w:val="24"/>
                <w:szCs w:val="24"/>
                <w:color w:val="auto"/>
              </w:rPr>
            </w:pPr>
          </w:p>
        </w:tc>
        <w:tc>
          <w:tcPr>
            <w:tcW w:w="1220" w:type="dxa"/>
            <w:vAlign w:val="bottom"/>
          </w:tcPr>
          <w:p>
            <w:pPr>
              <w:jc w:val="right"/>
              <w:ind w:right="241"/>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64"/>
        </w:trPr>
        <w:tc>
          <w:tcPr>
            <w:tcW w:w="7480" w:type="dxa"/>
            <w:vAlign w:val="bottom"/>
          </w:tcPr>
          <w:p>
            <w:pPr>
              <w:spacing w:after="0"/>
              <w:rPr>
                <w:sz w:val="22"/>
                <w:szCs w:val="22"/>
                <w:color w:val="auto"/>
              </w:rPr>
            </w:pPr>
          </w:p>
        </w:tc>
        <w:tc>
          <w:tcPr>
            <w:tcW w:w="26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1040" w:type="dxa"/>
            <w:vAlign w:val="bottom"/>
          </w:tcPr>
          <w:p>
            <w:pPr>
              <w:jc w:val="right"/>
              <w:ind w:right="80"/>
              <w:spacing w:after="0"/>
              <w:rPr>
                <w:sz w:val="20"/>
                <w:szCs w:val="20"/>
                <w:color w:val="auto"/>
              </w:rPr>
            </w:pPr>
            <w:r>
              <w:rPr>
                <w:rFonts w:ascii="Arial" w:cs="Arial" w:eastAsia="Arial" w:hAnsi="Arial"/>
                <w:sz w:val="16"/>
                <w:szCs w:val="16"/>
                <w:color w:val="auto"/>
              </w:rPr>
              <w:t>1,598,461</w:t>
            </w:r>
          </w:p>
        </w:tc>
        <w:tc>
          <w:tcPr>
            <w:tcW w:w="34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980" w:type="dxa"/>
            <w:vAlign w:val="bottom"/>
          </w:tcPr>
          <w:p>
            <w:pPr>
              <w:jc w:val="right"/>
              <w:ind w:right="40"/>
              <w:spacing w:after="0"/>
              <w:rPr>
                <w:sz w:val="20"/>
                <w:szCs w:val="20"/>
                <w:color w:val="auto"/>
              </w:rPr>
            </w:pPr>
            <w:r>
              <w:rPr>
                <w:rFonts w:ascii="Arial" w:cs="Arial" w:eastAsia="Arial" w:hAnsi="Arial"/>
                <w:sz w:val="16"/>
                <w:szCs w:val="16"/>
                <w:color w:val="auto"/>
              </w:rPr>
              <w:t>1,927,521</w:t>
            </w:r>
          </w:p>
        </w:tc>
        <w:tc>
          <w:tcPr>
            <w:tcW w:w="1320" w:type="dxa"/>
            <w:vAlign w:val="bottom"/>
            <w:gridSpan w:val="2"/>
          </w:tcPr>
          <w:p>
            <w:pPr>
              <w:jc w:val="right"/>
              <w:ind w:right="201"/>
              <w:spacing w:after="0"/>
              <w:rPr>
                <w:sz w:val="20"/>
                <w:szCs w:val="20"/>
                <w:color w:val="auto"/>
              </w:rPr>
            </w:pPr>
            <w:r>
              <w:rPr>
                <w:rFonts w:ascii="Arial" w:cs="Arial" w:eastAsia="Arial" w:hAnsi="Arial"/>
                <w:sz w:val="16"/>
                <w:szCs w:val="16"/>
                <w:color w:val="auto"/>
              </w:rPr>
              <w:t>(17)</w:t>
            </w:r>
          </w:p>
        </w:tc>
        <w:tc>
          <w:tcPr>
            <w:tcW w:w="0" w:type="dxa"/>
            <w:vAlign w:val="bottom"/>
          </w:tcPr>
          <w:p>
            <w:pPr>
              <w:spacing w:after="0"/>
              <w:rPr>
                <w:sz w:val="1"/>
                <w:szCs w:val="1"/>
                <w:color w:val="auto"/>
              </w:rPr>
            </w:pPr>
          </w:p>
        </w:tc>
      </w:tr>
      <w:tr>
        <w:trPr>
          <w:trHeight w:val="20"/>
        </w:trPr>
        <w:tc>
          <w:tcPr>
            <w:tcW w:w="7480" w:type="dxa"/>
            <w:vAlign w:val="bottom"/>
            <w:vMerge w:val="restart"/>
          </w:tcPr>
          <w:p>
            <w:pPr>
              <w:ind w:left="40"/>
              <w:spacing w:after="0"/>
              <w:rPr>
                <w:sz w:val="20"/>
                <w:szCs w:val="20"/>
                <w:color w:val="auto"/>
              </w:rPr>
            </w:pPr>
            <w:r>
              <w:rPr>
                <w:rFonts w:ascii="Arial" w:cs="Arial" w:eastAsia="Arial" w:hAnsi="Arial"/>
                <w:sz w:val="16"/>
                <w:szCs w:val="16"/>
                <w:b w:val="1"/>
                <w:bCs w:val="1"/>
                <w:color w:val="auto"/>
              </w:rPr>
              <w:t>Operating Income (Loss)</w:t>
            </w:r>
          </w:p>
        </w:tc>
        <w:tc>
          <w:tcPr>
            <w:tcW w:w="26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7480" w:type="dxa"/>
            <w:vAlign w:val="bottom"/>
            <w:vMerge w:val="continue"/>
          </w:tcPr>
          <w:p>
            <w:pPr>
              <w:spacing w:after="0"/>
              <w:rPr>
                <w:sz w:val="20"/>
                <w:szCs w:val="20"/>
                <w:color w:val="auto"/>
              </w:rPr>
            </w:pPr>
          </w:p>
        </w:tc>
        <w:tc>
          <w:tcPr>
            <w:tcW w:w="26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0"/>
        </w:trPr>
        <w:tc>
          <w:tcPr>
            <w:tcW w:w="7480" w:type="dxa"/>
            <w:vAlign w:val="bottom"/>
          </w:tcPr>
          <w:p>
            <w:pPr>
              <w:ind w:left="40"/>
              <w:spacing w:after="0"/>
              <w:rPr>
                <w:sz w:val="20"/>
                <w:szCs w:val="20"/>
                <w:color w:val="auto"/>
              </w:rPr>
            </w:pPr>
            <w:r>
              <w:rPr>
                <w:rFonts w:ascii="Arial" w:cs="Arial" w:eastAsia="Arial" w:hAnsi="Arial"/>
                <w:sz w:val="16"/>
                <w:szCs w:val="16"/>
                <w:color w:val="auto"/>
              </w:rPr>
              <w:t>Higher education</w:t>
            </w:r>
          </w:p>
        </w:tc>
        <w:tc>
          <w:tcPr>
            <w:tcW w:w="26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1040" w:type="dxa"/>
            <w:vAlign w:val="bottom"/>
          </w:tcPr>
          <w:p>
            <w:pPr>
              <w:jc w:val="right"/>
              <w:ind w:right="80"/>
              <w:spacing w:after="0"/>
              <w:rPr>
                <w:sz w:val="20"/>
                <w:szCs w:val="20"/>
                <w:color w:val="auto"/>
              </w:rPr>
            </w:pPr>
            <w:r>
              <w:rPr>
                <w:rFonts w:ascii="Arial" w:cs="Arial" w:eastAsia="Arial" w:hAnsi="Arial"/>
                <w:sz w:val="16"/>
                <w:szCs w:val="16"/>
                <w:color w:val="auto"/>
              </w:rPr>
              <w:t>66,632</w:t>
            </w:r>
          </w:p>
        </w:tc>
        <w:tc>
          <w:tcPr>
            <w:tcW w:w="34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980" w:type="dxa"/>
            <w:vAlign w:val="bottom"/>
          </w:tcPr>
          <w:p>
            <w:pPr>
              <w:jc w:val="right"/>
              <w:ind w:right="40"/>
              <w:spacing w:after="0"/>
              <w:rPr>
                <w:sz w:val="20"/>
                <w:szCs w:val="20"/>
                <w:color w:val="auto"/>
              </w:rPr>
            </w:pPr>
            <w:r>
              <w:rPr>
                <w:rFonts w:ascii="Arial" w:cs="Arial" w:eastAsia="Arial" w:hAnsi="Arial"/>
                <w:sz w:val="16"/>
                <w:szCs w:val="16"/>
                <w:color w:val="auto"/>
              </w:rPr>
              <w:t>55,572</w:t>
            </w:r>
          </w:p>
        </w:tc>
        <w:tc>
          <w:tcPr>
            <w:tcW w:w="1320" w:type="dxa"/>
            <w:vAlign w:val="bottom"/>
            <w:gridSpan w:val="2"/>
          </w:tcPr>
          <w:p>
            <w:pPr>
              <w:jc w:val="right"/>
              <w:ind w:right="241"/>
              <w:spacing w:after="0"/>
              <w:rPr>
                <w:sz w:val="20"/>
                <w:szCs w:val="20"/>
                <w:color w:val="auto"/>
              </w:rPr>
            </w:pPr>
            <w:r>
              <w:rPr>
                <w:rFonts w:ascii="Arial" w:cs="Arial" w:eastAsia="Arial" w:hAnsi="Arial"/>
                <w:sz w:val="16"/>
                <w:szCs w:val="16"/>
                <w:color w:val="auto"/>
              </w:rPr>
              <w:t>20</w:t>
            </w:r>
          </w:p>
        </w:tc>
        <w:tc>
          <w:tcPr>
            <w:tcW w:w="0" w:type="dxa"/>
            <w:vAlign w:val="bottom"/>
          </w:tcPr>
          <w:p>
            <w:pPr>
              <w:spacing w:after="0"/>
              <w:rPr>
                <w:sz w:val="1"/>
                <w:szCs w:val="1"/>
                <w:color w:val="auto"/>
              </w:rPr>
            </w:pPr>
          </w:p>
        </w:tc>
      </w:tr>
      <w:tr>
        <w:trPr>
          <w:trHeight w:val="270"/>
        </w:trPr>
        <w:tc>
          <w:tcPr>
            <w:tcW w:w="7480" w:type="dxa"/>
            <w:vAlign w:val="bottom"/>
          </w:tcPr>
          <w:p>
            <w:pPr>
              <w:ind w:left="40"/>
              <w:spacing w:after="0"/>
              <w:rPr>
                <w:sz w:val="20"/>
                <w:szCs w:val="20"/>
                <w:color w:val="auto"/>
              </w:rPr>
            </w:pPr>
            <w:r>
              <w:rPr>
                <w:rFonts w:ascii="Arial" w:cs="Arial" w:eastAsia="Arial" w:hAnsi="Arial"/>
                <w:sz w:val="16"/>
                <w:szCs w:val="16"/>
                <w:color w:val="auto"/>
              </w:rPr>
              <w:t>Test preparation</w:t>
            </w:r>
          </w:p>
        </w:tc>
        <w:tc>
          <w:tcPr>
            <w:tcW w:w="260" w:type="dxa"/>
            <w:vAlign w:val="bottom"/>
          </w:tcPr>
          <w:p>
            <w:pPr>
              <w:spacing w:after="0"/>
              <w:rPr>
                <w:sz w:val="23"/>
                <w:szCs w:val="23"/>
                <w:color w:val="auto"/>
              </w:rPr>
            </w:pPr>
          </w:p>
        </w:tc>
        <w:tc>
          <w:tcPr>
            <w:tcW w:w="1040" w:type="dxa"/>
            <w:vAlign w:val="bottom"/>
          </w:tcPr>
          <w:p>
            <w:pPr>
              <w:jc w:val="right"/>
              <w:ind w:right="80"/>
              <w:spacing w:after="0"/>
              <w:rPr>
                <w:sz w:val="20"/>
                <w:szCs w:val="20"/>
                <w:color w:val="auto"/>
              </w:rPr>
            </w:pPr>
            <w:r>
              <w:rPr>
                <w:rFonts w:ascii="Arial" w:cs="Arial" w:eastAsia="Arial" w:hAnsi="Arial"/>
                <w:sz w:val="16"/>
                <w:szCs w:val="16"/>
                <w:color w:val="auto"/>
              </w:rPr>
              <w:t>9,599</w:t>
            </w:r>
          </w:p>
        </w:tc>
        <w:tc>
          <w:tcPr>
            <w:tcW w:w="340" w:type="dxa"/>
            <w:vAlign w:val="bottom"/>
          </w:tcPr>
          <w:p>
            <w:pPr>
              <w:spacing w:after="0"/>
              <w:rPr>
                <w:sz w:val="23"/>
                <w:szCs w:val="23"/>
                <w:color w:val="auto"/>
              </w:rPr>
            </w:pPr>
          </w:p>
        </w:tc>
        <w:tc>
          <w:tcPr>
            <w:tcW w:w="980" w:type="dxa"/>
            <w:vAlign w:val="bottom"/>
          </w:tcPr>
          <w:p>
            <w:pPr>
              <w:jc w:val="right"/>
              <w:ind w:right="40"/>
              <w:spacing w:after="0"/>
              <w:rPr>
                <w:sz w:val="20"/>
                <w:szCs w:val="20"/>
                <w:color w:val="auto"/>
              </w:rPr>
            </w:pPr>
            <w:r>
              <w:rPr>
                <w:rFonts w:ascii="Arial" w:cs="Arial" w:eastAsia="Arial" w:hAnsi="Arial"/>
                <w:sz w:val="16"/>
                <w:szCs w:val="16"/>
                <w:color w:val="auto"/>
              </w:rPr>
              <w:t>16,798</w:t>
            </w:r>
          </w:p>
        </w:tc>
        <w:tc>
          <w:tcPr>
            <w:tcW w:w="1320" w:type="dxa"/>
            <w:vAlign w:val="bottom"/>
            <w:gridSpan w:val="2"/>
          </w:tcPr>
          <w:p>
            <w:pPr>
              <w:jc w:val="right"/>
              <w:ind w:right="201"/>
              <w:spacing w:after="0"/>
              <w:rPr>
                <w:sz w:val="20"/>
                <w:szCs w:val="20"/>
                <w:color w:val="auto"/>
              </w:rPr>
            </w:pPr>
            <w:r>
              <w:rPr>
                <w:rFonts w:ascii="Arial" w:cs="Arial" w:eastAsia="Arial" w:hAnsi="Arial"/>
                <w:sz w:val="16"/>
                <w:szCs w:val="16"/>
                <w:color w:val="auto"/>
              </w:rPr>
              <w:t>(43)</w:t>
            </w:r>
          </w:p>
        </w:tc>
        <w:tc>
          <w:tcPr>
            <w:tcW w:w="0" w:type="dxa"/>
            <w:vAlign w:val="bottom"/>
          </w:tcPr>
          <w:p>
            <w:pPr>
              <w:spacing w:after="0"/>
              <w:rPr>
                <w:sz w:val="1"/>
                <w:szCs w:val="1"/>
                <w:color w:val="auto"/>
              </w:rPr>
            </w:pPr>
          </w:p>
        </w:tc>
      </w:tr>
      <w:tr>
        <w:trPr>
          <w:trHeight w:val="270"/>
        </w:trPr>
        <w:tc>
          <w:tcPr>
            <w:tcW w:w="7480" w:type="dxa"/>
            <w:vAlign w:val="bottom"/>
          </w:tcPr>
          <w:p>
            <w:pPr>
              <w:ind w:left="40"/>
              <w:spacing w:after="0"/>
              <w:rPr>
                <w:sz w:val="20"/>
                <w:szCs w:val="20"/>
                <w:color w:val="auto"/>
              </w:rPr>
            </w:pPr>
            <w:r>
              <w:rPr>
                <w:rFonts w:ascii="Arial" w:cs="Arial" w:eastAsia="Arial" w:hAnsi="Arial"/>
                <w:sz w:val="16"/>
                <w:szCs w:val="16"/>
                <w:color w:val="auto"/>
              </w:rPr>
              <w:t>Kaplan international</w:t>
            </w:r>
          </w:p>
        </w:tc>
        <w:tc>
          <w:tcPr>
            <w:tcW w:w="260" w:type="dxa"/>
            <w:vAlign w:val="bottom"/>
          </w:tcPr>
          <w:p>
            <w:pPr>
              <w:spacing w:after="0"/>
              <w:rPr>
                <w:sz w:val="23"/>
                <w:szCs w:val="23"/>
                <w:color w:val="auto"/>
              </w:rPr>
            </w:pPr>
          </w:p>
        </w:tc>
        <w:tc>
          <w:tcPr>
            <w:tcW w:w="1040" w:type="dxa"/>
            <w:vAlign w:val="bottom"/>
          </w:tcPr>
          <w:p>
            <w:pPr>
              <w:jc w:val="right"/>
              <w:ind w:right="80"/>
              <w:spacing w:after="0"/>
              <w:rPr>
                <w:sz w:val="20"/>
                <w:szCs w:val="20"/>
                <w:color w:val="auto"/>
              </w:rPr>
            </w:pPr>
            <w:r>
              <w:rPr>
                <w:rFonts w:ascii="Arial" w:cs="Arial" w:eastAsia="Arial" w:hAnsi="Arial"/>
                <w:sz w:val="16"/>
                <w:szCs w:val="16"/>
                <w:color w:val="auto"/>
              </w:rPr>
              <w:t>48,398</w:t>
            </w:r>
          </w:p>
        </w:tc>
        <w:tc>
          <w:tcPr>
            <w:tcW w:w="340" w:type="dxa"/>
            <w:vAlign w:val="bottom"/>
          </w:tcPr>
          <w:p>
            <w:pPr>
              <w:spacing w:after="0"/>
              <w:rPr>
                <w:sz w:val="23"/>
                <w:szCs w:val="23"/>
                <w:color w:val="auto"/>
              </w:rPr>
            </w:pPr>
          </w:p>
        </w:tc>
        <w:tc>
          <w:tcPr>
            <w:tcW w:w="980" w:type="dxa"/>
            <w:vAlign w:val="bottom"/>
          </w:tcPr>
          <w:p>
            <w:pPr>
              <w:jc w:val="right"/>
              <w:ind w:right="40"/>
              <w:spacing w:after="0"/>
              <w:rPr>
                <w:sz w:val="20"/>
                <w:szCs w:val="20"/>
                <w:color w:val="auto"/>
              </w:rPr>
            </w:pPr>
            <w:r>
              <w:rPr>
                <w:rFonts w:ascii="Arial" w:cs="Arial" w:eastAsia="Arial" w:hAnsi="Arial"/>
                <w:sz w:val="16"/>
                <w:szCs w:val="16"/>
                <w:color w:val="auto"/>
              </w:rPr>
              <w:t>53,661</w:t>
            </w:r>
          </w:p>
        </w:tc>
        <w:tc>
          <w:tcPr>
            <w:tcW w:w="1320" w:type="dxa"/>
            <w:vAlign w:val="bottom"/>
            <w:gridSpan w:val="2"/>
          </w:tcPr>
          <w:p>
            <w:pPr>
              <w:jc w:val="right"/>
              <w:ind w:right="201"/>
              <w:spacing w:after="0"/>
              <w:rPr>
                <w:sz w:val="20"/>
                <w:szCs w:val="20"/>
                <w:color w:val="auto"/>
              </w:rPr>
            </w:pPr>
            <w:r>
              <w:rPr>
                <w:rFonts w:ascii="Arial" w:cs="Arial" w:eastAsia="Arial" w:hAnsi="Arial"/>
                <w:sz w:val="16"/>
                <w:szCs w:val="16"/>
                <w:color w:val="auto"/>
              </w:rPr>
              <w:t>(10)</w:t>
            </w:r>
          </w:p>
        </w:tc>
        <w:tc>
          <w:tcPr>
            <w:tcW w:w="0" w:type="dxa"/>
            <w:vAlign w:val="bottom"/>
          </w:tcPr>
          <w:p>
            <w:pPr>
              <w:spacing w:after="0"/>
              <w:rPr>
                <w:sz w:val="1"/>
                <w:szCs w:val="1"/>
                <w:color w:val="auto"/>
              </w:rPr>
            </w:pPr>
          </w:p>
        </w:tc>
      </w:tr>
      <w:tr>
        <w:trPr>
          <w:trHeight w:val="270"/>
        </w:trPr>
        <w:tc>
          <w:tcPr>
            <w:tcW w:w="7480" w:type="dxa"/>
            <w:vAlign w:val="bottom"/>
          </w:tcPr>
          <w:p>
            <w:pPr>
              <w:ind w:left="40"/>
              <w:spacing w:after="0"/>
              <w:rPr>
                <w:sz w:val="20"/>
                <w:szCs w:val="20"/>
                <w:color w:val="auto"/>
              </w:rPr>
            </w:pPr>
            <w:r>
              <w:rPr>
                <w:rFonts w:ascii="Arial" w:cs="Arial" w:eastAsia="Arial" w:hAnsi="Arial"/>
                <w:sz w:val="16"/>
                <w:szCs w:val="16"/>
                <w:color w:val="auto"/>
              </w:rPr>
              <w:t>Kaplan corporate and other</w:t>
            </w:r>
          </w:p>
        </w:tc>
        <w:tc>
          <w:tcPr>
            <w:tcW w:w="260" w:type="dxa"/>
            <w:vAlign w:val="bottom"/>
          </w:tcPr>
          <w:p>
            <w:pPr>
              <w:spacing w:after="0"/>
              <w:rPr>
                <w:sz w:val="23"/>
                <w:szCs w:val="23"/>
                <w:color w:val="auto"/>
              </w:rPr>
            </w:pPr>
          </w:p>
        </w:tc>
        <w:tc>
          <w:tcPr>
            <w:tcW w:w="1040" w:type="dxa"/>
            <w:vAlign w:val="bottom"/>
          </w:tcPr>
          <w:p>
            <w:pPr>
              <w:jc w:val="right"/>
              <w:ind w:right="20"/>
              <w:spacing w:after="0"/>
              <w:rPr>
                <w:sz w:val="20"/>
                <w:szCs w:val="20"/>
                <w:color w:val="auto"/>
              </w:rPr>
            </w:pPr>
            <w:r>
              <w:rPr>
                <w:rFonts w:ascii="Arial" w:cs="Arial" w:eastAsia="Arial" w:hAnsi="Arial"/>
                <w:sz w:val="16"/>
                <w:szCs w:val="16"/>
                <w:color w:val="auto"/>
              </w:rPr>
              <w:t>(23,452)</w:t>
            </w:r>
          </w:p>
        </w:tc>
        <w:tc>
          <w:tcPr>
            <w:tcW w:w="340" w:type="dxa"/>
            <w:vAlign w:val="bottom"/>
          </w:tcPr>
          <w:p>
            <w:pPr>
              <w:spacing w:after="0"/>
              <w:rPr>
                <w:sz w:val="23"/>
                <w:szCs w:val="23"/>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(87,230)</w:t>
            </w:r>
          </w:p>
        </w:tc>
        <w:tc>
          <w:tcPr>
            <w:tcW w:w="1320" w:type="dxa"/>
            <w:vAlign w:val="bottom"/>
            <w:gridSpan w:val="2"/>
          </w:tcPr>
          <w:p>
            <w:pPr>
              <w:jc w:val="right"/>
              <w:ind w:right="241"/>
              <w:spacing w:after="0"/>
              <w:rPr>
                <w:sz w:val="20"/>
                <w:szCs w:val="20"/>
                <w:color w:val="auto"/>
              </w:rPr>
            </w:pPr>
            <w:r>
              <w:rPr>
                <w:rFonts w:ascii="Arial" w:cs="Arial" w:eastAsia="Arial" w:hAnsi="Arial"/>
                <w:sz w:val="16"/>
                <w:szCs w:val="16"/>
                <w:color w:val="auto"/>
              </w:rPr>
              <w:t>73</w:t>
            </w:r>
          </w:p>
        </w:tc>
        <w:tc>
          <w:tcPr>
            <w:tcW w:w="0" w:type="dxa"/>
            <w:vAlign w:val="bottom"/>
          </w:tcPr>
          <w:p>
            <w:pPr>
              <w:spacing w:after="0"/>
              <w:rPr>
                <w:sz w:val="1"/>
                <w:szCs w:val="1"/>
                <w:color w:val="auto"/>
              </w:rPr>
            </w:pPr>
          </w:p>
        </w:tc>
      </w:tr>
      <w:tr>
        <w:trPr>
          <w:trHeight w:val="270"/>
        </w:trPr>
        <w:tc>
          <w:tcPr>
            <w:tcW w:w="7480" w:type="dxa"/>
            <w:vAlign w:val="bottom"/>
          </w:tcPr>
          <w:p>
            <w:pPr>
              <w:ind w:left="40"/>
              <w:spacing w:after="0"/>
              <w:rPr>
                <w:sz w:val="20"/>
                <w:szCs w:val="20"/>
                <w:color w:val="auto"/>
              </w:rPr>
            </w:pPr>
            <w:r>
              <w:rPr>
                <w:rFonts w:ascii="Arial" w:cs="Arial" w:eastAsia="Arial" w:hAnsi="Arial"/>
                <w:sz w:val="16"/>
                <w:szCs w:val="16"/>
                <w:color w:val="auto"/>
              </w:rPr>
              <w:t>Amortization of intangible assets</w:t>
            </w:r>
          </w:p>
        </w:tc>
        <w:tc>
          <w:tcPr>
            <w:tcW w:w="260" w:type="dxa"/>
            <w:vAlign w:val="bottom"/>
          </w:tcPr>
          <w:p>
            <w:pPr>
              <w:spacing w:after="0"/>
              <w:rPr>
                <w:sz w:val="23"/>
                <w:szCs w:val="23"/>
                <w:color w:val="auto"/>
              </w:rPr>
            </w:pPr>
          </w:p>
        </w:tc>
        <w:tc>
          <w:tcPr>
            <w:tcW w:w="1040" w:type="dxa"/>
            <w:vAlign w:val="bottom"/>
          </w:tcPr>
          <w:p>
            <w:pPr>
              <w:jc w:val="right"/>
              <w:ind w:right="20"/>
              <w:spacing w:after="0"/>
              <w:rPr>
                <w:sz w:val="20"/>
                <w:szCs w:val="20"/>
                <w:color w:val="auto"/>
              </w:rPr>
            </w:pPr>
            <w:r>
              <w:rPr>
                <w:rFonts w:ascii="Arial" w:cs="Arial" w:eastAsia="Arial" w:hAnsi="Arial"/>
                <w:sz w:val="16"/>
                <w:szCs w:val="16"/>
                <w:color w:val="auto"/>
              </w:rPr>
              <w:t>(7,516)</w:t>
            </w:r>
          </w:p>
        </w:tc>
        <w:tc>
          <w:tcPr>
            <w:tcW w:w="340" w:type="dxa"/>
            <w:vAlign w:val="bottom"/>
          </w:tcPr>
          <w:p>
            <w:pPr>
              <w:spacing w:after="0"/>
              <w:rPr>
                <w:sz w:val="23"/>
                <w:szCs w:val="23"/>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(5,523)</w:t>
            </w:r>
          </w:p>
        </w:tc>
        <w:tc>
          <w:tcPr>
            <w:tcW w:w="1320" w:type="dxa"/>
            <w:vAlign w:val="bottom"/>
            <w:gridSpan w:val="2"/>
          </w:tcPr>
          <w:p>
            <w:pPr>
              <w:jc w:val="right"/>
              <w:ind w:right="201"/>
              <w:spacing w:after="0"/>
              <w:rPr>
                <w:sz w:val="20"/>
                <w:szCs w:val="20"/>
                <w:color w:val="auto"/>
              </w:rPr>
            </w:pPr>
            <w:r>
              <w:rPr>
                <w:rFonts w:ascii="Arial" w:cs="Arial" w:eastAsia="Arial" w:hAnsi="Arial"/>
                <w:sz w:val="16"/>
                <w:szCs w:val="16"/>
                <w:color w:val="auto"/>
              </w:rPr>
              <w:t>(36)</w:t>
            </w:r>
          </w:p>
        </w:tc>
        <w:tc>
          <w:tcPr>
            <w:tcW w:w="0" w:type="dxa"/>
            <w:vAlign w:val="bottom"/>
          </w:tcPr>
          <w:p>
            <w:pPr>
              <w:spacing w:after="0"/>
              <w:rPr>
                <w:sz w:val="1"/>
                <w:szCs w:val="1"/>
                <w:color w:val="auto"/>
              </w:rPr>
            </w:pPr>
          </w:p>
        </w:tc>
      </w:tr>
      <w:tr>
        <w:trPr>
          <w:trHeight w:val="270"/>
        </w:trPr>
        <w:tc>
          <w:tcPr>
            <w:tcW w:w="7480" w:type="dxa"/>
            <w:vAlign w:val="bottom"/>
          </w:tcPr>
          <w:p>
            <w:pPr>
              <w:ind w:left="40"/>
              <w:spacing w:after="0"/>
              <w:rPr>
                <w:sz w:val="20"/>
                <w:szCs w:val="20"/>
                <w:color w:val="auto"/>
              </w:rPr>
            </w:pPr>
            <w:r>
              <w:rPr>
                <w:rFonts w:ascii="Arial" w:cs="Arial" w:eastAsia="Arial" w:hAnsi="Arial"/>
                <w:sz w:val="16"/>
                <w:szCs w:val="16"/>
                <w:color w:val="auto"/>
              </w:rPr>
              <w:t>Impairment of goodwill and other long-lived assets</w:t>
            </w:r>
          </w:p>
        </w:tc>
        <w:tc>
          <w:tcPr>
            <w:tcW w:w="260" w:type="dxa"/>
            <w:vAlign w:val="bottom"/>
          </w:tcPr>
          <w:p>
            <w:pPr>
              <w:spacing w:after="0"/>
              <w:rPr>
                <w:sz w:val="23"/>
                <w:szCs w:val="23"/>
                <w:color w:val="auto"/>
              </w:rPr>
            </w:pPr>
          </w:p>
        </w:tc>
        <w:tc>
          <w:tcPr>
            <w:tcW w:w="1040" w:type="dxa"/>
            <w:vAlign w:val="bottom"/>
          </w:tcPr>
          <w:p>
            <w:pPr>
              <w:jc w:val="right"/>
              <w:ind w:right="80"/>
              <w:spacing w:after="0"/>
              <w:rPr>
                <w:sz w:val="20"/>
                <w:szCs w:val="20"/>
                <w:color w:val="auto"/>
              </w:rPr>
            </w:pPr>
            <w:r>
              <w:rPr>
                <w:rFonts w:ascii="Arial" w:cs="Arial" w:eastAsia="Arial" w:hAnsi="Arial"/>
                <w:sz w:val="16"/>
                <w:szCs w:val="16"/>
                <w:color w:val="auto"/>
              </w:rPr>
              <w:t>—</w:t>
            </w:r>
          </w:p>
        </w:tc>
        <w:tc>
          <w:tcPr>
            <w:tcW w:w="340" w:type="dxa"/>
            <w:vAlign w:val="bottom"/>
          </w:tcPr>
          <w:p>
            <w:pPr>
              <w:spacing w:after="0"/>
              <w:rPr>
                <w:sz w:val="23"/>
                <w:szCs w:val="23"/>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(256,830)</w:t>
            </w:r>
          </w:p>
        </w:tc>
        <w:tc>
          <w:tcPr>
            <w:tcW w:w="100" w:type="dxa"/>
            <w:vAlign w:val="bottom"/>
          </w:tcPr>
          <w:p>
            <w:pPr>
              <w:spacing w:after="0"/>
              <w:rPr>
                <w:sz w:val="23"/>
                <w:szCs w:val="23"/>
                <w:color w:val="auto"/>
              </w:rPr>
            </w:pPr>
          </w:p>
        </w:tc>
        <w:tc>
          <w:tcPr>
            <w:tcW w:w="1220" w:type="dxa"/>
            <w:vAlign w:val="bottom"/>
          </w:tcPr>
          <w:p>
            <w:pPr>
              <w:jc w:val="right"/>
              <w:ind w:right="241"/>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83"/>
        </w:trPr>
        <w:tc>
          <w:tcPr>
            <w:tcW w:w="7480" w:type="dxa"/>
            <w:vAlign w:val="bottom"/>
          </w:tcPr>
          <w:p>
            <w:pPr>
              <w:ind w:left="40"/>
              <w:spacing w:after="0"/>
              <w:rPr>
                <w:sz w:val="20"/>
                <w:szCs w:val="20"/>
                <w:color w:val="auto"/>
              </w:rPr>
            </w:pPr>
            <w:r>
              <w:rPr>
                <w:rFonts w:ascii="Arial" w:cs="Arial" w:eastAsia="Arial" w:hAnsi="Arial"/>
                <w:sz w:val="16"/>
                <w:szCs w:val="16"/>
                <w:color w:val="auto"/>
              </w:rPr>
              <w:t>Intersegment elimination</w:t>
            </w:r>
          </w:p>
        </w:tc>
        <w:tc>
          <w:tcPr>
            <w:tcW w:w="26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(29)</w:t>
            </w:r>
          </w:p>
        </w:tc>
        <w:tc>
          <w:tcPr>
            <w:tcW w:w="34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color w:val="auto"/>
              </w:rPr>
              <w:t>96</w:t>
            </w:r>
          </w:p>
        </w:tc>
        <w:tc>
          <w:tcPr>
            <w:tcW w:w="100" w:type="dxa"/>
            <w:vAlign w:val="bottom"/>
            <w:tcBorders>
              <w:bottom w:val="single" w:sz="8" w:color="auto"/>
            </w:tcBorders>
          </w:tcPr>
          <w:p>
            <w:pPr>
              <w:spacing w:after="0"/>
              <w:rPr>
                <w:sz w:val="24"/>
                <w:szCs w:val="24"/>
                <w:color w:val="auto"/>
              </w:rPr>
            </w:pPr>
          </w:p>
        </w:tc>
        <w:tc>
          <w:tcPr>
            <w:tcW w:w="1220" w:type="dxa"/>
            <w:vAlign w:val="bottom"/>
          </w:tcPr>
          <w:p>
            <w:pPr>
              <w:jc w:val="right"/>
              <w:ind w:right="241"/>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67"/>
        </w:trPr>
        <w:tc>
          <w:tcPr>
            <w:tcW w:w="7480" w:type="dxa"/>
            <w:vAlign w:val="bottom"/>
          </w:tcPr>
          <w:p>
            <w:pPr>
              <w:spacing w:after="0"/>
              <w:rPr>
                <w:sz w:val="23"/>
                <w:szCs w:val="23"/>
                <w:color w:val="auto"/>
              </w:rPr>
            </w:pPr>
          </w:p>
        </w:tc>
        <w:tc>
          <w:tcPr>
            <w:tcW w:w="26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w:t>
            </w:r>
          </w:p>
        </w:tc>
        <w:tc>
          <w:tcPr>
            <w:tcW w:w="1040" w:type="dxa"/>
            <w:vAlign w:val="bottom"/>
            <w:tcBorders>
              <w:bottom w:val="single" w:sz="8" w:color="auto"/>
            </w:tcBorders>
          </w:tcPr>
          <w:p>
            <w:pPr>
              <w:jc w:val="right"/>
              <w:ind w:right="80"/>
              <w:spacing w:after="0"/>
              <w:rPr>
                <w:sz w:val="20"/>
                <w:szCs w:val="20"/>
                <w:color w:val="auto"/>
              </w:rPr>
            </w:pPr>
            <w:r>
              <w:rPr>
                <w:rFonts w:ascii="Arial" w:cs="Arial" w:eastAsia="Arial" w:hAnsi="Arial"/>
                <w:sz w:val="16"/>
                <w:szCs w:val="16"/>
                <w:color w:val="auto"/>
              </w:rPr>
              <w:t>93,632</w:t>
            </w:r>
          </w:p>
        </w:tc>
        <w:tc>
          <w:tcPr>
            <w:tcW w:w="34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(223,456)</w:t>
            </w:r>
          </w:p>
        </w:tc>
        <w:tc>
          <w:tcPr>
            <w:tcW w:w="100" w:type="dxa"/>
            <w:vAlign w:val="bottom"/>
          </w:tcPr>
          <w:p>
            <w:pPr>
              <w:spacing w:after="0"/>
              <w:rPr>
                <w:sz w:val="23"/>
                <w:szCs w:val="23"/>
                <w:color w:val="auto"/>
              </w:rPr>
            </w:pPr>
          </w:p>
        </w:tc>
        <w:tc>
          <w:tcPr>
            <w:tcW w:w="1220" w:type="dxa"/>
            <w:vAlign w:val="bottom"/>
          </w:tcPr>
          <w:p>
            <w:pPr>
              <w:jc w:val="right"/>
              <w:ind w:right="241"/>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
        </w:trPr>
        <w:tc>
          <w:tcPr>
            <w:tcW w:w="74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8" w:lineRule="exact"/>
        <w:rPr>
          <w:sz w:val="20"/>
          <w:szCs w:val="20"/>
          <w:color w:val="auto"/>
        </w:rPr>
      </w:pPr>
    </w:p>
    <w:p>
      <w:pPr>
        <w:ind w:right="100"/>
        <w:spacing w:after="0" w:line="235" w:lineRule="auto"/>
        <w:rPr>
          <w:sz w:val="20"/>
          <w:szCs w:val="20"/>
          <w:color w:val="auto"/>
        </w:rPr>
      </w:pPr>
      <w:r>
        <w:rPr>
          <w:rFonts w:ascii="Arial" w:cs="Arial" w:eastAsia="Arial" w:hAnsi="Arial"/>
          <w:sz w:val="18"/>
          <w:szCs w:val="18"/>
          <w:color w:val="auto"/>
        </w:rPr>
        <w:t>KHE includes Kaplan’s domestic postsecondary education businesses, made up of fixed-facility colleges and online postsecondary and career programs. KHE also includes the domestic professional training and other continuing education businesses.</w:t>
      </w:r>
    </w:p>
    <w:p>
      <w:pPr>
        <w:spacing w:after="0" w:line="135" w:lineRule="exact"/>
        <w:rPr>
          <w:sz w:val="20"/>
          <w:szCs w:val="20"/>
          <w:color w:val="auto"/>
        </w:rPr>
      </w:pPr>
    </w:p>
    <w:p>
      <w:pPr>
        <w:ind w:right="300"/>
        <w:spacing w:after="0" w:line="235" w:lineRule="auto"/>
        <w:rPr>
          <w:sz w:val="20"/>
          <w:szCs w:val="20"/>
          <w:color w:val="auto"/>
        </w:rPr>
      </w:pPr>
      <w:r>
        <w:rPr>
          <w:rFonts w:ascii="Arial" w:cs="Arial" w:eastAsia="Arial" w:hAnsi="Arial"/>
          <w:sz w:val="18"/>
          <w:szCs w:val="18"/>
          <w:color w:val="auto"/>
        </w:rPr>
        <w:t>On September 3, 2015, Kaplan completed the sale of substantially all of the remaining assets of its KHE Campuses business. In connection with these and other plans, KHE incurred $7.2 million and $12.9 million in restructuring costs in 2016 and 2015, respectively.</w:t>
      </w:r>
    </w:p>
    <w:p>
      <w:pPr>
        <w:spacing w:after="0" w:line="135" w:lineRule="exact"/>
        <w:rPr>
          <w:sz w:val="20"/>
          <w:szCs w:val="20"/>
          <w:color w:val="auto"/>
        </w:rPr>
      </w:pPr>
    </w:p>
    <w:p>
      <w:pPr>
        <w:ind w:right="40"/>
        <w:spacing w:after="0" w:line="227" w:lineRule="auto"/>
        <w:rPr>
          <w:sz w:val="20"/>
          <w:szCs w:val="20"/>
          <w:color w:val="auto"/>
        </w:rPr>
      </w:pPr>
      <w:r>
        <w:rPr>
          <w:rFonts w:ascii="Arial" w:cs="Arial" w:eastAsia="Arial" w:hAnsi="Arial"/>
          <w:sz w:val="18"/>
          <w:szCs w:val="18"/>
          <w:color w:val="auto"/>
        </w:rPr>
        <w:t>As a result of continued declines in student enrollments at KHE and the challenging industry operating environment, Kaplan completed an interim impairment review of KHE’s remaining long-lived assets in the third quarter of 2015 that resulted in a $248.6 million goodwill impairment charge. This goodwill impairment charge followed a $6.9 million long-lived asset impairment charge that was recorded in the second quarter of 2015 in connection with the KHE Campuses business.</w:t>
      </w:r>
    </w:p>
    <w:p>
      <w:pPr>
        <w:spacing w:after="0" w:line="200" w:lineRule="exact"/>
        <w:rPr>
          <w:sz w:val="20"/>
          <w:szCs w:val="20"/>
          <w:color w:val="auto"/>
        </w:rPr>
      </w:pPr>
    </w:p>
    <w:p>
      <w:pPr>
        <w:spacing w:after="0" w:line="3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55</w:t>
      </w:r>
    </w:p>
    <w:p>
      <w:pPr>
        <w:sectPr>
          <w:pgSz w:w="11900" w:h="16838" w:orient="portrait"/>
          <w:cols w:equalWidth="0" w:num="1">
            <w:col w:w="11420"/>
          </w:cols>
          <w:pgMar w:left="240" w:top="746" w:right="239" w:bottom="1440" w:gutter="0" w:footer="0" w:header="0"/>
        </w:sectPr>
      </w:pPr>
    </w:p>
    <w:bookmarkStart w:id="57" w:name="page58"/>
    <w:bookmarkEnd w:id="57"/>
    <w:p>
      <w:pPr>
        <w:ind w:right="600"/>
        <w:spacing w:after="0" w:line="235" w:lineRule="auto"/>
        <w:rPr>
          <w:sz w:val="20"/>
          <w:szCs w:val="20"/>
          <w:color w:val="auto"/>
        </w:rPr>
      </w:pPr>
      <w:r>
        <w:rPr>
          <w:rFonts w:ascii="Arial" w:cs="Arial" w:eastAsia="Arial" w:hAnsi="Arial"/>
          <w:sz w:val="18"/>
          <w:szCs w:val="18"/>
          <w:color w:val="auto"/>
        </w:rPr>
        <w:t>KHE results, excluding the impairment charge, include revenue and operating losses (including restructuring charges) related to all KHE Campuses, those sold or closed, including Mount Washington College and Bauder College, as follows:</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90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380" w:type="dxa"/>
            <w:vAlign w:val="bottom"/>
            <w:gridSpan w:val="2"/>
          </w:tcPr>
          <w:p>
            <w:pPr>
              <w:jc w:val="right"/>
              <w:spacing w:after="0"/>
              <w:rPr>
                <w:sz w:val="20"/>
                <w:szCs w:val="20"/>
                <w:color w:val="auto"/>
              </w:rPr>
            </w:pPr>
            <w:r>
              <w:rPr>
                <w:rFonts w:ascii="Arial" w:cs="Arial" w:eastAsia="Arial" w:hAnsi="Arial"/>
                <w:sz w:val="14"/>
                <w:szCs w:val="14"/>
                <w:color w:val="auto"/>
              </w:rPr>
              <w:t>Year Ended</w:t>
            </w:r>
          </w:p>
        </w:tc>
        <w:tc>
          <w:tcPr>
            <w:tcW w:w="740" w:type="dxa"/>
            <w:vAlign w:val="bottom"/>
          </w:tcPr>
          <w:p>
            <w:pPr>
              <w:spacing w:after="0"/>
              <w:rPr>
                <w:sz w:val="14"/>
                <w:szCs w:val="14"/>
                <w:color w:val="auto"/>
              </w:rPr>
            </w:pPr>
          </w:p>
        </w:tc>
      </w:tr>
      <w:tr>
        <w:trPr>
          <w:trHeight w:val="276"/>
        </w:trPr>
        <w:tc>
          <w:tcPr>
            <w:tcW w:w="9040" w:type="dxa"/>
            <w:vAlign w:val="bottom"/>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38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color w:val="auto"/>
              </w:rPr>
              <w:t>December 31</w:t>
            </w:r>
          </w:p>
        </w:tc>
        <w:tc>
          <w:tcPr>
            <w:tcW w:w="740" w:type="dxa"/>
            <w:vAlign w:val="bottom"/>
            <w:tcBorders>
              <w:bottom w:val="single" w:sz="8" w:color="auto"/>
            </w:tcBorders>
          </w:tcPr>
          <w:p>
            <w:pPr>
              <w:spacing w:after="0"/>
              <w:rPr>
                <w:sz w:val="24"/>
                <w:szCs w:val="24"/>
                <w:color w:val="auto"/>
              </w:rPr>
            </w:pPr>
          </w:p>
        </w:tc>
      </w:tr>
      <w:tr>
        <w:trPr>
          <w:trHeight w:val="264"/>
        </w:trPr>
        <w:tc>
          <w:tcPr>
            <w:tcW w:w="904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(in thousands)</w:t>
            </w:r>
          </w:p>
        </w:tc>
        <w:tc>
          <w:tcPr>
            <w:tcW w:w="26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jc w:val="right"/>
              <w:ind w:right="364"/>
              <w:spacing w:after="0"/>
              <w:rPr>
                <w:sz w:val="20"/>
                <w:szCs w:val="20"/>
                <w:color w:val="auto"/>
              </w:rPr>
            </w:pPr>
            <w:r>
              <w:rPr>
                <w:rFonts w:ascii="Arial" w:cs="Arial" w:eastAsia="Arial" w:hAnsi="Arial"/>
                <w:sz w:val="14"/>
                <w:szCs w:val="14"/>
                <w:color w:val="auto"/>
              </w:rPr>
              <w:t>2016</w:t>
            </w:r>
          </w:p>
        </w:tc>
        <w:tc>
          <w:tcPr>
            <w:tcW w:w="460" w:type="dxa"/>
            <w:vAlign w:val="bottom"/>
            <w:tcBorders>
              <w:bottom w:val="single" w:sz="8" w:color="auto"/>
            </w:tcBorders>
          </w:tcPr>
          <w:p>
            <w:pPr>
              <w:spacing w:after="0"/>
              <w:rPr>
                <w:sz w:val="22"/>
                <w:szCs w:val="22"/>
                <w:color w:val="auto"/>
              </w:rPr>
            </w:pPr>
          </w:p>
        </w:tc>
        <w:tc>
          <w:tcPr>
            <w:tcW w:w="740" w:type="dxa"/>
            <w:vAlign w:val="bottom"/>
            <w:tcBorders>
              <w:bottom w:val="single" w:sz="8" w:color="auto"/>
            </w:tcBorders>
          </w:tcPr>
          <w:p>
            <w:pPr>
              <w:jc w:val="right"/>
              <w:ind w:right="322"/>
              <w:spacing w:after="0"/>
              <w:rPr>
                <w:sz w:val="20"/>
                <w:szCs w:val="20"/>
                <w:color w:val="auto"/>
              </w:rPr>
            </w:pPr>
            <w:r>
              <w:rPr>
                <w:rFonts w:ascii="Arial" w:cs="Arial" w:eastAsia="Arial" w:hAnsi="Arial"/>
                <w:sz w:val="14"/>
                <w:szCs w:val="14"/>
                <w:color w:val="auto"/>
              </w:rPr>
              <w:t>2015</w:t>
            </w:r>
          </w:p>
        </w:tc>
      </w:tr>
      <w:tr>
        <w:trPr>
          <w:trHeight w:val="250"/>
        </w:trPr>
        <w:tc>
          <w:tcPr>
            <w:tcW w:w="9040" w:type="dxa"/>
            <w:vAlign w:val="bottom"/>
          </w:tcPr>
          <w:p>
            <w:pPr>
              <w:ind w:left="40"/>
              <w:spacing w:after="0"/>
              <w:rPr>
                <w:sz w:val="20"/>
                <w:szCs w:val="20"/>
                <w:color w:val="auto"/>
              </w:rPr>
            </w:pPr>
            <w:r>
              <w:rPr>
                <w:rFonts w:ascii="Arial" w:cs="Arial" w:eastAsia="Arial" w:hAnsi="Arial"/>
                <w:sz w:val="16"/>
                <w:szCs w:val="16"/>
                <w:color w:val="auto"/>
              </w:rPr>
              <w:t>Revenue</w:t>
            </w:r>
          </w:p>
        </w:tc>
        <w:tc>
          <w:tcPr>
            <w:tcW w:w="26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920" w:type="dxa"/>
            <w:vAlign w:val="bottom"/>
          </w:tcPr>
          <w:p>
            <w:pPr>
              <w:jc w:val="right"/>
              <w:ind w:right="84"/>
              <w:spacing w:after="0"/>
              <w:rPr>
                <w:sz w:val="20"/>
                <w:szCs w:val="20"/>
                <w:color w:val="auto"/>
              </w:rPr>
            </w:pPr>
            <w:r>
              <w:rPr>
                <w:rFonts w:ascii="Arial" w:cs="Arial" w:eastAsia="Arial" w:hAnsi="Arial"/>
                <w:sz w:val="16"/>
                <w:szCs w:val="16"/>
                <w:color w:val="auto"/>
              </w:rPr>
              <w:t>1,681</w:t>
            </w:r>
          </w:p>
        </w:tc>
        <w:tc>
          <w:tcPr>
            <w:tcW w:w="460" w:type="dxa"/>
            <w:vAlign w:val="bottom"/>
          </w:tcPr>
          <w:p>
            <w:pPr>
              <w:jc w:val="right"/>
              <w:ind w:right="199"/>
              <w:spacing w:after="0"/>
              <w:rPr>
                <w:sz w:val="20"/>
                <w:szCs w:val="20"/>
                <w:color w:val="auto"/>
              </w:rPr>
            </w:pPr>
            <w:r>
              <w:rPr>
                <w:rFonts w:ascii="Arial" w:cs="Arial" w:eastAsia="Arial" w:hAnsi="Arial"/>
                <w:sz w:val="16"/>
                <w:szCs w:val="16"/>
                <w:color w:val="auto"/>
              </w:rPr>
              <w:t>$</w:t>
            </w:r>
          </w:p>
        </w:tc>
        <w:tc>
          <w:tcPr>
            <w:tcW w:w="740" w:type="dxa"/>
            <w:vAlign w:val="bottom"/>
          </w:tcPr>
          <w:p>
            <w:pPr>
              <w:jc w:val="right"/>
              <w:ind w:right="22"/>
              <w:spacing w:after="0"/>
              <w:rPr>
                <w:sz w:val="20"/>
                <w:szCs w:val="20"/>
                <w:color w:val="auto"/>
              </w:rPr>
            </w:pPr>
            <w:r>
              <w:rPr>
                <w:rFonts w:ascii="Arial" w:cs="Arial" w:eastAsia="Arial" w:hAnsi="Arial"/>
                <w:sz w:val="16"/>
                <w:szCs w:val="16"/>
                <w:color w:val="auto"/>
              </w:rPr>
              <w:t>178,734</w:t>
            </w:r>
          </w:p>
        </w:tc>
      </w:tr>
      <w:tr>
        <w:trPr>
          <w:trHeight w:val="270"/>
        </w:trPr>
        <w:tc>
          <w:tcPr>
            <w:tcW w:w="9040" w:type="dxa"/>
            <w:vAlign w:val="bottom"/>
          </w:tcPr>
          <w:p>
            <w:pPr>
              <w:ind w:left="40"/>
              <w:spacing w:after="0"/>
              <w:rPr>
                <w:sz w:val="20"/>
                <w:szCs w:val="20"/>
                <w:color w:val="auto"/>
              </w:rPr>
            </w:pPr>
            <w:r>
              <w:rPr>
                <w:rFonts w:ascii="Arial" w:cs="Arial" w:eastAsia="Arial" w:hAnsi="Arial"/>
                <w:sz w:val="16"/>
                <w:szCs w:val="16"/>
                <w:color w:val="auto"/>
              </w:rPr>
              <w:t>Operating loss</w:t>
            </w:r>
          </w:p>
        </w:tc>
        <w:tc>
          <w:tcPr>
            <w:tcW w:w="26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920" w:type="dxa"/>
            <w:vAlign w:val="bottom"/>
          </w:tcPr>
          <w:p>
            <w:pPr>
              <w:jc w:val="right"/>
              <w:ind w:right="24"/>
              <w:spacing w:after="0"/>
              <w:rPr>
                <w:sz w:val="20"/>
                <w:szCs w:val="20"/>
                <w:color w:val="auto"/>
              </w:rPr>
            </w:pPr>
            <w:r>
              <w:rPr>
                <w:rFonts w:ascii="Arial" w:cs="Arial" w:eastAsia="Arial" w:hAnsi="Arial"/>
                <w:sz w:val="16"/>
                <w:szCs w:val="16"/>
                <w:color w:val="auto"/>
              </w:rPr>
              <w:t>(2,438)</w:t>
            </w:r>
          </w:p>
        </w:tc>
        <w:tc>
          <w:tcPr>
            <w:tcW w:w="460" w:type="dxa"/>
            <w:vAlign w:val="bottom"/>
          </w:tcPr>
          <w:p>
            <w:pPr>
              <w:jc w:val="right"/>
              <w:ind w:right="199"/>
              <w:spacing w:after="0"/>
              <w:rPr>
                <w:sz w:val="20"/>
                <w:szCs w:val="20"/>
                <w:color w:val="auto"/>
              </w:rPr>
            </w:pPr>
            <w:r>
              <w:rPr>
                <w:rFonts w:ascii="Arial" w:cs="Arial" w:eastAsia="Arial" w:hAnsi="Arial"/>
                <w:sz w:val="16"/>
                <w:szCs w:val="16"/>
                <w:color w:val="auto"/>
              </w:rPr>
              <w:t>$</w:t>
            </w:r>
          </w:p>
        </w:tc>
        <w:tc>
          <w:tcPr>
            <w:tcW w:w="740" w:type="dxa"/>
            <w:vAlign w:val="bottom"/>
          </w:tcPr>
          <w:p>
            <w:pPr>
              <w:jc w:val="right"/>
              <w:spacing w:after="0"/>
              <w:rPr>
                <w:sz w:val="20"/>
                <w:szCs w:val="20"/>
                <w:color w:val="auto"/>
              </w:rPr>
            </w:pPr>
            <w:r>
              <w:rPr>
                <w:rFonts w:ascii="Arial" w:cs="Arial" w:eastAsia="Arial" w:hAnsi="Arial"/>
                <w:sz w:val="16"/>
                <w:szCs w:val="16"/>
                <w:color w:val="auto"/>
              </w:rPr>
              <w:t>(38,830)</w:t>
            </w:r>
          </w:p>
        </w:tc>
      </w:tr>
    </w:tbl>
    <w:p>
      <w:pPr>
        <w:spacing w:after="0" w:line="167" w:lineRule="exact"/>
        <w:rPr>
          <w:sz w:val="20"/>
          <w:szCs w:val="20"/>
          <w:color w:val="auto"/>
        </w:rPr>
      </w:pPr>
    </w:p>
    <w:p>
      <w:pPr>
        <w:ind w:right="20"/>
        <w:spacing w:after="0" w:line="227" w:lineRule="auto"/>
        <w:rPr>
          <w:sz w:val="20"/>
          <w:szCs w:val="20"/>
          <w:color w:val="auto"/>
        </w:rPr>
      </w:pPr>
      <w:r>
        <w:rPr>
          <w:rFonts w:ascii="Arial" w:cs="Arial" w:eastAsia="Arial" w:hAnsi="Arial"/>
          <w:sz w:val="18"/>
          <w:szCs w:val="18"/>
          <w:color w:val="auto"/>
        </w:rPr>
        <w:t>In 2016, KHE revenue declined 27% due to the campus sales and closings, and declines in average enrollments at Kaplan University, offset by increased revenues at the domestic professional and other continuing education businesses. KHE operating income improved in 2016 due to reduced losses at the KHE Campuses business and lower restructuring costs, lower marketing expenditures at Kaplan University and improved results at the domestic professional and other continuing education businesses, partially offset by lower enrollment at Kaplan University.</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New higher education student enrollments at Kaplan University declined 22% in 2016 due to lower demand across Kaplan University programs.</w:t>
      </w:r>
    </w:p>
    <w:p>
      <w:pPr>
        <w:spacing w:after="0"/>
        <w:rPr>
          <w:sz w:val="20"/>
          <w:szCs w:val="20"/>
          <w:color w:val="auto"/>
        </w:rPr>
      </w:pPr>
      <w:r>
        <w:rPr>
          <w:rFonts w:ascii="Arial" w:cs="Arial" w:eastAsia="Arial" w:hAnsi="Arial"/>
          <w:sz w:val="18"/>
          <w:szCs w:val="18"/>
          <w:color w:val="auto"/>
        </w:rPr>
        <w:t>Total students at Kaplan University were 32,167 at December 31, 2016, down 19% from December 31, 2015.</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color w:val="auto"/>
        </w:rPr>
        <w:t>Kaplan University higher education student enrollments by certificate and degree programs are as follows:</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9160" w:type="dxa"/>
            <w:vAlign w:val="bottom"/>
          </w:tcPr>
          <w:p>
            <w:pPr>
              <w:spacing w:after="0"/>
              <w:rPr>
                <w:sz w:val="15"/>
                <w:szCs w:val="15"/>
                <w:color w:val="auto"/>
              </w:rPr>
            </w:pPr>
          </w:p>
        </w:tc>
        <w:tc>
          <w:tcPr>
            <w:tcW w:w="2260" w:type="dxa"/>
            <w:vAlign w:val="bottom"/>
            <w:tcBorders>
              <w:bottom w:val="single" w:sz="8" w:color="auto"/>
            </w:tcBorders>
            <w:gridSpan w:val="2"/>
          </w:tcPr>
          <w:p>
            <w:pPr>
              <w:jc w:val="right"/>
              <w:ind w:right="420"/>
              <w:spacing w:after="0"/>
              <w:rPr>
                <w:sz w:val="20"/>
                <w:szCs w:val="20"/>
                <w:color w:val="auto"/>
              </w:rPr>
            </w:pPr>
            <w:r>
              <w:rPr>
                <w:rFonts w:ascii="Arial" w:cs="Arial" w:eastAsia="Arial" w:hAnsi="Arial"/>
                <w:sz w:val="14"/>
                <w:szCs w:val="14"/>
                <w:color w:val="auto"/>
              </w:rPr>
              <w:t>As of December 31</w:t>
            </w:r>
          </w:p>
        </w:tc>
      </w:tr>
      <w:tr>
        <w:trPr>
          <w:trHeight w:val="264"/>
        </w:trPr>
        <w:tc>
          <w:tcPr>
            <w:tcW w:w="9160" w:type="dxa"/>
            <w:vAlign w:val="bottom"/>
            <w:tcBorders>
              <w:bottom w:val="single" w:sz="8" w:color="auto"/>
            </w:tcBorders>
          </w:tcPr>
          <w:p>
            <w:pPr>
              <w:spacing w:after="0"/>
              <w:rPr>
                <w:sz w:val="22"/>
                <w:szCs w:val="22"/>
                <w:color w:val="auto"/>
              </w:rPr>
            </w:pPr>
          </w:p>
        </w:tc>
        <w:tc>
          <w:tcPr>
            <w:tcW w:w="1300" w:type="dxa"/>
            <w:vAlign w:val="bottom"/>
            <w:tcBorders>
              <w:bottom w:val="single" w:sz="8" w:color="auto"/>
            </w:tcBorders>
          </w:tcPr>
          <w:p>
            <w:pPr>
              <w:jc w:val="right"/>
              <w:ind w:right="522"/>
              <w:spacing w:after="0"/>
              <w:rPr>
                <w:sz w:val="20"/>
                <w:szCs w:val="20"/>
                <w:color w:val="auto"/>
              </w:rPr>
            </w:pPr>
            <w:r>
              <w:rPr>
                <w:rFonts w:ascii="Arial" w:cs="Arial" w:eastAsia="Arial" w:hAnsi="Arial"/>
                <w:sz w:val="14"/>
                <w:szCs w:val="14"/>
                <w:color w:val="auto"/>
              </w:rPr>
              <w:t>2016</w:t>
            </w:r>
          </w:p>
        </w:tc>
        <w:tc>
          <w:tcPr>
            <w:tcW w:w="960" w:type="dxa"/>
            <w:vAlign w:val="bottom"/>
            <w:tcBorders>
              <w:bottom w:val="single" w:sz="8" w:color="auto"/>
            </w:tcBorders>
          </w:tcPr>
          <w:p>
            <w:pPr>
              <w:jc w:val="right"/>
              <w:ind w:right="300"/>
              <w:spacing w:after="0"/>
              <w:rPr>
                <w:sz w:val="20"/>
                <w:szCs w:val="20"/>
                <w:color w:val="auto"/>
              </w:rPr>
            </w:pPr>
            <w:r>
              <w:rPr>
                <w:rFonts w:ascii="Arial" w:cs="Arial" w:eastAsia="Arial" w:hAnsi="Arial"/>
                <w:sz w:val="14"/>
                <w:szCs w:val="14"/>
                <w:color w:val="auto"/>
              </w:rPr>
              <w:t>2015</w:t>
            </w:r>
          </w:p>
        </w:tc>
      </w:tr>
      <w:tr>
        <w:trPr>
          <w:trHeight w:val="250"/>
        </w:trPr>
        <w:tc>
          <w:tcPr>
            <w:tcW w:w="9160" w:type="dxa"/>
            <w:vAlign w:val="bottom"/>
          </w:tcPr>
          <w:p>
            <w:pPr>
              <w:ind w:left="40"/>
              <w:spacing w:after="0"/>
              <w:rPr>
                <w:sz w:val="20"/>
                <w:szCs w:val="20"/>
                <w:color w:val="auto"/>
              </w:rPr>
            </w:pPr>
            <w:r>
              <w:rPr>
                <w:rFonts w:ascii="Arial" w:cs="Arial" w:eastAsia="Arial" w:hAnsi="Arial"/>
                <w:sz w:val="16"/>
                <w:szCs w:val="16"/>
                <w:color w:val="auto"/>
              </w:rPr>
              <w:t>Certificate</w:t>
            </w:r>
          </w:p>
        </w:tc>
        <w:tc>
          <w:tcPr>
            <w:tcW w:w="1300" w:type="dxa"/>
            <w:vAlign w:val="bottom"/>
          </w:tcPr>
          <w:p>
            <w:pPr>
              <w:jc w:val="right"/>
              <w:ind w:right="182"/>
              <w:spacing w:after="0"/>
              <w:rPr>
                <w:sz w:val="20"/>
                <w:szCs w:val="20"/>
                <w:color w:val="auto"/>
              </w:rPr>
            </w:pPr>
            <w:r>
              <w:rPr>
                <w:rFonts w:ascii="Arial" w:cs="Arial" w:eastAsia="Arial" w:hAnsi="Arial"/>
                <w:sz w:val="16"/>
                <w:szCs w:val="16"/>
                <w:color w:val="auto"/>
              </w:rPr>
              <w:t>7.7%</w:t>
            </w:r>
          </w:p>
        </w:tc>
        <w:tc>
          <w:tcPr>
            <w:tcW w:w="960" w:type="dxa"/>
            <w:vAlign w:val="bottom"/>
          </w:tcPr>
          <w:p>
            <w:pPr>
              <w:jc w:val="right"/>
              <w:spacing w:after="0"/>
              <w:rPr>
                <w:sz w:val="20"/>
                <w:szCs w:val="20"/>
                <w:color w:val="auto"/>
              </w:rPr>
            </w:pPr>
            <w:r>
              <w:rPr>
                <w:rFonts w:ascii="Arial" w:cs="Arial" w:eastAsia="Arial" w:hAnsi="Arial"/>
                <w:sz w:val="16"/>
                <w:szCs w:val="16"/>
                <w:color w:val="auto"/>
              </w:rPr>
              <w:t>4.4%</w:t>
            </w:r>
          </w:p>
        </w:tc>
      </w:tr>
      <w:tr>
        <w:trPr>
          <w:trHeight w:val="270"/>
        </w:trPr>
        <w:tc>
          <w:tcPr>
            <w:tcW w:w="9160" w:type="dxa"/>
            <w:vAlign w:val="bottom"/>
          </w:tcPr>
          <w:p>
            <w:pPr>
              <w:ind w:left="40"/>
              <w:spacing w:after="0"/>
              <w:rPr>
                <w:sz w:val="20"/>
                <w:szCs w:val="20"/>
                <w:color w:val="auto"/>
              </w:rPr>
            </w:pPr>
            <w:r>
              <w:rPr>
                <w:rFonts w:ascii="Arial" w:cs="Arial" w:eastAsia="Arial" w:hAnsi="Arial"/>
                <w:sz w:val="16"/>
                <w:szCs w:val="16"/>
                <w:color w:val="auto"/>
              </w:rPr>
              <w:t>Associate’s</w:t>
            </w:r>
          </w:p>
        </w:tc>
        <w:tc>
          <w:tcPr>
            <w:tcW w:w="1300" w:type="dxa"/>
            <w:vAlign w:val="bottom"/>
          </w:tcPr>
          <w:p>
            <w:pPr>
              <w:jc w:val="right"/>
              <w:ind w:right="182"/>
              <w:spacing w:after="0"/>
              <w:rPr>
                <w:sz w:val="20"/>
                <w:szCs w:val="20"/>
                <w:color w:val="auto"/>
              </w:rPr>
            </w:pPr>
            <w:r>
              <w:rPr>
                <w:rFonts w:ascii="Arial" w:cs="Arial" w:eastAsia="Arial" w:hAnsi="Arial"/>
                <w:sz w:val="16"/>
                <w:szCs w:val="16"/>
                <w:color w:val="auto"/>
              </w:rPr>
              <w:t>18.1%</w:t>
            </w:r>
          </w:p>
        </w:tc>
        <w:tc>
          <w:tcPr>
            <w:tcW w:w="960" w:type="dxa"/>
            <w:vAlign w:val="bottom"/>
          </w:tcPr>
          <w:p>
            <w:pPr>
              <w:jc w:val="right"/>
              <w:spacing w:after="0"/>
              <w:rPr>
                <w:sz w:val="20"/>
                <w:szCs w:val="20"/>
                <w:color w:val="auto"/>
              </w:rPr>
            </w:pPr>
            <w:r>
              <w:rPr>
                <w:rFonts w:ascii="Arial" w:cs="Arial" w:eastAsia="Arial" w:hAnsi="Arial"/>
                <w:sz w:val="16"/>
                <w:szCs w:val="16"/>
                <w:color w:val="auto"/>
              </w:rPr>
              <w:t>25.0%</w:t>
            </w:r>
          </w:p>
        </w:tc>
      </w:tr>
      <w:tr>
        <w:trPr>
          <w:trHeight w:val="270"/>
        </w:trPr>
        <w:tc>
          <w:tcPr>
            <w:tcW w:w="9160" w:type="dxa"/>
            <w:vAlign w:val="bottom"/>
          </w:tcPr>
          <w:p>
            <w:pPr>
              <w:ind w:left="40"/>
              <w:spacing w:after="0"/>
              <w:rPr>
                <w:sz w:val="20"/>
                <w:szCs w:val="20"/>
                <w:color w:val="auto"/>
              </w:rPr>
            </w:pPr>
            <w:r>
              <w:rPr>
                <w:rFonts w:ascii="Arial" w:cs="Arial" w:eastAsia="Arial" w:hAnsi="Arial"/>
                <w:sz w:val="16"/>
                <w:szCs w:val="16"/>
                <w:color w:val="auto"/>
              </w:rPr>
              <w:t>Bachelor’s</w:t>
            </w:r>
          </w:p>
        </w:tc>
        <w:tc>
          <w:tcPr>
            <w:tcW w:w="1300" w:type="dxa"/>
            <w:vAlign w:val="bottom"/>
          </w:tcPr>
          <w:p>
            <w:pPr>
              <w:jc w:val="right"/>
              <w:ind w:right="182"/>
              <w:spacing w:after="0"/>
              <w:rPr>
                <w:sz w:val="20"/>
                <w:szCs w:val="20"/>
                <w:color w:val="auto"/>
              </w:rPr>
            </w:pPr>
            <w:r>
              <w:rPr>
                <w:rFonts w:ascii="Arial" w:cs="Arial" w:eastAsia="Arial" w:hAnsi="Arial"/>
                <w:sz w:val="16"/>
                <w:szCs w:val="16"/>
                <w:color w:val="auto"/>
              </w:rPr>
              <w:t>50.9%</w:t>
            </w:r>
          </w:p>
        </w:tc>
        <w:tc>
          <w:tcPr>
            <w:tcW w:w="960" w:type="dxa"/>
            <w:vAlign w:val="bottom"/>
          </w:tcPr>
          <w:p>
            <w:pPr>
              <w:jc w:val="right"/>
              <w:spacing w:after="0"/>
              <w:rPr>
                <w:sz w:val="20"/>
                <w:szCs w:val="20"/>
                <w:color w:val="auto"/>
              </w:rPr>
            </w:pPr>
            <w:r>
              <w:rPr>
                <w:rFonts w:ascii="Arial" w:cs="Arial" w:eastAsia="Arial" w:hAnsi="Arial"/>
                <w:sz w:val="16"/>
                <w:szCs w:val="16"/>
                <w:color w:val="auto"/>
              </w:rPr>
              <w:t>48.4%</w:t>
            </w:r>
          </w:p>
        </w:tc>
      </w:tr>
      <w:tr>
        <w:trPr>
          <w:trHeight w:val="283"/>
        </w:trPr>
        <w:tc>
          <w:tcPr>
            <w:tcW w:w="9160" w:type="dxa"/>
            <w:vAlign w:val="bottom"/>
          </w:tcPr>
          <w:p>
            <w:pPr>
              <w:ind w:left="40"/>
              <w:spacing w:after="0"/>
              <w:rPr>
                <w:sz w:val="20"/>
                <w:szCs w:val="20"/>
                <w:color w:val="auto"/>
              </w:rPr>
            </w:pPr>
            <w:r>
              <w:rPr>
                <w:rFonts w:ascii="Arial" w:cs="Arial" w:eastAsia="Arial" w:hAnsi="Arial"/>
                <w:sz w:val="16"/>
                <w:szCs w:val="16"/>
                <w:color w:val="auto"/>
              </w:rPr>
              <w:t>Master’s</w:t>
            </w:r>
          </w:p>
        </w:tc>
        <w:tc>
          <w:tcPr>
            <w:tcW w:w="1300" w:type="dxa"/>
            <w:vAlign w:val="bottom"/>
            <w:tcBorders>
              <w:bottom w:val="single" w:sz="8" w:color="auto"/>
            </w:tcBorders>
          </w:tcPr>
          <w:p>
            <w:pPr>
              <w:jc w:val="right"/>
              <w:ind w:right="182"/>
              <w:spacing w:after="0"/>
              <w:rPr>
                <w:sz w:val="20"/>
                <w:szCs w:val="20"/>
                <w:color w:val="auto"/>
              </w:rPr>
            </w:pPr>
            <w:r>
              <w:rPr>
                <w:rFonts w:ascii="Arial" w:cs="Arial" w:eastAsia="Arial" w:hAnsi="Arial"/>
                <w:sz w:val="16"/>
                <w:szCs w:val="16"/>
                <w:color w:val="auto"/>
              </w:rPr>
              <w:t>23.3%</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22.2%</w:t>
            </w:r>
          </w:p>
        </w:tc>
      </w:tr>
      <w:tr>
        <w:trPr>
          <w:trHeight w:val="264"/>
        </w:trPr>
        <w:tc>
          <w:tcPr>
            <w:tcW w:w="9160" w:type="dxa"/>
            <w:vAlign w:val="bottom"/>
          </w:tcPr>
          <w:p>
            <w:pPr>
              <w:spacing w:after="0"/>
              <w:rPr>
                <w:sz w:val="22"/>
                <w:szCs w:val="22"/>
                <w:color w:val="auto"/>
              </w:rPr>
            </w:pPr>
          </w:p>
        </w:tc>
        <w:tc>
          <w:tcPr>
            <w:tcW w:w="1300" w:type="dxa"/>
            <w:vAlign w:val="bottom"/>
            <w:tcBorders>
              <w:bottom w:val="single" w:sz="8" w:color="auto"/>
            </w:tcBorders>
          </w:tcPr>
          <w:p>
            <w:pPr>
              <w:jc w:val="right"/>
              <w:ind w:right="182"/>
              <w:spacing w:after="0"/>
              <w:rPr>
                <w:sz w:val="20"/>
                <w:szCs w:val="20"/>
                <w:color w:val="auto"/>
              </w:rPr>
            </w:pPr>
            <w:r>
              <w:rPr>
                <w:rFonts w:ascii="Arial" w:cs="Arial" w:eastAsia="Arial" w:hAnsi="Arial"/>
                <w:sz w:val="16"/>
                <w:szCs w:val="16"/>
                <w:color w:val="auto"/>
              </w:rPr>
              <w:t>100.0%</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100.0%</w:t>
            </w:r>
          </w:p>
        </w:tc>
      </w:tr>
      <w:tr>
        <w:trPr>
          <w:trHeight w:val="20"/>
        </w:trPr>
        <w:tc>
          <w:tcPr>
            <w:tcW w:w="9160" w:type="dxa"/>
            <w:vAlign w:val="bottom"/>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ind w:right="80"/>
        <w:spacing w:after="0" w:line="225" w:lineRule="auto"/>
        <w:rPr>
          <w:sz w:val="20"/>
          <w:szCs w:val="20"/>
          <w:color w:val="auto"/>
        </w:rPr>
      </w:pPr>
      <w:r>
        <w:rPr>
          <w:rFonts w:ascii="Arial" w:cs="Arial" w:eastAsia="Arial" w:hAnsi="Arial"/>
          <w:sz w:val="18"/>
          <w:szCs w:val="18"/>
          <w:color w:val="auto"/>
        </w:rPr>
        <w:t>Kaplan Test Preparation (KTP) includes Kaplan’s standardized test preparation and new economy skills training programs. KTP revenue declined 5% in 2016. Enrollments, excluding the new economy skills training offerings, were down 3% in 2016. In comparison to 2015, KTP operating results declined in 2016 due to investment in new economy skills training programs and lower revenues from a change in the enrollment mix to lower priced programs. Operating losses for the new economy skills training programs were $13.0 million and $8.5 million for 2016 and 2015, respectively.</w:t>
      </w:r>
    </w:p>
    <w:p>
      <w:pPr>
        <w:spacing w:after="0" w:line="137" w:lineRule="exact"/>
        <w:rPr>
          <w:sz w:val="20"/>
          <w:szCs w:val="20"/>
          <w:color w:val="auto"/>
        </w:rPr>
      </w:pPr>
    </w:p>
    <w:p>
      <w:pPr>
        <w:ind w:right="240"/>
        <w:spacing w:after="0" w:line="227" w:lineRule="auto"/>
        <w:rPr>
          <w:sz w:val="20"/>
          <w:szCs w:val="20"/>
          <w:color w:val="auto"/>
        </w:rPr>
      </w:pPr>
      <w:r>
        <w:rPr>
          <w:rFonts w:ascii="Arial" w:cs="Arial" w:eastAsia="Arial" w:hAnsi="Arial"/>
          <w:sz w:val="18"/>
          <w:szCs w:val="18"/>
          <w:color w:val="auto"/>
        </w:rPr>
        <w:t>Kaplan International includes English-language programs and postsecondary education and professional training businesses largely outside the United States. In the first quarter of 2016, Kaplan acquired Mander Portman Woodward, a leading provider of high-quality, bespoke education to U.K. and international students in London, Cambridge and Birmingham; and Osborne Books, an education publisher of learning resources for accounting qualifications in the U.K.</w:t>
      </w:r>
    </w:p>
    <w:p>
      <w:pPr>
        <w:spacing w:after="0" w:line="135" w:lineRule="exact"/>
        <w:rPr>
          <w:sz w:val="20"/>
          <w:szCs w:val="20"/>
          <w:color w:val="auto"/>
        </w:rPr>
      </w:pPr>
    </w:p>
    <w:p>
      <w:pPr>
        <w:jc w:val="both"/>
        <w:ind w:right="120"/>
        <w:spacing w:after="0" w:line="229" w:lineRule="auto"/>
        <w:rPr>
          <w:sz w:val="20"/>
          <w:szCs w:val="20"/>
          <w:color w:val="auto"/>
        </w:rPr>
      </w:pPr>
      <w:r>
        <w:rPr>
          <w:rFonts w:ascii="Arial" w:cs="Arial" w:eastAsia="Arial" w:hAnsi="Arial"/>
          <w:sz w:val="18"/>
          <w:szCs w:val="18"/>
          <w:color w:val="auto"/>
        </w:rPr>
        <w:t>Kaplan International revenue declined 10% in 2016, of which 6% is due to currency fluctuations. The remaining decrease is due to enrollment declines in English-language and Pathways programs. Revenue growth from the 2016 acquisitions was largely offset by revenue declines due to prior year dispositions.</w:t>
      </w:r>
    </w:p>
    <w:p>
      <w:pPr>
        <w:spacing w:after="0" w:line="137" w:lineRule="exact"/>
        <w:rPr>
          <w:sz w:val="20"/>
          <w:szCs w:val="20"/>
          <w:color w:val="auto"/>
        </w:rPr>
      </w:pPr>
    </w:p>
    <w:p>
      <w:pPr>
        <w:ind w:right="440"/>
        <w:spacing w:after="0" w:line="227" w:lineRule="auto"/>
        <w:rPr>
          <w:sz w:val="20"/>
          <w:szCs w:val="20"/>
          <w:color w:val="auto"/>
        </w:rPr>
      </w:pPr>
      <w:r>
        <w:rPr>
          <w:rFonts w:ascii="Arial" w:cs="Arial" w:eastAsia="Arial" w:hAnsi="Arial"/>
          <w:sz w:val="18"/>
          <w:szCs w:val="18"/>
          <w:color w:val="auto"/>
        </w:rPr>
        <w:t>Kaplan International operating income decreased 10% in 2016, due largely to the reduced English-language and Pathways results and increased restructuring costs, partially offset by operating income from newly acquired businesses. The impact of currency fluctuations on comparative operating results was insignificant for 2016. Restructuring costs at Kaplan International totaled $4.7 million and $1.3 million in 2016 and 2015, respectively.</w:t>
      </w:r>
    </w:p>
    <w:p>
      <w:pPr>
        <w:spacing w:after="0" w:line="135" w:lineRule="exact"/>
        <w:rPr>
          <w:sz w:val="20"/>
          <w:szCs w:val="20"/>
          <w:color w:val="auto"/>
        </w:rPr>
      </w:pPr>
    </w:p>
    <w:p>
      <w:pPr>
        <w:ind w:right="80"/>
        <w:spacing w:after="0" w:line="227" w:lineRule="auto"/>
        <w:rPr>
          <w:sz w:val="20"/>
          <w:szCs w:val="20"/>
          <w:color w:val="auto"/>
        </w:rPr>
      </w:pPr>
      <w:r>
        <w:rPr>
          <w:rFonts w:ascii="Arial" w:cs="Arial" w:eastAsia="Arial" w:hAnsi="Arial"/>
          <w:sz w:val="18"/>
          <w:szCs w:val="18"/>
          <w:color w:val="auto"/>
        </w:rPr>
        <w:t>Kaplan corporate and other represents unallocated expenses of Kaplan, Inc.’s corporate office, other minor businesses and certain shared activities. In 2015, Kaplan corporate recorded $29.4 million in restructuring costs. In 2016, Kaplan corporate expenses also declined due to the benefits from restructuring activities and a reduction in incentive compensation expense. Also, 2015 spending for the replacement of its human resources system did not recur in 2016.</w:t>
      </w:r>
    </w:p>
    <w:p>
      <w:pPr>
        <w:spacing w:after="0" w:line="135" w:lineRule="exact"/>
        <w:rPr>
          <w:sz w:val="20"/>
          <w:szCs w:val="20"/>
          <w:color w:val="auto"/>
        </w:rPr>
      </w:pPr>
    </w:p>
    <w:p>
      <w:pPr>
        <w:ind w:right="40"/>
        <w:spacing w:after="0" w:line="229" w:lineRule="auto"/>
        <w:rPr>
          <w:sz w:val="20"/>
          <w:szCs w:val="20"/>
          <w:color w:val="auto"/>
        </w:rPr>
      </w:pPr>
      <w:r>
        <w:rPr>
          <w:rFonts w:ascii="Arial" w:cs="Arial" w:eastAsia="Arial" w:hAnsi="Arial"/>
          <w:sz w:val="18"/>
          <w:szCs w:val="18"/>
          <w:color w:val="auto"/>
        </w:rPr>
        <w:t>In addition to the impairment charges of $255.5 million related to KHE recorded in the second and third quarters of 2015, Kaplan recorded an additional $ 1.4 million in noncash intangible and other long-lived assets impairment charges in the fourth quarter of 2015, related to businesses at KTP and Kaplan International.</w:t>
      </w:r>
    </w:p>
    <w:p>
      <w:pPr>
        <w:spacing w:after="0" w:line="137" w:lineRule="exact"/>
        <w:rPr>
          <w:sz w:val="20"/>
          <w:szCs w:val="20"/>
          <w:color w:val="auto"/>
        </w:rPr>
      </w:pPr>
    </w:p>
    <w:p>
      <w:pPr>
        <w:ind w:right="300"/>
        <w:spacing w:after="0" w:line="235" w:lineRule="auto"/>
        <w:rPr>
          <w:sz w:val="20"/>
          <w:szCs w:val="20"/>
          <w:color w:val="auto"/>
        </w:rPr>
      </w:pPr>
      <w:r>
        <w:rPr>
          <w:rFonts w:ascii="Arial" w:cs="Arial" w:eastAsia="Arial" w:hAnsi="Arial"/>
          <w:sz w:val="18"/>
          <w:szCs w:val="18"/>
          <w:color w:val="auto"/>
        </w:rPr>
        <w:t>In the first quarter of 2016, Kaplan sold Colloquy, which was part of Kaplan corporate and other, for a gain of $18.9 million that is included in other non-operating income.</w:t>
      </w:r>
    </w:p>
    <w:p>
      <w:pPr>
        <w:spacing w:after="0" w:line="200" w:lineRule="exact"/>
        <w:rPr>
          <w:sz w:val="20"/>
          <w:szCs w:val="20"/>
          <w:color w:val="auto"/>
        </w:rPr>
      </w:pPr>
    </w:p>
    <w:p>
      <w:pPr>
        <w:spacing w:after="0" w:line="3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56</w:t>
      </w:r>
    </w:p>
    <w:p>
      <w:pPr>
        <w:sectPr>
          <w:pgSz w:w="11900" w:h="16838" w:orient="portrait"/>
          <w:cols w:equalWidth="0" w:num="1">
            <w:col w:w="11420"/>
          </w:cols>
          <w:pgMar w:left="240" w:top="746" w:right="239" w:bottom="1440" w:gutter="0" w:footer="0" w:header="0"/>
        </w:sectPr>
      </w:pPr>
    </w:p>
    <w:bookmarkStart w:id="58" w:name="page59"/>
    <w:bookmarkEnd w:id="58"/>
    <w:p>
      <w:pPr>
        <w:ind w:right="40"/>
        <w:spacing w:after="0" w:line="229" w:lineRule="auto"/>
        <w:rPr>
          <w:sz w:val="20"/>
          <w:szCs w:val="20"/>
          <w:color w:val="auto"/>
        </w:rPr>
      </w:pPr>
      <w:r>
        <w:rPr>
          <w:rFonts w:ascii="Arial" w:cs="Arial" w:eastAsia="Arial" w:hAnsi="Arial"/>
          <w:sz w:val="18"/>
          <w:szCs w:val="18"/>
          <w:color w:val="auto"/>
        </w:rPr>
        <w:t>In addition to the sale of the KHE Campuses business in 2015, Kaplan also sold a small business that was part of KHE, and two businesses that were part of Kaplan International. The net loss on the sale of these businesses totaled $24.9 million and is included in other non-operating expense.</w:t>
      </w:r>
    </w:p>
    <w:p>
      <w:pPr>
        <w:spacing w:after="0" w:line="115" w:lineRule="exact"/>
        <w:rPr>
          <w:sz w:val="20"/>
          <w:szCs w:val="20"/>
          <w:color w:val="auto"/>
        </w:rPr>
      </w:pPr>
    </w:p>
    <w:p>
      <w:pPr>
        <w:spacing w:after="0" w:line="230" w:lineRule="auto"/>
        <w:rPr>
          <w:sz w:val="20"/>
          <w:szCs w:val="20"/>
          <w:color w:val="auto"/>
        </w:rPr>
      </w:pPr>
      <w:r>
        <w:rPr>
          <w:rFonts w:ascii="Arial" w:cs="Arial" w:eastAsia="Arial" w:hAnsi="Arial"/>
          <w:sz w:val="18"/>
          <w:szCs w:val="18"/>
          <w:b w:val="1"/>
          <w:bCs w:val="1"/>
          <w:color w:val="auto"/>
        </w:rPr>
        <w:t xml:space="preserve">Television Broadcasting Division. </w:t>
      </w:r>
      <w:r>
        <w:rPr>
          <w:rFonts w:ascii="Arial" w:cs="Arial" w:eastAsia="Arial" w:hAnsi="Arial"/>
          <w:sz w:val="18"/>
          <w:szCs w:val="18"/>
          <w:color w:val="auto"/>
        </w:rPr>
        <w:t>Revenue at the television broadcasting division increased 14% to $409.7 million, from $ 359.2 million in</w:t>
      </w:r>
      <w:r>
        <w:rPr>
          <w:rFonts w:ascii="Arial" w:cs="Arial" w:eastAsia="Arial" w:hAnsi="Arial"/>
          <w:sz w:val="18"/>
          <w:szCs w:val="18"/>
          <w:b w:val="1"/>
          <w:bCs w:val="1"/>
          <w:color w:val="auto"/>
        </w:rPr>
        <w:t xml:space="preserve"> </w:t>
      </w:r>
      <w:r>
        <w:rPr>
          <w:rFonts w:ascii="Arial" w:cs="Arial" w:eastAsia="Arial" w:hAnsi="Arial"/>
          <w:sz w:val="18"/>
          <w:szCs w:val="18"/>
          <w:color w:val="auto"/>
        </w:rPr>
        <w:t>2015; operating income for 2016 was up 22% to $200.5 million, from $164.9 million in the same period of 2015. The revenue increase is due to a $23.9 million increase in political advertising revenue, $18.5 million more in retransmission revenues, and $13.1 million in incremental summer Olympics-related advertising revenue at the Company’s NBC affiliates. The increase in operating income is due to the revenue increase, offset by higher spending on digital initiatives and increased network fees.</w:t>
      </w:r>
    </w:p>
    <w:p>
      <w:pPr>
        <w:spacing w:after="0" w:line="138" w:lineRule="exact"/>
        <w:rPr>
          <w:sz w:val="20"/>
          <w:szCs w:val="20"/>
          <w:color w:val="auto"/>
        </w:rPr>
      </w:pPr>
    </w:p>
    <w:p>
      <w:pPr>
        <w:spacing w:after="0"/>
        <w:rPr>
          <w:sz w:val="20"/>
          <w:szCs w:val="20"/>
          <w:color w:val="auto"/>
        </w:rPr>
      </w:pPr>
      <w:r>
        <w:rPr>
          <w:rFonts w:ascii="Arial" w:cs="Arial" w:eastAsia="Arial" w:hAnsi="Arial"/>
          <w:sz w:val="18"/>
          <w:szCs w:val="18"/>
          <w:color w:val="auto"/>
        </w:rPr>
        <w:t>Operating margin at the television broadcasting division was 49% in 2016 and 46% in 2015.</w:t>
      </w:r>
    </w:p>
    <w:p>
      <w:pPr>
        <w:spacing w:after="0" w:line="144" w:lineRule="exact"/>
        <w:rPr>
          <w:sz w:val="20"/>
          <w:szCs w:val="20"/>
          <w:color w:val="auto"/>
        </w:rPr>
      </w:pPr>
    </w:p>
    <w:p>
      <w:pPr>
        <w:ind w:right="560"/>
        <w:spacing w:after="0" w:line="229" w:lineRule="auto"/>
        <w:rPr>
          <w:sz w:val="20"/>
          <w:szCs w:val="20"/>
          <w:color w:val="auto"/>
        </w:rPr>
      </w:pPr>
      <w:r>
        <w:rPr>
          <w:rFonts w:ascii="Arial" w:cs="Arial" w:eastAsia="Arial" w:hAnsi="Arial"/>
          <w:sz w:val="18"/>
          <w:szCs w:val="18"/>
          <w:color w:val="auto"/>
        </w:rPr>
        <w:t>Competitive market position remained strong for the Company’s television stations. For target demographic viewers age 25 to 54 for the key 6am, 6pm and late night newscasts, KSAT in San Antonio, WJXT in Jacksonville and KRPC in Houston ranked number one in the November 2016 ratings period; WDIV in Detroit ranked second; and WKMG in Orlando tied for second.</w:t>
      </w:r>
    </w:p>
    <w:p>
      <w:pPr>
        <w:spacing w:after="0" w:line="137" w:lineRule="exact"/>
        <w:rPr>
          <w:sz w:val="20"/>
          <w:szCs w:val="20"/>
          <w:color w:val="auto"/>
        </w:rPr>
      </w:pPr>
    </w:p>
    <w:p>
      <w:pPr>
        <w:ind w:right="300"/>
        <w:spacing w:after="0" w:line="227" w:lineRule="auto"/>
        <w:rPr>
          <w:sz w:val="20"/>
          <w:szCs w:val="20"/>
          <w:color w:val="auto"/>
        </w:rPr>
      </w:pPr>
      <w:r>
        <w:rPr>
          <w:rFonts w:ascii="Arial" w:cs="Arial" w:eastAsia="Arial" w:hAnsi="Arial"/>
          <w:sz w:val="18"/>
          <w:szCs w:val="18"/>
          <w:color w:val="auto"/>
        </w:rPr>
        <w:t>In May 2016, the Company announced that it had reached an agreement with Nexstar Broadcasting Group, Inc. and Media General, Inc. to acquire WCWJ, a CW affiliate television station in Jacksonville, FL, and WSLS, an NBC affiliate television station in Roanoke, VA, for $60 million in cash and the assumption of certain pension obligations. The Company will continue to operate both stations under their current network affiliations. This transaction was completed on January 17, 2017.</w:t>
      </w:r>
    </w:p>
    <w:p>
      <w:pPr>
        <w:spacing w:after="0" w:line="135" w:lineRule="exact"/>
        <w:rPr>
          <w:sz w:val="20"/>
          <w:szCs w:val="20"/>
          <w:color w:val="auto"/>
        </w:rPr>
      </w:pPr>
    </w:p>
    <w:p>
      <w:pPr>
        <w:spacing w:after="0"/>
        <w:rPr>
          <w:sz w:val="20"/>
          <w:szCs w:val="20"/>
          <w:color w:val="auto"/>
        </w:rPr>
      </w:pPr>
      <w:r>
        <w:rPr>
          <w:rFonts w:ascii="Arial" w:cs="Arial" w:eastAsia="Arial" w:hAnsi="Arial"/>
          <w:sz w:val="18"/>
          <w:szCs w:val="18"/>
          <w:color w:val="auto"/>
        </w:rPr>
        <w:t>The Company’s NBC affiliates in Houston and Detroit are operating under a new contract with NBC effective January 1, 2017.</w:t>
      </w:r>
    </w:p>
    <w:p>
      <w:pPr>
        <w:spacing w:after="0" w:line="200" w:lineRule="exact"/>
        <w:rPr>
          <w:sz w:val="20"/>
          <w:szCs w:val="20"/>
          <w:color w:val="auto"/>
        </w:rPr>
      </w:pPr>
    </w:p>
    <w:p>
      <w:pPr>
        <w:spacing w:after="0" w:line="30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57</w:t>
      </w:r>
    </w:p>
    <w:p>
      <w:pPr>
        <w:sectPr>
          <w:pgSz w:w="11900" w:h="16838" w:orient="portrait"/>
          <w:cols w:equalWidth="0" w:num="1">
            <w:col w:w="11360"/>
          </w:cols>
          <w:pgMar w:left="240" w:top="746" w:right="299" w:bottom="1440" w:gutter="0" w:footer="0" w:header="0"/>
        </w:sectPr>
      </w:pPr>
    </w:p>
    <w:bookmarkStart w:id="59" w:name="page60"/>
    <w:bookmarkEnd w:id="59"/>
    <w:p>
      <w:pPr>
        <w:spacing w:after="0"/>
        <w:rPr>
          <w:sz w:val="20"/>
          <w:szCs w:val="20"/>
          <w:color w:val="auto"/>
        </w:rPr>
      </w:pPr>
      <w:r>
        <w:rPr>
          <w:rFonts w:ascii="Arial" w:cs="Arial" w:eastAsia="Arial" w:hAnsi="Arial"/>
          <w:sz w:val="18"/>
          <w:szCs w:val="18"/>
          <w:b w:val="1"/>
          <w:bCs w:val="1"/>
          <w:color w:val="auto"/>
        </w:rPr>
        <w:t xml:space="preserve">Other Businesses. </w:t>
      </w:r>
      <w:r>
        <w:rPr>
          <w:rFonts w:ascii="Arial" w:cs="Arial" w:eastAsia="Arial" w:hAnsi="Arial"/>
          <w:sz w:val="18"/>
          <w:szCs w:val="18"/>
          <w:color w:val="auto"/>
        </w:rPr>
        <w:t>A summary of Other Businesses’ operating results for 2016 compared to 2015 is as follows: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812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2160" w:type="dxa"/>
            <w:vAlign w:val="bottom"/>
            <w:tcBorders>
              <w:bottom w:val="single" w:sz="8" w:color="auto"/>
            </w:tcBorders>
            <w:gridSpan w:val="3"/>
          </w:tcPr>
          <w:p>
            <w:pPr>
              <w:jc w:val="right"/>
              <w:ind w:right="239"/>
              <w:spacing w:after="0"/>
              <w:rPr>
                <w:sz w:val="20"/>
                <w:szCs w:val="20"/>
                <w:color w:val="auto"/>
              </w:rPr>
            </w:pPr>
            <w:r>
              <w:rPr>
                <w:rFonts w:ascii="Arial" w:cs="Arial" w:eastAsia="Arial" w:hAnsi="Arial"/>
                <w:sz w:val="14"/>
                <w:szCs w:val="14"/>
                <w:b w:val="1"/>
                <w:bCs w:val="1"/>
                <w:color w:val="auto"/>
              </w:rPr>
              <w:t>Year Ended December 31</w:t>
            </w:r>
          </w:p>
        </w:tc>
        <w:tc>
          <w:tcPr>
            <w:tcW w:w="900" w:type="dxa"/>
            <w:vAlign w:val="bottom"/>
          </w:tcPr>
          <w:p>
            <w:pPr>
              <w:jc w:val="right"/>
              <w:ind w:right="240"/>
              <w:spacing w:after="0"/>
              <w:rPr>
                <w:sz w:val="20"/>
                <w:szCs w:val="20"/>
                <w:color w:val="auto"/>
              </w:rPr>
            </w:pPr>
            <w:r>
              <w:rPr>
                <w:rFonts w:ascii="Arial" w:cs="Arial" w:eastAsia="Arial" w:hAnsi="Arial"/>
                <w:sz w:val="14"/>
                <w:szCs w:val="14"/>
                <w:color w:val="auto"/>
              </w:rPr>
              <w:t>%</w:t>
            </w:r>
          </w:p>
        </w:tc>
      </w:tr>
      <w:tr>
        <w:trPr>
          <w:trHeight w:val="264"/>
        </w:trPr>
        <w:tc>
          <w:tcPr>
            <w:tcW w:w="812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(in thousands)</w:t>
            </w:r>
          </w:p>
        </w:tc>
        <w:tc>
          <w:tcPr>
            <w:tcW w:w="24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380"/>
              <w:spacing w:after="0"/>
              <w:rPr>
                <w:sz w:val="20"/>
                <w:szCs w:val="20"/>
                <w:color w:val="auto"/>
              </w:rPr>
            </w:pPr>
            <w:r>
              <w:rPr>
                <w:rFonts w:ascii="Arial" w:cs="Arial" w:eastAsia="Arial" w:hAnsi="Arial"/>
                <w:sz w:val="14"/>
                <w:szCs w:val="14"/>
                <w:b w:val="1"/>
                <w:bCs w:val="1"/>
                <w:color w:val="auto"/>
              </w:rPr>
              <w:t>2016</w:t>
            </w:r>
          </w:p>
        </w:tc>
        <w:tc>
          <w:tcPr>
            <w:tcW w:w="34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jc w:val="right"/>
              <w:ind w:right="319"/>
              <w:spacing w:after="0"/>
              <w:rPr>
                <w:sz w:val="20"/>
                <w:szCs w:val="20"/>
                <w:color w:val="auto"/>
              </w:rPr>
            </w:pPr>
            <w:r>
              <w:rPr>
                <w:rFonts w:ascii="Arial" w:cs="Arial" w:eastAsia="Arial" w:hAnsi="Arial"/>
                <w:sz w:val="14"/>
                <w:szCs w:val="14"/>
                <w:color w:val="auto"/>
              </w:rPr>
              <w:t>2015</w:t>
            </w:r>
          </w:p>
        </w:tc>
        <w:tc>
          <w:tcPr>
            <w:tcW w:w="900" w:type="dxa"/>
            <w:vAlign w:val="bottom"/>
            <w:tcBorders>
              <w:bottom w:val="single" w:sz="8" w:color="auto"/>
            </w:tcBorders>
          </w:tcPr>
          <w:p>
            <w:pPr>
              <w:jc w:val="right"/>
              <w:ind w:right="60"/>
              <w:spacing w:after="0"/>
              <w:rPr>
                <w:sz w:val="20"/>
                <w:szCs w:val="20"/>
                <w:color w:val="auto"/>
              </w:rPr>
            </w:pPr>
            <w:r>
              <w:rPr>
                <w:rFonts w:ascii="Arial" w:cs="Arial" w:eastAsia="Arial" w:hAnsi="Arial"/>
                <w:sz w:val="14"/>
                <w:szCs w:val="14"/>
                <w:color w:val="auto"/>
              </w:rPr>
              <w:t>Change</w:t>
            </w:r>
          </w:p>
        </w:tc>
      </w:tr>
      <w:tr>
        <w:trPr>
          <w:trHeight w:val="250"/>
        </w:trPr>
        <w:tc>
          <w:tcPr>
            <w:tcW w:w="8120" w:type="dxa"/>
            <w:vAlign w:val="bottom"/>
          </w:tcPr>
          <w:p>
            <w:pPr>
              <w:ind w:left="40"/>
              <w:spacing w:after="0"/>
              <w:rPr>
                <w:sz w:val="20"/>
                <w:szCs w:val="20"/>
                <w:color w:val="auto"/>
              </w:rPr>
            </w:pPr>
            <w:r>
              <w:rPr>
                <w:rFonts w:ascii="Arial" w:cs="Arial" w:eastAsia="Arial" w:hAnsi="Arial"/>
                <w:sz w:val="16"/>
                <w:szCs w:val="16"/>
                <w:b w:val="1"/>
                <w:bCs w:val="1"/>
                <w:color w:val="auto"/>
              </w:rPr>
              <w:t>Operating Revenues</w:t>
            </w:r>
          </w:p>
        </w:tc>
        <w:tc>
          <w:tcPr>
            <w:tcW w:w="24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900" w:type="dxa"/>
            <w:vAlign w:val="bottom"/>
          </w:tcPr>
          <w:p>
            <w:pPr>
              <w:spacing w:after="0"/>
              <w:rPr>
                <w:sz w:val="21"/>
                <w:szCs w:val="21"/>
                <w:color w:val="auto"/>
              </w:rPr>
            </w:pPr>
          </w:p>
        </w:tc>
      </w:tr>
      <w:tr>
        <w:trPr>
          <w:trHeight w:val="270"/>
        </w:trPr>
        <w:tc>
          <w:tcPr>
            <w:tcW w:w="8120" w:type="dxa"/>
            <w:vAlign w:val="bottom"/>
          </w:tcPr>
          <w:p>
            <w:pPr>
              <w:ind w:left="180"/>
              <w:spacing w:after="0"/>
              <w:rPr>
                <w:sz w:val="20"/>
                <w:szCs w:val="20"/>
                <w:color w:val="auto"/>
              </w:rPr>
            </w:pPr>
            <w:r>
              <w:rPr>
                <w:rFonts w:ascii="Arial" w:cs="Arial" w:eastAsia="Arial" w:hAnsi="Arial"/>
                <w:sz w:val="16"/>
                <w:szCs w:val="16"/>
                <w:color w:val="auto"/>
              </w:rPr>
              <w:t>Manufacturing</w:t>
            </w:r>
          </w:p>
        </w:tc>
        <w:tc>
          <w:tcPr>
            <w:tcW w:w="240" w:type="dxa"/>
            <w:vAlign w:val="bottom"/>
          </w:tcPr>
          <w:p>
            <w:pPr>
              <w:jc w:val="right"/>
              <w:ind w:right="39"/>
              <w:spacing w:after="0"/>
              <w:rPr>
                <w:sz w:val="20"/>
                <w:szCs w:val="20"/>
                <w:color w:val="auto"/>
              </w:rPr>
            </w:pPr>
            <w:r>
              <w:rPr>
                <w:rFonts w:ascii="Arial" w:cs="Arial" w:eastAsia="Arial" w:hAnsi="Arial"/>
                <w:sz w:val="16"/>
                <w:szCs w:val="16"/>
                <w:b w:val="1"/>
                <w:bCs w:val="1"/>
                <w:color w:val="auto"/>
              </w:rPr>
              <w:t>$</w:t>
            </w:r>
          </w:p>
        </w:tc>
        <w:tc>
          <w:tcPr>
            <w:tcW w:w="960" w:type="dxa"/>
            <w:vAlign w:val="bottom"/>
          </w:tcPr>
          <w:p>
            <w:pPr>
              <w:jc w:val="right"/>
              <w:ind w:right="60"/>
              <w:spacing w:after="0"/>
              <w:rPr>
                <w:sz w:val="20"/>
                <w:szCs w:val="20"/>
                <w:color w:val="auto"/>
              </w:rPr>
            </w:pPr>
            <w:r>
              <w:rPr>
                <w:rFonts w:ascii="Arial" w:cs="Arial" w:eastAsia="Arial" w:hAnsi="Arial"/>
                <w:sz w:val="16"/>
                <w:szCs w:val="16"/>
                <w:b w:val="1"/>
                <w:bCs w:val="1"/>
                <w:color w:val="auto"/>
              </w:rPr>
              <w:t>241,604</w:t>
            </w:r>
          </w:p>
        </w:tc>
        <w:tc>
          <w:tcPr>
            <w:tcW w:w="34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860" w:type="dxa"/>
            <w:vAlign w:val="bottom"/>
          </w:tcPr>
          <w:p>
            <w:pPr>
              <w:jc w:val="right"/>
              <w:ind w:right="19"/>
              <w:spacing w:after="0"/>
              <w:rPr>
                <w:sz w:val="20"/>
                <w:szCs w:val="20"/>
                <w:color w:val="auto"/>
              </w:rPr>
            </w:pPr>
            <w:r>
              <w:rPr>
                <w:rFonts w:ascii="Arial" w:cs="Arial" w:eastAsia="Arial" w:hAnsi="Arial"/>
                <w:sz w:val="16"/>
                <w:szCs w:val="16"/>
                <w:color w:val="auto"/>
              </w:rPr>
              <w:t>92,255</w:t>
            </w:r>
          </w:p>
        </w:tc>
        <w:tc>
          <w:tcPr>
            <w:tcW w:w="900" w:type="dxa"/>
            <w:vAlign w:val="bottom"/>
          </w:tcPr>
          <w:p>
            <w:pPr>
              <w:jc w:val="right"/>
              <w:ind w:right="20"/>
              <w:spacing w:after="0"/>
              <w:rPr>
                <w:sz w:val="20"/>
                <w:szCs w:val="20"/>
                <w:color w:val="auto"/>
              </w:rPr>
            </w:pPr>
            <w:r>
              <w:rPr>
                <w:rFonts w:ascii="Arial" w:cs="Arial" w:eastAsia="Arial" w:hAnsi="Arial"/>
                <w:sz w:val="16"/>
                <w:szCs w:val="16"/>
                <w:color w:val="auto"/>
              </w:rPr>
              <w:t>—</w:t>
            </w:r>
          </w:p>
        </w:tc>
      </w:tr>
      <w:tr>
        <w:trPr>
          <w:trHeight w:val="270"/>
        </w:trPr>
        <w:tc>
          <w:tcPr>
            <w:tcW w:w="8120" w:type="dxa"/>
            <w:vAlign w:val="bottom"/>
          </w:tcPr>
          <w:p>
            <w:pPr>
              <w:ind w:left="180"/>
              <w:spacing w:after="0"/>
              <w:rPr>
                <w:sz w:val="20"/>
                <w:szCs w:val="20"/>
                <w:color w:val="auto"/>
              </w:rPr>
            </w:pPr>
            <w:r>
              <w:rPr>
                <w:rFonts w:ascii="Arial" w:cs="Arial" w:eastAsia="Arial" w:hAnsi="Arial"/>
                <w:sz w:val="16"/>
                <w:szCs w:val="16"/>
                <w:color w:val="auto"/>
              </w:rPr>
              <w:t>Healthcare</w:t>
            </w:r>
          </w:p>
        </w:tc>
        <w:tc>
          <w:tcPr>
            <w:tcW w:w="240" w:type="dxa"/>
            <w:vAlign w:val="bottom"/>
          </w:tcPr>
          <w:p>
            <w:pPr>
              <w:spacing w:after="0"/>
              <w:rPr>
                <w:sz w:val="23"/>
                <w:szCs w:val="23"/>
                <w:color w:val="auto"/>
              </w:rPr>
            </w:pPr>
          </w:p>
        </w:tc>
        <w:tc>
          <w:tcPr>
            <w:tcW w:w="960" w:type="dxa"/>
            <w:vAlign w:val="bottom"/>
          </w:tcPr>
          <w:p>
            <w:pPr>
              <w:jc w:val="right"/>
              <w:ind w:right="60"/>
              <w:spacing w:after="0"/>
              <w:rPr>
                <w:sz w:val="20"/>
                <w:szCs w:val="20"/>
                <w:color w:val="auto"/>
              </w:rPr>
            </w:pPr>
            <w:r>
              <w:rPr>
                <w:rFonts w:ascii="Arial" w:cs="Arial" w:eastAsia="Arial" w:hAnsi="Arial"/>
                <w:sz w:val="16"/>
                <w:szCs w:val="16"/>
                <w:b w:val="1"/>
                <w:bCs w:val="1"/>
                <w:color w:val="auto"/>
              </w:rPr>
              <w:t>146,962</w:t>
            </w:r>
          </w:p>
        </w:tc>
        <w:tc>
          <w:tcPr>
            <w:tcW w:w="340" w:type="dxa"/>
            <w:vAlign w:val="bottom"/>
          </w:tcPr>
          <w:p>
            <w:pPr>
              <w:spacing w:after="0"/>
              <w:rPr>
                <w:sz w:val="23"/>
                <w:szCs w:val="23"/>
                <w:color w:val="auto"/>
              </w:rPr>
            </w:pPr>
          </w:p>
        </w:tc>
        <w:tc>
          <w:tcPr>
            <w:tcW w:w="860" w:type="dxa"/>
            <w:vAlign w:val="bottom"/>
          </w:tcPr>
          <w:p>
            <w:pPr>
              <w:jc w:val="right"/>
              <w:ind w:right="19"/>
              <w:spacing w:after="0"/>
              <w:rPr>
                <w:sz w:val="20"/>
                <w:szCs w:val="20"/>
                <w:color w:val="auto"/>
              </w:rPr>
            </w:pPr>
            <w:r>
              <w:rPr>
                <w:rFonts w:ascii="Arial" w:cs="Arial" w:eastAsia="Arial" w:hAnsi="Arial"/>
                <w:sz w:val="16"/>
                <w:szCs w:val="16"/>
                <w:color w:val="auto"/>
              </w:rPr>
              <w:t>135,550</w:t>
            </w:r>
          </w:p>
        </w:tc>
        <w:tc>
          <w:tcPr>
            <w:tcW w:w="900" w:type="dxa"/>
            <w:vAlign w:val="bottom"/>
          </w:tcPr>
          <w:p>
            <w:pPr>
              <w:jc w:val="right"/>
              <w:ind w:right="20"/>
              <w:spacing w:after="0"/>
              <w:rPr>
                <w:sz w:val="20"/>
                <w:szCs w:val="20"/>
                <w:color w:val="auto"/>
              </w:rPr>
            </w:pPr>
            <w:r>
              <w:rPr>
                <w:rFonts w:ascii="Arial" w:cs="Arial" w:eastAsia="Arial" w:hAnsi="Arial"/>
                <w:sz w:val="16"/>
                <w:szCs w:val="16"/>
                <w:color w:val="auto"/>
              </w:rPr>
              <w:t>8</w:t>
            </w:r>
          </w:p>
        </w:tc>
      </w:tr>
      <w:tr>
        <w:trPr>
          <w:trHeight w:val="270"/>
        </w:trPr>
        <w:tc>
          <w:tcPr>
            <w:tcW w:w="8120" w:type="dxa"/>
            <w:vAlign w:val="bottom"/>
          </w:tcPr>
          <w:p>
            <w:pPr>
              <w:ind w:left="180"/>
              <w:spacing w:after="0"/>
              <w:rPr>
                <w:sz w:val="20"/>
                <w:szCs w:val="20"/>
                <w:color w:val="auto"/>
              </w:rPr>
            </w:pPr>
            <w:r>
              <w:rPr>
                <w:rFonts w:ascii="Arial" w:cs="Arial" w:eastAsia="Arial" w:hAnsi="Arial"/>
                <w:sz w:val="16"/>
                <w:szCs w:val="16"/>
                <w:color w:val="auto"/>
              </w:rPr>
              <w:t>SocialCode</w:t>
            </w:r>
          </w:p>
        </w:tc>
        <w:tc>
          <w:tcPr>
            <w:tcW w:w="240" w:type="dxa"/>
            <w:vAlign w:val="bottom"/>
          </w:tcPr>
          <w:p>
            <w:pPr>
              <w:spacing w:after="0"/>
              <w:rPr>
                <w:sz w:val="23"/>
                <w:szCs w:val="23"/>
                <w:color w:val="auto"/>
              </w:rPr>
            </w:pPr>
          </w:p>
        </w:tc>
        <w:tc>
          <w:tcPr>
            <w:tcW w:w="960" w:type="dxa"/>
            <w:vAlign w:val="bottom"/>
          </w:tcPr>
          <w:p>
            <w:pPr>
              <w:jc w:val="right"/>
              <w:ind w:right="60"/>
              <w:spacing w:after="0"/>
              <w:rPr>
                <w:sz w:val="20"/>
                <w:szCs w:val="20"/>
                <w:color w:val="auto"/>
              </w:rPr>
            </w:pPr>
            <w:r>
              <w:rPr>
                <w:rFonts w:ascii="Arial" w:cs="Arial" w:eastAsia="Arial" w:hAnsi="Arial"/>
                <w:sz w:val="16"/>
                <w:szCs w:val="16"/>
                <w:b w:val="1"/>
                <w:bCs w:val="1"/>
                <w:color w:val="auto"/>
              </w:rPr>
              <w:t>58,851</w:t>
            </w:r>
          </w:p>
        </w:tc>
        <w:tc>
          <w:tcPr>
            <w:tcW w:w="340" w:type="dxa"/>
            <w:vAlign w:val="bottom"/>
          </w:tcPr>
          <w:p>
            <w:pPr>
              <w:spacing w:after="0"/>
              <w:rPr>
                <w:sz w:val="23"/>
                <w:szCs w:val="23"/>
                <w:color w:val="auto"/>
              </w:rPr>
            </w:pPr>
          </w:p>
        </w:tc>
        <w:tc>
          <w:tcPr>
            <w:tcW w:w="860" w:type="dxa"/>
            <w:vAlign w:val="bottom"/>
          </w:tcPr>
          <w:p>
            <w:pPr>
              <w:jc w:val="right"/>
              <w:ind w:right="19"/>
              <w:spacing w:after="0"/>
              <w:rPr>
                <w:sz w:val="20"/>
                <w:szCs w:val="20"/>
                <w:color w:val="auto"/>
              </w:rPr>
            </w:pPr>
            <w:r>
              <w:rPr>
                <w:rFonts w:ascii="Arial" w:cs="Arial" w:eastAsia="Arial" w:hAnsi="Arial"/>
                <w:sz w:val="16"/>
                <w:szCs w:val="16"/>
                <w:color w:val="auto"/>
              </w:rPr>
              <w:t>45,829</w:t>
            </w:r>
          </w:p>
        </w:tc>
        <w:tc>
          <w:tcPr>
            <w:tcW w:w="900" w:type="dxa"/>
            <w:vAlign w:val="bottom"/>
          </w:tcPr>
          <w:p>
            <w:pPr>
              <w:jc w:val="right"/>
              <w:ind w:right="20"/>
              <w:spacing w:after="0"/>
              <w:rPr>
                <w:sz w:val="20"/>
                <w:szCs w:val="20"/>
                <w:color w:val="auto"/>
              </w:rPr>
            </w:pPr>
            <w:r>
              <w:rPr>
                <w:rFonts w:ascii="Arial" w:cs="Arial" w:eastAsia="Arial" w:hAnsi="Arial"/>
                <w:sz w:val="16"/>
                <w:szCs w:val="16"/>
                <w:color w:val="auto"/>
              </w:rPr>
              <w:t>28</w:t>
            </w:r>
          </w:p>
        </w:tc>
      </w:tr>
      <w:tr>
        <w:trPr>
          <w:trHeight w:val="283"/>
        </w:trPr>
        <w:tc>
          <w:tcPr>
            <w:tcW w:w="8120" w:type="dxa"/>
            <w:vAlign w:val="bottom"/>
          </w:tcPr>
          <w:p>
            <w:pPr>
              <w:ind w:left="180"/>
              <w:spacing w:after="0"/>
              <w:rPr>
                <w:sz w:val="20"/>
                <w:szCs w:val="20"/>
                <w:color w:val="auto"/>
              </w:rPr>
            </w:pPr>
            <w:r>
              <w:rPr>
                <w:rFonts w:ascii="Arial" w:cs="Arial" w:eastAsia="Arial" w:hAnsi="Arial"/>
                <w:sz w:val="16"/>
                <w:szCs w:val="16"/>
                <w:color w:val="auto"/>
              </w:rPr>
              <w:t>Other</w:t>
            </w:r>
          </w:p>
        </w:tc>
        <w:tc>
          <w:tcPr>
            <w:tcW w:w="24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jc w:val="right"/>
              <w:ind w:right="60"/>
              <w:spacing w:after="0"/>
              <w:rPr>
                <w:sz w:val="20"/>
                <w:szCs w:val="20"/>
                <w:color w:val="auto"/>
              </w:rPr>
            </w:pPr>
            <w:r>
              <w:rPr>
                <w:rFonts w:ascii="Arial" w:cs="Arial" w:eastAsia="Arial" w:hAnsi="Arial"/>
                <w:sz w:val="16"/>
                <w:szCs w:val="16"/>
                <w:b w:val="1"/>
                <w:bCs w:val="1"/>
                <w:color w:val="auto"/>
              </w:rPr>
              <w:t>26,433</w:t>
            </w:r>
          </w:p>
        </w:tc>
        <w:tc>
          <w:tcPr>
            <w:tcW w:w="34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25,883</w:t>
            </w:r>
          </w:p>
        </w:tc>
        <w:tc>
          <w:tcPr>
            <w:tcW w:w="900" w:type="dxa"/>
            <w:vAlign w:val="bottom"/>
          </w:tcPr>
          <w:p>
            <w:pPr>
              <w:jc w:val="right"/>
              <w:ind w:right="20"/>
              <w:spacing w:after="0"/>
              <w:rPr>
                <w:sz w:val="20"/>
                <w:szCs w:val="20"/>
                <w:color w:val="auto"/>
              </w:rPr>
            </w:pPr>
            <w:r>
              <w:rPr>
                <w:rFonts w:ascii="Arial" w:cs="Arial" w:eastAsia="Arial" w:hAnsi="Arial"/>
                <w:sz w:val="16"/>
                <w:szCs w:val="16"/>
                <w:color w:val="auto"/>
              </w:rPr>
              <w:t>2</w:t>
            </w:r>
          </w:p>
        </w:tc>
      </w:tr>
      <w:tr>
        <w:trPr>
          <w:trHeight w:val="264"/>
        </w:trPr>
        <w:tc>
          <w:tcPr>
            <w:tcW w:w="8120" w:type="dxa"/>
            <w:vAlign w:val="bottom"/>
          </w:tcPr>
          <w:p>
            <w:pPr>
              <w:spacing w:after="0"/>
              <w:rPr>
                <w:sz w:val="22"/>
                <w:szCs w:val="22"/>
                <w:color w:val="auto"/>
              </w:rPr>
            </w:pPr>
          </w:p>
        </w:tc>
        <w:tc>
          <w:tcPr>
            <w:tcW w:w="24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b w:val="1"/>
                <w:bCs w:val="1"/>
                <w:color w:val="auto"/>
              </w:rPr>
              <w:t>$</w:t>
            </w:r>
          </w:p>
        </w:tc>
        <w:tc>
          <w:tcPr>
            <w:tcW w:w="960" w:type="dxa"/>
            <w:vAlign w:val="bottom"/>
            <w:tcBorders>
              <w:bottom w:val="single" w:sz="8" w:color="auto"/>
            </w:tcBorders>
          </w:tcPr>
          <w:p>
            <w:pPr>
              <w:jc w:val="right"/>
              <w:ind w:right="60"/>
              <w:spacing w:after="0"/>
              <w:rPr>
                <w:sz w:val="20"/>
                <w:szCs w:val="20"/>
                <w:color w:val="auto"/>
              </w:rPr>
            </w:pPr>
            <w:r>
              <w:rPr>
                <w:rFonts w:ascii="Arial" w:cs="Arial" w:eastAsia="Arial" w:hAnsi="Arial"/>
                <w:sz w:val="16"/>
                <w:szCs w:val="16"/>
                <w:b w:val="1"/>
                <w:bCs w:val="1"/>
                <w:color w:val="auto"/>
              </w:rPr>
              <w:t>473,850</w:t>
            </w:r>
          </w:p>
        </w:tc>
        <w:tc>
          <w:tcPr>
            <w:tcW w:w="34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w:t>
            </w:r>
          </w:p>
        </w:tc>
        <w:tc>
          <w:tcPr>
            <w:tcW w:w="86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299,517</w:t>
            </w:r>
          </w:p>
        </w:tc>
        <w:tc>
          <w:tcPr>
            <w:tcW w:w="900" w:type="dxa"/>
            <w:vAlign w:val="bottom"/>
          </w:tcPr>
          <w:p>
            <w:pPr>
              <w:jc w:val="right"/>
              <w:ind w:right="20"/>
              <w:spacing w:after="0"/>
              <w:rPr>
                <w:sz w:val="20"/>
                <w:szCs w:val="20"/>
                <w:color w:val="auto"/>
              </w:rPr>
            </w:pPr>
            <w:r>
              <w:rPr>
                <w:rFonts w:ascii="Arial" w:cs="Arial" w:eastAsia="Arial" w:hAnsi="Arial"/>
                <w:sz w:val="16"/>
                <w:szCs w:val="16"/>
                <w:color w:val="auto"/>
              </w:rPr>
              <w:t>58</w:t>
            </w:r>
          </w:p>
        </w:tc>
      </w:tr>
      <w:tr>
        <w:trPr>
          <w:trHeight w:val="251"/>
        </w:trPr>
        <w:tc>
          <w:tcPr>
            <w:tcW w:w="8120" w:type="dxa"/>
            <w:vAlign w:val="bottom"/>
          </w:tcPr>
          <w:p>
            <w:pPr>
              <w:ind w:left="40"/>
              <w:spacing w:after="0"/>
              <w:rPr>
                <w:sz w:val="20"/>
                <w:szCs w:val="20"/>
                <w:color w:val="auto"/>
              </w:rPr>
            </w:pPr>
            <w:r>
              <w:rPr>
                <w:rFonts w:ascii="Arial" w:cs="Arial" w:eastAsia="Arial" w:hAnsi="Arial"/>
                <w:sz w:val="16"/>
                <w:szCs w:val="16"/>
                <w:b w:val="1"/>
                <w:bCs w:val="1"/>
                <w:color w:val="auto"/>
              </w:rPr>
              <w:t>Operating Expenses</w:t>
            </w:r>
          </w:p>
        </w:tc>
        <w:tc>
          <w:tcPr>
            <w:tcW w:w="24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900" w:type="dxa"/>
            <w:vAlign w:val="bottom"/>
          </w:tcPr>
          <w:p>
            <w:pPr>
              <w:spacing w:after="0"/>
              <w:rPr>
                <w:sz w:val="21"/>
                <w:szCs w:val="21"/>
                <w:color w:val="auto"/>
              </w:rPr>
            </w:pPr>
          </w:p>
        </w:tc>
      </w:tr>
      <w:tr>
        <w:trPr>
          <w:trHeight w:val="270"/>
        </w:trPr>
        <w:tc>
          <w:tcPr>
            <w:tcW w:w="8120" w:type="dxa"/>
            <w:vAlign w:val="bottom"/>
          </w:tcPr>
          <w:p>
            <w:pPr>
              <w:ind w:left="180"/>
              <w:spacing w:after="0"/>
              <w:rPr>
                <w:sz w:val="20"/>
                <w:szCs w:val="20"/>
                <w:color w:val="auto"/>
              </w:rPr>
            </w:pPr>
            <w:r>
              <w:rPr>
                <w:rFonts w:ascii="Arial" w:cs="Arial" w:eastAsia="Arial" w:hAnsi="Arial"/>
                <w:sz w:val="16"/>
                <w:szCs w:val="16"/>
                <w:color w:val="auto"/>
              </w:rPr>
              <w:t>Manufacturing</w:t>
            </w:r>
          </w:p>
        </w:tc>
        <w:tc>
          <w:tcPr>
            <w:tcW w:w="240" w:type="dxa"/>
            <w:vAlign w:val="bottom"/>
          </w:tcPr>
          <w:p>
            <w:pPr>
              <w:jc w:val="right"/>
              <w:ind w:right="39"/>
              <w:spacing w:after="0"/>
              <w:rPr>
                <w:sz w:val="20"/>
                <w:szCs w:val="20"/>
                <w:color w:val="auto"/>
              </w:rPr>
            </w:pPr>
            <w:r>
              <w:rPr>
                <w:rFonts w:ascii="Arial" w:cs="Arial" w:eastAsia="Arial" w:hAnsi="Arial"/>
                <w:sz w:val="16"/>
                <w:szCs w:val="16"/>
                <w:b w:val="1"/>
                <w:bCs w:val="1"/>
                <w:color w:val="auto"/>
              </w:rPr>
              <w:t>$</w:t>
            </w:r>
          </w:p>
        </w:tc>
        <w:tc>
          <w:tcPr>
            <w:tcW w:w="960" w:type="dxa"/>
            <w:vAlign w:val="bottom"/>
          </w:tcPr>
          <w:p>
            <w:pPr>
              <w:jc w:val="right"/>
              <w:ind w:right="60"/>
              <w:spacing w:after="0"/>
              <w:rPr>
                <w:sz w:val="20"/>
                <w:szCs w:val="20"/>
                <w:color w:val="auto"/>
              </w:rPr>
            </w:pPr>
            <w:r>
              <w:rPr>
                <w:rFonts w:ascii="Arial" w:cs="Arial" w:eastAsia="Arial" w:hAnsi="Arial"/>
                <w:sz w:val="16"/>
                <w:szCs w:val="16"/>
                <w:b w:val="1"/>
                <w:bCs w:val="1"/>
                <w:color w:val="auto"/>
              </w:rPr>
              <w:t>228,887</w:t>
            </w:r>
          </w:p>
        </w:tc>
        <w:tc>
          <w:tcPr>
            <w:tcW w:w="34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860" w:type="dxa"/>
            <w:vAlign w:val="bottom"/>
          </w:tcPr>
          <w:p>
            <w:pPr>
              <w:jc w:val="right"/>
              <w:ind w:right="19"/>
              <w:spacing w:after="0"/>
              <w:rPr>
                <w:sz w:val="20"/>
                <w:szCs w:val="20"/>
                <w:color w:val="auto"/>
              </w:rPr>
            </w:pPr>
            <w:r>
              <w:rPr>
                <w:rFonts w:ascii="Arial" w:cs="Arial" w:eastAsia="Arial" w:hAnsi="Arial"/>
                <w:sz w:val="16"/>
                <w:szCs w:val="16"/>
                <w:color w:val="auto"/>
              </w:rPr>
              <w:t>85,839</w:t>
            </w:r>
          </w:p>
        </w:tc>
        <w:tc>
          <w:tcPr>
            <w:tcW w:w="900" w:type="dxa"/>
            <w:vAlign w:val="bottom"/>
          </w:tcPr>
          <w:p>
            <w:pPr>
              <w:jc w:val="right"/>
              <w:ind w:right="20"/>
              <w:spacing w:after="0"/>
              <w:rPr>
                <w:sz w:val="20"/>
                <w:szCs w:val="20"/>
                <w:color w:val="auto"/>
              </w:rPr>
            </w:pPr>
            <w:r>
              <w:rPr>
                <w:rFonts w:ascii="Arial" w:cs="Arial" w:eastAsia="Arial" w:hAnsi="Arial"/>
                <w:sz w:val="16"/>
                <w:szCs w:val="16"/>
                <w:color w:val="auto"/>
              </w:rPr>
              <w:t>—</w:t>
            </w:r>
          </w:p>
        </w:tc>
      </w:tr>
      <w:tr>
        <w:trPr>
          <w:trHeight w:val="270"/>
        </w:trPr>
        <w:tc>
          <w:tcPr>
            <w:tcW w:w="8120" w:type="dxa"/>
            <w:vAlign w:val="bottom"/>
          </w:tcPr>
          <w:p>
            <w:pPr>
              <w:ind w:left="180"/>
              <w:spacing w:after="0"/>
              <w:rPr>
                <w:sz w:val="20"/>
                <w:szCs w:val="20"/>
                <w:color w:val="auto"/>
              </w:rPr>
            </w:pPr>
            <w:r>
              <w:rPr>
                <w:rFonts w:ascii="Arial" w:cs="Arial" w:eastAsia="Arial" w:hAnsi="Arial"/>
                <w:sz w:val="16"/>
                <w:szCs w:val="16"/>
                <w:color w:val="auto"/>
              </w:rPr>
              <w:t>Healthcare</w:t>
            </w:r>
          </w:p>
        </w:tc>
        <w:tc>
          <w:tcPr>
            <w:tcW w:w="240" w:type="dxa"/>
            <w:vAlign w:val="bottom"/>
          </w:tcPr>
          <w:p>
            <w:pPr>
              <w:spacing w:after="0"/>
              <w:rPr>
                <w:sz w:val="23"/>
                <w:szCs w:val="23"/>
                <w:color w:val="auto"/>
              </w:rPr>
            </w:pPr>
          </w:p>
        </w:tc>
        <w:tc>
          <w:tcPr>
            <w:tcW w:w="960" w:type="dxa"/>
            <w:vAlign w:val="bottom"/>
          </w:tcPr>
          <w:p>
            <w:pPr>
              <w:jc w:val="right"/>
              <w:ind w:right="60"/>
              <w:spacing w:after="0"/>
              <w:rPr>
                <w:sz w:val="20"/>
                <w:szCs w:val="20"/>
                <w:color w:val="auto"/>
              </w:rPr>
            </w:pPr>
            <w:r>
              <w:rPr>
                <w:rFonts w:ascii="Arial" w:cs="Arial" w:eastAsia="Arial" w:hAnsi="Arial"/>
                <w:sz w:val="16"/>
                <w:szCs w:val="16"/>
                <w:b w:val="1"/>
                <w:bCs w:val="1"/>
                <w:color w:val="auto"/>
              </w:rPr>
              <w:t>144,163</w:t>
            </w:r>
          </w:p>
        </w:tc>
        <w:tc>
          <w:tcPr>
            <w:tcW w:w="340" w:type="dxa"/>
            <w:vAlign w:val="bottom"/>
          </w:tcPr>
          <w:p>
            <w:pPr>
              <w:spacing w:after="0"/>
              <w:rPr>
                <w:sz w:val="23"/>
                <w:szCs w:val="23"/>
                <w:color w:val="auto"/>
              </w:rPr>
            </w:pPr>
          </w:p>
        </w:tc>
        <w:tc>
          <w:tcPr>
            <w:tcW w:w="860" w:type="dxa"/>
            <w:vAlign w:val="bottom"/>
          </w:tcPr>
          <w:p>
            <w:pPr>
              <w:jc w:val="right"/>
              <w:ind w:right="19"/>
              <w:spacing w:after="0"/>
              <w:rPr>
                <w:sz w:val="20"/>
                <w:szCs w:val="20"/>
                <w:color w:val="auto"/>
              </w:rPr>
            </w:pPr>
            <w:r>
              <w:rPr>
                <w:rFonts w:ascii="Arial" w:cs="Arial" w:eastAsia="Arial" w:hAnsi="Arial"/>
                <w:sz w:val="16"/>
                <w:szCs w:val="16"/>
                <w:color w:val="auto"/>
              </w:rPr>
              <w:t>129,317</w:t>
            </w:r>
          </w:p>
        </w:tc>
        <w:tc>
          <w:tcPr>
            <w:tcW w:w="900" w:type="dxa"/>
            <w:vAlign w:val="bottom"/>
          </w:tcPr>
          <w:p>
            <w:pPr>
              <w:jc w:val="right"/>
              <w:ind w:right="20"/>
              <w:spacing w:after="0"/>
              <w:rPr>
                <w:sz w:val="20"/>
                <w:szCs w:val="20"/>
                <w:color w:val="auto"/>
              </w:rPr>
            </w:pPr>
            <w:r>
              <w:rPr>
                <w:rFonts w:ascii="Arial" w:cs="Arial" w:eastAsia="Arial" w:hAnsi="Arial"/>
                <w:sz w:val="16"/>
                <w:szCs w:val="16"/>
                <w:color w:val="auto"/>
              </w:rPr>
              <w:t>11</w:t>
            </w:r>
          </w:p>
        </w:tc>
      </w:tr>
      <w:tr>
        <w:trPr>
          <w:trHeight w:val="270"/>
        </w:trPr>
        <w:tc>
          <w:tcPr>
            <w:tcW w:w="8120" w:type="dxa"/>
            <w:vAlign w:val="bottom"/>
          </w:tcPr>
          <w:p>
            <w:pPr>
              <w:ind w:left="180"/>
              <w:spacing w:after="0"/>
              <w:rPr>
                <w:sz w:val="20"/>
                <w:szCs w:val="20"/>
                <w:color w:val="auto"/>
              </w:rPr>
            </w:pPr>
            <w:r>
              <w:rPr>
                <w:rFonts w:ascii="Arial" w:cs="Arial" w:eastAsia="Arial" w:hAnsi="Arial"/>
                <w:sz w:val="16"/>
                <w:szCs w:val="16"/>
                <w:color w:val="auto"/>
              </w:rPr>
              <w:t>SocialCode</w:t>
            </w:r>
          </w:p>
        </w:tc>
        <w:tc>
          <w:tcPr>
            <w:tcW w:w="240" w:type="dxa"/>
            <w:vAlign w:val="bottom"/>
          </w:tcPr>
          <w:p>
            <w:pPr>
              <w:spacing w:after="0"/>
              <w:rPr>
                <w:sz w:val="23"/>
                <w:szCs w:val="23"/>
                <w:color w:val="auto"/>
              </w:rPr>
            </w:pPr>
          </w:p>
        </w:tc>
        <w:tc>
          <w:tcPr>
            <w:tcW w:w="960" w:type="dxa"/>
            <w:vAlign w:val="bottom"/>
          </w:tcPr>
          <w:p>
            <w:pPr>
              <w:jc w:val="right"/>
              <w:ind w:right="60"/>
              <w:spacing w:after="0"/>
              <w:rPr>
                <w:sz w:val="20"/>
                <w:szCs w:val="20"/>
                <w:color w:val="auto"/>
              </w:rPr>
            </w:pPr>
            <w:r>
              <w:rPr>
                <w:rFonts w:ascii="Arial" w:cs="Arial" w:eastAsia="Arial" w:hAnsi="Arial"/>
                <w:sz w:val="16"/>
                <w:szCs w:val="16"/>
                <w:b w:val="1"/>
                <w:bCs w:val="1"/>
                <w:color w:val="auto"/>
              </w:rPr>
              <w:t>71,258</w:t>
            </w:r>
          </w:p>
        </w:tc>
        <w:tc>
          <w:tcPr>
            <w:tcW w:w="340" w:type="dxa"/>
            <w:vAlign w:val="bottom"/>
          </w:tcPr>
          <w:p>
            <w:pPr>
              <w:spacing w:after="0"/>
              <w:rPr>
                <w:sz w:val="23"/>
                <w:szCs w:val="23"/>
                <w:color w:val="auto"/>
              </w:rPr>
            </w:pPr>
          </w:p>
        </w:tc>
        <w:tc>
          <w:tcPr>
            <w:tcW w:w="860" w:type="dxa"/>
            <w:vAlign w:val="bottom"/>
          </w:tcPr>
          <w:p>
            <w:pPr>
              <w:jc w:val="right"/>
              <w:ind w:right="19"/>
              <w:spacing w:after="0"/>
              <w:rPr>
                <w:sz w:val="20"/>
                <w:szCs w:val="20"/>
                <w:color w:val="auto"/>
              </w:rPr>
            </w:pPr>
            <w:r>
              <w:rPr>
                <w:rFonts w:ascii="Arial" w:cs="Arial" w:eastAsia="Arial" w:hAnsi="Arial"/>
                <w:sz w:val="16"/>
                <w:szCs w:val="16"/>
                <w:color w:val="auto"/>
              </w:rPr>
              <w:t>46,375</w:t>
            </w:r>
          </w:p>
        </w:tc>
        <w:tc>
          <w:tcPr>
            <w:tcW w:w="900" w:type="dxa"/>
            <w:vAlign w:val="bottom"/>
          </w:tcPr>
          <w:p>
            <w:pPr>
              <w:jc w:val="right"/>
              <w:ind w:right="20"/>
              <w:spacing w:after="0"/>
              <w:rPr>
                <w:sz w:val="20"/>
                <w:szCs w:val="20"/>
                <w:color w:val="auto"/>
              </w:rPr>
            </w:pPr>
            <w:r>
              <w:rPr>
                <w:rFonts w:ascii="Arial" w:cs="Arial" w:eastAsia="Arial" w:hAnsi="Arial"/>
                <w:sz w:val="16"/>
                <w:szCs w:val="16"/>
                <w:color w:val="auto"/>
              </w:rPr>
              <w:t>54</w:t>
            </w:r>
          </w:p>
        </w:tc>
      </w:tr>
      <w:tr>
        <w:trPr>
          <w:trHeight w:val="283"/>
        </w:trPr>
        <w:tc>
          <w:tcPr>
            <w:tcW w:w="8120" w:type="dxa"/>
            <w:vAlign w:val="bottom"/>
          </w:tcPr>
          <w:p>
            <w:pPr>
              <w:ind w:left="180"/>
              <w:spacing w:after="0"/>
              <w:rPr>
                <w:sz w:val="20"/>
                <w:szCs w:val="20"/>
                <w:color w:val="auto"/>
              </w:rPr>
            </w:pPr>
            <w:r>
              <w:rPr>
                <w:rFonts w:ascii="Arial" w:cs="Arial" w:eastAsia="Arial" w:hAnsi="Arial"/>
                <w:sz w:val="16"/>
                <w:szCs w:val="16"/>
                <w:color w:val="auto"/>
              </w:rPr>
              <w:t>Other</w:t>
            </w:r>
          </w:p>
        </w:tc>
        <w:tc>
          <w:tcPr>
            <w:tcW w:w="24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jc w:val="right"/>
              <w:ind w:right="60"/>
              <w:spacing w:after="0"/>
              <w:rPr>
                <w:sz w:val="20"/>
                <w:szCs w:val="20"/>
                <w:color w:val="auto"/>
              </w:rPr>
            </w:pPr>
            <w:r>
              <w:rPr>
                <w:rFonts w:ascii="Arial" w:cs="Arial" w:eastAsia="Arial" w:hAnsi="Arial"/>
                <w:sz w:val="16"/>
                <w:szCs w:val="16"/>
                <w:b w:val="1"/>
                <w:bCs w:val="1"/>
                <w:color w:val="auto"/>
              </w:rPr>
              <w:t>51,644</w:t>
            </w:r>
          </w:p>
        </w:tc>
        <w:tc>
          <w:tcPr>
            <w:tcW w:w="34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51,653</w:t>
            </w:r>
          </w:p>
        </w:tc>
        <w:tc>
          <w:tcPr>
            <w:tcW w:w="900" w:type="dxa"/>
            <w:vAlign w:val="bottom"/>
          </w:tcPr>
          <w:p>
            <w:pPr>
              <w:jc w:val="right"/>
              <w:ind w:right="20"/>
              <w:spacing w:after="0"/>
              <w:rPr>
                <w:sz w:val="20"/>
                <w:szCs w:val="20"/>
                <w:color w:val="auto"/>
              </w:rPr>
            </w:pPr>
            <w:r>
              <w:rPr>
                <w:rFonts w:ascii="Arial" w:cs="Arial" w:eastAsia="Arial" w:hAnsi="Arial"/>
                <w:sz w:val="16"/>
                <w:szCs w:val="16"/>
                <w:color w:val="auto"/>
              </w:rPr>
              <w:t>—</w:t>
            </w:r>
          </w:p>
        </w:tc>
      </w:tr>
      <w:tr>
        <w:trPr>
          <w:trHeight w:val="264"/>
        </w:trPr>
        <w:tc>
          <w:tcPr>
            <w:tcW w:w="8120" w:type="dxa"/>
            <w:vAlign w:val="bottom"/>
          </w:tcPr>
          <w:p>
            <w:pPr>
              <w:spacing w:after="0"/>
              <w:rPr>
                <w:sz w:val="22"/>
                <w:szCs w:val="22"/>
                <w:color w:val="auto"/>
              </w:rPr>
            </w:pPr>
          </w:p>
        </w:tc>
        <w:tc>
          <w:tcPr>
            <w:tcW w:w="24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b w:val="1"/>
                <w:bCs w:val="1"/>
                <w:color w:val="auto"/>
              </w:rPr>
              <w:t>$</w:t>
            </w:r>
          </w:p>
        </w:tc>
        <w:tc>
          <w:tcPr>
            <w:tcW w:w="960" w:type="dxa"/>
            <w:vAlign w:val="bottom"/>
            <w:tcBorders>
              <w:bottom w:val="single" w:sz="8" w:color="auto"/>
            </w:tcBorders>
          </w:tcPr>
          <w:p>
            <w:pPr>
              <w:jc w:val="right"/>
              <w:ind w:right="60"/>
              <w:spacing w:after="0"/>
              <w:rPr>
                <w:sz w:val="20"/>
                <w:szCs w:val="20"/>
                <w:color w:val="auto"/>
              </w:rPr>
            </w:pPr>
            <w:r>
              <w:rPr>
                <w:rFonts w:ascii="Arial" w:cs="Arial" w:eastAsia="Arial" w:hAnsi="Arial"/>
                <w:sz w:val="16"/>
                <w:szCs w:val="16"/>
                <w:b w:val="1"/>
                <w:bCs w:val="1"/>
                <w:color w:val="auto"/>
              </w:rPr>
              <w:t>495,952</w:t>
            </w:r>
          </w:p>
        </w:tc>
        <w:tc>
          <w:tcPr>
            <w:tcW w:w="34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w:t>
            </w:r>
          </w:p>
        </w:tc>
        <w:tc>
          <w:tcPr>
            <w:tcW w:w="86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313,184</w:t>
            </w:r>
          </w:p>
        </w:tc>
        <w:tc>
          <w:tcPr>
            <w:tcW w:w="900" w:type="dxa"/>
            <w:vAlign w:val="bottom"/>
          </w:tcPr>
          <w:p>
            <w:pPr>
              <w:jc w:val="right"/>
              <w:ind w:right="20"/>
              <w:spacing w:after="0"/>
              <w:rPr>
                <w:sz w:val="20"/>
                <w:szCs w:val="20"/>
                <w:color w:val="auto"/>
              </w:rPr>
            </w:pPr>
            <w:r>
              <w:rPr>
                <w:rFonts w:ascii="Arial" w:cs="Arial" w:eastAsia="Arial" w:hAnsi="Arial"/>
                <w:sz w:val="16"/>
                <w:szCs w:val="16"/>
                <w:color w:val="auto"/>
              </w:rPr>
              <w:t>58</w:t>
            </w:r>
          </w:p>
        </w:tc>
      </w:tr>
      <w:tr>
        <w:trPr>
          <w:trHeight w:val="251"/>
        </w:trPr>
        <w:tc>
          <w:tcPr>
            <w:tcW w:w="8120" w:type="dxa"/>
            <w:vAlign w:val="bottom"/>
          </w:tcPr>
          <w:p>
            <w:pPr>
              <w:ind w:left="40"/>
              <w:spacing w:after="0"/>
              <w:rPr>
                <w:sz w:val="20"/>
                <w:szCs w:val="20"/>
                <w:color w:val="auto"/>
              </w:rPr>
            </w:pPr>
            <w:r>
              <w:rPr>
                <w:rFonts w:ascii="Arial" w:cs="Arial" w:eastAsia="Arial" w:hAnsi="Arial"/>
                <w:sz w:val="16"/>
                <w:szCs w:val="16"/>
                <w:b w:val="1"/>
                <w:bCs w:val="1"/>
                <w:color w:val="auto"/>
              </w:rPr>
              <w:t>Operating Income (Loss)</w:t>
            </w:r>
          </w:p>
        </w:tc>
        <w:tc>
          <w:tcPr>
            <w:tcW w:w="24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900" w:type="dxa"/>
            <w:vAlign w:val="bottom"/>
          </w:tcPr>
          <w:p>
            <w:pPr>
              <w:spacing w:after="0"/>
              <w:rPr>
                <w:sz w:val="21"/>
                <w:szCs w:val="21"/>
                <w:color w:val="auto"/>
              </w:rPr>
            </w:pPr>
          </w:p>
        </w:tc>
      </w:tr>
      <w:tr>
        <w:trPr>
          <w:trHeight w:val="270"/>
        </w:trPr>
        <w:tc>
          <w:tcPr>
            <w:tcW w:w="8120" w:type="dxa"/>
            <w:vAlign w:val="bottom"/>
          </w:tcPr>
          <w:p>
            <w:pPr>
              <w:ind w:left="180"/>
              <w:spacing w:after="0"/>
              <w:rPr>
                <w:sz w:val="20"/>
                <w:szCs w:val="20"/>
                <w:color w:val="auto"/>
              </w:rPr>
            </w:pPr>
            <w:r>
              <w:rPr>
                <w:rFonts w:ascii="Arial" w:cs="Arial" w:eastAsia="Arial" w:hAnsi="Arial"/>
                <w:sz w:val="16"/>
                <w:szCs w:val="16"/>
                <w:color w:val="auto"/>
              </w:rPr>
              <w:t>Manufacturing</w:t>
            </w:r>
          </w:p>
        </w:tc>
        <w:tc>
          <w:tcPr>
            <w:tcW w:w="240" w:type="dxa"/>
            <w:vAlign w:val="bottom"/>
          </w:tcPr>
          <w:p>
            <w:pPr>
              <w:jc w:val="right"/>
              <w:ind w:right="39"/>
              <w:spacing w:after="0"/>
              <w:rPr>
                <w:sz w:val="20"/>
                <w:szCs w:val="20"/>
                <w:color w:val="auto"/>
              </w:rPr>
            </w:pPr>
            <w:r>
              <w:rPr>
                <w:rFonts w:ascii="Arial" w:cs="Arial" w:eastAsia="Arial" w:hAnsi="Arial"/>
                <w:sz w:val="16"/>
                <w:szCs w:val="16"/>
                <w:b w:val="1"/>
                <w:bCs w:val="1"/>
                <w:color w:val="auto"/>
              </w:rPr>
              <w:t>$</w:t>
            </w:r>
          </w:p>
        </w:tc>
        <w:tc>
          <w:tcPr>
            <w:tcW w:w="960" w:type="dxa"/>
            <w:vAlign w:val="bottom"/>
          </w:tcPr>
          <w:p>
            <w:pPr>
              <w:jc w:val="right"/>
              <w:ind w:right="60"/>
              <w:spacing w:after="0"/>
              <w:rPr>
                <w:sz w:val="20"/>
                <w:szCs w:val="20"/>
                <w:color w:val="auto"/>
              </w:rPr>
            </w:pPr>
            <w:r>
              <w:rPr>
                <w:rFonts w:ascii="Arial" w:cs="Arial" w:eastAsia="Arial" w:hAnsi="Arial"/>
                <w:sz w:val="16"/>
                <w:szCs w:val="16"/>
                <w:b w:val="1"/>
                <w:bCs w:val="1"/>
                <w:color w:val="auto"/>
              </w:rPr>
              <w:t>12,717</w:t>
            </w:r>
          </w:p>
        </w:tc>
        <w:tc>
          <w:tcPr>
            <w:tcW w:w="34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860" w:type="dxa"/>
            <w:vAlign w:val="bottom"/>
          </w:tcPr>
          <w:p>
            <w:pPr>
              <w:jc w:val="right"/>
              <w:ind w:right="19"/>
              <w:spacing w:after="0"/>
              <w:rPr>
                <w:sz w:val="20"/>
                <w:szCs w:val="20"/>
                <w:color w:val="auto"/>
              </w:rPr>
            </w:pPr>
            <w:r>
              <w:rPr>
                <w:rFonts w:ascii="Arial" w:cs="Arial" w:eastAsia="Arial" w:hAnsi="Arial"/>
                <w:sz w:val="16"/>
                <w:szCs w:val="16"/>
                <w:color w:val="auto"/>
              </w:rPr>
              <w:t>6,416</w:t>
            </w:r>
          </w:p>
        </w:tc>
        <w:tc>
          <w:tcPr>
            <w:tcW w:w="900" w:type="dxa"/>
            <w:vAlign w:val="bottom"/>
          </w:tcPr>
          <w:p>
            <w:pPr>
              <w:jc w:val="right"/>
              <w:ind w:right="20"/>
              <w:spacing w:after="0"/>
              <w:rPr>
                <w:sz w:val="20"/>
                <w:szCs w:val="20"/>
                <w:color w:val="auto"/>
              </w:rPr>
            </w:pPr>
            <w:r>
              <w:rPr>
                <w:rFonts w:ascii="Arial" w:cs="Arial" w:eastAsia="Arial" w:hAnsi="Arial"/>
                <w:sz w:val="16"/>
                <w:szCs w:val="16"/>
                <w:color w:val="auto"/>
              </w:rPr>
              <w:t>98</w:t>
            </w:r>
          </w:p>
        </w:tc>
      </w:tr>
      <w:tr>
        <w:trPr>
          <w:trHeight w:val="270"/>
        </w:trPr>
        <w:tc>
          <w:tcPr>
            <w:tcW w:w="8120" w:type="dxa"/>
            <w:vAlign w:val="bottom"/>
          </w:tcPr>
          <w:p>
            <w:pPr>
              <w:ind w:left="180"/>
              <w:spacing w:after="0"/>
              <w:rPr>
                <w:sz w:val="20"/>
                <w:szCs w:val="20"/>
                <w:color w:val="auto"/>
              </w:rPr>
            </w:pPr>
            <w:r>
              <w:rPr>
                <w:rFonts w:ascii="Arial" w:cs="Arial" w:eastAsia="Arial" w:hAnsi="Arial"/>
                <w:sz w:val="16"/>
                <w:szCs w:val="16"/>
                <w:color w:val="auto"/>
              </w:rPr>
              <w:t>Healthcare</w:t>
            </w:r>
          </w:p>
        </w:tc>
        <w:tc>
          <w:tcPr>
            <w:tcW w:w="240" w:type="dxa"/>
            <w:vAlign w:val="bottom"/>
          </w:tcPr>
          <w:p>
            <w:pPr>
              <w:spacing w:after="0"/>
              <w:rPr>
                <w:sz w:val="23"/>
                <w:szCs w:val="23"/>
                <w:color w:val="auto"/>
              </w:rPr>
            </w:pPr>
          </w:p>
        </w:tc>
        <w:tc>
          <w:tcPr>
            <w:tcW w:w="960" w:type="dxa"/>
            <w:vAlign w:val="bottom"/>
          </w:tcPr>
          <w:p>
            <w:pPr>
              <w:jc w:val="right"/>
              <w:ind w:right="60"/>
              <w:spacing w:after="0"/>
              <w:rPr>
                <w:sz w:val="20"/>
                <w:szCs w:val="20"/>
                <w:color w:val="auto"/>
              </w:rPr>
            </w:pPr>
            <w:r>
              <w:rPr>
                <w:rFonts w:ascii="Arial" w:cs="Arial" w:eastAsia="Arial" w:hAnsi="Arial"/>
                <w:sz w:val="16"/>
                <w:szCs w:val="16"/>
                <w:b w:val="1"/>
                <w:bCs w:val="1"/>
                <w:color w:val="auto"/>
              </w:rPr>
              <w:t>2,799</w:t>
            </w:r>
          </w:p>
        </w:tc>
        <w:tc>
          <w:tcPr>
            <w:tcW w:w="340" w:type="dxa"/>
            <w:vAlign w:val="bottom"/>
          </w:tcPr>
          <w:p>
            <w:pPr>
              <w:spacing w:after="0"/>
              <w:rPr>
                <w:sz w:val="23"/>
                <w:szCs w:val="23"/>
                <w:color w:val="auto"/>
              </w:rPr>
            </w:pPr>
          </w:p>
        </w:tc>
        <w:tc>
          <w:tcPr>
            <w:tcW w:w="860" w:type="dxa"/>
            <w:vAlign w:val="bottom"/>
          </w:tcPr>
          <w:p>
            <w:pPr>
              <w:jc w:val="right"/>
              <w:ind w:right="19"/>
              <w:spacing w:after="0"/>
              <w:rPr>
                <w:sz w:val="20"/>
                <w:szCs w:val="20"/>
                <w:color w:val="auto"/>
              </w:rPr>
            </w:pPr>
            <w:r>
              <w:rPr>
                <w:rFonts w:ascii="Arial" w:cs="Arial" w:eastAsia="Arial" w:hAnsi="Arial"/>
                <w:sz w:val="16"/>
                <w:szCs w:val="16"/>
                <w:color w:val="auto"/>
              </w:rPr>
              <w:t>6,233</w:t>
            </w:r>
          </w:p>
        </w:tc>
        <w:tc>
          <w:tcPr>
            <w:tcW w:w="900" w:type="dxa"/>
            <w:vAlign w:val="bottom"/>
          </w:tcPr>
          <w:p>
            <w:pPr>
              <w:jc w:val="right"/>
              <w:spacing w:after="0"/>
              <w:rPr>
                <w:sz w:val="20"/>
                <w:szCs w:val="20"/>
                <w:color w:val="auto"/>
              </w:rPr>
            </w:pPr>
            <w:r>
              <w:rPr>
                <w:rFonts w:ascii="Arial" w:cs="Arial" w:eastAsia="Arial" w:hAnsi="Arial"/>
                <w:sz w:val="16"/>
                <w:szCs w:val="16"/>
                <w:color w:val="auto"/>
              </w:rPr>
              <w:t>(55)</w:t>
            </w:r>
          </w:p>
        </w:tc>
      </w:tr>
      <w:tr>
        <w:trPr>
          <w:trHeight w:val="270"/>
        </w:trPr>
        <w:tc>
          <w:tcPr>
            <w:tcW w:w="8120" w:type="dxa"/>
            <w:vAlign w:val="bottom"/>
          </w:tcPr>
          <w:p>
            <w:pPr>
              <w:ind w:left="180"/>
              <w:spacing w:after="0"/>
              <w:rPr>
                <w:sz w:val="20"/>
                <w:szCs w:val="20"/>
                <w:color w:val="auto"/>
              </w:rPr>
            </w:pPr>
            <w:r>
              <w:rPr>
                <w:rFonts w:ascii="Arial" w:cs="Arial" w:eastAsia="Arial" w:hAnsi="Arial"/>
                <w:sz w:val="16"/>
                <w:szCs w:val="16"/>
                <w:color w:val="auto"/>
              </w:rPr>
              <w:t>SocialCode</w:t>
            </w:r>
          </w:p>
        </w:tc>
        <w:tc>
          <w:tcPr>
            <w:tcW w:w="240" w:type="dxa"/>
            <w:vAlign w:val="bottom"/>
          </w:tcPr>
          <w:p>
            <w:pPr>
              <w:spacing w:after="0"/>
              <w:rPr>
                <w:sz w:val="23"/>
                <w:szCs w:val="23"/>
                <w:color w:val="auto"/>
              </w:rPr>
            </w:pPr>
          </w:p>
        </w:tc>
        <w:tc>
          <w:tcPr>
            <w:tcW w:w="960" w:type="dxa"/>
            <w:vAlign w:val="bottom"/>
          </w:tcPr>
          <w:p>
            <w:pPr>
              <w:jc w:val="right"/>
              <w:spacing w:after="0"/>
              <w:rPr>
                <w:sz w:val="20"/>
                <w:szCs w:val="20"/>
                <w:color w:val="auto"/>
              </w:rPr>
            </w:pPr>
            <w:r>
              <w:rPr>
                <w:rFonts w:ascii="Arial" w:cs="Arial" w:eastAsia="Arial" w:hAnsi="Arial"/>
                <w:sz w:val="16"/>
                <w:szCs w:val="16"/>
                <w:b w:val="1"/>
                <w:bCs w:val="1"/>
                <w:color w:val="auto"/>
              </w:rPr>
              <w:t>(12,407)</w:t>
            </w:r>
          </w:p>
        </w:tc>
        <w:tc>
          <w:tcPr>
            <w:tcW w:w="340" w:type="dxa"/>
            <w:vAlign w:val="bottom"/>
          </w:tcPr>
          <w:p>
            <w:pPr>
              <w:spacing w:after="0"/>
              <w:rPr>
                <w:sz w:val="23"/>
                <w:szCs w:val="23"/>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(546)</w:t>
            </w:r>
          </w:p>
        </w:tc>
        <w:tc>
          <w:tcPr>
            <w:tcW w:w="900" w:type="dxa"/>
            <w:vAlign w:val="bottom"/>
          </w:tcPr>
          <w:p>
            <w:pPr>
              <w:jc w:val="right"/>
              <w:ind w:right="20"/>
              <w:spacing w:after="0"/>
              <w:rPr>
                <w:sz w:val="20"/>
                <w:szCs w:val="20"/>
                <w:color w:val="auto"/>
              </w:rPr>
            </w:pPr>
            <w:r>
              <w:rPr>
                <w:rFonts w:ascii="Arial" w:cs="Arial" w:eastAsia="Arial" w:hAnsi="Arial"/>
                <w:sz w:val="16"/>
                <w:szCs w:val="16"/>
                <w:color w:val="auto"/>
              </w:rPr>
              <w:t>—</w:t>
            </w:r>
          </w:p>
        </w:tc>
      </w:tr>
      <w:tr>
        <w:trPr>
          <w:trHeight w:val="283"/>
        </w:trPr>
        <w:tc>
          <w:tcPr>
            <w:tcW w:w="8120" w:type="dxa"/>
            <w:vAlign w:val="bottom"/>
          </w:tcPr>
          <w:p>
            <w:pPr>
              <w:ind w:left="180"/>
              <w:spacing w:after="0"/>
              <w:rPr>
                <w:sz w:val="20"/>
                <w:szCs w:val="20"/>
                <w:color w:val="auto"/>
              </w:rPr>
            </w:pPr>
            <w:r>
              <w:rPr>
                <w:rFonts w:ascii="Arial" w:cs="Arial" w:eastAsia="Arial" w:hAnsi="Arial"/>
                <w:sz w:val="16"/>
                <w:szCs w:val="16"/>
                <w:color w:val="auto"/>
              </w:rPr>
              <w:t>Other</w:t>
            </w:r>
          </w:p>
        </w:tc>
        <w:tc>
          <w:tcPr>
            <w:tcW w:w="24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(25,211)</w:t>
            </w:r>
          </w:p>
        </w:tc>
        <w:tc>
          <w:tcPr>
            <w:tcW w:w="34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(25,770)</w:t>
            </w:r>
          </w:p>
        </w:tc>
        <w:tc>
          <w:tcPr>
            <w:tcW w:w="900" w:type="dxa"/>
            <w:vAlign w:val="bottom"/>
          </w:tcPr>
          <w:p>
            <w:pPr>
              <w:jc w:val="right"/>
              <w:ind w:right="20"/>
              <w:spacing w:after="0"/>
              <w:rPr>
                <w:sz w:val="20"/>
                <w:szCs w:val="20"/>
                <w:color w:val="auto"/>
              </w:rPr>
            </w:pPr>
            <w:r>
              <w:rPr>
                <w:rFonts w:ascii="Arial" w:cs="Arial" w:eastAsia="Arial" w:hAnsi="Arial"/>
                <w:sz w:val="16"/>
                <w:szCs w:val="16"/>
                <w:color w:val="auto"/>
              </w:rPr>
              <w:t>2</w:t>
            </w:r>
          </w:p>
        </w:tc>
      </w:tr>
      <w:tr>
        <w:trPr>
          <w:trHeight w:val="264"/>
        </w:trPr>
        <w:tc>
          <w:tcPr>
            <w:tcW w:w="8120" w:type="dxa"/>
            <w:vAlign w:val="bottom"/>
          </w:tcPr>
          <w:p>
            <w:pPr>
              <w:spacing w:after="0"/>
              <w:rPr>
                <w:sz w:val="22"/>
                <w:szCs w:val="22"/>
                <w:color w:val="auto"/>
              </w:rPr>
            </w:pPr>
          </w:p>
        </w:tc>
        <w:tc>
          <w:tcPr>
            <w:tcW w:w="24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b w:val="1"/>
                <w:bCs w:val="1"/>
                <w:color w:val="auto"/>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(22,102)</w:t>
            </w:r>
          </w:p>
        </w:tc>
        <w:tc>
          <w:tcPr>
            <w:tcW w:w="34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(13,667)</w:t>
            </w:r>
          </w:p>
        </w:tc>
        <w:tc>
          <w:tcPr>
            <w:tcW w:w="900" w:type="dxa"/>
            <w:vAlign w:val="bottom"/>
          </w:tcPr>
          <w:p>
            <w:pPr>
              <w:jc w:val="right"/>
              <w:spacing w:after="0"/>
              <w:rPr>
                <w:sz w:val="20"/>
                <w:szCs w:val="20"/>
                <w:color w:val="auto"/>
              </w:rPr>
            </w:pPr>
            <w:r>
              <w:rPr>
                <w:rFonts w:ascii="Arial" w:cs="Arial" w:eastAsia="Arial" w:hAnsi="Arial"/>
                <w:sz w:val="16"/>
                <w:szCs w:val="16"/>
                <w:color w:val="auto"/>
              </w:rPr>
              <w:t>(62)</w:t>
            </w:r>
          </w:p>
        </w:tc>
      </w:tr>
      <w:tr>
        <w:trPr>
          <w:trHeight w:val="251"/>
        </w:trPr>
        <w:tc>
          <w:tcPr>
            <w:tcW w:w="8120" w:type="dxa"/>
            <w:vAlign w:val="bottom"/>
          </w:tcPr>
          <w:p>
            <w:pPr>
              <w:ind w:left="40"/>
              <w:spacing w:after="0"/>
              <w:rPr>
                <w:sz w:val="20"/>
                <w:szCs w:val="20"/>
                <w:color w:val="auto"/>
              </w:rPr>
            </w:pPr>
            <w:r>
              <w:rPr>
                <w:rFonts w:ascii="Arial" w:cs="Arial" w:eastAsia="Arial" w:hAnsi="Arial"/>
                <w:sz w:val="16"/>
                <w:szCs w:val="16"/>
                <w:b w:val="1"/>
                <w:bCs w:val="1"/>
                <w:color w:val="auto"/>
              </w:rPr>
              <w:t>Depreciation</w:t>
            </w:r>
          </w:p>
        </w:tc>
        <w:tc>
          <w:tcPr>
            <w:tcW w:w="24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900" w:type="dxa"/>
            <w:vAlign w:val="bottom"/>
          </w:tcPr>
          <w:p>
            <w:pPr>
              <w:spacing w:after="0"/>
              <w:rPr>
                <w:sz w:val="21"/>
                <w:szCs w:val="21"/>
                <w:color w:val="auto"/>
              </w:rPr>
            </w:pPr>
          </w:p>
        </w:tc>
      </w:tr>
      <w:tr>
        <w:trPr>
          <w:trHeight w:val="270"/>
        </w:trPr>
        <w:tc>
          <w:tcPr>
            <w:tcW w:w="8120" w:type="dxa"/>
            <w:vAlign w:val="bottom"/>
          </w:tcPr>
          <w:p>
            <w:pPr>
              <w:ind w:left="180"/>
              <w:spacing w:after="0"/>
              <w:rPr>
                <w:sz w:val="20"/>
                <w:szCs w:val="20"/>
                <w:color w:val="auto"/>
              </w:rPr>
            </w:pPr>
            <w:r>
              <w:rPr>
                <w:rFonts w:ascii="Arial" w:cs="Arial" w:eastAsia="Arial" w:hAnsi="Arial"/>
                <w:sz w:val="16"/>
                <w:szCs w:val="16"/>
                <w:color w:val="auto"/>
              </w:rPr>
              <w:t>Manufacturing</w:t>
            </w:r>
          </w:p>
        </w:tc>
        <w:tc>
          <w:tcPr>
            <w:tcW w:w="240" w:type="dxa"/>
            <w:vAlign w:val="bottom"/>
          </w:tcPr>
          <w:p>
            <w:pPr>
              <w:jc w:val="right"/>
              <w:ind w:right="39"/>
              <w:spacing w:after="0"/>
              <w:rPr>
                <w:sz w:val="20"/>
                <w:szCs w:val="20"/>
                <w:color w:val="auto"/>
              </w:rPr>
            </w:pPr>
            <w:r>
              <w:rPr>
                <w:rFonts w:ascii="Arial" w:cs="Arial" w:eastAsia="Arial" w:hAnsi="Arial"/>
                <w:sz w:val="16"/>
                <w:szCs w:val="16"/>
                <w:b w:val="1"/>
                <w:bCs w:val="1"/>
                <w:color w:val="auto"/>
              </w:rPr>
              <w:t>$</w:t>
            </w:r>
          </w:p>
        </w:tc>
        <w:tc>
          <w:tcPr>
            <w:tcW w:w="960" w:type="dxa"/>
            <w:vAlign w:val="bottom"/>
          </w:tcPr>
          <w:p>
            <w:pPr>
              <w:jc w:val="right"/>
              <w:ind w:right="60"/>
              <w:spacing w:after="0"/>
              <w:rPr>
                <w:sz w:val="20"/>
                <w:szCs w:val="20"/>
                <w:color w:val="auto"/>
              </w:rPr>
            </w:pPr>
            <w:r>
              <w:rPr>
                <w:rFonts w:ascii="Arial" w:cs="Arial" w:eastAsia="Arial" w:hAnsi="Arial"/>
                <w:sz w:val="16"/>
                <w:szCs w:val="16"/>
                <w:b w:val="1"/>
                <w:bCs w:val="1"/>
                <w:color w:val="auto"/>
              </w:rPr>
              <w:t>7,251</w:t>
            </w:r>
          </w:p>
        </w:tc>
        <w:tc>
          <w:tcPr>
            <w:tcW w:w="34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860" w:type="dxa"/>
            <w:vAlign w:val="bottom"/>
          </w:tcPr>
          <w:p>
            <w:pPr>
              <w:jc w:val="right"/>
              <w:ind w:right="19"/>
              <w:spacing w:after="0"/>
              <w:rPr>
                <w:sz w:val="20"/>
                <w:szCs w:val="20"/>
                <w:color w:val="auto"/>
              </w:rPr>
            </w:pPr>
            <w:r>
              <w:rPr>
                <w:rFonts w:ascii="Arial" w:cs="Arial" w:eastAsia="Arial" w:hAnsi="Arial"/>
                <w:sz w:val="16"/>
                <w:szCs w:val="16"/>
                <w:color w:val="auto"/>
              </w:rPr>
              <w:t>1,868</w:t>
            </w:r>
          </w:p>
        </w:tc>
        <w:tc>
          <w:tcPr>
            <w:tcW w:w="900" w:type="dxa"/>
            <w:vAlign w:val="bottom"/>
          </w:tcPr>
          <w:p>
            <w:pPr>
              <w:jc w:val="right"/>
              <w:ind w:right="20"/>
              <w:spacing w:after="0"/>
              <w:rPr>
                <w:sz w:val="20"/>
                <w:szCs w:val="20"/>
                <w:color w:val="auto"/>
              </w:rPr>
            </w:pPr>
            <w:r>
              <w:rPr>
                <w:rFonts w:ascii="Arial" w:cs="Arial" w:eastAsia="Arial" w:hAnsi="Arial"/>
                <w:sz w:val="16"/>
                <w:szCs w:val="16"/>
                <w:color w:val="auto"/>
              </w:rPr>
              <w:t>—</w:t>
            </w:r>
          </w:p>
        </w:tc>
      </w:tr>
      <w:tr>
        <w:trPr>
          <w:trHeight w:val="270"/>
        </w:trPr>
        <w:tc>
          <w:tcPr>
            <w:tcW w:w="8120" w:type="dxa"/>
            <w:vAlign w:val="bottom"/>
          </w:tcPr>
          <w:p>
            <w:pPr>
              <w:ind w:left="180"/>
              <w:spacing w:after="0"/>
              <w:rPr>
                <w:sz w:val="20"/>
                <w:szCs w:val="20"/>
                <w:color w:val="auto"/>
              </w:rPr>
            </w:pPr>
            <w:r>
              <w:rPr>
                <w:rFonts w:ascii="Arial" w:cs="Arial" w:eastAsia="Arial" w:hAnsi="Arial"/>
                <w:sz w:val="16"/>
                <w:szCs w:val="16"/>
                <w:color w:val="auto"/>
              </w:rPr>
              <w:t>Healthcare</w:t>
            </w:r>
          </w:p>
        </w:tc>
        <w:tc>
          <w:tcPr>
            <w:tcW w:w="240" w:type="dxa"/>
            <w:vAlign w:val="bottom"/>
          </w:tcPr>
          <w:p>
            <w:pPr>
              <w:spacing w:after="0"/>
              <w:rPr>
                <w:sz w:val="23"/>
                <w:szCs w:val="23"/>
                <w:color w:val="auto"/>
              </w:rPr>
            </w:pPr>
          </w:p>
        </w:tc>
        <w:tc>
          <w:tcPr>
            <w:tcW w:w="960" w:type="dxa"/>
            <w:vAlign w:val="bottom"/>
          </w:tcPr>
          <w:p>
            <w:pPr>
              <w:jc w:val="right"/>
              <w:ind w:right="60"/>
              <w:spacing w:after="0"/>
              <w:rPr>
                <w:sz w:val="20"/>
                <w:szCs w:val="20"/>
                <w:color w:val="auto"/>
              </w:rPr>
            </w:pPr>
            <w:r>
              <w:rPr>
                <w:rFonts w:ascii="Arial" w:cs="Arial" w:eastAsia="Arial" w:hAnsi="Arial"/>
                <w:sz w:val="16"/>
                <w:szCs w:val="16"/>
                <w:b w:val="1"/>
                <w:bCs w:val="1"/>
                <w:color w:val="auto"/>
              </w:rPr>
              <w:t>2,805</w:t>
            </w:r>
          </w:p>
        </w:tc>
        <w:tc>
          <w:tcPr>
            <w:tcW w:w="340" w:type="dxa"/>
            <w:vAlign w:val="bottom"/>
          </w:tcPr>
          <w:p>
            <w:pPr>
              <w:spacing w:after="0"/>
              <w:rPr>
                <w:sz w:val="23"/>
                <w:szCs w:val="23"/>
                <w:color w:val="auto"/>
              </w:rPr>
            </w:pPr>
          </w:p>
        </w:tc>
        <w:tc>
          <w:tcPr>
            <w:tcW w:w="860" w:type="dxa"/>
            <w:vAlign w:val="bottom"/>
          </w:tcPr>
          <w:p>
            <w:pPr>
              <w:jc w:val="right"/>
              <w:ind w:right="19"/>
              <w:spacing w:after="0"/>
              <w:rPr>
                <w:sz w:val="20"/>
                <w:szCs w:val="20"/>
                <w:color w:val="auto"/>
              </w:rPr>
            </w:pPr>
            <w:r>
              <w:rPr>
                <w:rFonts w:ascii="Arial" w:cs="Arial" w:eastAsia="Arial" w:hAnsi="Arial"/>
                <w:sz w:val="16"/>
                <w:szCs w:val="16"/>
                <w:color w:val="auto"/>
              </w:rPr>
              <w:t>2,836</w:t>
            </w:r>
          </w:p>
        </w:tc>
        <w:tc>
          <w:tcPr>
            <w:tcW w:w="900" w:type="dxa"/>
            <w:vAlign w:val="bottom"/>
          </w:tcPr>
          <w:p>
            <w:pPr>
              <w:jc w:val="right"/>
              <w:spacing w:after="0"/>
              <w:rPr>
                <w:sz w:val="20"/>
                <w:szCs w:val="20"/>
                <w:color w:val="auto"/>
              </w:rPr>
            </w:pPr>
            <w:r>
              <w:rPr>
                <w:rFonts w:ascii="Arial" w:cs="Arial" w:eastAsia="Arial" w:hAnsi="Arial"/>
                <w:sz w:val="16"/>
                <w:szCs w:val="16"/>
                <w:color w:val="auto"/>
              </w:rPr>
              <w:t>(1)</w:t>
            </w:r>
          </w:p>
        </w:tc>
      </w:tr>
      <w:tr>
        <w:trPr>
          <w:trHeight w:val="270"/>
        </w:trPr>
        <w:tc>
          <w:tcPr>
            <w:tcW w:w="8120" w:type="dxa"/>
            <w:vAlign w:val="bottom"/>
          </w:tcPr>
          <w:p>
            <w:pPr>
              <w:ind w:left="180"/>
              <w:spacing w:after="0"/>
              <w:rPr>
                <w:sz w:val="20"/>
                <w:szCs w:val="20"/>
                <w:color w:val="auto"/>
              </w:rPr>
            </w:pPr>
            <w:r>
              <w:rPr>
                <w:rFonts w:ascii="Arial" w:cs="Arial" w:eastAsia="Arial" w:hAnsi="Arial"/>
                <w:sz w:val="16"/>
                <w:szCs w:val="16"/>
                <w:color w:val="auto"/>
              </w:rPr>
              <w:t>SocialCode</w:t>
            </w:r>
          </w:p>
        </w:tc>
        <w:tc>
          <w:tcPr>
            <w:tcW w:w="240" w:type="dxa"/>
            <w:vAlign w:val="bottom"/>
          </w:tcPr>
          <w:p>
            <w:pPr>
              <w:spacing w:after="0"/>
              <w:rPr>
                <w:sz w:val="23"/>
                <w:szCs w:val="23"/>
                <w:color w:val="auto"/>
              </w:rPr>
            </w:pPr>
          </w:p>
        </w:tc>
        <w:tc>
          <w:tcPr>
            <w:tcW w:w="960" w:type="dxa"/>
            <w:vAlign w:val="bottom"/>
          </w:tcPr>
          <w:p>
            <w:pPr>
              <w:jc w:val="right"/>
              <w:ind w:right="60"/>
              <w:spacing w:after="0"/>
              <w:rPr>
                <w:sz w:val="20"/>
                <w:szCs w:val="20"/>
                <w:color w:val="auto"/>
              </w:rPr>
            </w:pPr>
            <w:r>
              <w:rPr>
                <w:rFonts w:ascii="Arial" w:cs="Arial" w:eastAsia="Arial" w:hAnsi="Arial"/>
                <w:sz w:val="16"/>
                <w:szCs w:val="16"/>
                <w:b w:val="1"/>
                <w:bCs w:val="1"/>
                <w:color w:val="auto"/>
              </w:rPr>
              <w:t>929</w:t>
            </w:r>
          </w:p>
        </w:tc>
        <w:tc>
          <w:tcPr>
            <w:tcW w:w="340" w:type="dxa"/>
            <w:vAlign w:val="bottom"/>
          </w:tcPr>
          <w:p>
            <w:pPr>
              <w:spacing w:after="0"/>
              <w:rPr>
                <w:sz w:val="23"/>
                <w:szCs w:val="23"/>
                <w:color w:val="auto"/>
              </w:rPr>
            </w:pPr>
          </w:p>
        </w:tc>
        <w:tc>
          <w:tcPr>
            <w:tcW w:w="860" w:type="dxa"/>
            <w:vAlign w:val="bottom"/>
          </w:tcPr>
          <w:p>
            <w:pPr>
              <w:jc w:val="right"/>
              <w:ind w:right="19"/>
              <w:spacing w:after="0"/>
              <w:rPr>
                <w:sz w:val="20"/>
                <w:szCs w:val="20"/>
                <w:color w:val="auto"/>
              </w:rPr>
            </w:pPr>
            <w:r>
              <w:rPr>
                <w:rFonts w:ascii="Arial" w:cs="Arial" w:eastAsia="Arial" w:hAnsi="Arial"/>
                <w:sz w:val="16"/>
                <w:szCs w:val="16"/>
                <w:color w:val="auto"/>
              </w:rPr>
              <w:t>402</w:t>
            </w:r>
          </w:p>
        </w:tc>
        <w:tc>
          <w:tcPr>
            <w:tcW w:w="900" w:type="dxa"/>
            <w:vAlign w:val="bottom"/>
          </w:tcPr>
          <w:p>
            <w:pPr>
              <w:jc w:val="right"/>
              <w:ind w:right="20"/>
              <w:spacing w:after="0"/>
              <w:rPr>
                <w:sz w:val="20"/>
                <w:szCs w:val="20"/>
                <w:color w:val="auto"/>
              </w:rPr>
            </w:pPr>
            <w:r>
              <w:rPr>
                <w:rFonts w:ascii="Arial" w:cs="Arial" w:eastAsia="Arial" w:hAnsi="Arial"/>
                <w:sz w:val="16"/>
                <w:szCs w:val="16"/>
                <w:color w:val="auto"/>
              </w:rPr>
              <w:t>—</w:t>
            </w:r>
          </w:p>
        </w:tc>
      </w:tr>
      <w:tr>
        <w:trPr>
          <w:trHeight w:val="283"/>
        </w:trPr>
        <w:tc>
          <w:tcPr>
            <w:tcW w:w="8120" w:type="dxa"/>
            <w:vAlign w:val="bottom"/>
          </w:tcPr>
          <w:p>
            <w:pPr>
              <w:ind w:left="180"/>
              <w:spacing w:after="0"/>
              <w:rPr>
                <w:sz w:val="20"/>
                <w:szCs w:val="20"/>
                <w:color w:val="auto"/>
              </w:rPr>
            </w:pPr>
            <w:r>
              <w:rPr>
                <w:rFonts w:ascii="Arial" w:cs="Arial" w:eastAsia="Arial" w:hAnsi="Arial"/>
                <w:sz w:val="16"/>
                <w:szCs w:val="16"/>
                <w:color w:val="auto"/>
              </w:rPr>
              <w:t>Other</w:t>
            </w:r>
          </w:p>
        </w:tc>
        <w:tc>
          <w:tcPr>
            <w:tcW w:w="24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jc w:val="right"/>
              <w:ind w:right="60"/>
              <w:spacing w:after="0"/>
              <w:rPr>
                <w:sz w:val="20"/>
                <w:szCs w:val="20"/>
                <w:color w:val="auto"/>
              </w:rPr>
            </w:pPr>
            <w:r>
              <w:rPr>
                <w:rFonts w:ascii="Arial" w:cs="Arial" w:eastAsia="Arial" w:hAnsi="Arial"/>
                <w:sz w:val="16"/>
                <w:szCs w:val="16"/>
                <w:b w:val="1"/>
                <w:bCs w:val="1"/>
                <w:color w:val="auto"/>
              </w:rPr>
              <w:t>1,390</w:t>
            </w:r>
          </w:p>
        </w:tc>
        <w:tc>
          <w:tcPr>
            <w:tcW w:w="34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1,062</w:t>
            </w:r>
          </w:p>
        </w:tc>
        <w:tc>
          <w:tcPr>
            <w:tcW w:w="900" w:type="dxa"/>
            <w:vAlign w:val="bottom"/>
          </w:tcPr>
          <w:p>
            <w:pPr>
              <w:jc w:val="right"/>
              <w:ind w:right="20"/>
              <w:spacing w:after="0"/>
              <w:rPr>
                <w:sz w:val="20"/>
                <w:szCs w:val="20"/>
                <w:color w:val="auto"/>
              </w:rPr>
            </w:pPr>
            <w:r>
              <w:rPr>
                <w:rFonts w:ascii="Arial" w:cs="Arial" w:eastAsia="Arial" w:hAnsi="Arial"/>
                <w:sz w:val="16"/>
                <w:szCs w:val="16"/>
                <w:color w:val="auto"/>
              </w:rPr>
              <w:t>31</w:t>
            </w:r>
          </w:p>
        </w:tc>
      </w:tr>
      <w:tr>
        <w:trPr>
          <w:trHeight w:val="264"/>
        </w:trPr>
        <w:tc>
          <w:tcPr>
            <w:tcW w:w="8120" w:type="dxa"/>
            <w:vAlign w:val="bottom"/>
          </w:tcPr>
          <w:p>
            <w:pPr>
              <w:spacing w:after="0"/>
              <w:rPr>
                <w:sz w:val="22"/>
                <w:szCs w:val="22"/>
                <w:color w:val="auto"/>
              </w:rPr>
            </w:pPr>
          </w:p>
        </w:tc>
        <w:tc>
          <w:tcPr>
            <w:tcW w:w="24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b w:val="1"/>
                <w:bCs w:val="1"/>
                <w:color w:val="auto"/>
              </w:rPr>
              <w:t>$</w:t>
            </w:r>
          </w:p>
        </w:tc>
        <w:tc>
          <w:tcPr>
            <w:tcW w:w="960" w:type="dxa"/>
            <w:vAlign w:val="bottom"/>
            <w:tcBorders>
              <w:bottom w:val="single" w:sz="8" w:color="auto"/>
            </w:tcBorders>
          </w:tcPr>
          <w:p>
            <w:pPr>
              <w:jc w:val="right"/>
              <w:ind w:right="60"/>
              <w:spacing w:after="0"/>
              <w:rPr>
                <w:sz w:val="20"/>
                <w:szCs w:val="20"/>
                <w:color w:val="auto"/>
              </w:rPr>
            </w:pPr>
            <w:r>
              <w:rPr>
                <w:rFonts w:ascii="Arial" w:cs="Arial" w:eastAsia="Arial" w:hAnsi="Arial"/>
                <w:sz w:val="16"/>
                <w:szCs w:val="16"/>
                <w:b w:val="1"/>
                <w:bCs w:val="1"/>
                <w:color w:val="auto"/>
              </w:rPr>
              <w:t>12,375</w:t>
            </w:r>
          </w:p>
        </w:tc>
        <w:tc>
          <w:tcPr>
            <w:tcW w:w="34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w:t>
            </w:r>
          </w:p>
        </w:tc>
        <w:tc>
          <w:tcPr>
            <w:tcW w:w="86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6,168</w:t>
            </w:r>
          </w:p>
        </w:tc>
        <w:tc>
          <w:tcPr>
            <w:tcW w:w="900" w:type="dxa"/>
            <w:vAlign w:val="bottom"/>
          </w:tcPr>
          <w:p>
            <w:pPr>
              <w:jc w:val="right"/>
              <w:ind w:right="20"/>
              <w:spacing w:after="0"/>
              <w:rPr>
                <w:sz w:val="20"/>
                <w:szCs w:val="20"/>
                <w:color w:val="auto"/>
              </w:rPr>
            </w:pPr>
            <w:r>
              <w:rPr>
                <w:rFonts w:ascii="Arial" w:cs="Arial" w:eastAsia="Arial" w:hAnsi="Arial"/>
                <w:sz w:val="16"/>
                <w:szCs w:val="16"/>
                <w:color w:val="auto"/>
              </w:rPr>
              <w:t>—</w:t>
            </w:r>
          </w:p>
        </w:tc>
      </w:tr>
      <w:tr>
        <w:trPr>
          <w:trHeight w:val="251"/>
        </w:trPr>
        <w:tc>
          <w:tcPr>
            <w:tcW w:w="8120" w:type="dxa"/>
            <w:vAlign w:val="bottom"/>
          </w:tcPr>
          <w:p>
            <w:pPr>
              <w:ind w:left="40"/>
              <w:spacing w:after="0"/>
              <w:rPr>
                <w:sz w:val="20"/>
                <w:szCs w:val="20"/>
                <w:color w:val="auto"/>
              </w:rPr>
            </w:pPr>
            <w:r>
              <w:rPr>
                <w:rFonts w:ascii="Arial" w:cs="Arial" w:eastAsia="Arial" w:hAnsi="Arial"/>
                <w:sz w:val="16"/>
                <w:szCs w:val="16"/>
                <w:b w:val="1"/>
                <w:bCs w:val="1"/>
                <w:color w:val="auto"/>
              </w:rPr>
              <w:t>Amortization of Intangible Assets and Impairment of Goodwill and Other Long-Lived Assets</w:t>
            </w:r>
          </w:p>
        </w:tc>
        <w:tc>
          <w:tcPr>
            <w:tcW w:w="24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900" w:type="dxa"/>
            <w:vAlign w:val="bottom"/>
          </w:tcPr>
          <w:p>
            <w:pPr>
              <w:spacing w:after="0"/>
              <w:rPr>
                <w:sz w:val="21"/>
                <w:szCs w:val="21"/>
                <w:color w:val="auto"/>
              </w:rPr>
            </w:pPr>
          </w:p>
        </w:tc>
      </w:tr>
      <w:tr>
        <w:trPr>
          <w:trHeight w:val="270"/>
        </w:trPr>
        <w:tc>
          <w:tcPr>
            <w:tcW w:w="8120" w:type="dxa"/>
            <w:vAlign w:val="bottom"/>
          </w:tcPr>
          <w:p>
            <w:pPr>
              <w:ind w:left="180"/>
              <w:spacing w:after="0"/>
              <w:rPr>
                <w:sz w:val="20"/>
                <w:szCs w:val="20"/>
                <w:color w:val="auto"/>
              </w:rPr>
            </w:pPr>
            <w:r>
              <w:rPr>
                <w:rFonts w:ascii="Arial" w:cs="Arial" w:eastAsia="Arial" w:hAnsi="Arial"/>
                <w:sz w:val="16"/>
                <w:szCs w:val="16"/>
                <w:color w:val="auto"/>
              </w:rPr>
              <w:t>Manufacturing</w:t>
            </w:r>
          </w:p>
        </w:tc>
        <w:tc>
          <w:tcPr>
            <w:tcW w:w="240" w:type="dxa"/>
            <w:vAlign w:val="bottom"/>
          </w:tcPr>
          <w:p>
            <w:pPr>
              <w:jc w:val="right"/>
              <w:ind w:right="39"/>
              <w:spacing w:after="0"/>
              <w:rPr>
                <w:sz w:val="20"/>
                <w:szCs w:val="20"/>
                <w:color w:val="auto"/>
              </w:rPr>
            </w:pPr>
            <w:r>
              <w:rPr>
                <w:rFonts w:ascii="Arial" w:cs="Arial" w:eastAsia="Arial" w:hAnsi="Arial"/>
                <w:sz w:val="16"/>
                <w:szCs w:val="16"/>
                <w:b w:val="1"/>
                <w:bCs w:val="1"/>
                <w:color w:val="auto"/>
              </w:rPr>
              <w:t>$</w:t>
            </w:r>
          </w:p>
        </w:tc>
        <w:tc>
          <w:tcPr>
            <w:tcW w:w="960" w:type="dxa"/>
            <w:vAlign w:val="bottom"/>
          </w:tcPr>
          <w:p>
            <w:pPr>
              <w:jc w:val="right"/>
              <w:ind w:right="60"/>
              <w:spacing w:after="0"/>
              <w:rPr>
                <w:sz w:val="20"/>
                <w:szCs w:val="20"/>
                <w:color w:val="auto"/>
              </w:rPr>
            </w:pPr>
            <w:r>
              <w:rPr>
                <w:rFonts w:ascii="Arial" w:cs="Arial" w:eastAsia="Arial" w:hAnsi="Arial"/>
                <w:sz w:val="16"/>
                <w:szCs w:val="16"/>
                <w:b w:val="1"/>
                <w:bCs w:val="1"/>
                <w:color w:val="auto"/>
              </w:rPr>
              <w:t>12,119</w:t>
            </w:r>
          </w:p>
        </w:tc>
        <w:tc>
          <w:tcPr>
            <w:tcW w:w="34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860" w:type="dxa"/>
            <w:vAlign w:val="bottom"/>
          </w:tcPr>
          <w:p>
            <w:pPr>
              <w:jc w:val="right"/>
              <w:ind w:right="19"/>
              <w:spacing w:after="0"/>
              <w:rPr>
                <w:sz w:val="20"/>
                <w:szCs w:val="20"/>
                <w:color w:val="auto"/>
              </w:rPr>
            </w:pPr>
            <w:r>
              <w:rPr>
                <w:rFonts w:ascii="Arial" w:cs="Arial" w:eastAsia="Arial" w:hAnsi="Arial"/>
                <w:sz w:val="16"/>
                <w:szCs w:val="16"/>
                <w:color w:val="auto"/>
              </w:rPr>
              <w:t>6,319</w:t>
            </w:r>
          </w:p>
        </w:tc>
        <w:tc>
          <w:tcPr>
            <w:tcW w:w="900" w:type="dxa"/>
            <w:vAlign w:val="bottom"/>
          </w:tcPr>
          <w:p>
            <w:pPr>
              <w:jc w:val="right"/>
              <w:ind w:right="20"/>
              <w:spacing w:after="0"/>
              <w:rPr>
                <w:sz w:val="20"/>
                <w:szCs w:val="20"/>
                <w:color w:val="auto"/>
              </w:rPr>
            </w:pPr>
            <w:r>
              <w:rPr>
                <w:rFonts w:ascii="Arial" w:cs="Arial" w:eastAsia="Arial" w:hAnsi="Arial"/>
                <w:sz w:val="16"/>
                <w:szCs w:val="16"/>
                <w:color w:val="auto"/>
              </w:rPr>
              <w:t>92</w:t>
            </w:r>
          </w:p>
        </w:tc>
      </w:tr>
      <w:tr>
        <w:trPr>
          <w:trHeight w:val="270"/>
        </w:trPr>
        <w:tc>
          <w:tcPr>
            <w:tcW w:w="8120" w:type="dxa"/>
            <w:vAlign w:val="bottom"/>
          </w:tcPr>
          <w:p>
            <w:pPr>
              <w:ind w:left="180"/>
              <w:spacing w:after="0"/>
              <w:rPr>
                <w:sz w:val="20"/>
                <w:szCs w:val="20"/>
                <w:color w:val="auto"/>
              </w:rPr>
            </w:pPr>
            <w:r>
              <w:rPr>
                <w:rFonts w:ascii="Arial" w:cs="Arial" w:eastAsia="Arial" w:hAnsi="Arial"/>
                <w:sz w:val="16"/>
                <w:szCs w:val="16"/>
                <w:color w:val="auto"/>
              </w:rPr>
              <w:t>Healthcare</w:t>
            </w:r>
          </w:p>
        </w:tc>
        <w:tc>
          <w:tcPr>
            <w:tcW w:w="240" w:type="dxa"/>
            <w:vAlign w:val="bottom"/>
          </w:tcPr>
          <w:p>
            <w:pPr>
              <w:spacing w:after="0"/>
              <w:rPr>
                <w:sz w:val="23"/>
                <w:szCs w:val="23"/>
                <w:color w:val="auto"/>
              </w:rPr>
            </w:pPr>
          </w:p>
        </w:tc>
        <w:tc>
          <w:tcPr>
            <w:tcW w:w="960" w:type="dxa"/>
            <w:vAlign w:val="bottom"/>
          </w:tcPr>
          <w:p>
            <w:pPr>
              <w:jc w:val="right"/>
              <w:ind w:right="60"/>
              <w:spacing w:after="0"/>
              <w:rPr>
                <w:sz w:val="20"/>
                <w:szCs w:val="20"/>
                <w:color w:val="auto"/>
              </w:rPr>
            </w:pPr>
            <w:r>
              <w:rPr>
                <w:rFonts w:ascii="Arial" w:cs="Arial" w:eastAsia="Arial" w:hAnsi="Arial"/>
                <w:sz w:val="16"/>
                <w:szCs w:val="16"/>
                <w:b w:val="1"/>
                <w:bCs w:val="1"/>
                <w:color w:val="auto"/>
              </w:rPr>
              <w:t>6,701</w:t>
            </w:r>
          </w:p>
        </w:tc>
        <w:tc>
          <w:tcPr>
            <w:tcW w:w="340" w:type="dxa"/>
            <w:vAlign w:val="bottom"/>
          </w:tcPr>
          <w:p>
            <w:pPr>
              <w:spacing w:after="0"/>
              <w:rPr>
                <w:sz w:val="23"/>
                <w:szCs w:val="23"/>
                <w:color w:val="auto"/>
              </w:rPr>
            </w:pPr>
          </w:p>
        </w:tc>
        <w:tc>
          <w:tcPr>
            <w:tcW w:w="860" w:type="dxa"/>
            <w:vAlign w:val="bottom"/>
          </w:tcPr>
          <w:p>
            <w:pPr>
              <w:jc w:val="right"/>
              <w:ind w:right="19"/>
              <w:spacing w:after="0"/>
              <w:rPr>
                <w:sz w:val="20"/>
                <w:szCs w:val="20"/>
                <w:color w:val="auto"/>
              </w:rPr>
            </w:pPr>
            <w:r>
              <w:rPr>
                <w:rFonts w:ascii="Arial" w:cs="Arial" w:eastAsia="Arial" w:hAnsi="Arial"/>
                <w:sz w:val="16"/>
                <w:szCs w:val="16"/>
                <w:color w:val="auto"/>
              </w:rPr>
              <w:t>6,875</w:t>
            </w:r>
          </w:p>
        </w:tc>
        <w:tc>
          <w:tcPr>
            <w:tcW w:w="900" w:type="dxa"/>
            <w:vAlign w:val="bottom"/>
          </w:tcPr>
          <w:p>
            <w:pPr>
              <w:jc w:val="right"/>
              <w:spacing w:after="0"/>
              <w:rPr>
                <w:sz w:val="20"/>
                <w:szCs w:val="20"/>
                <w:color w:val="auto"/>
              </w:rPr>
            </w:pPr>
            <w:r>
              <w:rPr>
                <w:rFonts w:ascii="Arial" w:cs="Arial" w:eastAsia="Arial" w:hAnsi="Arial"/>
                <w:sz w:val="16"/>
                <w:szCs w:val="16"/>
                <w:color w:val="auto"/>
              </w:rPr>
              <w:t>(3)</w:t>
            </w:r>
          </w:p>
        </w:tc>
      </w:tr>
      <w:tr>
        <w:trPr>
          <w:trHeight w:val="270"/>
        </w:trPr>
        <w:tc>
          <w:tcPr>
            <w:tcW w:w="8120" w:type="dxa"/>
            <w:vAlign w:val="bottom"/>
          </w:tcPr>
          <w:p>
            <w:pPr>
              <w:ind w:left="180"/>
              <w:spacing w:after="0"/>
              <w:rPr>
                <w:sz w:val="20"/>
                <w:szCs w:val="20"/>
                <w:color w:val="auto"/>
              </w:rPr>
            </w:pPr>
            <w:r>
              <w:rPr>
                <w:rFonts w:ascii="Arial" w:cs="Arial" w:eastAsia="Arial" w:hAnsi="Arial"/>
                <w:sz w:val="16"/>
                <w:szCs w:val="16"/>
                <w:color w:val="auto"/>
              </w:rPr>
              <w:t>SocialCode</w:t>
            </w:r>
          </w:p>
        </w:tc>
        <w:tc>
          <w:tcPr>
            <w:tcW w:w="240" w:type="dxa"/>
            <w:vAlign w:val="bottom"/>
          </w:tcPr>
          <w:p>
            <w:pPr>
              <w:spacing w:after="0"/>
              <w:rPr>
                <w:sz w:val="23"/>
                <w:szCs w:val="23"/>
                <w:color w:val="auto"/>
              </w:rPr>
            </w:pPr>
          </w:p>
        </w:tc>
        <w:tc>
          <w:tcPr>
            <w:tcW w:w="960" w:type="dxa"/>
            <w:vAlign w:val="bottom"/>
          </w:tcPr>
          <w:p>
            <w:pPr>
              <w:jc w:val="right"/>
              <w:ind w:right="60"/>
              <w:spacing w:after="0"/>
              <w:rPr>
                <w:sz w:val="20"/>
                <w:szCs w:val="20"/>
                <w:color w:val="auto"/>
              </w:rPr>
            </w:pPr>
            <w:r>
              <w:rPr>
                <w:rFonts w:ascii="Arial" w:cs="Arial" w:eastAsia="Arial" w:hAnsi="Arial"/>
                <w:sz w:val="16"/>
                <w:szCs w:val="16"/>
                <w:b w:val="1"/>
                <w:bCs w:val="1"/>
                <w:color w:val="auto"/>
              </w:rPr>
              <w:t>—</w:t>
            </w:r>
          </w:p>
        </w:tc>
        <w:tc>
          <w:tcPr>
            <w:tcW w:w="340" w:type="dxa"/>
            <w:vAlign w:val="bottom"/>
          </w:tcPr>
          <w:p>
            <w:pPr>
              <w:spacing w:after="0"/>
              <w:rPr>
                <w:sz w:val="23"/>
                <w:szCs w:val="23"/>
                <w:color w:val="auto"/>
              </w:rPr>
            </w:pPr>
          </w:p>
        </w:tc>
        <w:tc>
          <w:tcPr>
            <w:tcW w:w="86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900" w:type="dxa"/>
            <w:vAlign w:val="bottom"/>
          </w:tcPr>
          <w:p>
            <w:pPr>
              <w:jc w:val="right"/>
              <w:ind w:right="20"/>
              <w:spacing w:after="0"/>
              <w:rPr>
                <w:sz w:val="20"/>
                <w:szCs w:val="20"/>
                <w:color w:val="auto"/>
              </w:rPr>
            </w:pPr>
            <w:r>
              <w:rPr>
                <w:rFonts w:ascii="Arial" w:cs="Arial" w:eastAsia="Arial" w:hAnsi="Arial"/>
                <w:sz w:val="16"/>
                <w:szCs w:val="16"/>
                <w:color w:val="auto"/>
              </w:rPr>
              <w:t>—</w:t>
            </w:r>
          </w:p>
        </w:tc>
      </w:tr>
      <w:tr>
        <w:trPr>
          <w:trHeight w:val="283"/>
        </w:trPr>
        <w:tc>
          <w:tcPr>
            <w:tcW w:w="8120" w:type="dxa"/>
            <w:vAlign w:val="bottom"/>
          </w:tcPr>
          <w:p>
            <w:pPr>
              <w:ind w:left="180"/>
              <w:spacing w:after="0"/>
              <w:rPr>
                <w:sz w:val="20"/>
                <w:szCs w:val="20"/>
                <w:color w:val="auto"/>
              </w:rPr>
            </w:pPr>
            <w:r>
              <w:rPr>
                <w:rFonts w:ascii="Arial" w:cs="Arial" w:eastAsia="Arial" w:hAnsi="Arial"/>
                <w:sz w:val="16"/>
                <w:szCs w:val="16"/>
                <w:color w:val="auto"/>
              </w:rPr>
              <w:t>Other</w:t>
            </w:r>
          </w:p>
        </w:tc>
        <w:tc>
          <w:tcPr>
            <w:tcW w:w="24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jc w:val="right"/>
              <w:ind w:right="60"/>
              <w:spacing w:after="0"/>
              <w:rPr>
                <w:sz w:val="20"/>
                <w:szCs w:val="20"/>
                <w:color w:val="auto"/>
              </w:rPr>
            </w:pPr>
            <w:r>
              <w:rPr>
                <w:rFonts w:ascii="Arial" w:cs="Arial" w:eastAsia="Arial" w:hAnsi="Arial"/>
                <w:sz w:val="16"/>
                <w:szCs w:val="16"/>
                <w:b w:val="1"/>
                <w:bCs w:val="1"/>
                <w:color w:val="auto"/>
              </w:rPr>
              <w:t>1,687</w:t>
            </w:r>
          </w:p>
        </w:tc>
        <w:tc>
          <w:tcPr>
            <w:tcW w:w="34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2,918</w:t>
            </w:r>
          </w:p>
        </w:tc>
        <w:tc>
          <w:tcPr>
            <w:tcW w:w="900" w:type="dxa"/>
            <w:vAlign w:val="bottom"/>
          </w:tcPr>
          <w:p>
            <w:pPr>
              <w:jc w:val="right"/>
              <w:spacing w:after="0"/>
              <w:rPr>
                <w:sz w:val="20"/>
                <w:szCs w:val="20"/>
                <w:color w:val="auto"/>
              </w:rPr>
            </w:pPr>
            <w:r>
              <w:rPr>
                <w:rFonts w:ascii="Arial" w:cs="Arial" w:eastAsia="Arial" w:hAnsi="Arial"/>
                <w:sz w:val="16"/>
                <w:szCs w:val="16"/>
                <w:color w:val="auto"/>
              </w:rPr>
              <w:t>(42)</w:t>
            </w:r>
          </w:p>
        </w:tc>
      </w:tr>
      <w:tr>
        <w:trPr>
          <w:trHeight w:val="264"/>
        </w:trPr>
        <w:tc>
          <w:tcPr>
            <w:tcW w:w="8120" w:type="dxa"/>
            <w:vAlign w:val="bottom"/>
          </w:tcPr>
          <w:p>
            <w:pPr>
              <w:spacing w:after="0"/>
              <w:rPr>
                <w:sz w:val="22"/>
                <w:szCs w:val="22"/>
                <w:color w:val="auto"/>
              </w:rPr>
            </w:pPr>
          </w:p>
        </w:tc>
        <w:tc>
          <w:tcPr>
            <w:tcW w:w="24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b w:val="1"/>
                <w:bCs w:val="1"/>
                <w:color w:val="auto"/>
              </w:rPr>
              <w:t>$</w:t>
            </w:r>
          </w:p>
        </w:tc>
        <w:tc>
          <w:tcPr>
            <w:tcW w:w="960" w:type="dxa"/>
            <w:vAlign w:val="bottom"/>
            <w:tcBorders>
              <w:bottom w:val="single" w:sz="8" w:color="auto"/>
            </w:tcBorders>
          </w:tcPr>
          <w:p>
            <w:pPr>
              <w:jc w:val="right"/>
              <w:ind w:right="60"/>
              <w:spacing w:after="0"/>
              <w:rPr>
                <w:sz w:val="20"/>
                <w:szCs w:val="20"/>
                <w:color w:val="auto"/>
              </w:rPr>
            </w:pPr>
            <w:r>
              <w:rPr>
                <w:rFonts w:ascii="Arial" w:cs="Arial" w:eastAsia="Arial" w:hAnsi="Arial"/>
                <w:sz w:val="16"/>
                <w:szCs w:val="16"/>
                <w:b w:val="1"/>
                <w:bCs w:val="1"/>
                <w:color w:val="auto"/>
              </w:rPr>
              <w:t>20,507</w:t>
            </w:r>
          </w:p>
        </w:tc>
        <w:tc>
          <w:tcPr>
            <w:tcW w:w="34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w:t>
            </w:r>
          </w:p>
        </w:tc>
        <w:tc>
          <w:tcPr>
            <w:tcW w:w="86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16,112</w:t>
            </w:r>
          </w:p>
        </w:tc>
        <w:tc>
          <w:tcPr>
            <w:tcW w:w="900" w:type="dxa"/>
            <w:vAlign w:val="bottom"/>
          </w:tcPr>
          <w:p>
            <w:pPr>
              <w:jc w:val="right"/>
              <w:ind w:right="20"/>
              <w:spacing w:after="0"/>
              <w:rPr>
                <w:sz w:val="20"/>
                <w:szCs w:val="20"/>
                <w:color w:val="auto"/>
              </w:rPr>
            </w:pPr>
            <w:r>
              <w:rPr>
                <w:rFonts w:ascii="Arial" w:cs="Arial" w:eastAsia="Arial" w:hAnsi="Arial"/>
                <w:sz w:val="16"/>
                <w:szCs w:val="16"/>
                <w:color w:val="auto"/>
              </w:rPr>
              <w:t>27</w:t>
            </w:r>
          </w:p>
        </w:tc>
      </w:tr>
      <w:tr>
        <w:trPr>
          <w:trHeight w:val="251"/>
        </w:trPr>
        <w:tc>
          <w:tcPr>
            <w:tcW w:w="8120" w:type="dxa"/>
            <w:vAlign w:val="bottom"/>
          </w:tcPr>
          <w:p>
            <w:pPr>
              <w:ind w:left="40"/>
              <w:spacing w:after="0"/>
              <w:rPr>
                <w:sz w:val="20"/>
                <w:szCs w:val="20"/>
                <w:color w:val="auto"/>
              </w:rPr>
            </w:pPr>
            <w:r>
              <w:rPr>
                <w:rFonts w:ascii="Arial" w:cs="Arial" w:eastAsia="Arial" w:hAnsi="Arial"/>
                <w:sz w:val="16"/>
                <w:szCs w:val="16"/>
                <w:b w:val="1"/>
                <w:bCs w:val="1"/>
                <w:color w:val="auto"/>
              </w:rPr>
              <w:t>Pension Expense</w:t>
            </w:r>
          </w:p>
        </w:tc>
        <w:tc>
          <w:tcPr>
            <w:tcW w:w="24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900" w:type="dxa"/>
            <w:vAlign w:val="bottom"/>
          </w:tcPr>
          <w:p>
            <w:pPr>
              <w:spacing w:after="0"/>
              <w:rPr>
                <w:sz w:val="21"/>
                <w:szCs w:val="21"/>
                <w:color w:val="auto"/>
              </w:rPr>
            </w:pPr>
          </w:p>
        </w:tc>
      </w:tr>
      <w:tr>
        <w:trPr>
          <w:trHeight w:val="270"/>
        </w:trPr>
        <w:tc>
          <w:tcPr>
            <w:tcW w:w="8120" w:type="dxa"/>
            <w:vAlign w:val="bottom"/>
          </w:tcPr>
          <w:p>
            <w:pPr>
              <w:ind w:left="180"/>
              <w:spacing w:after="0"/>
              <w:rPr>
                <w:sz w:val="20"/>
                <w:szCs w:val="20"/>
                <w:color w:val="auto"/>
              </w:rPr>
            </w:pPr>
            <w:r>
              <w:rPr>
                <w:rFonts w:ascii="Arial" w:cs="Arial" w:eastAsia="Arial" w:hAnsi="Arial"/>
                <w:sz w:val="16"/>
                <w:szCs w:val="16"/>
                <w:color w:val="auto"/>
              </w:rPr>
              <w:t>Manufacturing</w:t>
            </w:r>
          </w:p>
        </w:tc>
        <w:tc>
          <w:tcPr>
            <w:tcW w:w="240" w:type="dxa"/>
            <w:vAlign w:val="bottom"/>
          </w:tcPr>
          <w:p>
            <w:pPr>
              <w:jc w:val="right"/>
              <w:ind w:right="39"/>
              <w:spacing w:after="0"/>
              <w:rPr>
                <w:sz w:val="20"/>
                <w:szCs w:val="20"/>
                <w:color w:val="auto"/>
              </w:rPr>
            </w:pPr>
            <w:r>
              <w:rPr>
                <w:rFonts w:ascii="Arial" w:cs="Arial" w:eastAsia="Arial" w:hAnsi="Arial"/>
                <w:sz w:val="16"/>
                <w:szCs w:val="16"/>
                <w:b w:val="1"/>
                <w:bCs w:val="1"/>
                <w:color w:val="auto"/>
              </w:rPr>
              <w:t>$</w:t>
            </w:r>
          </w:p>
        </w:tc>
        <w:tc>
          <w:tcPr>
            <w:tcW w:w="960" w:type="dxa"/>
            <w:vAlign w:val="bottom"/>
          </w:tcPr>
          <w:p>
            <w:pPr>
              <w:jc w:val="right"/>
              <w:ind w:right="60"/>
              <w:spacing w:after="0"/>
              <w:rPr>
                <w:sz w:val="20"/>
                <w:szCs w:val="20"/>
                <w:color w:val="auto"/>
              </w:rPr>
            </w:pPr>
            <w:r>
              <w:rPr>
                <w:rFonts w:ascii="Arial" w:cs="Arial" w:eastAsia="Arial" w:hAnsi="Arial"/>
                <w:sz w:val="16"/>
                <w:szCs w:val="16"/>
                <w:b w:val="1"/>
                <w:bCs w:val="1"/>
                <w:color w:val="auto"/>
              </w:rPr>
              <w:t>86</w:t>
            </w:r>
          </w:p>
        </w:tc>
        <w:tc>
          <w:tcPr>
            <w:tcW w:w="34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860" w:type="dxa"/>
            <w:vAlign w:val="bottom"/>
          </w:tcPr>
          <w:p>
            <w:pPr>
              <w:jc w:val="right"/>
              <w:ind w:right="19"/>
              <w:spacing w:after="0"/>
              <w:rPr>
                <w:sz w:val="20"/>
                <w:szCs w:val="20"/>
                <w:color w:val="auto"/>
              </w:rPr>
            </w:pPr>
            <w:r>
              <w:rPr>
                <w:rFonts w:ascii="Arial" w:cs="Arial" w:eastAsia="Arial" w:hAnsi="Arial"/>
                <w:sz w:val="16"/>
                <w:szCs w:val="16"/>
                <w:color w:val="auto"/>
              </w:rPr>
              <w:t>73</w:t>
            </w:r>
          </w:p>
        </w:tc>
        <w:tc>
          <w:tcPr>
            <w:tcW w:w="900" w:type="dxa"/>
            <w:vAlign w:val="bottom"/>
          </w:tcPr>
          <w:p>
            <w:pPr>
              <w:jc w:val="right"/>
              <w:ind w:right="20"/>
              <w:spacing w:after="0"/>
              <w:rPr>
                <w:sz w:val="20"/>
                <w:szCs w:val="20"/>
                <w:color w:val="auto"/>
              </w:rPr>
            </w:pPr>
            <w:r>
              <w:rPr>
                <w:rFonts w:ascii="Arial" w:cs="Arial" w:eastAsia="Arial" w:hAnsi="Arial"/>
                <w:sz w:val="16"/>
                <w:szCs w:val="16"/>
                <w:color w:val="auto"/>
              </w:rPr>
              <w:t>18</w:t>
            </w:r>
          </w:p>
        </w:tc>
      </w:tr>
      <w:tr>
        <w:trPr>
          <w:trHeight w:val="270"/>
        </w:trPr>
        <w:tc>
          <w:tcPr>
            <w:tcW w:w="8120" w:type="dxa"/>
            <w:vAlign w:val="bottom"/>
          </w:tcPr>
          <w:p>
            <w:pPr>
              <w:ind w:left="180"/>
              <w:spacing w:after="0"/>
              <w:rPr>
                <w:sz w:val="20"/>
                <w:szCs w:val="20"/>
                <w:color w:val="auto"/>
              </w:rPr>
            </w:pPr>
            <w:r>
              <w:rPr>
                <w:rFonts w:ascii="Arial" w:cs="Arial" w:eastAsia="Arial" w:hAnsi="Arial"/>
                <w:sz w:val="16"/>
                <w:szCs w:val="16"/>
                <w:color w:val="auto"/>
              </w:rPr>
              <w:t>Healthcare</w:t>
            </w:r>
          </w:p>
        </w:tc>
        <w:tc>
          <w:tcPr>
            <w:tcW w:w="240" w:type="dxa"/>
            <w:vAlign w:val="bottom"/>
          </w:tcPr>
          <w:p>
            <w:pPr>
              <w:spacing w:after="0"/>
              <w:rPr>
                <w:sz w:val="23"/>
                <w:szCs w:val="23"/>
                <w:color w:val="auto"/>
              </w:rPr>
            </w:pPr>
          </w:p>
        </w:tc>
        <w:tc>
          <w:tcPr>
            <w:tcW w:w="960" w:type="dxa"/>
            <w:vAlign w:val="bottom"/>
          </w:tcPr>
          <w:p>
            <w:pPr>
              <w:jc w:val="right"/>
              <w:ind w:right="60"/>
              <w:spacing w:after="0"/>
              <w:rPr>
                <w:sz w:val="20"/>
                <w:szCs w:val="20"/>
                <w:color w:val="auto"/>
              </w:rPr>
            </w:pPr>
            <w:r>
              <w:rPr>
                <w:rFonts w:ascii="Arial" w:cs="Arial" w:eastAsia="Arial" w:hAnsi="Arial"/>
                <w:sz w:val="16"/>
                <w:szCs w:val="16"/>
                <w:b w:val="1"/>
                <w:bCs w:val="1"/>
                <w:color w:val="auto"/>
              </w:rPr>
              <w:t>—</w:t>
            </w:r>
          </w:p>
        </w:tc>
        <w:tc>
          <w:tcPr>
            <w:tcW w:w="340" w:type="dxa"/>
            <w:vAlign w:val="bottom"/>
          </w:tcPr>
          <w:p>
            <w:pPr>
              <w:spacing w:after="0"/>
              <w:rPr>
                <w:sz w:val="23"/>
                <w:szCs w:val="23"/>
                <w:color w:val="auto"/>
              </w:rPr>
            </w:pPr>
          </w:p>
        </w:tc>
        <w:tc>
          <w:tcPr>
            <w:tcW w:w="86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900" w:type="dxa"/>
            <w:vAlign w:val="bottom"/>
          </w:tcPr>
          <w:p>
            <w:pPr>
              <w:jc w:val="right"/>
              <w:ind w:right="20"/>
              <w:spacing w:after="0"/>
              <w:rPr>
                <w:sz w:val="20"/>
                <w:szCs w:val="20"/>
                <w:color w:val="auto"/>
              </w:rPr>
            </w:pPr>
            <w:r>
              <w:rPr>
                <w:rFonts w:ascii="Arial" w:cs="Arial" w:eastAsia="Arial" w:hAnsi="Arial"/>
                <w:sz w:val="16"/>
                <w:szCs w:val="16"/>
                <w:color w:val="auto"/>
              </w:rPr>
              <w:t>—</w:t>
            </w:r>
          </w:p>
        </w:tc>
      </w:tr>
      <w:tr>
        <w:trPr>
          <w:trHeight w:val="270"/>
        </w:trPr>
        <w:tc>
          <w:tcPr>
            <w:tcW w:w="8120" w:type="dxa"/>
            <w:vAlign w:val="bottom"/>
          </w:tcPr>
          <w:p>
            <w:pPr>
              <w:ind w:left="180"/>
              <w:spacing w:after="0"/>
              <w:rPr>
                <w:sz w:val="20"/>
                <w:szCs w:val="20"/>
                <w:color w:val="auto"/>
              </w:rPr>
            </w:pPr>
            <w:r>
              <w:rPr>
                <w:rFonts w:ascii="Arial" w:cs="Arial" w:eastAsia="Arial" w:hAnsi="Arial"/>
                <w:sz w:val="16"/>
                <w:szCs w:val="16"/>
                <w:color w:val="auto"/>
              </w:rPr>
              <w:t>SocialCode</w:t>
            </w:r>
          </w:p>
        </w:tc>
        <w:tc>
          <w:tcPr>
            <w:tcW w:w="240" w:type="dxa"/>
            <w:vAlign w:val="bottom"/>
          </w:tcPr>
          <w:p>
            <w:pPr>
              <w:spacing w:after="0"/>
              <w:rPr>
                <w:sz w:val="23"/>
                <w:szCs w:val="23"/>
                <w:color w:val="auto"/>
              </w:rPr>
            </w:pPr>
          </w:p>
        </w:tc>
        <w:tc>
          <w:tcPr>
            <w:tcW w:w="960" w:type="dxa"/>
            <w:vAlign w:val="bottom"/>
          </w:tcPr>
          <w:p>
            <w:pPr>
              <w:jc w:val="right"/>
              <w:ind w:right="60"/>
              <w:spacing w:after="0"/>
              <w:rPr>
                <w:sz w:val="20"/>
                <w:szCs w:val="20"/>
                <w:color w:val="auto"/>
              </w:rPr>
            </w:pPr>
            <w:r>
              <w:rPr>
                <w:rFonts w:ascii="Arial" w:cs="Arial" w:eastAsia="Arial" w:hAnsi="Arial"/>
                <w:sz w:val="16"/>
                <w:szCs w:val="16"/>
                <w:b w:val="1"/>
                <w:bCs w:val="1"/>
                <w:color w:val="auto"/>
              </w:rPr>
              <w:t>541</w:t>
            </w:r>
          </w:p>
        </w:tc>
        <w:tc>
          <w:tcPr>
            <w:tcW w:w="340" w:type="dxa"/>
            <w:vAlign w:val="bottom"/>
          </w:tcPr>
          <w:p>
            <w:pPr>
              <w:spacing w:after="0"/>
              <w:rPr>
                <w:sz w:val="23"/>
                <w:szCs w:val="23"/>
                <w:color w:val="auto"/>
              </w:rPr>
            </w:pPr>
          </w:p>
        </w:tc>
        <w:tc>
          <w:tcPr>
            <w:tcW w:w="860" w:type="dxa"/>
            <w:vAlign w:val="bottom"/>
          </w:tcPr>
          <w:p>
            <w:pPr>
              <w:jc w:val="right"/>
              <w:ind w:right="19"/>
              <w:spacing w:after="0"/>
              <w:rPr>
                <w:sz w:val="20"/>
                <w:szCs w:val="20"/>
                <w:color w:val="auto"/>
              </w:rPr>
            </w:pPr>
            <w:r>
              <w:rPr>
                <w:rFonts w:ascii="Arial" w:cs="Arial" w:eastAsia="Arial" w:hAnsi="Arial"/>
                <w:sz w:val="16"/>
                <w:szCs w:val="16"/>
                <w:color w:val="auto"/>
              </w:rPr>
              <w:t>270</w:t>
            </w:r>
          </w:p>
        </w:tc>
        <w:tc>
          <w:tcPr>
            <w:tcW w:w="900" w:type="dxa"/>
            <w:vAlign w:val="bottom"/>
          </w:tcPr>
          <w:p>
            <w:pPr>
              <w:jc w:val="right"/>
              <w:ind w:right="20"/>
              <w:spacing w:after="0"/>
              <w:rPr>
                <w:sz w:val="20"/>
                <w:szCs w:val="20"/>
                <w:color w:val="auto"/>
              </w:rPr>
            </w:pPr>
            <w:r>
              <w:rPr>
                <w:rFonts w:ascii="Arial" w:cs="Arial" w:eastAsia="Arial" w:hAnsi="Arial"/>
                <w:sz w:val="16"/>
                <w:szCs w:val="16"/>
                <w:color w:val="auto"/>
              </w:rPr>
              <w:t>—</w:t>
            </w:r>
          </w:p>
        </w:tc>
      </w:tr>
      <w:tr>
        <w:trPr>
          <w:trHeight w:val="283"/>
        </w:trPr>
        <w:tc>
          <w:tcPr>
            <w:tcW w:w="8120" w:type="dxa"/>
            <w:vAlign w:val="bottom"/>
          </w:tcPr>
          <w:p>
            <w:pPr>
              <w:ind w:left="180"/>
              <w:spacing w:after="0"/>
              <w:rPr>
                <w:sz w:val="20"/>
                <w:szCs w:val="20"/>
                <w:color w:val="auto"/>
              </w:rPr>
            </w:pPr>
            <w:r>
              <w:rPr>
                <w:rFonts w:ascii="Arial" w:cs="Arial" w:eastAsia="Arial" w:hAnsi="Arial"/>
                <w:sz w:val="16"/>
                <w:szCs w:val="16"/>
                <w:color w:val="auto"/>
              </w:rPr>
              <w:t>Other</w:t>
            </w:r>
          </w:p>
        </w:tc>
        <w:tc>
          <w:tcPr>
            <w:tcW w:w="24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jc w:val="right"/>
              <w:ind w:right="60"/>
              <w:spacing w:after="0"/>
              <w:rPr>
                <w:sz w:val="20"/>
                <w:szCs w:val="20"/>
                <w:color w:val="auto"/>
              </w:rPr>
            </w:pPr>
            <w:r>
              <w:rPr>
                <w:rFonts w:ascii="Arial" w:cs="Arial" w:eastAsia="Arial" w:hAnsi="Arial"/>
                <w:sz w:val="16"/>
                <w:szCs w:val="16"/>
                <w:b w:val="1"/>
                <w:bCs w:val="1"/>
                <w:color w:val="auto"/>
              </w:rPr>
              <w:t>491</w:t>
            </w:r>
          </w:p>
        </w:tc>
        <w:tc>
          <w:tcPr>
            <w:tcW w:w="34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621</w:t>
            </w:r>
          </w:p>
        </w:tc>
        <w:tc>
          <w:tcPr>
            <w:tcW w:w="900" w:type="dxa"/>
            <w:vAlign w:val="bottom"/>
          </w:tcPr>
          <w:p>
            <w:pPr>
              <w:jc w:val="right"/>
              <w:spacing w:after="0"/>
              <w:rPr>
                <w:sz w:val="20"/>
                <w:szCs w:val="20"/>
                <w:color w:val="auto"/>
              </w:rPr>
            </w:pPr>
            <w:r>
              <w:rPr>
                <w:rFonts w:ascii="Arial" w:cs="Arial" w:eastAsia="Arial" w:hAnsi="Arial"/>
                <w:sz w:val="16"/>
                <w:szCs w:val="16"/>
                <w:color w:val="auto"/>
              </w:rPr>
              <w:t>(21)</w:t>
            </w:r>
          </w:p>
        </w:tc>
      </w:tr>
      <w:tr>
        <w:trPr>
          <w:trHeight w:val="264"/>
        </w:trPr>
        <w:tc>
          <w:tcPr>
            <w:tcW w:w="8120" w:type="dxa"/>
            <w:vAlign w:val="bottom"/>
          </w:tcPr>
          <w:p>
            <w:pPr>
              <w:spacing w:after="0"/>
              <w:rPr>
                <w:sz w:val="22"/>
                <w:szCs w:val="22"/>
                <w:color w:val="auto"/>
              </w:rPr>
            </w:pPr>
          </w:p>
        </w:tc>
        <w:tc>
          <w:tcPr>
            <w:tcW w:w="24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b w:val="1"/>
                <w:bCs w:val="1"/>
                <w:color w:val="auto"/>
              </w:rPr>
              <w:t>$</w:t>
            </w:r>
          </w:p>
        </w:tc>
        <w:tc>
          <w:tcPr>
            <w:tcW w:w="960" w:type="dxa"/>
            <w:vAlign w:val="bottom"/>
            <w:tcBorders>
              <w:bottom w:val="single" w:sz="8" w:color="auto"/>
            </w:tcBorders>
          </w:tcPr>
          <w:p>
            <w:pPr>
              <w:jc w:val="right"/>
              <w:ind w:right="60"/>
              <w:spacing w:after="0"/>
              <w:rPr>
                <w:sz w:val="20"/>
                <w:szCs w:val="20"/>
                <w:color w:val="auto"/>
              </w:rPr>
            </w:pPr>
            <w:r>
              <w:rPr>
                <w:rFonts w:ascii="Arial" w:cs="Arial" w:eastAsia="Arial" w:hAnsi="Arial"/>
                <w:sz w:val="16"/>
                <w:szCs w:val="16"/>
                <w:b w:val="1"/>
                <w:bCs w:val="1"/>
                <w:color w:val="auto"/>
              </w:rPr>
              <w:t>1,118</w:t>
            </w:r>
          </w:p>
        </w:tc>
        <w:tc>
          <w:tcPr>
            <w:tcW w:w="34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w:t>
            </w:r>
          </w:p>
        </w:tc>
        <w:tc>
          <w:tcPr>
            <w:tcW w:w="86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964</w:t>
            </w:r>
          </w:p>
        </w:tc>
        <w:tc>
          <w:tcPr>
            <w:tcW w:w="900" w:type="dxa"/>
            <w:vAlign w:val="bottom"/>
          </w:tcPr>
          <w:p>
            <w:pPr>
              <w:jc w:val="right"/>
              <w:ind w:right="20"/>
              <w:spacing w:after="0"/>
              <w:rPr>
                <w:sz w:val="20"/>
                <w:szCs w:val="20"/>
                <w:color w:val="auto"/>
              </w:rPr>
            </w:pPr>
            <w:r>
              <w:rPr>
                <w:rFonts w:ascii="Arial" w:cs="Arial" w:eastAsia="Arial" w:hAnsi="Arial"/>
                <w:sz w:val="16"/>
                <w:szCs w:val="16"/>
                <w:color w:val="auto"/>
              </w:rPr>
              <w:t>16</w:t>
            </w:r>
          </w:p>
        </w:tc>
      </w:tr>
    </w:tbl>
    <w:p>
      <w:pPr>
        <w:spacing w:after="0" w:line="148" w:lineRule="exact"/>
        <w:rPr>
          <w:sz w:val="20"/>
          <w:szCs w:val="20"/>
          <w:color w:val="auto"/>
        </w:rPr>
      </w:pPr>
    </w:p>
    <w:p>
      <w:pPr>
        <w:ind w:right="200"/>
        <w:spacing w:after="0" w:line="227" w:lineRule="auto"/>
        <w:rPr>
          <w:sz w:val="20"/>
          <w:szCs w:val="20"/>
          <w:color w:val="auto"/>
        </w:rPr>
      </w:pPr>
      <w:r>
        <w:rPr>
          <w:rFonts w:ascii="Arial" w:cs="Arial" w:eastAsia="Arial" w:hAnsi="Arial"/>
          <w:sz w:val="18"/>
          <w:szCs w:val="18"/>
          <w:color w:val="auto"/>
        </w:rPr>
        <w:t>Manufacturing includes three businesses: Dekko, a manufacturer of electrical workspace solutions, architectural lighting and electrical components and assemblies acquired in November 2015; Joyce/Dayton Corp., a Dayton, OH-based manufacturer of screw jacks and other linear motion systems; and Forney, a global supplier of products and systems that control and monitor combustion processes in electric utility and industrial applications.</w:t>
      </w:r>
    </w:p>
    <w:p>
      <w:pPr>
        <w:spacing w:after="0" w:line="135" w:lineRule="exact"/>
        <w:rPr>
          <w:sz w:val="20"/>
          <w:szCs w:val="20"/>
          <w:color w:val="auto"/>
        </w:rPr>
      </w:pPr>
    </w:p>
    <w:p>
      <w:pPr>
        <w:jc w:val="both"/>
        <w:ind w:right="480"/>
        <w:spacing w:after="0" w:line="229" w:lineRule="auto"/>
        <w:rPr>
          <w:sz w:val="20"/>
          <w:szCs w:val="20"/>
          <w:color w:val="auto"/>
        </w:rPr>
      </w:pPr>
      <w:r>
        <w:rPr>
          <w:rFonts w:ascii="Arial" w:cs="Arial" w:eastAsia="Arial" w:hAnsi="Arial"/>
          <w:sz w:val="18"/>
          <w:szCs w:val="18"/>
          <w:color w:val="auto"/>
        </w:rPr>
        <w:t>Manufacturing revenues and operating income increased in 2016 due primarily to the Dekko acquisition. Also, in September 2016, Dekko acquired Electri-Cable Assemblies (ECA), a Shelton, CT-based manufacturer of power, data and electrical solutions for the office furniture industry.</w:t>
      </w:r>
    </w:p>
    <w:p>
      <w:pPr>
        <w:spacing w:after="0" w:line="137" w:lineRule="exact"/>
        <w:rPr>
          <w:sz w:val="20"/>
          <w:szCs w:val="20"/>
          <w:color w:val="auto"/>
        </w:rPr>
      </w:pPr>
    </w:p>
    <w:p>
      <w:pPr>
        <w:ind w:right="180"/>
        <w:spacing w:after="0" w:line="223" w:lineRule="auto"/>
        <w:rPr>
          <w:sz w:val="20"/>
          <w:szCs w:val="20"/>
          <w:color w:val="auto"/>
        </w:rPr>
      </w:pPr>
      <w:r>
        <w:rPr>
          <w:rFonts w:ascii="Arial" w:cs="Arial" w:eastAsia="Arial" w:hAnsi="Arial"/>
          <w:sz w:val="18"/>
          <w:szCs w:val="18"/>
          <w:color w:val="auto"/>
        </w:rPr>
        <w:t>The Graham Healthcare Group (GHG) provides home health and hospice services in six states. In June 2016, the Company acquired the outstanding 20% redeemable noncontrolling interest in Residential Healthcare (Residential). Also in June 2016, Celtic Healthcare (Celtic) and Residential combined their business operations and the Company now owns 90% of the combined entity, known as GHG. The Company incurred approximately $2.0 million in expenses in conjunction with these transactions in the second quarter of 2016. Healthcare revenues increased 8% in 2016 due primarily to patient growth for both home health and hospice. Operating results were down in 2016, largely due to the expenses incurred related to the transactions in the second quarter of 2016 and an increase in information systems and other integration costs.</w:t>
      </w:r>
    </w:p>
    <w:p>
      <w:pPr>
        <w:spacing w:after="0" w:line="139" w:lineRule="exact"/>
        <w:rPr>
          <w:sz w:val="20"/>
          <w:szCs w:val="20"/>
          <w:color w:val="auto"/>
        </w:rPr>
      </w:pPr>
    </w:p>
    <w:p>
      <w:pPr>
        <w:ind w:right="460"/>
        <w:spacing w:after="0" w:line="227" w:lineRule="auto"/>
        <w:rPr>
          <w:sz w:val="20"/>
          <w:szCs w:val="20"/>
          <w:color w:val="auto"/>
        </w:rPr>
      </w:pPr>
      <w:r>
        <w:rPr>
          <w:rFonts w:ascii="Arial" w:cs="Arial" w:eastAsia="Arial" w:hAnsi="Arial"/>
          <w:sz w:val="18"/>
          <w:szCs w:val="18"/>
          <w:color w:val="auto"/>
        </w:rPr>
        <w:t>In June 2016, Residential and a Michigan hospital formed a joint venture to provide home health services to West Michigan patients. Residential manages the operations of the joint venture and holds a 40% interest. The pro rata operating results of the joint venture are included in the Company’s equity in earnings of affiliates. In connection with this transaction, the Company recorded a pre-tax gain of $3.2 million in the second quarter of 2016 that is included in other non-operating income.</w:t>
      </w:r>
    </w:p>
    <w:p>
      <w:pPr>
        <w:sectPr>
          <w:pgSz w:w="11900" w:h="16838" w:orient="portrait"/>
          <w:cols w:equalWidth="0" w:num="1">
            <w:col w:w="11420"/>
          </w:cols>
          <w:pgMar w:left="240" w:top="724" w:right="239" w:bottom="0" w:gutter="0" w:footer="0" w:header="0"/>
        </w:sectPr>
      </w:pPr>
    </w:p>
    <w:p>
      <w:pPr>
        <w:spacing w:after="0" w:line="200" w:lineRule="exact"/>
        <w:rPr>
          <w:sz w:val="20"/>
          <w:szCs w:val="20"/>
          <w:color w:val="auto"/>
        </w:rPr>
      </w:pPr>
    </w:p>
    <w:p>
      <w:pPr>
        <w:spacing w:after="0" w:line="300"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58</w:t>
      </w:r>
    </w:p>
    <w:p>
      <w:pPr>
        <w:sectPr>
          <w:pgSz w:w="11900" w:h="16838" w:orient="portrait"/>
          <w:cols w:equalWidth="0" w:num="1">
            <w:col w:w="11420"/>
          </w:cols>
          <w:pgMar w:left="240" w:top="724" w:right="239" w:bottom="0" w:gutter="0" w:footer="0" w:header="0"/>
          <w:type w:val="continuous"/>
        </w:sectPr>
      </w:pPr>
    </w:p>
    <w:bookmarkStart w:id="60" w:name="page61"/>
    <w:bookmarkEnd w:id="60"/>
    <w:p>
      <w:pPr>
        <w:ind w:right="220"/>
        <w:spacing w:after="0" w:line="227" w:lineRule="auto"/>
        <w:rPr>
          <w:sz w:val="20"/>
          <w:szCs w:val="20"/>
          <w:color w:val="auto"/>
        </w:rPr>
      </w:pPr>
      <w:r>
        <w:rPr>
          <w:rFonts w:ascii="Arial" w:cs="Arial" w:eastAsia="Arial" w:hAnsi="Arial"/>
          <w:sz w:val="18"/>
          <w:szCs w:val="18"/>
          <w:color w:val="auto"/>
        </w:rPr>
        <w:t>In January 2015, Celtic and Allegheny Health Network formed a joint venture to combine each other’s home health and hospice assets in the western Pennsylvania region. Celtic manages the operations of the joint venture for a fee and holds a 40% interest. The pro rata operating results of the joint venture are included in the Company’s equity in earnings of affiliates. In connection with this transaction, the Company recorded a noncash pre-tax gain of $6.0 million in the first quarter of 2015 that is included in other non-operating income.</w:t>
      </w:r>
    </w:p>
    <w:p>
      <w:pPr>
        <w:spacing w:after="0" w:line="135" w:lineRule="exact"/>
        <w:rPr>
          <w:sz w:val="20"/>
          <w:szCs w:val="20"/>
          <w:color w:val="auto"/>
        </w:rPr>
      </w:pPr>
    </w:p>
    <w:p>
      <w:pPr>
        <w:ind w:right="80"/>
        <w:spacing w:after="0" w:line="227" w:lineRule="auto"/>
        <w:rPr>
          <w:sz w:val="20"/>
          <w:szCs w:val="20"/>
          <w:color w:val="auto"/>
        </w:rPr>
      </w:pPr>
      <w:r>
        <w:rPr>
          <w:rFonts w:ascii="Arial" w:cs="Arial" w:eastAsia="Arial" w:hAnsi="Arial"/>
          <w:sz w:val="18"/>
          <w:szCs w:val="18"/>
          <w:color w:val="auto"/>
        </w:rPr>
        <w:t>SocialCode is a provider of marketing solutions on social, mobile and video platforms. SocialCode revenues increased 28% in 2016, due to continued growth in digital advertising service revenues. SocialCode reported operating losses of $12.4 million in 2016; these results include incentive accruals of $12.8 million related to phantom equity appreciation plans. The expense amount related to these plans for 2015 was $2.0 million. As of December 31, 2016, the accrual balance related to these plans is $22.0 million.</w:t>
      </w:r>
    </w:p>
    <w:p>
      <w:pPr>
        <w:spacing w:after="0" w:line="135" w:lineRule="exact"/>
        <w:rPr>
          <w:sz w:val="20"/>
          <w:szCs w:val="20"/>
          <w:color w:val="auto"/>
        </w:rPr>
      </w:pPr>
    </w:p>
    <w:p>
      <w:pPr>
        <w:jc w:val="both"/>
        <w:ind w:right="300"/>
        <w:spacing w:after="0" w:line="229" w:lineRule="auto"/>
        <w:rPr>
          <w:sz w:val="20"/>
          <w:szCs w:val="20"/>
          <w:color w:val="auto"/>
        </w:rPr>
      </w:pPr>
      <w:r>
        <w:rPr>
          <w:rFonts w:ascii="Arial" w:cs="Arial" w:eastAsia="Arial" w:hAnsi="Arial"/>
          <w:sz w:val="18"/>
          <w:szCs w:val="18"/>
          <w:color w:val="auto"/>
        </w:rPr>
        <w:t>Other businesses also includes Slate and Foreign Policy, which publish online and print magazines and websites; and two investment stage businesses, Panoply and CyberVista. Losses from each of these businesses in 2016 adversely affected operating results. In addition, Slate recorded a goodwill impairment charge of $1.6 million in the fourth quarter of 2016.</w:t>
      </w:r>
    </w:p>
    <w:p>
      <w:pPr>
        <w:spacing w:after="0" w:line="137" w:lineRule="exact"/>
        <w:rPr>
          <w:sz w:val="20"/>
          <w:szCs w:val="20"/>
          <w:color w:val="auto"/>
        </w:rPr>
      </w:pPr>
    </w:p>
    <w:p>
      <w:pPr>
        <w:ind w:right="40"/>
        <w:spacing w:after="0" w:line="229" w:lineRule="auto"/>
        <w:rPr>
          <w:sz w:val="20"/>
          <w:szCs w:val="20"/>
          <w:color w:val="auto"/>
        </w:rPr>
      </w:pPr>
      <w:r>
        <w:rPr>
          <w:rFonts w:ascii="Arial" w:cs="Arial" w:eastAsia="Arial" w:hAnsi="Arial"/>
          <w:sz w:val="18"/>
          <w:szCs w:val="18"/>
          <w:color w:val="auto"/>
        </w:rPr>
        <w:t>In November 2015, the Company announced that Trove, a digital innovation team, would largely be integrated into SocialCode and that Trove’s existing offerings would be discontinued. In connection with this action, the Company recorded a $2.8 million goodwill impairment charge at Trove in the fourth quarter of 2015, along with $0.5 million in severance costs.</w:t>
      </w:r>
    </w:p>
    <w:p>
      <w:pPr>
        <w:spacing w:after="0" w:line="137" w:lineRule="exact"/>
        <w:rPr>
          <w:sz w:val="20"/>
          <w:szCs w:val="20"/>
          <w:color w:val="auto"/>
        </w:rPr>
      </w:pPr>
    </w:p>
    <w:p>
      <w:pPr>
        <w:ind w:right="600"/>
        <w:spacing w:after="0" w:line="235" w:lineRule="auto"/>
        <w:rPr>
          <w:sz w:val="20"/>
          <w:szCs w:val="20"/>
          <w:color w:val="auto"/>
        </w:rPr>
      </w:pPr>
      <w:r>
        <w:rPr>
          <w:rFonts w:ascii="Arial" w:cs="Arial" w:eastAsia="Arial" w:hAnsi="Arial"/>
          <w:sz w:val="18"/>
          <w:szCs w:val="18"/>
          <w:color w:val="auto"/>
        </w:rPr>
        <w:t>In the second quarter of 2015, the Company sold The Root, an online magazine; the related gain on disposition is included in other non-operating expense, net.</w:t>
      </w:r>
    </w:p>
    <w:p>
      <w:pPr>
        <w:spacing w:after="0" w:line="113" w:lineRule="exact"/>
        <w:rPr>
          <w:sz w:val="20"/>
          <w:szCs w:val="20"/>
          <w:color w:val="auto"/>
        </w:rPr>
      </w:pPr>
    </w:p>
    <w:p>
      <w:pPr>
        <w:ind w:right="140"/>
        <w:spacing w:after="0" w:line="238" w:lineRule="auto"/>
        <w:rPr>
          <w:sz w:val="20"/>
          <w:szCs w:val="20"/>
          <w:color w:val="auto"/>
        </w:rPr>
      </w:pPr>
      <w:r>
        <w:rPr>
          <w:rFonts w:ascii="Arial" w:cs="Arial" w:eastAsia="Arial" w:hAnsi="Arial"/>
          <w:sz w:val="18"/>
          <w:szCs w:val="18"/>
          <w:b w:val="1"/>
          <w:bCs w:val="1"/>
          <w:color w:val="auto"/>
        </w:rPr>
        <w:t xml:space="preserve">Corporate Office. </w:t>
      </w:r>
      <w:r>
        <w:rPr>
          <w:rFonts w:ascii="Arial" w:cs="Arial" w:eastAsia="Arial" w:hAnsi="Arial"/>
          <w:sz w:val="18"/>
          <w:szCs w:val="18"/>
          <w:color w:val="auto"/>
        </w:rPr>
        <w:t>Corporate office includes the expenses of the Company’s corporate office, the pension credit for the Company’s traditional</w:t>
      </w:r>
      <w:r>
        <w:rPr>
          <w:rFonts w:ascii="Arial" w:cs="Arial" w:eastAsia="Arial" w:hAnsi="Arial"/>
          <w:sz w:val="18"/>
          <w:szCs w:val="18"/>
          <w:b w:val="1"/>
          <w:bCs w:val="1"/>
          <w:color w:val="auto"/>
        </w:rPr>
        <w:t xml:space="preserve"> </w:t>
      </w:r>
      <w:r>
        <w:rPr>
          <w:rFonts w:ascii="Arial" w:cs="Arial" w:eastAsia="Arial" w:hAnsi="Arial"/>
          <w:sz w:val="18"/>
          <w:szCs w:val="18"/>
          <w:color w:val="auto"/>
        </w:rPr>
        <w:t>defined benefit plan and certain continuing obligations related to prior business dispositions. In the fourth quarter of 2016, the Company recorded an $18.0 million gain related to a bulk lump sum pension program offering.</w:t>
      </w:r>
    </w:p>
    <w:p>
      <w:pPr>
        <w:spacing w:after="0" w:line="136" w:lineRule="exact"/>
        <w:rPr>
          <w:sz w:val="20"/>
          <w:szCs w:val="20"/>
          <w:color w:val="auto"/>
        </w:rPr>
      </w:pPr>
    </w:p>
    <w:p>
      <w:pPr>
        <w:ind w:right="200"/>
        <w:spacing w:after="0" w:line="227" w:lineRule="auto"/>
        <w:rPr>
          <w:sz w:val="20"/>
          <w:szCs w:val="20"/>
          <w:color w:val="auto"/>
        </w:rPr>
      </w:pPr>
      <w:r>
        <w:rPr>
          <w:rFonts w:ascii="Arial" w:cs="Arial" w:eastAsia="Arial" w:hAnsi="Arial"/>
          <w:sz w:val="18"/>
          <w:szCs w:val="18"/>
          <w:color w:val="auto"/>
        </w:rPr>
        <w:t>In the fourth quarter of 2015, the Company recorded $6.0 million in incremental stock compensation expense due to the modification of restricted stock awards and implemented a Special Incentive Program that resulted in expense of $0.9 million, which was funded from the assets of the Company’s pension plan. In the third quarter of 2015, the Company recorded $18.8 million in incremental stock option expense, due to stock option modifications that resulted from the Cable ONE spin-off.</w:t>
      </w:r>
    </w:p>
    <w:p>
      <w:pPr>
        <w:spacing w:after="0" w:line="135" w:lineRule="exact"/>
        <w:rPr>
          <w:sz w:val="20"/>
          <w:szCs w:val="20"/>
          <w:color w:val="auto"/>
        </w:rPr>
      </w:pPr>
    </w:p>
    <w:p>
      <w:pPr>
        <w:jc w:val="both"/>
        <w:ind w:right="40"/>
        <w:spacing w:after="0" w:line="235" w:lineRule="auto"/>
        <w:rPr>
          <w:sz w:val="20"/>
          <w:szCs w:val="20"/>
          <w:color w:val="auto"/>
        </w:rPr>
      </w:pPr>
      <w:r>
        <w:rPr>
          <w:rFonts w:ascii="Arial" w:cs="Arial" w:eastAsia="Arial" w:hAnsi="Arial"/>
          <w:sz w:val="18"/>
          <w:szCs w:val="18"/>
          <w:color w:val="auto"/>
        </w:rPr>
        <w:t>Excluding the pension gain and other pension incentive expense, the total pension credit for the Company’s traditional defined benefit plan was $64.1 million and $83.2 million for 2016 and 2015, respectively.</w:t>
      </w:r>
    </w:p>
    <w:p>
      <w:pPr>
        <w:spacing w:after="0" w:line="135" w:lineRule="exact"/>
        <w:rPr>
          <w:sz w:val="20"/>
          <w:szCs w:val="20"/>
          <w:color w:val="auto"/>
        </w:rPr>
      </w:pPr>
    </w:p>
    <w:p>
      <w:pPr>
        <w:jc w:val="both"/>
        <w:ind w:right="20"/>
        <w:spacing w:after="0" w:line="235" w:lineRule="auto"/>
        <w:rPr>
          <w:sz w:val="20"/>
          <w:szCs w:val="20"/>
          <w:color w:val="auto"/>
        </w:rPr>
      </w:pPr>
      <w:r>
        <w:rPr>
          <w:rFonts w:ascii="Arial" w:cs="Arial" w:eastAsia="Arial" w:hAnsi="Arial"/>
          <w:sz w:val="18"/>
          <w:szCs w:val="18"/>
          <w:color w:val="auto"/>
        </w:rPr>
        <w:t>Excluding the pension credit and incremental stock compensation expense in 2015, corporate office expenses declined in 2016 due primarily to lower compensation costs.</w:t>
      </w:r>
    </w:p>
    <w:p>
      <w:pPr>
        <w:spacing w:after="0" w:line="113" w:lineRule="exact"/>
        <w:rPr>
          <w:sz w:val="20"/>
          <w:szCs w:val="20"/>
          <w:color w:val="auto"/>
        </w:rPr>
      </w:pPr>
    </w:p>
    <w:p>
      <w:pPr>
        <w:jc w:val="both"/>
        <w:ind w:right="20"/>
        <w:spacing w:after="0" w:line="233" w:lineRule="auto"/>
        <w:rPr>
          <w:sz w:val="20"/>
          <w:szCs w:val="20"/>
          <w:color w:val="auto"/>
        </w:rPr>
      </w:pPr>
      <w:r>
        <w:rPr>
          <w:rFonts w:ascii="Arial" w:cs="Arial" w:eastAsia="Arial" w:hAnsi="Arial"/>
          <w:sz w:val="18"/>
          <w:szCs w:val="18"/>
          <w:b w:val="1"/>
          <w:bCs w:val="1"/>
          <w:color w:val="auto"/>
        </w:rPr>
        <w:t xml:space="preserve">Equity in (Losses) Earnings of Affiliates. </w:t>
      </w:r>
      <w:r>
        <w:rPr>
          <w:rFonts w:ascii="Arial" w:cs="Arial" w:eastAsia="Arial" w:hAnsi="Arial"/>
          <w:sz w:val="18"/>
          <w:szCs w:val="18"/>
          <w:color w:val="auto"/>
        </w:rPr>
        <w:t>At December 31, 2016, the Company held interests in a number of home health and hospice joint</w:t>
      </w:r>
      <w:r>
        <w:rPr>
          <w:rFonts w:ascii="Arial" w:cs="Arial" w:eastAsia="Arial" w:hAnsi="Arial"/>
          <w:sz w:val="18"/>
          <w:szCs w:val="18"/>
          <w:b w:val="1"/>
          <w:bCs w:val="1"/>
          <w:color w:val="auto"/>
        </w:rPr>
        <w:t xml:space="preserve"> </w:t>
      </w:r>
      <w:r>
        <w:rPr>
          <w:rFonts w:ascii="Arial" w:cs="Arial" w:eastAsia="Arial" w:hAnsi="Arial"/>
          <w:sz w:val="18"/>
          <w:szCs w:val="18"/>
          <w:color w:val="auto"/>
        </w:rPr>
        <w:t>ventures, and interests in several other affiliates. The company recorded equity in losses of affiliates of $7.9 million for 2016, compared to $ 0.7 million in 2015. In the fourth quarter of 2016, the Company recorded an $8.4 million write-down on its investment in HomeHero, a company that managed an online senior home care marketplace.</w:t>
      </w:r>
    </w:p>
    <w:p>
      <w:pPr>
        <w:spacing w:after="0" w:line="115" w:lineRule="exact"/>
        <w:rPr>
          <w:sz w:val="20"/>
          <w:szCs w:val="20"/>
          <w:color w:val="auto"/>
        </w:rPr>
      </w:pPr>
    </w:p>
    <w:p>
      <w:pPr>
        <w:ind w:right="100"/>
        <w:spacing w:after="0" w:line="256" w:lineRule="auto"/>
        <w:rPr>
          <w:sz w:val="20"/>
          <w:szCs w:val="20"/>
          <w:color w:val="auto"/>
        </w:rPr>
      </w:pPr>
      <w:r>
        <w:rPr>
          <w:rFonts w:ascii="Arial" w:cs="Arial" w:eastAsia="Arial" w:hAnsi="Arial"/>
          <w:sz w:val="18"/>
          <w:szCs w:val="18"/>
          <w:b w:val="1"/>
          <w:bCs w:val="1"/>
          <w:color w:val="auto"/>
        </w:rPr>
        <w:t xml:space="preserve">Other Non-Operating (Expense) Income. </w:t>
      </w:r>
      <w:r>
        <w:rPr>
          <w:rFonts w:ascii="Arial" w:cs="Arial" w:eastAsia="Arial" w:hAnsi="Arial"/>
          <w:sz w:val="18"/>
          <w:szCs w:val="18"/>
          <w:color w:val="auto"/>
        </w:rPr>
        <w:t>The Company recorded total other non-operating expense, net, of $12.6 million in 2016, compared</w:t>
      </w:r>
      <w:r>
        <w:rPr>
          <w:rFonts w:ascii="Arial" w:cs="Arial" w:eastAsia="Arial" w:hAnsi="Arial"/>
          <w:sz w:val="18"/>
          <w:szCs w:val="18"/>
          <w:b w:val="1"/>
          <w:bCs w:val="1"/>
          <w:color w:val="auto"/>
        </w:rPr>
        <w:t xml:space="preserve"> </w:t>
      </w:r>
      <w:r>
        <w:rPr>
          <w:rFonts w:ascii="Arial" w:cs="Arial" w:eastAsia="Arial" w:hAnsi="Arial"/>
          <w:sz w:val="18"/>
          <w:szCs w:val="18"/>
          <w:color w:val="auto"/>
        </w:rPr>
        <w:t>to $8.6 million in 2015.</w:t>
      </w:r>
    </w:p>
    <w:p>
      <w:pPr>
        <w:spacing w:after="0" w:line="121" w:lineRule="exact"/>
        <w:rPr>
          <w:sz w:val="20"/>
          <w:szCs w:val="20"/>
          <w:color w:val="auto"/>
        </w:rPr>
      </w:pPr>
    </w:p>
    <w:p>
      <w:pPr>
        <w:ind w:right="40"/>
        <w:spacing w:after="0" w:line="224" w:lineRule="auto"/>
        <w:rPr>
          <w:sz w:val="20"/>
          <w:szCs w:val="20"/>
          <w:color w:val="auto"/>
        </w:rPr>
      </w:pPr>
      <w:r>
        <w:rPr>
          <w:rFonts w:ascii="Arial" w:cs="Arial" w:eastAsia="Arial" w:hAnsi="Arial"/>
          <w:sz w:val="18"/>
          <w:szCs w:val="18"/>
          <w:color w:val="auto"/>
        </w:rPr>
        <w:t>The 2016 non-operating expense, net, included $39.9 million in foreign currency losses; $29.4 million in cost method investment write-downs; and $1.8 million in net losses on the sales of marketable securities, partially offset by a $34.1 million gain on the sale of land; an $18.9 million gain on the sale of a business; a $3.2 million gain on the Residential joint venture transaction and other items. The 2015 non-operating expense, net, included $23.3 million in losses from the sales of businesses, $15.6 million in unrealized foreign currency losses and other items, offset by a $21.4 million gain on the sale of land from Robinson Terminal, a $6.0 million gain on the formation of a Celtic joint venture and a $4.8 million increase to the gain from the 2014 sale of Classified Ventures.</w:t>
      </w:r>
    </w:p>
    <w:p>
      <w:pPr>
        <w:spacing w:after="0" w:line="1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Net Interest Expense. </w:t>
      </w:r>
      <w:r>
        <w:rPr>
          <w:rFonts w:ascii="Arial" w:cs="Arial" w:eastAsia="Arial" w:hAnsi="Arial"/>
          <w:sz w:val="18"/>
          <w:szCs w:val="18"/>
          <w:color w:val="auto"/>
        </w:rPr>
        <w:t>The Company incurred net interest expense of $32.3 million in 2016, compared to $30.7 million in 2015. At</w:t>
      </w:r>
    </w:p>
    <w:p>
      <w:pPr>
        <w:spacing w:after="0" w:line="4" w:lineRule="exact"/>
        <w:rPr>
          <w:sz w:val="20"/>
          <w:szCs w:val="20"/>
          <w:color w:val="auto"/>
        </w:rPr>
      </w:pPr>
    </w:p>
    <w:p>
      <w:pPr>
        <w:spacing w:after="0" w:line="235" w:lineRule="auto"/>
        <w:rPr>
          <w:sz w:val="20"/>
          <w:szCs w:val="20"/>
          <w:color w:val="auto"/>
        </w:rPr>
      </w:pPr>
      <w:r>
        <w:rPr>
          <w:rFonts w:ascii="Arial" w:cs="Arial" w:eastAsia="Arial" w:hAnsi="Arial"/>
          <w:sz w:val="18"/>
          <w:szCs w:val="18"/>
          <w:color w:val="auto"/>
        </w:rPr>
        <w:t>December 31, 2016, the Company had $491.8 million in borrowings outstanding at an average interest rate of 6.3%; at December 31, 2015, the Company had $399.8 million in borrowings outstanding at an average interest rate of 7.2%.</w:t>
      </w:r>
    </w:p>
    <w:p>
      <w:pPr>
        <w:spacing w:after="0" w:line="200" w:lineRule="exact"/>
        <w:rPr>
          <w:sz w:val="20"/>
          <w:szCs w:val="20"/>
          <w:color w:val="auto"/>
        </w:rPr>
      </w:pPr>
    </w:p>
    <w:p>
      <w:pPr>
        <w:spacing w:after="0" w:line="30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59</w:t>
      </w:r>
    </w:p>
    <w:p>
      <w:pPr>
        <w:sectPr>
          <w:pgSz w:w="11900" w:h="16838" w:orient="portrait"/>
          <w:cols w:equalWidth="0" w:num="1">
            <w:col w:w="11420"/>
          </w:cols>
          <w:pgMar w:left="240" w:top="746" w:right="239" w:bottom="1440" w:gutter="0" w:footer="0" w:header="0"/>
        </w:sectPr>
      </w:pPr>
    </w:p>
    <w:bookmarkStart w:id="61" w:name="page62"/>
    <w:bookmarkEnd w:id="61"/>
    <w:p>
      <w:pPr>
        <w:ind w:right="180"/>
        <w:spacing w:after="0" w:line="235" w:lineRule="auto"/>
        <w:rPr>
          <w:sz w:val="20"/>
          <w:szCs w:val="20"/>
          <w:color w:val="auto"/>
        </w:rPr>
      </w:pPr>
      <w:r>
        <w:rPr>
          <w:rFonts w:ascii="Arial" w:cs="Arial" w:eastAsia="Arial" w:hAnsi="Arial"/>
          <w:sz w:val="18"/>
          <w:szCs w:val="18"/>
          <w:color w:val="auto"/>
        </w:rPr>
        <w:t>In July 2016, a Kaplan U.K. company entered into a four-year loan agreement for a £75 million borrowing. The overall effective interest rate is 2.01%, taking into account an interest rate swap agreement the Company entered into on the same date as the borrowing.</w:t>
      </w:r>
    </w:p>
    <w:p>
      <w:pPr>
        <w:spacing w:after="0" w:line="113" w:lineRule="exact"/>
        <w:rPr>
          <w:sz w:val="20"/>
          <w:szCs w:val="20"/>
          <w:color w:val="auto"/>
        </w:rPr>
      </w:pPr>
    </w:p>
    <w:p>
      <w:pPr>
        <w:ind w:right="20"/>
        <w:spacing w:after="0" w:line="233" w:lineRule="auto"/>
        <w:rPr>
          <w:sz w:val="20"/>
          <w:szCs w:val="20"/>
          <w:color w:val="auto"/>
        </w:rPr>
      </w:pPr>
      <w:r>
        <w:rPr>
          <w:rFonts w:ascii="Arial" w:cs="Arial" w:eastAsia="Arial" w:hAnsi="Arial"/>
          <w:sz w:val="18"/>
          <w:szCs w:val="18"/>
          <w:b w:val="1"/>
          <w:bCs w:val="1"/>
          <w:color w:val="auto"/>
        </w:rPr>
        <w:t xml:space="preserve">Provision for Income Taxes. </w:t>
      </w:r>
      <w:r>
        <w:rPr>
          <w:rFonts w:ascii="Arial" w:cs="Arial" w:eastAsia="Arial" w:hAnsi="Arial"/>
          <w:sz w:val="18"/>
          <w:szCs w:val="18"/>
          <w:color w:val="auto"/>
        </w:rPr>
        <w:t>The Company’s effective tax rate for 2016 was 32.4%. In the third quarter of 2016, a net nonrecurring $8.3</w:t>
      </w:r>
      <w:r>
        <w:rPr>
          <w:rFonts w:ascii="Arial" w:cs="Arial" w:eastAsia="Arial" w:hAnsi="Arial"/>
          <w:sz w:val="18"/>
          <w:szCs w:val="18"/>
          <w:b w:val="1"/>
          <w:bCs w:val="1"/>
          <w:color w:val="auto"/>
        </w:rPr>
        <w:t xml:space="preserve"> </w:t>
      </w:r>
      <w:r>
        <w:rPr>
          <w:rFonts w:ascii="Arial" w:cs="Arial" w:eastAsia="Arial" w:hAnsi="Arial"/>
          <w:sz w:val="18"/>
          <w:szCs w:val="18"/>
          <w:color w:val="auto"/>
        </w:rPr>
        <w:t>million deferred tax benefit related to Kaplan’s international operations was recorded. In the second quarter of 2016, the Company benefited from a favorable $5.6 million out of period deferred tax adjustment related to the KHE goodwill impairment recorded in the third quarter of 2015. Excluding the effect of these items, the effective tax rate in 2016 was 37.9%.</w:t>
      </w:r>
    </w:p>
    <w:p>
      <w:pPr>
        <w:spacing w:after="0" w:line="137" w:lineRule="exact"/>
        <w:rPr>
          <w:sz w:val="20"/>
          <w:szCs w:val="20"/>
          <w:color w:val="auto"/>
        </w:rPr>
      </w:pPr>
    </w:p>
    <w:p>
      <w:pPr>
        <w:ind w:right="100"/>
        <w:spacing w:after="0" w:line="229" w:lineRule="auto"/>
        <w:rPr>
          <w:sz w:val="20"/>
          <w:szCs w:val="20"/>
          <w:color w:val="auto"/>
        </w:rPr>
      </w:pPr>
      <w:r>
        <w:rPr>
          <w:rFonts w:ascii="Arial" w:cs="Arial" w:eastAsia="Arial" w:hAnsi="Arial"/>
          <w:sz w:val="18"/>
          <w:szCs w:val="18"/>
          <w:color w:val="auto"/>
        </w:rPr>
        <w:t>The Company recorded a tax provision on the pre-tax loss from continuing operations in 2015, as a large portion of the goodwill impairment charges and the goodwill included in the loss on the KHE Campuses sale were permanent differences not deductible for income tax purposes. Excluding the effect of these permanent differences, the effective tax rate for continuing operations in 2015 was 38.1%.</w:t>
      </w:r>
    </w:p>
    <w:p>
      <w:pPr>
        <w:spacing w:after="0" w:line="115" w:lineRule="exact"/>
        <w:rPr>
          <w:sz w:val="20"/>
          <w:szCs w:val="20"/>
          <w:color w:val="auto"/>
        </w:rPr>
      </w:pPr>
    </w:p>
    <w:p>
      <w:pPr>
        <w:ind w:right="200"/>
        <w:spacing w:after="0" w:line="256" w:lineRule="auto"/>
        <w:rPr>
          <w:sz w:val="20"/>
          <w:szCs w:val="20"/>
          <w:color w:val="auto"/>
        </w:rPr>
      </w:pPr>
      <w:r>
        <w:rPr>
          <w:rFonts w:ascii="Arial" w:cs="Arial" w:eastAsia="Arial" w:hAnsi="Arial"/>
          <w:sz w:val="18"/>
          <w:szCs w:val="18"/>
          <w:b w:val="1"/>
          <w:bCs w:val="1"/>
          <w:color w:val="auto"/>
        </w:rPr>
        <w:t xml:space="preserve">Discontinued Operations. </w:t>
      </w:r>
      <w:r>
        <w:rPr>
          <w:rFonts w:ascii="Arial" w:cs="Arial" w:eastAsia="Arial" w:hAnsi="Arial"/>
          <w:sz w:val="18"/>
          <w:szCs w:val="18"/>
          <w:color w:val="auto"/>
        </w:rPr>
        <w:t>In 2015, the Company completed the spin-off of Cable ONE as an independent, publicly traded company and the</w:t>
      </w:r>
      <w:r>
        <w:rPr>
          <w:rFonts w:ascii="Arial" w:cs="Arial" w:eastAsia="Arial" w:hAnsi="Arial"/>
          <w:sz w:val="18"/>
          <w:szCs w:val="18"/>
          <w:b w:val="1"/>
          <w:bCs w:val="1"/>
          <w:color w:val="auto"/>
        </w:rPr>
        <w:t xml:space="preserve"> </w:t>
      </w:r>
      <w:r>
        <w:rPr>
          <w:rFonts w:ascii="Arial" w:cs="Arial" w:eastAsia="Arial" w:hAnsi="Arial"/>
          <w:sz w:val="18"/>
          <w:szCs w:val="18"/>
          <w:color w:val="auto"/>
        </w:rPr>
        <w:t>sale of a school in China that was previously part of Kaplan International.</w:t>
      </w:r>
    </w:p>
    <w:p>
      <w:pPr>
        <w:spacing w:after="0" w:line="121" w:lineRule="exact"/>
        <w:rPr>
          <w:sz w:val="20"/>
          <w:szCs w:val="20"/>
          <w:color w:val="auto"/>
        </w:rPr>
      </w:pPr>
    </w:p>
    <w:p>
      <w:pPr>
        <w:ind w:right="220"/>
        <w:spacing w:after="0" w:line="235" w:lineRule="auto"/>
        <w:rPr>
          <w:sz w:val="20"/>
          <w:szCs w:val="20"/>
          <w:color w:val="auto"/>
        </w:rPr>
      </w:pPr>
      <w:r>
        <w:rPr>
          <w:rFonts w:ascii="Arial" w:cs="Arial" w:eastAsia="Arial" w:hAnsi="Arial"/>
          <w:sz w:val="18"/>
          <w:szCs w:val="18"/>
          <w:color w:val="auto"/>
        </w:rPr>
        <w:t>As a result of these transactions, income from continuing operations excludes the operating results and related loss, if any, on dispositions of these businesses, which have been reclassified to discontinued operations, net of tax, in 2015.</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FINANCIAL CONDITION: CAPITAL RESOURCES AND LIQUIDITY</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Acquisitions and Dispositions of Businesses</w:t>
      </w:r>
    </w:p>
    <w:p>
      <w:pPr>
        <w:spacing w:after="0" w:line="144" w:lineRule="exact"/>
        <w:rPr>
          <w:sz w:val="20"/>
          <w:szCs w:val="20"/>
          <w:color w:val="auto"/>
        </w:rPr>
      </w:pPr>
    </w:p>
    <w:p>
      <w:pPr>
        <w:ind w:right="80"/>
        <w:spacing w:after="0" w:line="233" w:lineRule="auto"/>
        <w:rPr>
          <w:sz w:val="20"/>
          <w:szCs w:val="20"/>
          <w:color w:val="auto"/>
        </w:rPr>
      </w:pPr>
      <w:r>
        <w:rPr>
          <w:rFonts w:ascii="Arial" w:cs="Arial" w:eastAsia="Arial" w:hAnsi="Arial"/>
          <w:sz w:val="18"/>
          <w:szCs w:val="18"/>
          <w:b w:val="1"/>
          <w:bCs w:val="1"/>
          <w:color w:val="auto"/>
        </w:rPr>
        <w:t xml:space="preserve">Acquisitions. </w:t>
      </w:r>
      <w:r>
        <w:rPr>
          <w:rFonts w:ascii="Arial" w:cs="Arial" w:eastAsia="Arial" w:hAnsi="Arial"/>
          <w:sz w:val="18"/>
          <w:szCs w:val="18"/>
          <w:color w:val="auto"/>
        </w:rPr>
        <w:t>During 2017, the Company acquired six businesses, two in its education division, two in its television broadcasting division and</w:t>
      </w:r>
      <w:r>
        <w:rPr>
          <w:rFonts w:ascii="Arial" w:cs="Arial" w:eastAsia="Arial" w:hAnsi="Arial"/>
          <w:sz w:val="18"/>
          <w:szCs w:val="18"/>
          <w:b w:val="1"/>
          <w:bCs w:val="1"/>
          <w:color w:val="auto"/>
        </w:rPr>
        <w:t xml:space="preserve"> </w:t>
      </w:r>
      <w:r>
        <w:rPr>
          <w:rFonts w:ascii="Arial" w:cs="Arial" w:eastAsia="Arial" w:hAnsi="Arial"/>
          <w:sz w:val="18"/>
          <w:szCs w:val="18"/>
          <w:color w:val="auto"/>
        </w:rPr>
        <w:t>two in other businesses for $318.9 million in cash and contingent consideration, and the assumption of $59.1 million in certain pension and postretirement obligations. The assets and liabilities of the companies acquired have been recorded at their estimated fair values at the date of acquisition.</w:t>
      </w:r>
    </w:p>
    <w:p>
      <w:pPr>
        <w:spacing w:after="0" w:line="137" w:lineRule="exact"/>
        <w:rPr>
          <w:sz w:val="20"/>
          <w:szCs w:val="20"/>
          <w:color w:val="auto"/>
        </w:rPr>
      </w:pPr>
    </w:p>
    <w:p>
      <w:pPr>
        <w:ind w:right="40"/>
        <w:spacing w:after="0" w:line="227" w:lineRule="auto"/>
        <w:rPr>
          <w:sz w:val="20"/>
          <w:szCs w:val="20"/>
          <w:color w:val="auto"/>
        </w:rPr>
      </w:pPr>
      <w:r>
        <w:rPr>
          <w:rFonts w:ascii="Arial" w:cs="Arial" w:eastAsia="Arial" w:hAnsi="Arial"/>
          <w:sz w:val="18"/>
          <w:szCs w:val="18"/>
          <w:color w:val="auto"/>
        </w:rPr>
        <w:t>On January 17, 2017, the Company closed on its agreement with Nexstar Broadcasting Group, Inc. and Media General, Inc. to acquire the assets of WCWJ, a CW affiliate television station in Jacksonville, FL, and WSLS, an NBC affiliate television station in Roanoke, VA, for cash and the assumption of certain pension obligations. The acquisition of WCWJ and WSLS will complement the other stations that GMG operates. Both of these acquisitions are included in television broadcasting.</w:t>
      </w:r>
    </w:p>
    <w:p>
      <w:pPr>
        <w:spacing w:after="0" w:line="135" w:lineRule="exact"/>
        <w:rPr>
          <w:sz w:val="20"/>
          <w:szCs w:val="20"/>
          <w:color w:val="auto"/>
        </w:rPr>
      </w:pPr>
    </w:p>
    <w:p>
      <w:pPr>
        <w:ind w:right="160"/>
        <w:spacing w:after="0" w:line="227" w:lineRule="auto"/>
        <w:rPr>
          <w:sz w:val="20"/>
          <w:szCs w:val="20"/>
          <w:color w:val="auto"/>
        </w:rPr>
      </w:pPr>
      <w:r>
        <w:rPr>
          <w:rFonts w:ascii="Arial" w:cs="Arial" w:eastAsia="Arial" w:hAnsi="Arial"/>
          <w:sz w:val="18"/>
          <w:szCs w:val="18"/>
          <w:color w:val="auto"/>
        </w:rPr>
        <w:t>In February 2017, Kaplan acquired a 100% interest in Genesis Training Institute, a Dubai-based provider of professional development training in the United Arab Emirates, by purchasing all of its issued and outstanding shares. Additionally, Kaplan acquired a 100% interest in Red Marker Pty Ltd., an Australia-based regulatory technology company by purchasing all of its outstanding shares. These acquisitions are expected to provide certain strategic benefits in the future. Both of these acquisitions are included in Kaplan International.</w:t>
      </w:r>
    </w:p>
    <w:p>
      <w:pPr>
        <w:spacing w:after="0" w:line="135" w:lineRule="exact"/>
        <w:rPr>
          <w:sz w:val="20"/>
          <w:szCs w:val="20"/>
          <w:color w:val="auto"/>
        </w:rPr>
      </w:pPr>
    </w:p>
    <w:p>
      <w:pPr>
        <w:ind w:right="180"/>
        <w:spacing w:after="0" w:line="223" w:lineRule="auto"/>
        <w:rPr>
          <w:sz w:val="20"/>
          <w:szCs w:val="20"/>
          <w:color w:val="auto"/>
        </w:rPr>
      </w:pPr>
      <w:r>
        <w:rPr>
          <w:rFonts w:ascii="Arial" w:cs="Arial" w:eastAsia="Arial" w:hAnsi="Arial"/>
          <w:sz w:val="18"/>
          <w:szCs w:val="18"/>
          <w:color w:val="auto"/>
        </w:rPr>
        <w:t>In April 2017, the Company acquired 97.72% of the issued and outstanding shares of Hoover Treated Wood Products, Inc., a Thomson, GA-based supplier of pressure impregnated kiln-dried lumber and plywood products for fire retardant and preservative applications for $206.8 million, net of cash acquired. The fair value of the redeemable noncontrolling interest in Hoover was $3.7 million at the acquisition date, determined using a market approach. The minority shareholders have an option to put some of their shares to the Company starting in 2019 and the remaining shares starting in 2021. The Company has an option to buy the shares of minority shareholders starting in 2027. This acquisition is consistent with the Company’s ongoing strategy of investing in companies with a history of profitability and strong management. Hoover is included in other businesses.</w:t>
      </w:r>
    </w:p>
    <w:p>
      <w:pPr>
        <w:spacing w:after="0" w:line="139" w:lineRule="exact"/>
        <w:rPr>
          <w:sz w:val="20"/>
          <w:szCs w:val="20"/>
          <w:color w:val="auto"/>
        </w:rPr>
      </w:pPr>
    </w:p>
    <w:p>
      <w:pPr>
        <w:ind w:right="240"/>
        <w:spacing w:after="0" w:line="229" w:lineRule="auto"/>
        <w:rPr>
          <w:sz w:val="20"/>
          <w:szCs w:val="20"/>
          <w:color w:val="auto"/>
        </w:rPr>
      </w:pPr>
      <w:r>
        <w:rPr>
          <w:rFonts w:ascii="Arial" w:cs="Arial" w:eastAsia="Arial" w:hAnsi="Arial"/>
          <w:sz w:val="18"/>
          <w:szCs w:val="18"/>
          <w:color w:val="auto"/>
        </w:rPr>
        <w:t>At the end of June 2017, Graham Healthcare Group (GHG) acquired a 100% interest in Hometown Home Health and Hospice, a Lapeer, MI-based healthcare services provider by purchasing all of its issued and outstanding shares. This acquisition expands GHG’s service area in Michigan. GHG is included in other businesses.</w:t>
      </w:r>
    </w:p>
    <w:p>
      <w:pPr>
        <w:spacing w:after="0" w:line="137" w:lineRule="exact"/>
        <w:rPr>
          <w:sz w:val="20"/>
          <w:szCs w:val="20"/>
          <w:color w:val="auto"/>
        </w:rPr>
      </w:pPr>
    </w:p>
    <w:p>
      <w:pPr>
        <w:spacing w:after="0" w:line="223" w:lineRule="auto"/>
        <w:rPr>
          <w:sz w:val="20"/>
          <w:szCs w:val="20"/>
          <w:color w:val="auto"/>
        </w:rPr>
      </w:pPr>
      <w:r>
        <w:rPr>
          <w:rFonts w:ascii="Arial" w:cs="Arial" w:eastAsia="Arial" w:hAnsi="Arial"/>
          <w:sz w:val="18"/>
          <w:szCs w:val="18"/>
          <w:color w:val="auto"/>
        </w:rPr>
        <w:t>During 2016, the Company acquired five businesses, three businesses included in its education division and two businesses in other businesses for $258.0 million. The assets and liabilities of the companies acquired were recorded at their estimated fair values at the date of acquisition. In January 2016, Kaplan acquired a 100% interest in Mander Portman Woodward, a leading provider of high-quality, bespoke education to U.K. and international students in London, Cambridge and Birmingham, by purchasing all of its issued and outstanding shares. In February 2016, Kaplan acquired a 100% interest in Osborne Books, an educational publisher of learning resources for accounting qualifications in the U.K., by purchasing all of its issued and outstanding shares. The primary reason for these acquisitions was based on several strategic benefits expected to be realized in the future. Both of these acquisitions are included in Kaplan International.</w:t>
      </w:r>
    </w:p>
    <w:p>
      <w:pPr>
        <w:spacing w:after="0" w:line="200" w:lineRule="exact"/>
        <w:rPr>
          <w:sz w:val="20"/>
          <w:szCs w:val="20"/>
          <w:color w:val="auto"/>
        </w:rPr>
      </w:pPr>
    </w:p>
    <w:p>
      <w:pPr>
        <w:spacing w:after="0" w:line="30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60</w:t>
      </w:r>
    </w:p>
    <w:p>
      <w:pPr>
        <w:sectPr>
          <w:pgSz w:w="11900" w:h="16838" w:orient="portrait"/>
          <w:cols w:equalWidth="0" w:num="1">
            <w:col w:w="11420"/>
          </w:cols>
          <w:pgMar w:left="240" w:top="746" w:right="239" w:bottom="1440" w:gutter="0" w:footer="0" w:header="0"/>
        </w:sectPr>
      </w:pPr>
    </w:p>
    <w:bookmarkStart w:id="62" w:name="page63"/>
    <w:bookmarkEnd w:id="62"/>
    <w:p>
      <w:pPr>
        <w:ind w:right="200"/>
        <w:spacing w:after="0" w:line="227" w:lineRule="auto"/>
        <w:rPr>
          <w:sz w:val="20"/>
          <w:szCs w:val="20"/>
          <w:color w:val="auto"/>
        </w:rPr>
      </w:pPr>
      <w:r>
        <w:rPr>
          <w:rFonts w:ascii="Arial" w:cs="Arial" w:eastAsia="Arial" w:hAnsi="Arial"/>
          <w:sz w:val="18"/>
          <w:szCs w:val="18"/>
          <w:color w:val="auto"/>
        </w:rPr>
        <w:t>In September 2016, Group Dekko, Inc. (Dekko) acquired a 100% interest in Electri-Cable Assemblies (ECA), a Shelton, CT-based manufacturer of power, data and electrical solutions for the office furniture industry, by purchasing all of its issued and outstanding shares. Dekko’s primary reasons for the acquisition were to complement existing product offerings and provide opportunities for synergies across the businesses. This acquisition is included in other businesses.</w:t>
      </w:r>
    </w:p>
    <w:p>
      <w:pPr>
        <w:spacing w:after="0" w:line="135" w:lineRule="exact"/>
        <w:rPr>
          <w:sz w:val="20"/>
          <w:szCs w:val="20"/>
          <w:color w:val="auto"/>
        </w:rPr>
      </w:pPr>
    </w:p>
    <w:p>
      <w:pPr>
        <w:ind w:right="240"/>
        <w:spacing w:after="0" w:line="224" w:lineRule="auto"/>
        <w:rPr>
          <w:sz w:val="20"/>
          <w:szCs w:val="20"/>
          <w:color w:val="auto"/>
        </w:rPr>
      </w:pPr>
      <w:r>
        <w:rPr>
          <w:rFonts w:ascii="Arial" w:cs="Arial" w:eastAsia="Arial" w:hAnsi="Arial"/>
          <w:sz w:val="18"/>
          <w:szCs w:val="18"/>
          <w:color w:val="auto"/>
        </w:rPr>
        <w:t>During 2015, the Company acquired two businesses for $163.3 million. The assets and liabilities of the companies acquired have been recorded at their estimated fair values at the date of acquisition. On November 13, 2015, the Company acquired a 100% interest in Dekko, a Garrett, IN-based manufacturer of electrical solutions for applications across three business lines: workspace power solutions, architectural lighting and electrical components and assemblies, by purchasing all of the issued and outstanding shares. Dekko is included in other businesses. On December 22, 2015, Kaplan acquired a 100% interest in SmartPros, a provider of accredited professional education and training, primarily in accountancy, which is included in Higher Education.</w:t>
      </w:r>
    </w:p>
    <w:p>
      <w:pPr>
        <w:spacing w:after="0" w:line="115" w:lineRule="exact"/>
        <w:rPr>
          <w:sz w:val="20"/>
          <w:szCs w:val="20"/>
          <w:color w:val="auto"/>
        </w:rPr>
      </w:pPr>
    </w:p>
    <w:p>
      <w:pPr>
        <w:ind w:right="20"/>
        <w:spacing w:after="0" w:line="256" w:lineRule="auto"/>
        <w:rPr>
          <w:sz w:val="20"/>
          <w:szCs w:val="20"/>
          <w:color w:val="auto"/>
        </w:rPr>
      </w:pPr>
      <w:r>
        <w:rPr>
          <w:rFonts w:ascii="Arial" w:cs="Arial" w:eastAsia="Arial" w:hAnsi="Arial"/>
          <w:sz w:val="18"/>
          <w:szCs w:val="18"/>
          <w:b w:val="1"/>
          <w:bCs w:val="1"/>
          <w:color w:val="auto"/>
        </w:rPr>
        <w:t xml:space="preserve">Spin-Off. </w:t>
      </w:r>
      <w:r>
        <w:rPr>
          <w:rFonts w:ascii="Arial" w:cs="Arial" w:eastAsia="Arial" w:hAnsi="Arial"/>
          <w:sz w:val="18"/>
          <w:szCs w:val="18"/>
          <w:color w:val="auto"/>
        </w:rPr>
        <w:t>On July 1, 2015, the Company completed the spin-off of Cable ONE, by way of a distribution of all the issued and outstanding shares</w:t>
      </w:r>
      <w:r>
        <w:rPr>
          <w:rFonts w:ascii="Arial" w:cs="Arial" w:eastAsia="Arial" w:hAnsi="Arial"/>
          <w:sz w:val="18"/>
          <w:szCs w:val="18"/>
          <w:b w:val="1"/>
          <w:bCs w:val="1"/>
          <w:color w:val="auto"/>
        </w:rPr>
        <w:t xml:space="preserve"> </w:t>
      </w:r>
      <w:r>
        <w:rPr>
          <w:rFonts w:ascii="Arial" w:cs="Arial" w:eastAsia="Arial" w:hAnsi="Arial"/>
          <w:sz w:val="18"/>
          <w:szCs w:val="18"/>
          <w:color w:val="auto"/>
        </w:rPr>
        <w:t>of Cable ONE common stock, on a pro rata basis, to the Company’s stockholders.</w:t>
      </w:r>
    </w:p>
    <w:p>
      <w:pPr>
        <w:spacing w:after="0" w:line="99" w:lineRule="exact"/>
        <w:rPr>
          <w:sz w:val="20"/>
          <w:szCs w:val="20"/>
          <w:color w:val="auto"/>
        </w:rPr>
      </w:pPr>
    </w:p>
    <w:p>
      <w:pPr>
        <w:ind w:right="420"/>
        <w:spacing w:after="0" w:line="256" w:lineRule="auto"/>
        <w:rPr>
          <w:sz w:val="20"/>
          <w:szCs w:val="20"/>
          <w:color w:val="auto"/>
        </w:rPr>
      </w:pPr>
      <w:r>
        <w:rPr>
          <w:rFonts w:ascii="Arial" w:cs="Arial" w:eastAsia="Arial" w:hAnsi="Arial"/>
          <w:sz w:val="18"/>
          <w:szCs w:val="18"/>
          <w:b w:val="1"/>
          <w:bCs w:val="1"/>
          <w:color w:val="auto"/>
        </w:rPr>
        <w:t xml:space="preserve">Sale of Businesses. </w:t>
      </w:r>
      <w:r>
        <w:rPr>
          <w:rFonts w:ascii="Arial" w:cs="Arial" w:eastAsia="Arial" w:hAnsi="Arial"/>
          <w:sz w:val="18"/>
          <w:szCs w:val="18"/>
          <w:color w:val="auto"/>
        </w:rPr>
        <w:t>In the fourth quarter of 2017, Kaplan Australia completed the sale of a small business, which was included in Kaplan</w:t>
      </w:r>
      <w:r>
        <w:rPr>
          <w:rFonts w:ascii="Arial" w:cs="Arial" w:eastAsia="Arial" w:hAnsi="Arial"/>
          <w:sz w:val="18"/>
          <w:szCs w:val="18"/>
          <w:b w:val="1"/>
          <w:bCs w:val="1"/>
          <w:color w:val="auto"/>
        </w:rPr>
        <w:t xml:space="preserve"> </w:t>
      </w:r>
      <w:r>
        <w:rPr>
          <w:rFonts w:ascii="Arial" w:cs="Arial" w:eastAsia="Arial" w:hAnsi="Arial"/>
          <w:sz w:val="18"/>
          <w:szCs w:val="18"/>
          <w:color w:val="auto"/>
        </w:rPr>
        <w:t>International. In February 2017, GHG completed the sale of Celtic Healthcare of Maryland.</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color w:val="auto"/>
        </w:rPr>
        <w:t>In January 2016, Kaplan completed the sale of Colloquy, which was included in Kaplan Corporate and Other.</w:t>
      </w:r>
    </w:p>
    <w:p>
      <w:pPr>
        <w:spacing w:after="0" w:line="212" w:lineRule="exact"/>
        <w:rPr>
          <w:sz w:val="20"/>
          <w:szCs w:val="20"/>
          <w:color w:val="auto"/>
        </w:rPr>
      </w:pPr>
    </w:p>
    <w:p>
      <w:pPr>
        <w:ind w:right="120"/>
        <w:spacing w:after="0" w:line="229" w:lineRule="auto"/>
        <w:rPr>
          <w:sz w:val="20"/>
          <w:szCs w:val="20"/>
          <w:color w:val="auto"/>
        </w:rPr>
      </w:pPr>
      <w:r>
        <w:rPr>
          <w:rFonts w:ascii="Arial" w:cs="Arial" w:eastAsia="Arial" w:hAnsi="Arial"/>
          <w:sz w:val="18"/>
          <w:szCs w:val="18"/>
          <w:color w:val="auto"/>
        </w:rPr>
        <w:t>On September 3, 2015, Kaplan completed the sale of substantially all of the assets of its KHE Campuses business, consisting of 38 nationally accredited ground campuses and certain related assets, in exchange for a preferred equity interest in a vocational school company. KHE Campuses schools that were closed or were in the process of closing were not included in the sale transaction.</w:t>
      </w:r>
    </w:p>
    <w:p>
      <w:pPr>
        <w:spacing w:after="0" w:line="137" w:lineRule="exact"/>
        <w:rPr>
          <w:sz w:val="20"/>
          <w:szCs w:val="20"/>
          <w:color w:val="auto"/>
        </w:rPr>
      </w:pPr>
    </w:p>
    <w:p>
      <w:pPr>
        <w:jc w:val="both"/>
        <w:ind w:right="60"/>
        <w:spacing w:after="0" w:line="227" w:lineRule="auto"/>
        <w:rPr>
          <w:sz w:val="20"/>
          <w:szCs w:val="20"/>
          <w:color w:val="auto"/>
        </w:rPr>
      </w:pPr>
      <w:r>
        <w:rPr>
          <w:rFonts w:ascii="Arial" w:cs="Arial" w:eastAsia="Arial" w:hAnsi="Arial"/>
          <w:sz w:val="18"/>
          <w:szCs w:val="18"/>
          <w:color w:val="auto"/>
        </w:rPr>
        <w:t>In the third quarter of 2015, Kaplan sold Franklyn Scholar, which was part of Kaplan International. In the second quarter of 2015, the Company sold The Root, a component of Slate, and Kaplan sold two small businesses, Structuralia, which was part of Kaplan International, and Fire and EMS Training, which was part of Kaplan Higher Education. As a result of these sales, the Company reported net losses in other non-operating income (expense).</w:t>
      </w:r>
    </w:p>
    <w:p>
      <w:pPr>
        <w:spacing w:after="0" w:line="113" w:lineRule="exact"/>
        <w:rPr>
          <w:sz w:val="20"/>
          <w:szCs w:val="20"/>
          <w:color w:val="auto"/>
        </w:rPr>
      </w:pPr>
    </w:p>
    <w:p>
      <w:pPr>
        <w:ind w:right="40"/>
        <w:spacing w:after="0" w:line="230" w:lineRule="auto"/>
        <w:rPr>
          <w:sz w:val="20"/>
          <w:szCs w:val="20"/>
          <w:color w:val="auto"/>
        </w:rPr>
      </w:pPr>
      <w:r>
        <w:rPr>
          <w:rFonts w:ascii="Arial" w:cs="Arial" w:eastAsia="Arial" w:hAnsi="Arial"/>
          <w:sz w:val="18"/>
          <w:szCs w:val="18"/>
          <w:b w:val="1"/>
          <w:bCs w:val="1"/>
          <w:color w:val="auto"/>
        </w:rPr>
        <w:t xml:space="preserve">Other. </w:t>
      </w:r>
      <w:r>
        <w:rPr>
          <w:rFonts w:ascii="Arial" w:cs="Arial" w:eastAsia="Arial" w:hAnsi="Arial"/>
          <w:sz w:val="18"/>
          <w:szCs w:val="18"/>
          <w:color w:val="auto"/>
        </w:rPr>
        <w:t>In June 2016, Residential Healthcare (Residential) and a Michigan hospital formed a joint venture to provide home health services to</w:t>
      </w:r>
      <w:r>
        <w:rPr>
          <w:rFonts w:ascii="Arial" w:cs="Arial" w:eastAsia="Arial" w:hAnsi="Arial"/>
          <w:sz w:val="18"/>
          <w:szCs w:val="18"/>
          <w:b w:val="1"/>
          <w:bCs w:val="1"/>
          <w:color w:val="auto"/>
        </w:rPr>
        <w:t xml:space="preserve"> </w:t>
      </w:r>
      <w:r>
        <w:rPr>
          <w:rFonts w:ascii="Arial" w:cs="Arial" w:eastAsia="Arial" w:hAnsi="Arial"/>
          <w:sz w:val="18"/>
          <w:szCs w:val="18"/>
          <w:color w:val="auto"/>
        </w:rPr>
        <w:t>patients in western Michigan. In connection with this transaction, Residential contributed its western Michigan home health operations to the joint venture and then sold 60% of the newly formed venture to its Michigan hospital partner. Although Residential manages the operations of the joint venture, Residential holds a 40% interest in the joint venture, so the operating results of the joint venture are not consolidated, and the pro rata operating results are included in the Company’s equity in earnings of affiliates.</w:t>
      </w:r>
    </w:p>
    <w:p>
      <w:pPr>
        <w:spacing w:after="0" w:line="138" w:lineRule="exact"/>
        <w:rPr>
          <w:sz w:val="20"/>
          <w:szCs w:val="20"/>
          <w:color w:val="auto"/>
        </w:rPr>
      </w:pPr>
    </w:p>
    <w:p>
      <w:pPr>
        <w:spacing w:after="0" w:line="222" w:lineRule="auto"/>
        <w:rPr>
          <w:sz w:val="20"/>
          <w:szCs w:val="20"/>
          <w:color w:val="auto"/>
        </w:rPr>
      </w:pPr>
      <w:r>
        <w:rPr>
          <w:rFonts w:ascii="Arial" w:cs="Arial" w:eastAsia="Arial" w:hAnsi="Arial"/>
          <w:sz w:val="18"/>
          <w:szCs w:val="18"/>
          <w:color w:val="auto"/>
        </w:rPr>
        <w:t>In June 2016, the Company purchased the outstanding 20% redeemable noncontrolling interest in Residential. At that time, the Company recorded an increase to redeemable noncontrolling interest of $3.0 million, with a corresponding decrease to capital in excess of par value, to reflect the redemption value of the redeemable noncontrolling interest at $24.0 million. Following this transaction, Celtic Healthcare (Celtic) and Residential combined their business operations to form GHG. The redeemable noncontrolling interest shareholders in Celtic exchanged their 20% interest in Celtic for a 10% mandatorily redeemable noncontrolling interest in the combined entity, and the Company recorded a $4.1 million net increase to the mandatorily redeemable noncontrolling interest to reflect the estimated fair value of the mandatorily redeemable noncontrolling interest. The minority shareholders have an option to put their shares to the Company starting in 2020 and are required to put a percentage of their shares in 2022 and 2024, with the remaining shares required to be put by the minority shareholders in 2026. The redemption value is based on an EBITDA multiple, adjusted for working capital and other items, computed annually, with no limit on the amount payable. The Company now owns 90% of GHG. Because the noncontrolling interest is now mandatorily redeemable by the Company by 2026, it is reported as a noncurrent liability at December 31, 2017.</w:t>
      </w:r>
    </w:p>
    <w:p>
      <w:pPr>
        <w:spacing w:after="0" w:line="136" w:lineRule="exact"/>
        <w:rPr>
          <w:sz w:val="20"/>
          <w:szCs w:val="20"/>
          <w:color w:val="auto"/>
        </w:rPr>
      </w:pPr>
    </w:p>
    <w:p>
      <w:pPr>
        <w:ind w:right="120"/>
        <w:spacing w:after="0" w:line="227" w:lineRule="auto"/>
        <w:rPr>
          <w:sz w:val="20"/>
          <w:szCs w:val="20"/>
          <w:color w:val="auto"/>
        </w:rPr>
      </w:pPr>
      <w:r>
        <w:rPr>
          <w:rFonts w:ascii="Arial" w:cs="Arial" w:eastAsia="Arial" w:hAnsi="Arial"/>
          <w:sz w:val="18"/>
          <w:szCs w:val="18"/>
          <w:color w:val="auto"/>
        </w:rPr>
        <w:t>In January 2015, Celtic and Allegheny Health Network closed on the formation of a joint venture to combine each other’s home health and hospice assets in the western Pennsylvania region. Although Celtic manages the operations of the joint venture, Celtic holds a 40% interest in the joint venture, so the operating results of the joint venture are not consolidated, and the pro rata operating results are included in the Company’s equity in earnings of affiliates.</w:t>
      </w:r>
    </w:p>
    <w:p>
      <w:pPr>
        <w:spacing w:after="0" w:line="135" w:lineRule="exact"/>
        <w:rPr>
          <w:sz w:val="20"/>
          <w:szCs w:val="20"/>
          <w:color w:val="auto"/>
        </w:rPr>
      </w:pPr>
    </w:p>
    <w:p>
      <w:pPr>
        <w:ind w:right="280"/>
        <w:spacing w:after="0" w:line="235" w:lineRule="auto"/>
        <w:rPr>
          <w:sz w:val="20"/>
          <w:szCs w:val="20"/>
          <w:color w:val="auto"/>
        </w:rPr>
      </w:pPr>
      <w:r>
        <w:rPr>
          <w:rFonts w:ascii="Arial" w:cs="Arial" w:eastAsia="Arial" w:hAnsi="Arial"/>
          <w:sz w:val="18"/>
          <w:szCs w:val="18"/>
          <w:color w:val="auto"/>
        </w:rPr>
        <w:t>The Company’s income from continuing operations excludes Cable ONE and the sold Kaplan China school, which have been reclassified to discontinued operations.</w:t>
      </w:r>
    </w:p>
    <w:p>
      <w:pPr>
        <w:spacing w:after="0" w:line="200" w:lineRule="exact"/>
        <w:rPr>
          <w:sz w:val="20"/>
          <w:szCs w:val="20"/>
          <w:color w:val="auto"/>
        </w:rPr>
      </w:pPr>
    </w:p>
    <w:p>
      <w:pPr>
        <w:spacing w:after="0" w:line="30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61</w:t>
      </w:r>
    </w:p>
    <w:p>
      <w:pPr>
        <w:sectPr>
          <w:pgSz w:w="11900" w:h="16838" w:orient="portrait"/>
          <w:cols w:equalWidth="0" w:num="1">
            <w:col w:w="11400"/>
          </w:cols>
          <w:pgMar w:left="240" w:top="746" w:right="259" w:bottom="1440" w:gutter="0" w:footer="0" w:header="0"/>
        </w:sectPr>
      </w:pPr>
    </w:p>
    <w:bookmarkStart w:id="63" w:name="page64"/>
    <w:bookmarkEnd w:id="63"/>
    <w:p>
      <w:pPr>
        <w:ind w:right="620"/>
        <w:spacing w:after="0" w:line="256" w:lineRule="auto"/>
        <w:rPr>
          <w:sz w:val="20"/>
          <w:szCs w:val="20"/>
          <w:color w:val="auto"/>
        </w:rPr>
      </w:pPr>
      <w:r>
        <w:rPr>
          <w:rFonts w:ascii="Arial" w:cs="Arial" w:eastAsia="Arial" w:hAnsi="Arial"/>
          <w:sz w:val="18"/>
          <w:szCs w:val="18"/>
          <w:b w:val="1"/>
          <w:bCs w:val="1"/>
          <w:color w:val="auto"/>
        </w:rPr>
        <w:t xml:space="preserve">Other Transactions. </w:t>
      </w:r>
      <w:r>
        <w:rPr>
          <w:rFonts w:ascii="Arial" w:cs="Arial" w:eastAsia="Arial" w:hAnsi="Arial"/>
          <w:sz w:val="18"/>
          <w:szCs w:val="18"/>
          <w:color w:val="auto"/>
        </w:rPr>
        <w:t>In the fourth quarter of 2017, Kaplan entered into an agreement to acquire the College for Financial Planning. The</w:t>
      </w:r>
      <w:r>
        <w:rPr>
          <w:rFonts w:ascii="Arial" w:cs="Arial" w:eastAsia="Arial" w:hAnsi="Arial"/>
          <w:sz w:val="18"/>
          <w:szCs w:val="18"/>
          <w:b w:val="1"/>
          <w:bCs w:val="1"/>
          <w:color w:val="auto"/>
        </w:rPr>
        <w:t xml:space="preserve"> </w:t>
      </w:r>
      <w:r>
        <w:rPr>
          <w:rFonts w:ascii="Arial" w:cs="Arial" w:eastAsia="Arial" w:hAnsi="Arial"/>
          <w:sz w:val="18"/>
          <w:szCs w:val="18"/>
          <w:color w:val="auto"/>
        </w:rPr>
        <w:t>acquisition is subject to regulatory approval from the HLC, which is not expected before June 2018.</w:t>
      </w:r>
    </w:p>
    <w:p>
      <w:pPr>
        <w:spacing w:after="0" w:line="99" w:lineRule="exact"/>
        <w:rPr>
          <w:sz w:val="20"/>
          <w:szCs w:val="20"/>
          <w:color w:val="auto"/>
        </w:rPr>
      </w:pPr>
    </w:p>
    <w:p>
      <w:pPr>
        <w:spacing w:after="0" w:line="226" w:lineRule="auto"/>
        <w:rPr>
          <w:sz w:val="20"/>
          <w:szCs w:val="20"/>
          <w:color w:val="auto"/>
        </w:rPr>
      </w:pPr>
      <w:r>
        <w:rPr>
          <w:rFonts w:ascii="Arial" w:cs="Arial" w:eastAsia="Arial" w:hAnsi="Arial"/>
          <w:sz w:val="18"/>
          <w:szCs w:val="18"/>
          <w:b w:val="1"/>
          <w:bCs w:val="1"/>
          <w:color w:val="auto"/>
        </w:rPr>
        <w:t xml:space="preserve">Capital Expenditures. </w:t>
      </w:r>
      <w:r>
        <w:rPr>
          <w:rFonts w:ascii="Arial" w:cs="Arial" w:eastAsia="Arial" w:hAnsi="Arial"/>
          <w:sz w:val="18"/>
          <w:szCs w:val="18"/>
          <w:color w:val="auto"/>
        </w:rPr>
        <w:t>During 2017, the Company’s capital expenditures totaled $57.1 million. The Company’s capital expenditures for</w:t>
      </w:r>
      <w:r>
        <w:rPr>
          <w:rFonts w:ascii="Arial" w:cs="Arial" w:eastAsia="Arial" w:hAnsi="Arial"/>
          <w:sz w:val="18"/>
          <w:szCs w:val="18"/>
          <w:b w:val="1"/>
          <w:bCs w:val="1"/>
          <w:color w:val="auto"/>
        </w:rPr>
        <w:t xml:space="preserve"> </w:t>
      </w:r>
      <w:r>
        <w:rPr>
          <w:rFonts w:ascii="Arial" w:cs="Arial" w:eastAsia="Arial" w:hAnsi="Arial"/>
          <w:sz w:val="18"/>
          <w:szCs w:val="18"/>
          <w:color w:val="auto"/>
        </w:rPr>
        <w:t>businesses included in continuing operations for 2017, 2016 and 2015 are disclosed in Note 20 to the Consolidated Financial Statements. These amounts include assets acquired during the year, whereas the amounts reflected in the Company’s Statements of Cash Flows are based on cash payments made during the relevant periods. The Company estimates that its capital expenditures will be in the range of $110 million to $120 million in 2018. This includes amounts for constructing an academic and student residential facility in connection with Kaplan’s Pathways program in Liverpool, U.K. This also includes capital expenditures in connection with spectrum repacking at the Company’s television stations in Jacksonville, FL, and Roanoke, VA, as mandated by the FCC; these expenditures are expected to be largely reimbursed to the Company by the FCC.</w:t>
      </w:r>
    </w:p>
    <w:p>
      <w:pPr>
        <w:spacing w:after="0" w:line="115" w:lineRule="exact"/>
        <w:rPr>
          <w:sz w:val="20"/>
          <w:szCs w:val="20"/>
          <w:color w:val="auto"/>
        </w:rPr>
      </w:pPr>
    </w:p>
    <w:p>
      <w:pPr>
        <w:ind w:right="280"/>
        <w:spacing w:after="0" w:line="238" w:lineRule="auto"/>
        <w:rPr>
          <w:sz w:val="20"/>
          <w:szCs w:val="20"/>
          <w:color w:val="auto"/>
        </w:rPr>
      </w:pPr>
      <w:r>
        <w:rPr>
          <w:rFonts w:ascii="Arial" w:cs="Arial" w:eastAsia="Arial" w:hAnsi="Arial"/>
          <w:sz w:val="18"/>
          <w:szCs w:val="18"/>
          <w:b w:val="1"/>
          <w:bCs w:val="1"/>
          <w:color w:val="auto"/>
        </w:rPr>
        <w:t xml:space="preserve">Investments in Marketable Equity Securities. </w:t>
      </w:r>
      <w:r>
        <w:rPr>
          <w:rFonts w:ascii="Arial" w:cs="Arial" w:eastAsia="Arial" w:hAnsi="Arial"/>
          <w:sz w:val="18"/>
          <w:szCs w:val="18"/>
          <w:color w:val="auto"/>
        </w:rPr>
        <w:t>At December 31, 2017, the fair value of the Company’s investments in marketable equity</w:t>
      </w:r>
      <w:r>
        <w:rPr>
          <w:rFonts w:ascii="Arial" w:cs="Arial" w:eastAsia="Arial" w:hAnsi="Arial"/>
          <w:sz w:val="18"/>
          <w:szCs w:val="18"/>
          <w:b w:val="1"/>
          <w:bCs w:val="1"/>
          <w:color w:val="auto"/>
        </w:rPr>
        <w:t xml:space="preserve"> </w:t>
      </w:r>
      <w:r>
        <w:rPr>
          <w:rFonts w:ascii="Arial" w:cs="Arial" w:eastAsia="Arial" w:hAnsi="Arial"/>
          <w:sz w:val="18"/>
          <w:szCs w:val="18"/>
          <w:color w:val="auto"/>
        </w:rPr>
        <w:t>securities was $536.3 million, which includes investments in the common stock of six publicly traded companies. At December 31, 2017, the unrealized gain related to the Company’s investments totaled $267.0 million.</w:t>
      </w:r>
    </w:p>
    <w:p>
      <w:pPr>
        <w:spacing w:after="0" w:line="114" w:lineRule="exact"/>
        <w:rPr>
          <w:sz w:val="20"/>
          <w:szCs w:val="20"/>
          <w:color w:val="auto"/>
        </w:rPr>
      </w:pPr>
    </w:p>
    <w:p>
      <w:pPr>
        <w:ind w:right="40"/>
        <w:spacing w:after="0" w:line="228" w:lineRule="auto"/>
        <w:rPr>
          <w:sz w:val="20"/>
          <w:szCs w:val="20"/>
          <w:color w:val="auto"/>
        </w:rPr>
      </w:pPr>
      <w:r>
        <w:rPr>
          <w:rFonts w:ascii="Arial" w:cs="Arial" w:eastAsia="Arial" w:hAnsi="Arial"/>
          <w:sz w:val="18"/>
          <w:szCs w:val="18"/>
          <w:b w:val="1"/>
          <w:bCs w:val="1"/>
          <w:color w:val="auto"/>
        </w:rPr>
        <w:t xml:space="preserve">Common Stock Repurchases and Dividend Rate. </w:t>
      </w:r>
      <w:r>
        <w:rPr>
          <w:rFonts w:ascii="Arial" w:cs="Arial" w:eastAsia="Arial" w:hAnsi="Arial"/>
          <w:sz w:val="18"/>
          <w:szCs w:val="18"/>
          <w:color w:val="auto"/>
        </w:rPr>
        <w:t>During 2017,</w:t>
      </w:r>
      <w:r>
        <w:rPr>
          <w:rFonts w:ascii="Arial" w:cs="Arial" w:eastAsia="Arial" w:hAnsi="Arial"/>
          <w:sz w:val="18"/>
          <w:szCs w:val="18"/>
          <w:b w:val="1"/>
          <w:bCs w:val="1"/>
          <w:color w:val="auto"/>
        </w:rPr>
        <w:t xml:space="preserve"> </w:t>
      </w:r>
      <w:r>
        <w:rPr>
          <w:rFonts w:ascii="Arial" w:cs="Arial" w:eastAsia="Arial" w:hAnsi="Arial"/>
          <w:sz w:val="18"/>
          <w:szCs w:val="18"/>
          <w:color w:val="auto"/>
        </w:rPr>
        <w:t>2016, and 2015, the Company purchased a total of 88,361,</w:t>
      </w:r>
      <w:r>
        <w:rPr>
          <w:rFonts w:ascii="Arial" w:cs="Arial" w:eastAsia="Arial" w:hAnsi="Arial"/>
          <w:sz w:val="18"/>
          <w:szCs w:val="18"/>
          <w:b w:val="1"/>
          <w:bCs w:val="1"/>
          <w:color w:val="auto"/>
        </w:rPr>
        <w:t xml:space="preserve"> </w:t>
      </w:r>
      <w:r>
        <w:rPr>
          <w:rFonts w:ascii="Arial" w:cs="Arial" w:eastAsia="Arial" w:hAnsi="Arial"/>
          <w:sz w:val="18"/>
          <w:szCs w:val="18"/>
          <w:color w:val="auto"/>
        </w:rPr>
        <w:t>229,498, and</w:t>
      </w:r>
      <w:r>
        <w:rPr>
          <w:rFonts w:ascii="Arial" w:cs="Arial" w:eastAsia="Arial" w:hAnsi="Arial"/>
          <w:sz w:val="18"/>
          <w:szCs w:val="18"/>
          <w:b w:val="1"/>
          <w:bCs w:val="1"/>
          <w:color w:val="auto"/>
        </w:rPr>
        <w:t xml:space="preserve"> </w:t>
      </w:r>
      <w:r>
        <w:rPr>
          <w:rFonts w:ascii="Arial" w:cs="Arial" w:eastAsia="Arial" w:hAnsi="Arial"/>
          <w:sz w:val="18"/>
          <w:szCs w:val="18"/>
          <w:color w:val="auto"/>
        </w:rPr>
        <w:t>46,226 shares, respectively, of its Class B common stock at a cost of approximately $50.8 million, $108.9 million, and $23.0 million, respectively. On November 9, 2017, the Board of Directors authorized the Company to acquire up to 500,000 shares of its Class B common stock. The Company did not announce a ceiling price or time limit for the purchases. The authorization includes 163,237 shares that remained under the previous authorization. At December 31, 2017, the Company had remaining authorization from the Board of Directors to purchase up to 472,678 shares of Class B common stock.</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color w:val="auto"/>
        </w:rPr>
        <w:t>The annual dividend rate for 2018 is $5.32 per share, compared to $5.08 and $4.84 in 2017 and 2016, respectively.</w:t>
      </w:r>
    </w:p>
    <w:p>
      <w:pPr>
        <w:spacing w:after="0" w:line="122" w:lineRule="exact"/>
        <w:rPr>
          <w:sz w:val="20"/>
          <w:szCs w:val="20"/>
          <w:color w:val="auto"/>
        </w:rPr>
      </w:pPr>
    </w:p>
    <w:p>
      <w:pPr>
        <w:ind w:right="240"/>
        <w:spacing w:after="0" w:line="238" w:lineRule="auto"/>
        <w:rPr>
          <w:sz w:val="20"/>
          <w:szCs w:val="20"/>
          <w:color w:val="auto"/>
        </w:rPr>
      </w:pPr>
      <w:r>
        <w:rPr>
          <w:rFonts w:ascii="Arial" w:cs="Arial" w:eastAsia="Arial" w:hAnsi="Arial"/>
          <w:sz w:val="18"/>
          <w:szCs w:val="18"/>
          <w:b w:val="1"/>
          <w:bCs w:val="1"/>
          <w:color w:val="auto"/>
        </w:rPr>
        <w:t xml:space="preserve">Liquidity. </w:t>
      </w:r>
      <w:r>
        <w:rPr>
          <w:rFonts w:ascii="Arial" w:cs="Arial" w:eastAsia="Arial" w:hAnsi="Arial"/>
          <w:sz w:val="18"/>
          <w:szCs w:val="18"/>
          <w:color w:val="auto"/>
        </w:rPr>
        <w:t>During 2017, the Company’s cash and cash equivalents decreased by $258.9 million due largely to significant acquisitions,</w:t>
      </w:r>
      <w:r>
        <w:rPr>
          <w:rFonts w:ascii="Arial" w:cs="Arial" w:eastAsia="Arial" w:hAnsi="Arial"/>
          <w:sz w:val="18"/>
          <w:szCs w:val="18"/>
          <w:b w:val="1"/>
          <w:bCs w:val="1"/>
          <w:color w:val="auto"/>
        </w:rPr>
        <w:t xml:space="preserve"> </w:t>
      </w:r>
      <w:r>
        <w:rPr>
          <w:rFonts w:ascii="Arial" w:cs="Arial" w:eastAsia="Arial" w:hAnsi="Arial"/>
          <w:sz w:val="18"/>
          <w:szCs w:val="18"/>
          <w:color w:val="auto"/>
        </w:rPr>
        <w:t>investments, and repurchases of common shares. During 2017, the Company’s borrowings increased by $1.4 million due to foreign currency fluctuations, offset by repayments.</w:t>
      </w:r>
    </w:p>
    <w:p>
      <w:pPr>
        <w:spacing w:after="0" w:line="136" w:lineRule="exact"/>
        <w:rPr>
          <w:sz w:val="20"/>
          <w:szCs w:val="20"/>
          <w:color w:val="auto"/>
        </w:rPr>
      </w:pPr>
    </w:p>
    <w:p>
      <w:pPr>
        <w:ind w:right="40"/>
        <w:spacing w:after="0" w:line="224" w:lineRule="auto"/>
        <w:rPr>
          <w:sz w:val="20"/>
          <w:szCs w:val="20"/>
          <w:color w:val="auto"/>
        </w:rPr>
      </w:pPr>
      <w:r>
        <w:rPr>
          <w:rFonts w:ascii="Arial" w:cs="Arial" w:eastAsia="Arial" w:hAnsi="Arial"/>
          <w:sz w:val="18"/>
          <w:szCs w:val="18"/>
          <w:color w:val="auto"/>
        </w:rPr>
        <w:t>At December 31, 2017, the Company has $390.0 million in cash and cash equivalents, compared to $648.9 million at December 31, 2016. Restricted cash at December 31, 2017, totaled $17.6 million, compared to $21.9 million at December 31, 2016. As of December 31, 2017 and 2016, the Company had commercial paper and money market investments of $217.6 million and $485.1 million, respectively, that are classified as cash, cash equivalents and restricted cash in the Company’s Consolidated Financial Statements. At December 31, 2017, the Company has approximately $5.0 million in cash and cash equivalents in countries outside the U.S., which is not immediately available for use in operations or for distribution.</w:t>
      </w:r>
    </w:p>
    <w:p>
      <w:pPr>
        <w:spacing w:after="0" w:line="137" w:lineRule="exact"/>
        <w:rPr>
          <w:sz w:val="20"/>
          <w:szCs w:val="20"/>
          <w:color w:val="auto"/>
        </w:rPr>
      </w:pPr>
    </w:p>
    <w:p>
      <w:pPr>
        <w:ind w:right="120"/>
        <w:spacing w:after="0" w:line="224" w:lineRule="auto"/>
        <w:rPr>
          <w:sz w:val="20"/>
          <w:szCs w:val="20"/>
          <w:color w:val="auto"/>
        </w:rPr>
      </w:pPr>
      <w:r>
        <w:rPr>
          <w:rFonts w:ascii="Arial" w:cs="Arial" w:eastAsia="Arial" w:hAnsi="Arial"/>
          <w:sz w:val="18"/>
          <w:szCs w:val="18"/>
          <w:color w:val="auto"/>
        </w:rPr>
        <w:t>At December 31, 2017 and 2016, the Company had borrowings outstanding of $493.3 million and $491.8 million, respectively. The Company’s borrowings at December 31, 2017 were mostly from $400.0 million of 7.25% unsecured notes due February 1, 2019, and £70 million in outstanding borrowings under the Kaplan Credit Agreement; the interest on $400.0 million of 7.25% unsecured notes is payable semiannually on February 1 and August 1. The Company’s borrowings at December 31, 2016 were mostly from $400.0 million of 7.25% unsecured notes due February 1, 2019, and £ 75 million in borrowings under the Kaplan Credit Agreement. The Company did not have any outstanding commercial paper borrowing or USD revolving credit borrowing as of December 31, 2017 and 2016.</w:t>
      </w:r>
    </w:p>
    <w:p>
      <w:pPr>
        <w:spacing w:after="0" w:line="137" w:lineRule="exact"/>
        <w:rPr>
          <w:sz w:val="20"/>
          <w:szCs w:val="20"/>
          <w:color w:val="auto"/>
        </w:rPr>
      </w:pPr>
    </w:p>
    <w:p>
      <w:pPr>
        <w:ind w:right="20"/>
        <w:spacing w:after="0" w:line="219" w:lineRule="auto"/>
        <w:rPr>
          <w:sz w:val="20"/>
          <w:szCs w:val="20"/>
          <w:color w:val="auto"/>
        </w:rPr>
      </w:pPr>
      <w:r>
        <w:rPr>
          <w:rFonts w:ascii="Arial" w:cs="Arial" w:eastAsia="Arial" w:hAnsi="Arial"/>
          <w:sz w:val="18"/>
          <w:szCs w:val="18"/>
          <w:color w:val="auto"/>
        </w:rPr>
        <w:t>On June 29, 2015, the Company entered into a credit agreement (the Credit Agreement) providing for a U.S. $200 million five-year revolving credit facility (the Facility) with each of the lenders party thereto, Wells Fargo Bank, National Association as Administrative Agent (Wells Fargo), JPMorgan Chase Bank, N.A., as Syndication Agent, and HSBC Bank USA, National Association, as Documentation Agent (the Credit Agreement). The Company is required to pay a commitment fee on a quarterly basis, based on the Company’s leverage ratio, of between 0.15% and 0.25% of the amount of the Facility. Any borrowings are made on an unsecured basis and bear interest at the Company’s</w:t>
      </w:r>
    </w:p>
    <w:p>
      <w:pPr>
        <w:spacing w:after="0" w:line="1" w:lineRule="exact"/>
        <w:rPr>
          <w:sz w:val="20"/>
          <w:szCs w:val="20"/>
          <w:color w:val="auto"/>
        </w:rPr>
      </w:pPr>
    </w:p>
    <w:p>
      <w:pPr>
        <w:ind w:right="80"/>
        <w:spacing w:after="0" w:line="223" w:lineRule="auto"/>
        <w:rPr>
          <w:sz w:val="20"/>
          <w:szCs w:val="20"/>
          <w:color w:val="auto"/>
        </w:rPr>
      </w:pPr>
      <w:r>
        <w:rPr>
          <w:rFonts w:ascii="Arial" w:cs="Arial" w:eastAsia="Arial" w:hAnsi="Arial"/>
          <w:sz w:val="18"/>
          <w:szCs w:val="18"/>
          <w:color w:val="auto"/>
        </w:rPr>
        <w:t>option, either at (a) a fluctuating interest rate equal to the highest of Wells Fargo’s prime rate, 0.50 percent above the Federal funds rate or the one-month Eurodollar rate plus 1%, or (b) the Eurodollar rate for the applicable interest period as defined in the Credit Agreement, which is generally a periodic rate equal to LIBOR, in each case plus an applicable margin that depends on the Company’s consolidated debt to consolidated adjusted EBITDA (as determined pursuant to the Credit Agreement, “leverage ratio”). The Company may draw on the Facility for general corporate purposes. The Facility will expire on July 1, 2020, unless the Company and the banks agree to extend the term. Any outstanding borrowings must be repaid on or prior to the final termination date. The Credit Agreement contains terms and conditions, including remedies in the event of a default by the Company, typical of facilities of this type and requires the Company to maintain a leverage ratio of not greater than 3.5 to 1.0 and a</w:t>
      </w:r>
    </w:p>
    <w:p>
      <w:pPr>
        <w:spacing w:after="0" w:line="200" w:lineRule="exact"/>
        <w:rPr>
          <w:sz w:val="20"/>
          <w:szCs w:val="20"/>
          <w:color w:val="auto"/>
        </w:rPr>
      </w:pPr>
    </w:p>
    <w:p>
      <w:pPr>
        <w:spacing w:after="0" w:line="30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62</w:t>
      </w:r>
    </w:p>
    <w:p>
      <w:pPr>
        <w:sectPr>
          <w:pgSz w:w="11900" w:h="16838" w:orient="portrait"/>
          <w:cols w:equalWidth="0" w:num="1">
            <w:col w:w="11420"/>
          </w:cols>
          <w:pgMar w:left="240" w:top="724" w:right="239" w:bottom="1440" w:gutter="0" w:footer="0" w:header="0"/>
        </w:sectPr>
      </w:pPr>
    </w:p>
    <w:bookmarkStart w:id="64" w:name="page65"/>
    <w:bookmarkEnd w:id="64"/>
    <w:p>
      <w:pPr>
        <w:ind w:right="660"/>
        <w:spacing w:after="0" w:line="235" w:lineRule="auto"/>
        <w:rPr>
          <w:sz w:val="20"/>
          <w:szCs w:val="20"/>
          <w:color w:val="auto"/>
        </w:rPr>
      </w:pPr>
      <w:r>
        <w:rPr>
          <w:rFonts w:ascii="Arial" w:cs="Arial" w:eastAsia="Arial" w:hAnsi="Arial"/>
          <w:sz w:val="18"/>
          <w:szCs w:val="18"/>
          <w:color w:val="auto"/>
        </w:rPr>
        <w:t>consolidated interest coverage ratio of at least 3.5 to 1.0 based upon the ratio of consolidated adjusted EBITDA to consolidated interest expense as determined pursuant to the Credit Agreement.</w:t>
      </w:r>
    </w:p>
    <w:p>
      <w:pPr>
        <w:spacing w:after="0" w:line="216" w:lineRule="exact"/>
        <w:rPr>
          <w:sz w:val="20"/>
          <w:szCs w:val="20"/>
          <w:color w:val="auto"/>
        </w:rPr>
      </w:pPr>
    </w:p>
    <w:p>
      <w:pPr>
        <w:spacing w:after="0" w:line="222" w:lineRule="auto"/>
        <w:rPr>
          <w:sz w:val="20"/>
          <w:szCs w:val="20"/>
          <w:color w:val="auto"/>
        </w:rPr>
      </w:pPr>
      <w:r>
        <w:rPr>
          <w:rFonts w:ascii="Arial" w:cs="Arial" w:eastAsia="Arial" w:hAnsi="Arial"/>
          <w:sz w:val="18"/>
          <w:szCs w:val="18"/>
          <w:color w:val="auto"/>
        </w:rPr>
        <w:t>On July 14, 2016, Kaplan entered into a credit agreement (the Kaplan Credit Agreement) among Kaplan International Holdings Limited, as borrower, the lenders party thereto, HSBC BANK PLC as Facility Agent, and other agents party thereto. The Kaplan Credit Agreement provides for a four-year credit facility in an aggregate principal amount of £75 million. Borrowings bear interest at a rate per annum of LIBOR plus an applicable interest rate margin between 1.25% and 1.75%, in each case determined on a quarterly basis by reference to a pricing grid based upon the Company’s total leverage ratio. The Kaplan Credit Agreement requires that 6.66% of the outstanding aggregate amount of the loan be repaid on the first three anniversaries of funding, with the remaining balance due on July 1, 2020. The Kaplan Credit Agreement contains terms and conditions, including remedies in the event of a default by the Company, typical of facilities of this type and requires the Company to maintain a leverage ratio of not greater than 3.5 to 1.0 and a consolidated interest coverage ratio of at least 3.5 to 1.0 based upon the ratio of consolidated adjusted EBITDA to consolidated interest expense as determined pursuant to the Kaplan Credit Agreement.</w:t>
      </w:r>
    </w:p>
    <w:p>
      <w:pPr>
        <w:spacing w:after="0" w:line="141" w:lineRule="exact"/>
        <w:rPr>
          <w:sz w:val="20"/>
          <w:szCs w:val="20"/>
          <w:color w:val="auto"/>
        </w:rPr>
      </w:pPr>
    </w:p>
    <w:p>
      <w:pPr>
        <w:ind w:right="40"/>
        <w:spacing w:after="0" w:line="222" w:lineRule="auto"/>
        <w:rPr>
          <w:sz w:val="20"/>
          <w:szCs w:val="20"/>
          <w:color w:val="auto"/>
        </w:rPr>
      </w:pPr>
      <w:r>
        <w:rPr>
          <w:rFonts w:ascii="Arial" w:cs="Arial" w:eastAsia="Arial" w:hAnsi="Arial"/>
          <w:sz w:val="18"/>
          <w:szCs w:val="18"/>
          <w:color w:val="auto"/>
        </w:rPr>
        <w:t>On July 25, 2016, Kaplan borrowed £75 million under the Kaplan Credit Agreement. On the same date, Kaplan entered into an interest rate swap agreement with a total notional value of £75 million and a maturity date of July 1, 2020. The interest rate swap agreement will pay Kaplan variable interest on the £75 million notional amount at the three-month LIBOR, and Kaplan will pay the counterparties a fixed rate of 0.51%, effectively resulting in a total fixed interest rate of 2.01% on the outstanding borrowings at the current applicable margin of 1.50%. The interest rate swap agreement was entered into to convert the variable rate British pound borrowing under the Kaplan Credit Agreement into a fixed rate borrowing. The Company provided a guarantee on any borrowings under the Kaplan Credit Agreement. Based on the terms of the interest rate swap agreement and the underlying borrowing, the interest rate swap agreement was determined to be effective and thus qualifies as a cash flow hedge. As such, changes in the fair value of the interest rate swap are recorded in other comprehensive income on the accompanying Consolidated Balance Sheets until earnings are affected by the variability of cash flows.</w:t>
      </w:r>
    </w:p>
    <w:p>
      <w:pPr>
        <w:spacing w:after="0" w:line="141" w:lineRule="exact"/>
        <w:rPr>
          <w:sz w:val="20"/>
          <w:szCs w:val="20"/>
          <w:color w:val="auto"/>
        </w:rPr>
      </w:pPr>
    </w:p>
    <w:p>
      <w:pPr>
        <w:spacing w:after="0"/>
        <w:rPr>
          <w:sz w:val="20"/>
          <w:szCs w:val="20"/>
          <w:color w:val="auto"/>
        </w:rPr>
      </w:pPr>
      <w:r>
        <w:rPr>
          <w:rFonts w:ascii="Arial" w:cs="Arial" w:eastAsia="Arial" w:hAnsi="Arial"/>
          <w:sz w:val="18"/>
          <w:szCs w:val="18"/>
          <w:color w:val="auto"/>
        </w:rPr>
        <w:t>On May 24, 2017, Moody’s affirmed the Company’s credit ratings, but revised the outlook from Stable to Negative.</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color w:val="auto"/>
        </w:rPr>
        <w:t>The Company’s current credit ratings are as follows:</w:t>
      </w:r>
    </w:p>
    <w:p>
      <w:pPr>
        <w:spacing w:after="0" w:line="199"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4760" w:type="dxa"/>
            <w:vAlign w:val="bottom"/>
            <w:tcBorders>
              <w:bottom w:val="single" w:sz="8" w:color="auto"/>
            </w:tcBorders>
          </w:tcPr>
          <w:p>
            <w:pPr>
              <w:spacing w:after="0"/>
              <w:rPr>
                <w:sz w:val="17"/>
                <w:szCs w:val="17"/>
                <w:color w:val="auto"/>
              </w:rPr>
            </w:pPr>
          </w:p>
        </w:tc>
        <w:tc>
          <w:tcPr>
            <w:tcW w:w="5000" w:type="dxa"/>
            <w:vAlign w:val="bottom"/>
            <w:tcBorders>
              <w:bottom w:val="single" w:sz="8" w:color="auto"/>
            </w:tcBorders>
          </w:tcPr>
          <w:p>
            <w:pPr>
              <w:ind w:left="3980"/>
              <w:spacing w:after="0"/>
              <w:rPr>
                <w:sz w:val="20"/>
                <w:szCs w:val="20"/>
                <w:color w:val="auto"/>
              </w:rPr>
            </w:pPr>
            <w:r>
              <w:rPr>
                <w:rFonts w:ascii="Arial" w:cs="Arial" w:eastAsia="Arial" w:hAnsi="Arial"/>
                <w:sz w:val="14"/>
                <w:szCs w:val="14"/>
                <w:b w:val="1"/>
                <w:bCs w:val="1"/>
                <w:color w:val="auto"/>
              </w:rPr>
              <w:t>Moody’s</w:t>
            </w:r>
          </w:p>
        </w:tc>
        <w:tc>
          <w:tcPr>
            <w:tcW w:w="1660" w:type="dxa"/>
            <w:vAlign w:val="bottom"/>
            <w:tcBorders>
              <w:bottom w:val="single" w:sz="8" w:color="auto"/>
            </w:tcBorders>
          </w:tcPr>
          <w:p>
            <w:pPr>
              <w:ind w:left="180"/>
              <w:spacing w:after="0"/>
              <w:rPr>
                <w:sz w:val="20"/>
                <w:szCs w:val="20"/>
                <w:color w:val="auto"/>
              </w:rPr>
            </w:pPr>
            <w:r>
              <w:rPr>
                <w:rFonts w:ascii="Arial" w:cs="Arial" w:eastAsia="Arial" w:hAnsi="Arial"/>
                <w:sz w:val="14"/>
                <w:szCs w:val="14"/>
                <w:b w:val="1"/>
                <w:bCs w:val="1"/>
                <w:color w:val="auto"/>
              </w:rPr>
              <w:t>Standard &amp; Poor’s</w:t>
            </w:r>
          </w:p>
        </w:tc>
      </w:tr>
      <w:tr>
        <w:trPr>
          <w:trHeight w:val="250"/>
        </w:trPr>
        <w:tc>
          <w:tcPr>
            <w:tcW w:w="4760" w:type="dxa"/>
            <w:vAlign w:val="bottom"/>
          </w:tcPr>
          <w:p>
            <w:pPr>
              <w:ind w:left="40"/>
              <w:spacing w:after="0"/>
              <w:rPr>
                <w:sz w:val="20"/>
                <w:szCs w:val="20"/>
                <w:color w:val="auto"/>
              </w:rPr>
            </w:pPr>
            <w:r>
              <w:rPr>
                <w:rFonts w:ascii="Arial" w:cs="Arial" w:eastAsia="Arial" w:hAnsi="Arial"/>
                <w:sz w:val="16"/>
                <w:szCs w:val="16"/>
                <w:color w:val="auto"/>
              </w:rPr>
              <w:t>Long-term</w:t>
            </w:r>
          </w:p>
        </w:tc>
        <w:tc>
          <w:tcPr>
            <w:tcW w:w="5000" w:type="dxa"/>
            <w:vAlign w:val="bottom"/>
          </w:tcPr>
          <w:p>
            <w:pPr>
              <w:ind w:left="4540"/>
              <w:spacing w:after="0"/>
              <w:rPr>
                <w:sz w:val="20"/>
                <w:szCs w:val="20"/>
                <w:color w:val="auto"/>
              </w:rPr>
            </w:pPr>
            <w:r>
              <w:rPr>
                <w:rFonts w:ascii="Arial" w:cs="Arial" w:eastAsia="Arial" w:hAnsi="Arial"/>
                <w:sz w:val="16"/>
                <w:szCs w:val="16"/>
                <w:color w:val="auto"/>
              </w:rPr>
              <w:t>Ba1</w:t>
            </w:r>
          </w:p>
        </w:tc>
        <w:tc>
          <w:tcPr>
            <w:tcW w:w="1660" w:type="dxa"/>
            <w:vAlign w:val="bottom"/>
          </w:tcPr>
          <w:p>
            <w:pPr>
              <w:ind w:left="1320"/>
              <w:spacing w:after="0"/>
              <w:rPr>
                <w:sz w:val="20"/>
                <w:szCs w:val="20"/>
                <w:color w:val="auto"/>
              </w:rPr>
            </w:pPr>
            <w:r>
              <w:rPr>
                <w:rFonts w:ascii="Arial" w:cs="Arial" w:eastAsia="Arial" w:hAnsi="Arial"/>
                <w:sz w:val="16"/>
                <w:szCs w:val="16"/>
                <w:color w:val="auto"/>
              </w:rPr>
              <w:t>BB+</w:t>
            </w:r>
          </w:p>
        </w:tc>
      </w:tr>
    </w:tbl>
    <w:p>
      <w:pPr>
        <w:spacing w:after="0" w:line="167" w:lineRule="exact"/>
        <w:rPr>
          <w:sz w:val="20"/>
          <w:szCs w:val="20"/>
          <w:color w:val="auto"/>
        </w:rPr>
      </w:pPr>
    </w:p>
    <w:p>
      <w:pPr>
        <w:jc w:val="both"/>
        <w:ind w:right="160"/>
        <w:spacing w:after="0" w:line="229" w:lineRule="auto"/>
        <w:rPr>
          <w:sz w:val="20"/>
          <w:szCs w:val="20"/>
          <w:color w:val="auto"/>
        </w:rPr>
      </w:pPr>
      <w:r>
        <w:rPr>
          <w:rFonts w:ascii="Arial" w:cs="Arial" w:eastAsia="Arial" w:hAnsi="Arial"/>
          <w:sz w:val="18"/>
          <w:szCs w:val="18"/>
          <w:color w:val="auto"/>
        </w:rPr>
        <w:t>During 2017 and 2016, the Company had average borrowings outstanding of approximately $493.2 million and $443.9 million, respectively, at average annual interest rates of approximately 6.3% and 6.7%, respectively. The Company incurred net interest expense of $27.3 million and $32.3 million, respectively, during 2017 and 2016.</w:t>
      </w:r>
    </w:p>
    <w:p>
      <w:pPr>
        <w:spacing w:after="0" w:line="137" w:lineRule="exact"/>
        <w:rPr>
          <w:sz w:val="20"/>
          <w:szCs w:val="20"/>
          <w:color w:val="auto"/>
        </w:rPr>
      </w:pPr>
    </w:p>
    <w:p>
      <w:pPr>
        <w:ind w:right="940"/>
        <w:spacing w:after="0" w:line="235" w:lineRule="auto"/>
        <w:rPr>
          <w:sz w:val="20"/>
          <w:szCs w:val="20"/>
          <w:color w:val="auto"/>
        </w:rPr>
      </w:pPr>
      <w:r>
        <w:rPr>
          <w:rFonts w:ascii="Arial" w:cs="Arial" w:eastAsia="Arial" w:hAnsi="Arial"/>
          <w:sz w:val="18"/>
          <w:szCs w:val="18"/>
          <w:color w:val="auto"/>
        </w:rPr>
        <w:t>The Company is evaluating its long-term financing needs and in 2018 may refinance all or part of its unsecured $400.0 million notes outstanding due February 1, 2019.</w:t>
      </w:r>
    </w:p>
    <w:p>
      <w:pPr>
        <w:spacing w:after="0" w:line="135" w:lineRule="exact"/>
        <w:rPr>
          <w:sz w:val="20"/>
          <w:szCs w:val="20"/>
          <w:color w:val="auto"/>
        </w:rPr>
      </w:pPr>
    </w:p>
    <w:p>
      <w:pPr>
        <w:ind w:right="580"/>
        <w:spacing w:after="0" w:line="229" w:lineRule="auto"/>
        <w:rPr>
          <w:sz w:val="20"/>
          <w:szCs w:val="20"/>
          <w:color w:val="auto"/>
        </w:rPr>
      </w:pPr>
      <w:r>
        <w:rPr>
          <w:rFonts w:ascii="Arial" w:cs="Arial" w:eastAsia="Arial" w:hAnsi="Arial"/>
          <w:sz w:val="18"/>
          <w:szCs w:val="18"/>
          <w:color w:val="auto"/>
        </w:rPr>
        <w:t>At December 31, 2017 and 2016, the Company had working capital of $857.2 million and $1,052.4 million, respectively. The Company maintains working capital levels consistent with its underlying business requirements and consistently generates cash from operations in excess of required interest or principal payments.</w:t>
      </w:r>
    </w:p>
    <w:p>
      <w:pPr>
        <w:spacing w:after="0" w:line="137" w:lineRule="exact"/>
        <w:rPr>
          <w:sz w:val="20"/>
          <w:szCs w:val="20"/>
          <w:color w:val="auto"/>
        </w:rPr>
      </w:pPr>
    </w:p>
    <w:p>
      <w:pPr>
        <w:ind w:right="180"/>
        <w:spacing w:after="0" w:line="235" w:lineRule="auto"/>
        <w:rPr>
          <w:sz w:val="20"/>
          <w:szCs w:val="20"/>
          <w:color w:val="auto"/>
        </w:rPr>
      </w:pPr>
      <w:r>
        <w:rPr>
          <w:rFonts w:ascii="Arial" w:cs="Arial" w:eastAsia="Arial" w:hAnsi="Arial"/>
          <w:sz w:val="18"/>
          <w:szCs w:val="18"/>
          <w:color w:val="auto"/>
        </w:rPr>
        <w:t>The Company’s net cash provided by operating activities, as reported in the Company’s Consolidated Statements of Cash Flows, was $268.1 million in 2017, compared to $261.3 million in 2016.</w:t>
      </w:r>
    </w:p>
    <w:p>
      <w:pPr>
        <w:spacing w:after="0" w:line="135" w:lineRule="exact"/>
        <w:rPr>
          <w:sz w:val="20"/>
          <w:szCs w:val="20"/>
          <w:color w:val="auto"/>
        </w:rPr>
      </w:pPr>
    </w:p>
    <w:p>
      <w:pPr>
        <w:ind w:right="20"/>
        <w:spacing w:after="0" w:line="223" w:lineRule="auto"/>
        <w:rPr>
          <w:sz w:val="20"/>
          <w:szCs w:val="20"/>
          <w:color w:val="auto"/>
        </w:rPr>
      </w:pPr>
      <w:r>
        <w:rPr>
          <w:rFonts w:ascii="Arial" w:cs="Arial" w:eastAsia="Arial" w:hAnsi="Arial"/>
          <w:sz w:val="18"/>
          <w:szCs w:val="18"/>
          <w:color w:val="auto"/>
        </w:rPr>
        <w:t>In July 2016, Kaplan International Holdings Limited (KIHL) entered into an agreement with University of York International Pathway College LLP (York International College) to loan York International College £25 million over the next 18 months, to construct an academic building in the U.K. to be used by the College. York International College is a limited liability partnership joint venture between Kaplan York Limited (a subsidiary of Kaplan International Colleges U.K. Limited) and a subsidiary of the University of York, that operates a pathways college. The loan will be repayable over 25 years at an interest rate of 7%, and the loan is guaranteed by the University of York. While there is no strict requirement to make annual principal and interest payments, interest will be rolled up and accrue interest at 7% if no such payments are made. The loan becomes due and payable if the partnership agreement with KIHL is terminated. In the second half of 2016, KIHL advanced approximately £11.0 million to York International College. In 2017, an additional £5.0 million was advanced to York International College.</w:t>
      </w:r>
    </w:p>
    <w:p>
      <w:pPr>
        <w:spacing w:after="0" w:line="136" w:lineRule="exact"/>
        <w:rPr>
          <w:sz w:val="20"/>
          <w:szCs w:val="20"/>
          <w:color w:val="auto"/>
        </w:rPr>
      </w:pPr>
    </w:p>
    <w:p>
      <w:pPr>
        <w:ind w:right="160"/>
        <w:spacing w:after="0" w:line="229" w:lineRule="auto"/>
        <w:rPr>
          <w:sz w:val="20"/>
          <w:szCs w:val="20"/>
          <w:color w:val="auto"/>
        </w:rPr>
      </w:pPr>
      <w:r>
        <w:rPr>
          <w:rFonts w:ascii="Arial" w:cs="Arial" w:eastAsia="Arial" w:hAnsi="Arial"/>
          <w:sz w:val="18"/>
          <w:szCs w:val="18"/>
          <w:color w:val="auto"/>
        </w:rPr>
        <w:t>The Company expects to fund its estimated capital needs primarily through existing cash balances and internally generated funds and, to a lesser extent, borrowings under its revolving credit facility. In management’s opinion, the Company will have ample liquidity to meet its various cash needs in 2018.</w:t>
      </w:r>
    </w:p>
    <w:p>
      <w:pPr>
        <w:spacing w:after="0" w:line="200" w:lineRule="exact"/>
        <w:rPr>
          <w:sz w:val="20"/>
          <w:szCs w:val="20"/>
          <w:color w:val="auto"/>
        </w:rPr>
      </w:pPr>
    </w:p>
    <w:p>
      <w:pPr>
        <w:spacing w:after="0" w:line="30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63</w:t>
      </w:r>
    </w:p>
    <w:p>
      <w:pPr>
        <w:sectPr>
          <w:pgSz w:w="11900" w:h="16838" w:orient="portrait"/>
          <w:cols w:equalWidth="0" w:num="1">
            <w:col w:w="11420"/>
          </w:cols>
          <w:pgMar w:left="240" w:top="746" w:right="239" w:bottom="1440" w:gutter="0" w:footer="0" w:header="0"/>
        </w:sectPr>
      </w:pPr>
    </w:p>
    <w:bookmarkStart w:id="65" w:name="page66"/>
    <w:bookmarkEnd w:id="65"/>
    <w:p>
      <w:pPr>
        <w:spacing w:after="0"/>
        <w:rPr>
          <w:sz w:val="20"/>
          <w:szCs w:val="20"/>
          <w:color w:val="auto"/>
        </w:rPr>
      </w:pPr>
      <w:r>
        <w:rPr>
          <w:rFonts w:ascii="Arial" w:cs="Arial" w:eastAsia="Arial" w:hAnsi="Arial"/>
          <w:sz w:val="18"/>
          <w:szCs w:val="18"/>
          <w:color w:val="auto"/>
        </w:rPr>
        <w:t>The following reflects a summary of the Company’s contractual obligations as of December 31, 2017:</w:t>
      </w:r>
    </w:p>
    <w:p>
      <w:pPr>
        <w:spacing w:after="0" w:line="199"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344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(in thousands)</w:t>
            </w:r>
          </w:p>
        </w:tc>
        <w:tc>
          <w:tcPr>
            <w:tcW w:w="24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ind w:right="300"/>
              <w:spacing w:after="0"/>
              <w:rPr>
                <w:sz w:val="20"/>
                <w:szCs w:val="20"/>
                <w:color w:val="auto"/>
              </w:rPr>
            </w:pPr>
            <w:r>
              <w:rPr>
                <w:rFonts w:ascii="Arial" w:cs="Arial" w:eastAsia="Arial" w:hAnsi="Arial"/>
                <w:sz w:val="14"/>
                <w:szCs w:val="14"/>
                <w:b w:val="1"/>
                <w:bCs w:val="1"/>
                <w:color w:val="auto"/>
              </w:rPr>
              <w:t>2018</w:t>
            </w:r>
          </w:p>
        </w:tc>
        <w:tc>
          <w:tcPr>
            <w:tcW w:w="32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ind w:right="300"/>
              <w:spacing w:after="0"/>
              <w:rPr>
                <w:sz w:val="20"/>
                <w:szCs w:val="20"/>
                <w:color w:val="auto"/>
              </w:rPr>
            </w:pPr>
            <w:r>
              <w:rPr>
                <w:rFonts w:ascii="Arial" w:cs="Arial" w:eastAsia="Arial" w:hAnsi="Arial"/>
                <w:sz w:val="14"/>
                <w:szCs w:val="14"/>
                <w:b w:val="1"/>
                <w:bCs w:val="1"/>
                <w:color w:val="auto"/>
              </w:rPr>
              <w:t>2019</w:t>
            </w:r>
          </w:p>
        </w:tc>
        <w:tc>
          <w:tcPr>
            <w:tcW w:w="32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ind w:right="280"/>
              <w:spacing w:after="0"/>
              <w:rPr>
                <w:sz w:val="20"/>
                <w:szCs w:val="20"/>
                <w:color w:val="auto"/>
              </w:rPr>
            </w:pPr>
            <w:r>
              <w:rPr>
                <w:rFonts w:ascii="Arial" w:cs="Arial" w:eastAsia="Arial" w:hAnsi="Arial"/>
                <w:sz w:val="14"/>
                <w:szCs w:val="14"/>
                <w:b w:val="1"/>
                <w:bCs w:val="1"/>
                <w:color w:val="auto"/>
              </w:rPr>
              <w:t>2020</w:t>
            </w:r>
          </w:p>
        </w:tc>
        <w:tc>
          <w:tcPr>
            <w:tcW w:w="34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ind w:right="280"/>
              <w:spacing w:after="0"/>
              <w:rPr>
                <w:sz w:val="20"/>
                <w:szCs w:val="20"/>
                <w:color w:val="auto"/>
              </w:rPr>
            </w:pPr>
            <w:r>
              <w:rPr>
                <w:rFonts w:ascii="Arial" w:cs="Arial" w:eastAsia="Arial" w:hAnsi="Arial"/>
                <w:sz w:val="14"/>
                <w:szCs w:val="14"/>
                <w:b w:val="1"/>
                <w:bCs w:val="1"/>
                <w:color w:val="auto"/>
              </w:rPr>
              <w:t>2021</w:t>
            </w:r>
          </w:p>
        </w:tc>
        <w:tc>
          <w:tcPr>
            <w:tcW w:w="34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ind w:right="300"/>
              <w:spacing w:after="0"/>
              <w:rPr>
                <w:sz w:val="20"/>
                <w:szCs w:val="20"/>
                <w:color w:val="auto"/>
              </w:rPr>
            </w:pPr>
            <w:r>
              <w:rPr>
                <w:rFonts w:ascii="Arial" w:cs="Arial" w:eastAsia="Arial" w:hAnsi="Arial"/>
                <w:sz w:val="14"/>
                <w:szCs w:val="14"/>
                <w:b w:val="1"/>
                <w:bCs w:val="1"/>
                <w:color w:val="auto"/>
              </w:rPr>
              <w:t>2022</w:t>
            </w:r>
          </w:p>
        </w:tc>
        <w:tc>
          <w:tcPr>
            <w:tcW w:w="24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ind w:right="100"/>
              <w:spacing w:after="0"/>
              <w:rPr>
                <w:sz w:val="20"/>
                <w:szCs w:val="20"/>
                <w:color w:val="auto"/>
              </w:rPr>
            </w:pPr>
            <w:r>
              <w:rPr>
                <w:rFonts w:ascii="Arial" w:cs="Arial" w:eastAsia="Arial" w:hAnsi="Arial"/>
                <w:sz w:val="14"/>
                <w:szCs w:val="14"/>
                <w:b w:val="1"/>
                <w:bCs w:val="1"/>
                <w:color w:val="auto"/>
              </w:rPr>
              <w:t>Thereafter</w:t>
            </w:r>
          </w:p>
        </w:tc>
        <w:tc>
          <w:tcPr>
            <w:tcW w:w="30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ind w:right="32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250"/>
        </w:trPr>
        <w:tc>
          <w:tcPr>
            <w:tcW w:w="3440" w:type="dxa"/>
            <w:vAlign w:val="bottom"/>
          </w:tcPr>
          <w:p>
            <w:pPr>
              <w:ind w:left="40"/>
              <w:spacing w:after="0"/>
              <w:rPr>
                <w:sz w:val="20"/>
                <w:szCs w:val="20"/>
                <w:color w:val="auto"/>
              </w:rPr>
            </w:pPr>
            <w:r>
              <w:rPr>
                <w:rFonts w:ascii="Arial" w:cs="Arial" w:eastAsia="Arial" w:hAnsi="Arial"/>
                <w:sz w:val="16"/>
                <w:szCs w:val="16"/>
                <w:color w:val="auto"/>
              </w:rPr>
              <w:t>Debt and interest</w:t>
            </w:r>
          </w:p>
        </w:tc>
        <w:tc>
          <w:tcPr>
            <w:tcW w:w="24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840" w:type="dxa"/>
            <w:vAlign w:val="bottom"/>
          </w:tcPr>
          <w:p>
            <w:pPr>
              <w:jc w:val="right"/>
              <w:ind w:right="60"/>
              <w:spacing w:after="0"/>
              <w:rPr>
                <w:sz w:val="20"/>
                <w:szCs w:val="20"/>
                <w:color w:val="auto"/>
              </w:rPr>
            </w:pPr>
            <w:r>
              <w:rPr>
                <w:rFonts w:ascii="Arial" w:cs="Arial" w:eastAsia="Arial" w:hAnsi="Arial"/>
                <w:sz w:val="16"/>
                <w:szCs w:val="16"/>
                <w:color w:val="auto"/>
              </w:rPr>
              <w:t>37,534</w:t>
            </w:r>
          </w:p>
        </w:tc>
        <w:tc>
          <w:tcPr>
            <w:tcW w:w="32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820" w:type="dxa"/>
            <w:vAlign w:val="bottom"/>
          </w:tcPr>
          <w:p>
            <w:pPr>
              <w:jc w:val="right"/>
              <w:ind w:right="40"/>
              <w:spacing w:after="0"/>
              <w:rPr>
                <w:sz w:val="20"/>
                <w:szCs w:val="20"/>
                <w:color w:val="auto"/>
              </w:rPr>
            </w:pPr>
            <w:r>
              <w:rPr>
                <w:rFonts w:ascii="Arial" w:cs="Arial" w:eastAsia="Arial" w:hAnsi="Arial"/>
                <w:sz w:val="16"/>
                <w:szCs w:val="16"/>
                <w:color w:val="auto"/>
              </w:rPr>
              <w:t>422,899</w:t>
            </w:r>
          </w:p>
        </w:tc>
        <w:tc>
          <w:tcPr>
            <w:tcW w:w="32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800" w:type="dxa"/>
            <w:vAlign w:val="bottom"/>
          </w:tcPr>
          <w:p>
            <w:pPr>
              <w:jc w:val="right"/>
              <w:ind w:right="40"/>
              <w:spacing w:after="0"/>
              <w:rPr>
                <w:sz w:val="20"/>
                <w:szCs w:val="20"/>
                <w:color w:val="auto"/>
              </w:rPr>
            </w:pPr>
            <w:r>
              <w:rPr>
                <w:rFonts w:ascii="Arial" w:cs="Arial" w:eastAsia="Arial" w:hAnsi="Arial"/>
                <w:sz w:val="16"/>
                <w:szCs w:val="16"/>
                <w:color w:val="auto"/>
              </w:rPr>
              <w:t>81,064</w:t>
            </w:r>
          </w:p>
        </w:tc>
        <w:tc>
          <w:tcPr>
            <w:tcW w:w="34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800" w:type="dxa"/>
            <w:vAlign w:val="bottom"/>
          </w:tcPr>
          <w:p>
            <w:pPr>
              <w:jc w:val="right"/>
              <w:ind w:right="40"/>
              <w:spacing w:after="0"/>
              <w:rPr>
                <w:sz w:val="20"/>
                <w:szCs w:val="20"/>
                <w:color w:val="auto"/>
              </w:rPr>
            </w:pPr>
            <w:r>
              <w:rPr>
                <w:rFonts w:ascii="Arial" w:cs="Arial" w:eastAsia="Arial" w:hAnsi="Arial"/>
                <w:sz w:val="16"/>
                <w:szCs w:val="16"/>
                <w:color w:val="auto"/>
              </w:rPr>
              <w:t>14</w:t>
            </w:r>
          </w:p>
        </w:tc>
        <w:tc>
          <w:tcPr>
            <w:tcW w:w="34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800" w:type="dxa"/>
            <w:vAlign w:val="bottom"/>
          </w:tcPr>
          <w:p>
            <w:pPr>
              <w:jc w:val="right"/>
              <w:ind w:right="40"/>
              <w:spacing w:after="0"/>
              <w:rPr>
                <w:sz w:val="20"/>
                <w:szCs w:val="20"/>
                <w:color w:val="auto"/>
              </w:rPr>
            </w:pPr>
            <w:r>
              <w:rPr>
                <w:rFonts w:ascii="Arial" w:cs="Arial" w:eastAsia="Arial" w:hAnsi="Arial"/>
                <w:sz w:val="16"/>
                <w:szCs w:val="16"/>
                <w:color w:val="auto"/>
              </w:rPr>
              <w:t>15</w:t>
            </w:r>
          </w:p>
        </w:tc>
        <w:tc>
          <w:tcPr>
            <w:tcW w:w="240" w:type="dxa"/>
            <w:vAlign w:val="bottom"/>
          </w:tcPr>
          <w:p>
            <w:pPr>
              <w:jc w:val="right"/>
              <w:spacing w:after="0"/>
              <w:rPr>
                <w:sz w:val="20"/>
                <w:szCs w:val="20"/>
                <w:color w:val="auto"/>
              </w:rPr>
            </w:pPr>
            <w:r>
              <w:rPr>
                <w:rFonts w:ascii="Arial" w:cs="Arial" w:eastAsia="Arial" w:hAnsi="Arial"/>
                <w:sz w:val="16"/>
                <w:szCs w:val="16"/>
                <w:color w:val="auto"/>
              </w:rPr>
              <w:t>$</w:t>
            </w:r>
          </w:p>
        </w:tc>
        <w:tc>
          <w:tcPr>
            <w:tcW w:w="900" w:type="dxa"/>
            <w:vAlign w:val="bottom"/>
          </w:tcPr>
          <w:p>
            <w:pPr>
              <w:jc w:val="right"/>
              <w:ind w:right="60"/>
              <w:spacing w:after="0"/>
              <w:rPr>
                <w:sz w:val="20"/>
                <w:szCs w:val="20"/>
                <w:color w:val="auto"/>
              </w:rPr>
            </w:pPr>
            <w:r>
              <w:rPr>
                <w:rFonts w:ascii="Arial" w:cs="Arial" w:eastAsia="Arial" w:hAnsi="Arial"/>
                <w:sz w:val="16"/>
                <w:szCs w:val="16"/>
                <w:color w:val="auto"/>
              </w:rPr>
              <w:t>45</w:t>
            </w:r>
          </w:p>
        </w:tc>
        <w:tc>
          <w:tcPr>
            <w:tcW w:w="30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920" w:type="dxa"/>
            <w:vAlign w:val="bottom"/>
          </w:tcPr>
          <w:p>
            <w:pPr>
              <w:jc w:val="right"/>
              <w:ind w:right="20"/>
              <w:spacing w:after="0"/>
              <w:rPr>
                <w:sz w:val="20"/>
                <w:szCs w:val="20"/>
                <w:color w:val="auto"/>
              </w:rPr>
            </w:pPr>
            <w:r>
              <w:rPr>
                <w:rFonts w:ascii="Arial" w:cs="Arial" w:eastAsia="Arial" w:hAnsi="Arial"/>
                <w:sz w:val="16"/>
                <w:szCs w:val="16"/>
                <w:color w:val="auto"/>
              </w:rPr>
              <w:t>541,571</w:t>
            </w:r>
          </w:p>
        </w:tc>
        <w:tc>
          <w:tcPr>
            <w:tcW w:w="0" w:type="dxa"/>
            <w:vAlign w:val="bottom"/>
          </w:tcPr>
          <w:p>
            <w:pPr>
              <w:spacing w:after="0"/>
              <w:rPr>
                <w:sz w:val="1"/>
                <w:szCs w:val="1"/>
                <w:color w:val="auto"/>
              </w:rPr>
            </w:pPr>
          </w:p>
        </w:tc>
      </w:tr>
      <w:tr>
        <w:trPr>
          <w:trHeight w:val="270"/>
        </w:trPr>
        <w:tc>
          <w:tcPr>
            <w:tcW w:w="3440" w:type="dxa"/>
            <w:vAlign w:val="bottom"/>
          </w:tcPr>
          <w:p>
            <w:pPr>
              <w:ind w:left="40"/>
              <w:spacing w:after="0"/>
              <w:rPr>
                <w:sz w:val="20"/>
                <w:szCs w:val="20"/>
                <w:color w:val="auto"/>
              </w:rPr>
            </w:pPr>
            <w:r>
              <w:rPr>
                <w:rFonts w:ascii="Arial" w:cs="Arial" w:eastAsia="Arial" w:hAnsi="Arial"/>
                <w:sz w:val="16"/>
                <w:szCs w:val="16"/>
                <w:color w:val="auto"/>
              </w:rPr>
              <w:t>Operating leases</w:t>
            </w:r>
          </w:p>
        </w:tc>
        <w:tc>
          <w:tcPr>
            <w:tcW w:w="240" w:type="dxa"/>
            <w:vAlign w:val="bottom"/>
          </w:tcPr>
          <w:p>
            <w:pPr>
              <w:spacing w:after="0"/>
              <w:rPr>
                <w:sz w:val="23"/>
                <w:szCs w:val="23"/>
                <w:color w:val="auto"/>
              </w:rPr>
            </w:pPr>
          </w:p>
        </w:tc>
        <w:tc>
          <w:tcPr>
            <w:tcW w:w="840" w:type="dxa"/>
            <w:vAlign w:val="bottom"/>
          </w:tcPr>
          <w:p>
            <w:pPr>
              <w:jc w:val="right"/>
              <w:ind w:right="60"/>
              <w:spacing w:after="0"/>
              <w:rPr>
                <w:sz w:val="20"/>
                <w:szCs w:val="20"/>
                <w:color w:val="auto"/>
              </w:rPr>
            </w:pPr>
            <w:r>
              <w:rPr>
                <w:rFonts w:ascii="Arial" w:cs="Arial" w:eastAsia="Arial" w:hAnsi="Arial"/>
                <w:sz w:val="16"/>
                <w:szCs w:val="16"/>
                <w:color w:val="auto"/>
              </w:rPr>
              <w:t>97,935</w:t>
            </w:r>
          </w:p>
        </w:tc>
        <w:tc>
          <w:tcPr>
            <w:tcW w:w="320" w:type="dxa"/>
            <w:vAlign w:val="bottom"/>
          </w:tcPr>
          <w:p>
            <w:pPr>
              <w:spacing w:after="0"/>
              <w:rPr>
                <w:sz w:val="23"/>
                <w:szCs w:val="23"/>
                <w:color w:val="auto"/>
              </w:rPr>
            </w:pPr>
          </w:p>
        </w:tc>
        <w:tc>
          <w:tcPr>
            <w:tcW w:w="820" w:type="dxa"/>
            <w:vAlign w:val="bottom"/>
          </w:tcPr>
          <w:p>
            <w:pPr>
              <w:jc w:val="right"/>
              <w:ind w:right="40"/>
              <w:spacing w:after="0"/>
              <w:rPr>
                <w:sz w:val="20"/>
                <w:szCs w:val="20"/>
                <w:color w:val="auto"/>
              </w:rPr>
            </w:pPr>
            <w:r>
              <w:rPr>
                <w:rFonts w:ascii="Arial" w:cs="Arial" w:eastAsia="Arial" w:hAnsi="Arial"/>
                <w:sz w:val="16"/>
                <w:szCs w:val="16"/>
                <w:color w:val="auto"/>
              </w:rPr>
              <w:t>88,298</w:t>
            </w:r>
          </w:p>
        </w:tc>
        <w:tc>
          <w:tcPr>
            <w:tcW w:w="320" w:type="dxa"/>
            <w:vAlign w:val="bottom"/>
          </w:tcPr>
          <w:p>
            <w:pPr>
              <w:spacing w:after="0"/>
              <w:rPr>
                <w:sz w:val="23"/>
                <w:szCs w:val="23"/>
                <w:color w:val="auto"/>
              </w:rPr>
            </w:pPr>
          </w:p>
        </w:tc>
        <w:tc>
          <w:tcPr>
            <w:tcW w:w="800" w:type="dxa"/>
            <w:vAlign w:val="bottom"/>
          </w:tcPr>
          <w:p>
            <w:pPr>
              <w:jc w:val="right"/>
              <w:ind w:right="40"/>
              <w:spacing w:after="0"/>
              <w:rPr>
                <w:sz w:val="20"/>
                <w:szCs w:val="20"/>
                <w:color w:val="auto"/>
              </w:rPr>
            </w:pPr>
            <w:r>
              <w:rPr>
                <w:rFonts w:ascii="Arial" w:cs="Arial" w:eastAsia="Arial" w:hAnsi="Arial"/>
                <w:sz w:val="16"/>
                <w:szCs w:val="16"/>
                <w:color w:val="auto"/>
              </w:rPr>
              <w:t>70,500</w:t>
            </w:r>
          </w:p>
        </w:tc>
        <w:tc>
          <w:tcPr>
            <w:tcW w:w="340" w:type="dxa"/>
            <w:vAlign w:val="bottom"/>
          </w:tcPr>
          <w:p>
            <w:pPr>
              <w:spacing w:after="0"/>
              <w:rPr>
                <w:sz w:val="23"/>
                <w:szCs w:val="23"/>
                <w:color w:val="auto"/>
              </w:rPr>
            </w:pPr>
          </w:p>
        </w:tc>
        <w:tc>
          <w:tcPr>
            <w:tcW w:w="800" w:type="dxa"/>
            <w:vAlign w:val="bottom"/>
          </w:tcPr>
          <w:p>
            <w:pPr>
              <w:jc w:val="right"/>
              <w:ind w:right="40"/>
              <w:spacing w:after="0"/>
              <w:rPr>
                <w:sz w:val="20"/>
                <w:szCs w:val="20"/>
                <w:color w:val="auto"/>
              </w:rPr>
            </w:pPr>
            <w:r>
              <w:rPr>
                <w:rFonts w:ascii="Arial" w:cs="Arial" w:eastAsia="Arial" w:hAnsi="Arial"/>
                <w:sz w:val="16"/>
                <w:szCs w:val="16"/>
                <w:color w:val="auto"/>
              </w:rPr>
              <w:t>56,693</w:t>
            </w:r>
          </w:p>
        </w:tc>
        <w:tc>
          <w:tcPr>
            <w:tcW w:w="340" w:type="dxa"/>
            <w:vAlign w:val="bottom"/>
          </w:tcPr>
          <w:p>
            <w:pPr>
              <w:spacing w:after="0"/>
              <w:rPr>
                <w:sz w:val="23"/>
                <w:szCs w:val="23"/>
                <w:color w:val="auto"/>
              </w:rPr>
            </w:pPr>
          </w:p>
        </w:tc>
        <w:tc>
          <w:tcPr>
            <w:tcW w:w="800" w:type="dxa"/>
            <w:vAlign w:val="bottom"/>
          </w:tcPr>
          <w:p>
            <w:pPr>
              <w:jc w:val="right"/>
              <w:ind w:right="40"/>
              <w:spacing w:after="0"/>
              <w:rPr>
                <w:sz w:val="20"/>
                <w:szCs w:val="20"/>
                <w:color w:val="auto"/>
              </w:rPr>
            </w:pPr>
            <w:r>
              <w:rPr>
                <w:rFonts w:ascii="Arial" w:cs="Arial" w:eastAsia="Arial" w:hAnsi="Arial"/>
                <w:sz w:val="16"/>
                <w:szCs w:val="16"/>
                <w:color w:val="auto"/>
              </w:rPr>
              <w:t>43,976</w:t>
            </w:r>
          </w:p>
        </w:tc>
        <w:tc>
          <w:tcPr>
            <w:tcW w:w="240" w:type="dxa"/>
            <w:vAlign w:val="bottom"/>
          </w:tcPr>
          <w:p>
            <w:pPr>
              <w:spacing w:after="0"/>
              <w:rPr>
                <w:sz w:val="23"/>
                <w:szCs w:val="23"/>
                <w:color w:val="auto"/>
              </w:rPr>
            </w:pPr>
          </w:p>
        </w:tc>
        <w:tc>
          <w:tcPr>
            <w:tcW w:w="900" w:type="dxa"/>
            <w:vAlign w:val="bottom"/>
          </w:tcPr>
          <w:p>
            <w:pPr>
              <w:jc w:val="right"/>
              <w:ind w:right="60"/>
              <w:spacing w:after="0"/>
              <w:rPr>
                <w:sz w:val="20"/>
                <w:szCs w:val="20"/>
                <w:color w:val="auto"/>
              </w:rPr>
            </w:pPr>
            <w:r>
              <w:rPr>
                <w:rFonts w:ascii="Arial" w:cs="Arial" w:eastAsia="Arial" w:hAnsi="Arial"/>
                <w:sz w:val="16"/>
                <w:szCs w:val="16"/>
                <w:color w:val="auto"/>
              </w:rPr>
              <w:t>121,875</w:t>
            </w:r>
          </w:p>
        </w:tc>
        <w:tc>
          <w:tcPr>
            <w:tcW w:w="300" w:type="dxa"/>
            <w:vAlign w:val="bottom"/>
          </w:tcPr>
          <w:p>
            <w:pPr>
              <w:spacing w:after="0"/>
              <w:rPr>
                <w:sz w:val="23"/>
                <w:szCs w:val="23"/>
                <w:color w:val="auto"/>
              </w:rPr>
            </w:pPr>
          </w:p>
        </w:tc>
        <w:tc>
          <w:tcPr>
            <w:tcW w:w="920" w:type="dxa"/>
            <w:vAlign w:val="bottom"/>
          </w:tcPr>
          <w:p>
            <w:pPr>
              <w:jc w:val="right"/>
              <w:ind w:right="20"/>
              <w:spacing w:after="0"/>
              <w:rPr>
                <w:sz w:val="20"/>
                <w:szCs w:val="20"/>
                <w:color w:val="auto"/>
              </w:rPr>
            </w:pPr>
            <w:r>
              <w:rPr>
                <w:rFonts w:ascii="Arial" w:cs="Arial" w:eastAsia="Arial" w:hAnsi="Arial"/>
                <w:sz w:val="16"/>
                <w:szCs w:val="16"/>
                <w:color w:val="auto"/>
              </w:rPr>
              <w:t>479,277</w:t>
            </w:r>
          </w:p>
        </w:tc>
        <w:tc>
          <w:tcPr>
            <w:tcW w:w="0" w:type="dxa"/>
            <w:vAlign w:val="bottom"/>
          </w:tcPr>
          <w:p>
            <w:pPr>
              <w:spacing w:after="0"/>
              <w:rPr>
                <w:sz w:val="1"/>
                <w:szCs w:val="1"/>
                <w:color w:val="auto"/>
              </w:rPr>
            </w:pPr>
          </w:p>
        </w:tc>
      </w:tr>
      <w:tr>
        <w:trPr>
          <w:trHeight w:val="340"/>
        </w:trPr>
        <w:tc>
          <w:tcPr>
            <w:tcW w:w="3440" w:type="dxa"/>
            <w:vAlign w:val="bottom"/>
          </w:tcPr>
          <w:p>
            <w:pPr>
              <w:ind w:left="40"/>
              <w:spacing w:after="0"/>
              <w:rPr>
                <w:sz w:val="20"/>
                <w:szCs w:val="20"/>
                <w:color w:val="auto"/>
              </w:rPr>
            </w:pPr>
            <w:r>
              <w:rPr>
                <w:rFonts w:ascii="Arial" w:cs="Arial" w:eastAsia="Arial" w:hAnsi="Arial"/>
                <w:sz w:val="16"/>
                <w:szCs w:val="16"/>
                <w:color w:val="auto"/>
              </w:rPr>
              <w:t xml:space="preserve">Programming purchase commitments </w:t>
            </w:r>
            <w:r>
              <w:rPr>
                <w:rFonts w:ascii="Arial" w:cs="Arial" w:eastAsia="Arial" w:hAnsi="Arial"/>
                <w:sz w:val="21"/>
                <w:szCs w:val="21"/>
                <w:color w:val="auto"/>
                <w:vertAlign w:val="superscript"/>
              </w:rPr>
              <w:t>(1)</w:t>
            </w:r>
          </w:p>
        </w:tc>
        <w:tc>
          <w:tcPr>
            <w:tcW w:w="240" w:type="dxa"/>
            <w:vAlign w:val="bottom"/>
          </w:tcPr>
          <w:p>
            <w:pPr>
              <w:spacing w:after="0"/>
              <w:rPr>
                <w:sz w:val="24"/>
                <w:szCs w:val="24"/>
                <w:color w:val="auto"/>
              </w:rPr>
            </w:pPr>
          </w:p>
        </w:tc>
        <w:tc>
          <w:tcPr>
            <w:tcW w:w="840" w:type="dxa"/>
            <w:vAlign w:val="bottom"/>
          </w:tcPr>
          <w:p>
            <w:pPr>
              <w:jc w:val="right"/>
              <w:ind w:right="60"/>
              <w:spacing w:after="0"/>
              <w:rPr>
                <w:sz w:val="20"/>
                <w:szCs w:val="20"/>
                <w:color w:val="auto"/>
              </w:rPr>
            </w:pPr>
            <w:r>
              <w:rPr>
                <w:rFonts w:ascii="Arial" w:cs="Arial" w:eastAsia="Arial" w:hAnsi="Arial"/>
                <w:sz w:val="16"/>
                <w:szCs w:val="16"/>
                <w:color w:val="auto"/>
              </w:rPr>
              <w:t>8,741</w:t>
            </w:r>
          </w:p>
        </w:tc>
        <w:tc>
          <w:tcPr>
            <w:tcW w:w="320" w:type="dxa"/>
            <w:vAlign w:val="bottom"/>
          </w:tcPr>
          <w:p>
            <w:pPr>
              <w:spacing w:after="0"/>
              <w:rPr>
                <w:sz w:val="24"/>
                <w:szCs w:val="24"/>
                <w:color w:val="auto"/>
              </w:rPr>
            </w:pPr>
          </w:p>
        </w:tc>
        <w:tc>
          <w:tcPr>
            <w:tcW w:w="820" w:type="dxa"/>
            <w:vAlign w:val="bottom"/>
          </w:tcPr>
          <w:p>
            <w:pPr>
              <w:jc w:val="right"/>
              <w:ind w:right="40"/>
              <w:spacing w:after="0"/>
              <w:rPr>
                <w:sz w:val="20"/>
                <w:szCs w:val="20"/>
                <w:color w:val="auto"/>
              </w:rPr>
            </w:pPr>
            <w:r>
              <w:rPr>
                <w:rFonts w:ascii="Arial" w:cs="Arial" w:eastAsia="Arial" w:hAnsi="Arial"/>
                <w:sz w:val="16"/>
                <w:szCs w:val="16"/>
                <w:color w:val="auto"/>
              </w:rPr>
              <w:t>7,422</w:t>
            </w:r>
          </w:p>
        </w:tc>
        <w:tc>
          <w:tcPr>
            <w:tcW w:w="320" w:type="dxa"/>
            <w:vAlign w:val="bottom"/>
          </w:tcPr>
          <w:p>
            <w:pPr>
              <w:spacing w:after="0"/>
              <w:rPr>
                <w:sz w:val="24"/>
                <w:szCs w:val="24"/>
                <w:color w:val="auto"/>
              </w:rPr>
            </w:pPr>
          </w:p>
        </w:tc>
        <w:tc>
          <w:tcPr>
            <w:tcW w:w="800" w:type="dxa"/>
            <w:vAlign w:val="bottom"/>
          </w:tcPr>
          <w:p>
            <w:pPr>
              <w:jc w:val="right"/>
              <w:ind w:right="40"/>
              <w:spacing w:after="0"/>
              <w:rPr>
                <w:sz w:val="20"/>
                <w:szCs w:val="20"/>
                <w:color w:val="auto"/>
              </w:rPr>
            </w:pPr>
            <w:r>
              <w:rPr>
                <w:rFonts w:ascii="Arial" w:cs="Arial" w:eastAsia="Arial" w:hAnsi="Arial"/>
                <w:sz w:val="16"/>
                <w:szCs w:val="16"/>
                <w:color w:val="auto"/>
              </w:rPr>
              <w:t>4,835</w:t>
            </w:r>
          </w:p>
        </w:tc>
        <w:tc>
          <w:tcPr>
            <w:tcW w:w="340" w:type="dxa"/>
            <w:vAlign w:val="bottom"/>
          </w:tcPr>
          <w:p>
            <w:pPr>
              <w:spacing w:after="0"/>
              <w:rPr>
                <w:sz w:val="24"/>
                <w:szCs w:val="24"/>
                <w:color w:val="auto"/>
              </w:rPr>
            </w:pPr>
          </w:p>
        </w:tc>
        <w:tc>
          <w:tcPr>
            <w:tcW w:w="800" w:type="dxa"/>
            <w:vAlign w:val="bottom"/>
          </w:tcPr>
          <w:p>
            <w:pPr>
              <w:jc w:val="right"/>
              <w:ind w:right="40"/>
              <w:spacing w:after="0"/>
              <w:rPr>
                <w:sz w:val="20"/>
                <w:szCs w:val="20"/>
                <w:color w:val="auto"/>
              </w:rPr>
            </w:pPr>
            <w:r>
              <w:rPr>
                <w:rFonts w:ascii="Arial" w:cs="Arial" w:eastAsia="Arial" w:hAnsi="Arial"/>
                <w:sz w:val="16"/>
                <w:szCs w:val="16"/>
                <w:color w:val="auto"/>
              </w:rPr>
              <w:t>301</w:t>
            </w:r>
          </w:p>
        </w:tc>
        <w:tc>
          <w:tcPr>
            <w:tcW w:w="340" w:type="dxa"/>
            <w:vAlign w:val="bottom"/>
          </w:tcPr>
          <w:p>
            <w:pPr>
              <w:spacing w:after="0"/>
              <w:rPr>
                <w:sz w:val="24"/>
                <w:szCs w:val="24"/>
                <w:color w:val="auto"/>
              </w:rPr>
            </w:pPr>
          </w:p>
        </w:tc>
        <w:tc>
          <w:tcPr>
            <w:tcW w:w="800" w:type="dxa"/>
            <w:vAlign w:val="bottom"/>
          </w:tcPr>
          <w:p>
            <w:pPr>
              <w:jc w:val="right"/>
              <w:ind w:right="40"/>
              <w:spacing w:after="0"/>
              <w:rPr>
                <w:sz w:val="20"/>
                <w:szCs w:val="20"/>
                <w:color w:val="auto"/>
              </w:rPr>
            </w:pPr>
            <w:r>
              <w:rPr>
                <w:rFonts w:ascii="Arial" w:cs="Arial" w:eastAsia="Arial" w:hAnsi="Arial"/>
                <w:sz w:val="16"/>
                <w:szCs w:val="16"/>
                <w:color w:val="auto"/>
              </w:rPr>
              <w:t>383</w:t>
            </w:r>
          </w:p>
        </w:tc>
        <w:tc>
          <w:tcPr>
            <w:tcW w:w="240" w:type="dxa"/>
            <w:vAlign w:val="bottom"/>
          </w:tcPr>
          <w:p>
            <w:pPr>
              <w:spacing w:after="0"/>
              <w:rPr>
                <w:sz w:val="24"/>
                <w:szCs w:val="24"/>
                <w:color w:val="auto"/>
              </w:rPr>
            </w:pPr>
          </w:p>
        </w:tc>
        <w:tc>
          <w:tcPr>
            <w:tcW w:w="900" w:type="dxa"/>
            <w:vAlign w:val="bottom"/>
          </w:tcPr>
          <w:p>
            <w:pPr>
              <w:jc w:val="right"/>
              <w:ind w:right="60"/>
              <w:spacing w:after="0"/>
              <w:rPr>
                <w:sz w:val="20"/>
                <w:szCs w:val="20"/>
                <w:color w:val="auto"/>
              </w:rPr>
            </w:pPr>
            <w:r>
              <w:rPr>
                <w:rFonts w:ascii="Arial" w:cs="Arial" w:eastAsia="Arial" w:hAnsi="Arial"/>
                <w:sz w:val="16"/>
                <w:szCs w:val="16"/>
                <w:color w:val="auto"/>
              </w:rPr>
              <w:t>—</w:t>
            </w:r>
          </w:p>
        </w:tc>
        <w:tc>
          <w:tcPr>
            <w:tcW w:w="300" w:type="dxa"/>
            <w:vAlign w:val="bottom"/>
          </w:tcPr>
          <w:p>
            <w:pPr>
              <w:spacing w:after="0"/>
              <w:rPr>
                <w:sz w:val="24"/>
                <w:szCs w:val="24"/>
                <w:color w:val="auto"/>
              </w:rPr>
            </w:pPr>
          </w:p>
        </w:tc>
        <w:tc>
          <w:tcPr>
            <w:tcW w:w="920" w:type="dxa"/>
            <w:vAlign w:val="bottom"/>
          </w:tcPr>
          <w:p>
            <w:pPr>
              <w:jc w:val="right"/>
              <w:ind w:right="20"/>
              <w:spacing w:after="0"/>
              <w:rPr>
                <w:sz w:val="20"/>
                <w:szCs w:val="20"/>
                <w:color w:val="auto"/>
              </w:rPr>
            </w:pPr>
            <w:r>
              <w:rPr>
                <w:rFonts w:ascii="Arial" w:cs="Arial" w:eastAsia="Arial" w:hAnsi="Arial"/>
                <w:sz w:val="16"/>
                <w:szCs w:val="16"/>
                <w:color w:val="auto"/>
              </w:rPr>
              <w:t>21,682</w:t>
            </w:r>
          </w:p>
        </w:tc>
        <w:tc>
          <w:tcPr>
            <w:tcW w:w="0" w:type="dxa"/>
            <w:vAlign w:val="bottom"/>
          </w:tcPr>
          <w:p>
            <w:pPr>
              <w:spacing w:after="0"/>
              <w:rPr>
                <w:sz w:val="1"/>
                <w:szCs w:val="1"/>
                <w:color w:val="auto"/>
              </w:rPr>
            </w:pPr>
          </w:p>
        </w:tc>
      </w:tr>
      <w:tr>
        <w:trPr>
          <w:trHeight w:val="270"/>
        </w:trPr>
        <w:tc>
          <w:tcPr>
            <w:tcW w:w="3440" w:type="dxa"/>
            <w:vAlign w:val="bottom"/>
          </w:tcPr>
          <w:p>
            <w:pPr>
              <w:ind w:left="40"/>
              <w:spacing w:after="0"/>
              <w:rPr>
                <w:sz w:val="20"/>
                <w:szCs w:val="20"/>
                <w:color w:val="auto"/>
              </w:rPr>
            </w:pPr>
            <w:r>
              <w:rPr>
                <w:rFonts w:ascii="Arial" w:cs="Arial" w:eastAsia="Arial" w:hAnsi="Arial"/>
                <w:sz w:val="16"/>
                <w:szCs w:val="16"/>
                <w:color w:val="auto"/>
              </w:rPr>
              <w:t xml:space="preserve">Other purchase obligations </w:t>
            </w:r>
            <w:r>
              <w:rPr>
                <w:rFonts w:ascii="Arial" w:cs="Arial" w:eastAsia="Arial" w:hAnsi="Arial"/>
                <w:sz w:val="21"/>
                <w:szCs w:val="21"/>
                <w:color w:val="auto"/>
                <w:vertAlign w:val="superscript"/>
              </w:rPr>
              <w:t>(2)</w:t>
            </w:r>
          </w:p>
        </w:tc>
        <w:tc>
          <w:tcPr>
            <w:tcW w:w="240" w:type="dxa"/>
            <w:vAlign w:val="bottom"/>
          </w:tcPr>
          <w:p>
            <w:pPr>
              <w:spacing w:after="0"/>
              <w:rPr>
                <w:sz w:val="23"/>
                <w:szCs w:val="23"/>
                <w:color w:val="auto"/>
              </w:rPr>
            </w:pPr>
          </w:p>
        </w:tc>
        <w:tc>
          <w:tcPr>
            <w:tcW w:w="840" w:type="dxa"/>
            <w:vAlign w:val="bottom"/>
          </w:tcPr>
          <w:p>
            <w:pPr>
              <w:jc w:val="right"/>
              <w:ind w:right="60"/>
              <w:spacing w:after="0"/>
              <w:rPr>
                <w:sz w:val="20"/>
                <w:szCs w:val="20"/>
                <w:color w:val="auto"/>
              </w:rPr>
            </w:pPr>
            <w:r>
              <w:rPr>
                <w:rFonts w:ascii="Arial" w:cs="Arial" w:eastAsia="Arial" w:hAnsi="Arial"/>
                <w:sz w:val="16"/>
                <w:szCs w:val="16"/>
                <w:color w:val="auto"/>
              </w:rPr>
              <w:t>94,595</w:t>
            </w:r>
          </w:p>
        </w:tc>
        <w:tc>
          <w:tcPr>
            <w:tcW w:w="320" w:type="dxa"/>
            <w:vAlign w:val="bottom"/>
          </w:tcPr>
          <w:p>
            <w:pPr>
              <w:spacing w:after="0"/>
              <w:rPr>
                <w:sz w:val="23"/>
                <w:szCs w:val="23"/>
                <w:color w:val="auto"/>
              </w:rPr>
            </w:pPr>
          </w:p>
        </w:tc>
        <w:tc>
          <w:tcPr>
            <w:tcW w:w="820" w:type="dxa"/>
            <w:vAlign w:val="bottom"/>
          </w:tcPr>
          <w:p>
            <w:pPr>
              <w:jc w:val="right"/>
              <w:ind w:right="40"/>
              <w:spacing w:after="0"/>
              <w:rPr>
                <w:sz w:val="20"/>
                <w:szCs w:val="20"/>
                <w:color w:val="auto"/>
              </w:rPr>
            </w:pPr>
            <w:r>
              <w:rPr>
                <w:rFonts w:ascii="Arial" w:cs="Arial" w:eastAsia="Arial" w:hAnsi="Arial"/>
                <w:sz w:val="16"/>
                <w:szCs w:val="16"/>
                <w:color w:val="auto"/>
              </w:rPr>
              <w:t>49,408</w:t>
            </w:r>
          </w:p>
        </w:tc>
        <w:tc>
          <w:tcPr>
            <w:tcW w:w="320" w:type="dxa"/>
            <w:vAlign w:val="bottom"/>
          </w:tcPr>
          <w:p>
            <w:pPr>
              <w:spacing w:after="0"/>
              <w:rPr>
                <w:sz w:val="23"/>
                <w:szCs w:val="23"/>
                <w:color w:val="auto"/>
              </w:rPr>
            </w:pPr>
          </w:p>
        </w:tc>
        <w:tc>
          <w:tcPr>
            <w:tcW w:w="800" w:type="dxa"/>
            <w:vAlign w:val="bottom"/>
          </w:tcPr>
          <w:p>
            <w:pPr>
              <w:jc w:val="right"/>
              <w:ind w:right="40"/>
              <w:spacing w:after="0"/>
              <w:rPr>
                <w:sz w:val="20"/>
                <w:szCs w:val="20"/>
                <w:color w:val="auto"/>
              </w:rPr>
            </w:pPr>
            <w:r>
              <w:rPr>
                <w:rFonts w:ascii="Arial" w:cs="Arial" w:eastAsia="Arial" w:hAnsi="Arial"/>
                <w:sz w:val="16"/>
                <w:szCs w:val="16"/>
                <w:color w:val="auto"/>
              </w:rPr>
              <w:t>17,197</w:t>
            </w:r>
          </w:p>
        </w:tc>
        <w:tc>
          <w:tcPr>
            <w:tcW w:w="340" w:type="dxa"/>
            <w:vAlign w:val="bottom"/>
          </w:tcPr>
          <w:p>
            <w:pPr>
              <w:spacing w:after="0"/>
              <w:rPr>
                <w:sz w:val="23"/>
                <w:szCs w:val="23"/>
                <w:color w:val="auto"/>
              </w:rPr>
            </w:pPr>
          </w:p>
        </w:tc>
        <w:tc>
          <w:tcPr>
            <w:tcW w:w="800" w:type="dxa"/>
            <w:vAlign w:val="bottom"/>
          </w:tcPr>
          <w:p>
            <w:pPr>
              <w:jc w:val="right"/>
              <w:ind w:right="40"/>
              <w:spacing w:after="0"/>
              <w:rPr>
                <w:sz w:val="20"/>
                <w:szCs w:val="20"/>
                <w:color w:val="auto"/>
              </w:rPr>
            </w:pPr>
            <w:r>
              <w:rPr>
                <w:rFonts w:ascii="Arial" w:cs="Arial" w:eastAsia="Arial" w:hAnsi="Arial"/>
                <w:sz w:val="16"/>
                <w:szCs w:val="16"/>
                <w:color w:val="auto"/>
              </w:rPr>
              <w:t>7,158</w:t>
            </w:r>
          </w:p>
        </w:tc>
        <w:tc>
          <w:tcPr>
            <w:tcW w:w="340" w:type="dxa"/>
            <w:vAlign w:val="bottom"/>
          </w:tcPr>
          <w:p>
            <w:pPr>
              <w:spacing w:after="0"/>
              <w:rPr>
                <w:sz w:val="23"/>
                <w:szCs w:val="23"/>
                <w:color w:val="auto"/>
              </w:rPr>
            </w:pPr>
          </w:p>
        </w:tc>
        <w:tc>
          <w:tcPr>
            <w:tcW w:w="800" w:type="dxa"/>
            <w:vAlign w:val="bottom"/>
          </w:tcPr>
          <w:p>
            <w:pPr>
              <w:jc w:val="right"/>
              <w:ind w:right="40"/>
              <w:spacing w:after="0"/>
              <w:rPr>
                <w:sz w:val="20"/>
                <w:szCs w:val="20"/>
                <w:color w:val="auto"/>
              </w:rPr>
            </w:pPr>
            <w:r>
              <w:rPr>
                <w:rFonts w:ascii="Arial" w:cs="Arial" w:eastAsia="Arial" w:hAnsi="Arial"/>
                <w:sz w:val="16"/>
                <w:szCs w:val="16"/>
                <w:color w:val="auto"/>
              </w:rPr>
              <w:t>2,848</w:t>
            </w:r>
          </w:p>
        </w:tc>
        <w:tc>
          <w:tcPr>
            <w:tcW w:w="240" w:type="dxa"/>
            <w:vAlign w:val="bottom"/>
          </w:tcPr>
          <w:p>
            <w:pPr>
              <w:spacing w:after="0"/>
              <w:rPr>
                <w:sz w:val="23"/>
                <w:szCs w:val="23"/>
                <w:color w:val="auto"/>
              </w:rPr>
            </w:pPr>
          </w:p>
        </w:tc>
        <w:tc>
          <w:tcPr>
            <w:tcW w:w="900" w:type="dxa"/>
            <w:vAlign w:val="bottom"/>
          </w:tcPr>
          <w:p>
            <w:pPr>
              <w:jc w:val="right"/>
              <w:ind w:right="60"/>
              <w:spacing w:after="0"/>
              <w:rPr>
                <w:sz w:val="20"/>
                <w:szCs w:val="20"/>
                <w:color w:val="auto"/>
              </w:rPr>
            </w:pPr>
            <w:r>
              <w:rPr>
                <w:rFonts w:ascii="Arial" w:cs="Arial" w:eastAsia="Arial" w:hAnsi="Arial"/>
                <w:sz w:val="16"/>
                <w:szCs w:val="16"/>
                <w:color w:val="auto"/>
              </w:rPr>
              <w:t>1,626</w:t>
            </w:r>
          </w:p>
        </w:tc>
        <w:tc>
          <w:tcPr>
            <w:tcW w:w="300" w:type="dxa"/>
            <w:vAlign w:val="bottom"/>
          </w:tcPr>
          <w:p>
            <w:pPr>
              <w:spacing w:after="0"/>
              <w:rPr>
                <w:sz w:val="23"/>
                <w:szCs w:val="23"/>
                <w:color w:val="auto"/>
              </w:rPr>
            </w:pPr>
          </w:p>
        </w:tc>
        <w:tc>
          <w:tcPr>
            <w:tcW w:w="920" w:type="dxa"/>
            <w:vAlign w:val="bottom"/>
          </w:tcPr>
          <w:p>
            <w:pPr>
              <w:jc w:val="right"/>
              <w:ind w:right="20"/>
              <w:spacing w:after="0"/>
              <w:rPr>
                <w:sz w:val="20"/>
                <w:szCs w:val="20"/>
                <w:color w:val="auto"/>
              </w:rPr>
            </w:pPr>
            <w:r>
              <w:rPr>
                <w:rFonts w:ascii="Arial" w:cs="Arial" w:eastAsia="Arial" w:hAnsi="Arial"/>
                <w:sz w:val="16"/>
                <w:szCs w:val="16"/>
                <w:color w:val="auto"/>
              </w:rPr>
              <w:t>172,832</w:t>
            </w:r>
          </w:p>
        </w:tc>
        <w:tc>
          <w:tcPr>
            <w:tcW w:w="0" w:type="dxa"/>
            <w:vAlign w:val="bottom"/>
          </w:tcPr>
          <w:p>
            <w:pPr>
              <w:spacing w:after="0"/>
              <w:rPr>
                <w:sz w:val="1"/>
                <w:szCs w:val="1"/>
                <w:color w:val="auto"/>
              </w:rPr>
            </w:pPr>
          </w:p>
        </w:tc>
      </w:tr>
      <w:tr>
        <w:trPr>
          <w:trHeight w:val="219"/>
        </w:trPr>
        <w:tc>
          <w:tcPr>
            <w:tcW w:w="3440" w:type="dxa"/>
            <w:vAlign w:val="bottom"/>
          </w:tcPr>
          <w:p>
            <w:pPr>
              <w:ind w:left="40"/>
              <w:spacing w:after="0" w:line="219" w:lineRule="exact"/>
              <w:rPr>
                <w:sz w:val="20"/>
                <w:szCs w:val="20"/>
                <w:color w:val="auto"/>
              </w:rPr>
            </w:pPr>
            <w:r>
              <w:rPr>
                <w:rFonts w:ascii="Arial" w:cs="Arial" w:eastAsia="Arial" w:hAnsi="Arial"/>
                <w:sz w:val="16"/>
                <w:szCs w:val="16"/>
                <w:color w:val="auto"/>
              </w:rPr>
              <w:t xml:space="preserve">Long-term liabilities </w:t>
            </w:r>
            <w:r>
              <w:rPr>
                <w:rFonts w:ascii="Arial" w:cs="Arial" w:eastAsia="Arial" w:hAnsi="Arial"/>
                <w:sz w:val="21"/>
                <w:szCs w:val="21"/>
                <w:color w:val="auto"/>
                <w:vertAlign w:val="superscript"/>
              </w:rPr>
              <w:t>(3)</w:t>
            </w:r>
          </w:p>
        </w:tc>
        <w:tc>
          <w:tcPr>
            <w:tcW w:w="24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ind w:right="60"/>
              <w:spacing w:after="0"/>
              <w:rPr>
                <w:sz w:val="20"/>
                <w:szCs w:val="20"/>
                <w:color w:val="auto"/>
              </w:rPr>
            </w:pPr>
            <w:r>
              <w:rPr>
                <w:rFonts w:ascii="Arial" w:cs="Arial" w:eastAsia="Arial" w:hAnsi="Arial"/>
                <w:sz w:val="16"/>
                <w:szCs w:val="16"/>
                <w:color w:val="auto"/>
              </w:rPr>
              <w:t>4,315</w:t>
            </w:r>
          </w:p>
        </w:tc>
        <w:tc>
          <w:tcPr>
            <w:tcW w:w="32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color w:val="auto"/>
              </w:rPr>
              <w:t>4,191</w:t>
            </w:r>
          </w:p>
        </w:tc>
        <w:tc>
          <w:tcPr>
            <w:tcW w:w="32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color w:val="auto"/>
              </w:rPr>
              <w:t>4,277</w:t>
            </w:r>
          </w:p>
        </w:tc>
        <w:tc>
          <w:tcPr>
            <w:tcW w:w="34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color w:val="auto"/>
              </w:rPr>
              <w:t>4,286</w:t>
            </w:r>
          </w:p>
        </w:tc>
        <w:tc>
          <w:tcPr>
            <w:tcW w:w="34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color w:val="auto"/>
              </w:rPr>
              <w:t>4,319</w:t>
            </w:r>
          </w:p>
        </w:tc>
        <w:tc>
          <w:tcPr>
            <w:tcW w:w="2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60"/>
              <w:spacing w:after="0"/>
              <w:rPr>
                <w:sz w:val="20"/>
                <w:szCs w:val="20"/>
                <w:color w:val="auto"/>
              </w:rPr>
            </w:pPr>
            <w:r>
              <w:rPr>
                <w:rFonts w:ascii="Arial" w:cs="Arial" w:eastAsia="Arial" w:hAnsi="Arial"/>
                <w:sz w:val="16"/>
                <w:szCs w:val="16"/>
                <w:color w:val="auto"/>
              </w:rPr>
              <w:t>26,826</w:t>
            </w:r>
          </w:p>
        </w:tc>
        <w:tc>
          <w:tcPr>
            <w:tcW w:w="30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48,214</w:t>
            </w:r>
          </w:p>
        </w:tc>
        <w:tc>
          <w:tcPr>
            <w:tcW w:w="0" w:type="dxa"/>
            <w:vAlign w:val="bottom"/>
          </w:tcPr>
          <w:p>
            <w:pPr>
              <w:spacing w:after="0"/>
              <w:rPr>
                <w:sz w:val="1"/>
                <w:szCs w:val="1"/>
                <w:color w:val="auto"/>
              </w:rPr>
            </w:pPr>
          </w:p>
        </w:tc>
      </w:tr>
      <w:tr>
        <w:trPr>
          <w:trHeight w:val="258"/>
        </w:trPr>
        <w:tc>
          <w:tcPr>
            <w:tcW w:w="3440" w:type="dxa"/>
            <w:vAlign w:val="bottom"/>
          </w:tcPr>
          <w:p>
            <w:pPr>
              <w:ind w:left="600"/>
              <w:spacing w:after="0"/>
              <w:rPr>
                <w:sz w:val="20"/>
                <w:szCs w:val="20"/>
                <w:color w:val="auto"/>
              </w:rPr>
            </w:pPr>
            <w:r>
              <w:rPr>
                <w:rFonts w:ascii="Arial" w:cs="Arial" w:eastAsia="Arial" w:hAnsi="Arial"/>
                <w:sz w:val="16"/>
                <w:szCs w:val="16"/>
                <w:color w:val="auto"/>
              </w:rPr>
              <w:t>Total</w:t>
            </w:r>
          </w:p>
        </w:tc>
        <w:tc>
          <w:tcPr>
            <w:tcW w:w="24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840" w:type="dxa"/>
            <w:vAlign w:val="bottom"/>
            <w:tcBorders>
              <w:bottom w:val="single" w:sz="8" w:color="auto"/>
            </w:tcBorders>
          </w:tcPr>
          <w:p>
            <w:pPr>
              <w:jc w:val="right"/>
              <w:ind w:right="60"/>
              <w:spacing w:after="0"/>
              <w:rPr>
                <w:sz w:val="20"/>
                <w:szCs w:val="20"/>
                <w:color w:val="auto"/>
              </w:rPr>
            </w:pPr>
            <w:r>
              <w:rPr>
                <w:rFonts w:ascii="Arial" w:cs="Arial" w:eastAsia="Arial" w:hAnsi="Arial"/>
                <w:sz w:val="16"/>
                <w:szCs w:val="16"/>
                <w:color w:val="auto"/>
              </w:rPr>
              <w:t>243,120</w:t>
            </w:r>
          </w:p>
        </w:tc>
        <w:tc>
          <w:tcPr>
            <w:tcW w:w="3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w:t>
            </w:r>
          </w:p>
        </w:tc>
        <w:tc>
          <w:tcPr>
            <w:tcW w:w="82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color w:val="auto"/>
              </w:rPr>
              <w:t>572,218</w:t>
            </w:r>
          </w:p>
        </w:tc>
        <w:tc>
          <w:tcPr>
            <w:tcW w:w="32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80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color w:val="auto"/>
              </w:rPr>
              <w:t>177,873</w:t>
            </w:r>
          </w:p>
        </w:tc>
        <w:tc>
          <w:tcPr>
            <w:tcW w:w="34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80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color w:val="auto"/>
              </w:rPr>
              <w:t>68,452</w:t>
            </w:r>
          </w:p>
        </w:tc>
        <w:tc>
          <w:tcPr>
            <w:tcW w:w="34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80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color w:val="auto"/>
              </w:rPr>
              <w:t>51,541</w:t>
            </w:r>
          </w:p>
        </w:tc>
        <w:tc>
          <w:tcPr>
            <w:tcW w:w="2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900" w:type="dxa"/>
            <w:vAlign w:val="bottom"/>
            <w:tcBorders>
              <w:bottom w:val="single" w:sz="8" w:color="auto"/>
            </w:tcBorders>
          </w:tcPr>
          <w:p>
            <w:pPr>
              <w:jc w:val="right"/>
              <w:ind w:right="60"/>
              <w:spacing w:after="0"/>
              <w:rPr>
                <w:sz w:val="20"/>
                <w:szCs w:val="20"/>
                <w:color w:val="auto"/>
              </w:rPr>
            </w:pPr>
            <w:r>
              <w:rPr>
                <w:rFonts w:ascii="Arial" w:cs="Arial" w:eastAsia="Arial" w:hAnsi="Arial"/>
                <w:sz w:val="16"/>
                <w:szCs w:val="16"/>
                <w:color w:val="auto"/>
              </w:rPr>
              <w:t>150,372</w:t>
            </w:r>
          </w:p>
        </w:tc>
        <w:tc>
          <w:tcPr>
            <w:tcW w:w="3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w:t>
            </w:r>
          </w:p>
        </w:tc>
        <w:tc>
          <w:tcPr>
            <w:tcW w:w="92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1,263,576</w:t>
            </w:r>
          </w:p>
        </w:tc>
        <w:tc>
          <w:tcPr>
            <w:tcW w:w="0" w:type="dxa"/>
            <w:vAlign w:val="bottom"/>
          </w:tcPr>
          <w:p>
            <w:pPr>
              <w:spacing w:after="0"/>
              <w:rPr>
                <w:sz w:val="1"/>
                <w:szCs w:val="1"/>
                <w:color w:val="auto"/>
              </w:rPr>
            </w:pPr>
          </w:p>
        </w:tc>
      </w:tr>
      <w:tr>
        <w:trPr>
          <w:trHeight w:val="20"/>
        </w:trPr>
        <w:tc>
          <w:tcPr>
            <w:tcW w:w="3440" w:type="dxa"/>
            <w:vAlign w:val="bottom"/>
            <w:vMerge w:val="restart"/>
          </w:tcPr>
          <w:p>
            <w:pPr>
              <w:spacing w:after="0"/>
              <w:rPr>
                <w:sz w:val="20"/>
                <w:szCs w:val="20"/>
                <w:color w:val="auto"/>
              </w:rPr>
            </w:pPr>
            <w:r>
              <w:rPr>
                <w:rFonts w:ascii="Arial" w:cs="Arial" w:eastAsia="Arial" w:hAnsi="Arial"/>
                <w:sz w:val="11"/>
                <w:szCs w:val="11"/>
                <w:color w:val="auto"/>
              </w:rPr>
              <w:t>___________________</w:t>
            </w:r>
          </w:p>
        </w:tc>
        <w:tc>
          <w:tcPr>
            <w:tcW w:w="2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2"/>
        </w:trPr>
        <w:tc>
          <w:tcPr>
            <w:tcW w:w="3440" w:type="dxa"/>
            <w:vAlign w:val="bottom"/>
            <w:vMerge w:val="continue"/>
          </w:tcPr>
          <w:p>
            <w:pPr>
              <w:spacing w:after="0"/>
              <w:rPr>
                <w:sz w:val="8"/>
                <w:szCs w:val="8"/>
                <w:color w:val="auto"/>
              </w:rPr>
            </w:pPr>
          </w:p>
        </w:tc>
        <w:tc>
          <w:tcPr>
            <w:tcW w:w="240" w:type="dxa"/>
            <w:vAlign w:val="bottom"/>
          </w:tcPr>
          <w:p>
            <w:pPr>
              <w:spacing w:after="0"/>
              <w:rPr>
                <w:sz w:val="8"/>
                <w:szCs w:val="8"/>
                <w:color w:val="auto"/>
              </w:rPr>
            </w:pPr>
          </w:p>
        </w:tc>
        <w:tc>
          <w:tcPr>
            <w:tcW w:w="840" w:type="dxa"/>
            <w:vAlign w:val="bottom"/>
          </w:tcPr>
          <w:p>
            <w:pPr>
              <w:spacing w:after="0"/>
              <w:rPr>
                <w:sz w:val="8"/>
                <w:szCs w:val="8"/>
                <w:color w:val="auto"/>
              </w:rPr>
            </w:pPr>
          </w:p>
        </w:tc>
        <w:tc>
          <w:tcPr>
            <w:tcW w:w="320" w:type="dxa"/>
            <w:vAlign w:val="bottom"/>
          </w:tcPr>
          <w:p>
            <w:pPr>
              <w:spacing w:after="0"/>
              <w:rPr>
                <w:sz w:val="8"/>
                <w:szCs w:val="8"/>
                <w:color w:val="auto"/>
              </w:rPr>
            </w:pPr>
          </w:p>
        </w:tc>
        <w:tc>
          <w:tcPr>
            <w:tcW w:w="820" w:type="dxa"/>
            <w:vAlign w:val="bottom"/>
          </w:tcPr>
          <w:p>
            <w:pPr>
              <w:spacing w:after="0"/>
              <w:rPr>
                <w:sz w:val="8"/>
                <w:szCs w:val="8"/>
                <w:color w:val="auto"/>
              </w:rPr>
            </w:pPr>
          </w:p>
        </w:tc>
        <w:tc>
          <w:tcPr>
            <w:tcW w:w="320" w:type="dxa"/>
            <w:vAlign w:val="bottom"/>
          </w:tcPr>
          <w:p>
            <w:pPr>
              <w:spacing w:after="0"/>
              <w:rPr>
                <w:sz w:val="8"/>
                <w:szCs w:val="8"/>
                <w:color w:val="auto"/>
              </w:rPr>
            </w:pPr>
          </w:p>
        </w:tc>
        <w:tc>
          <w:tcPr>
            <w:tcW w:w="800" w:type="dxa"/>
            <w:vAlign w:val="bottom"/>
          </w:tcPr>
          <w:p>
            <w:pPr>
              <w:spacing w:after="0"/>
              <w:rPr>
                <w:sz w:val="8"/>
                <w:szCs w:val="8"/>
                <w:color w:val="auto"/>
              </w:rPr>
            </w:pPr>
          </w:p>
        </w:tc>
        <w:tc>
          <w:tcPr>
            <w:tcW w:w="340" w:type="dxa"/>
            <w:vAlign w:val="bottom"/>
          </w:tcPr>
          <w:p>
            <w:pPr>
              <w:spacing w:after="0"/>
              <w:rPr>
                <w:sz w:val="8"/>
                <w:szCs w:val="8"/>
                <w:color w:val="auto"/>
              </w:rPr>
            </w:pPr>
          </w:p>
        </w:tc>
        <w:tc>
          <w:tcPr>
            <w:tcW w:w="800" w:type="dxa"/>
            <w:vAlign w:val="bottom"/>
          </w:tcPr>
          <w:p>
            <w:pPr>
              <w:spacing w:after="0"/>
              <w:rPr>
                <w:sz w:val="8"/>
                <w:szCs w:val="8"/>
                <w:color w:val="auto"/>
              </w:rPr>
            </w:pPr>
          </w:p>
        </w:tc>
        <w:tc>
          <w:tcPr>
            <w:tcW w:w="340" w:type="dxa"/>
            <w:vAlign w:val="bottom"/>
          </w:tcPr>
          <w:p>
            <w:pPr>
              <w:spacing w:after="0"/>
              <w:rPr>
                <w:sz w:val="8"/>
                <w:szCs w:val="8"/>
                <w:color w:val="auto"/>
              </w:rPr>
            </w:pPr>
          </w:p>
        </w:tc>
        <w:tc>
          <w:tcPr>
            <w:tcW w:w="800" w:type="dxa"/>
            <w:vAlign w:val="bottom"/>
          </w:tcPr>
          <w:p>
            <w:pPr>
              <w:spacing w:after="0"/>
              <w:rPr>
                <w:sz w:val="8"/>
                <w:szCs w:val="8"/>
                <w:color w:val="auto"/>
              </w:rPr>
            </w:pPr>
          </w:p>
        </w:tc>
        <w:tc>
          <w:tcPr>
            <w:tcW w:w="240" w:type="dxa"/>
            <w:vAlign w:val="bottom"/>
          </w:tcPr>
          <w:p>
            <w:pPr>
              <w:spacing w:after="0"/>
              <w:rPr>
                <w:sz w:val="8"/>
                <w:szCs w:val="8"/>
                <w:color w:val="auto"/>
              </w:rPr>
            </w:pPr>
          </w:p>
        </w:tc>
        <w:tc>
          <w:tcPr>
            <w:tcW w:w="900" w:type="dxa"/>
            <w:vAlign w:val="bottom"/>
          </w:tcPr>
          <w:p>
            <w:pPr>
              <w:spacing w:after="0"/>
              <w:rPr>
                <w:sz w:val="8"/>
                <w:szCs w:val="8"/>
                <w:color w:val="auto"/>
              </w:rPr>
            </w:pPr>
          </w:p>
        </w:tc>
        <w:tc>
          <w:tcPr>
            <w:tcW w:w="300" w:type="dxa"/>
            <w:vAlign w:val="bottom"/>
          </w:tcPr>
          <w:p>
            <w:pPr>
              <w:spacing w:after="0"/>
              <w:rPr>
                <w:sz w:val="8"/>
                <w:szCs w:val="8"/>
                <w:color w:val="auto"/>
              </w:rPr>
            </w:pPr>
          </w:p>
        </w:tc>
        <w:tc>
          <w:tcPr>
            <w:tcW w:w="920" w:type="dxa"/>
            <w:vAlign w:val="bottom"/>
          </w:tcPr>
          <w:p>
            <w:pPr>
              <w:spacing w:after="0"/>
              <w:rPr>
                <w:sz w:val="8"/>
                <w:szCs w:val="8"/>
                <w:color w:val="auto"/>
              </w:rPr>
            </w:pPr>
          </w:p>
        </w:tc>
        <w:tc>
          <w:tcPr>
            <w:tcW w:w="0" w:type="dxa"/>
            <w:vAlign w:val="bottom"/>
          </w:tcPr>
          <w:p>
            <w:pPr>
              <w:spacing w:after="0"/>
              <w:rPr>
                <w:sz w:val="1"/>
                <w:szCs w:val="1"/>
                <w:color w:val="auto"/>
              </w:rPr>
            </w:pPr>
          </w:p>
        </w:tc>
      </w:tr>
    </w:tbl>
    <w:p>
      <w:pPr>
        <w:ind w:left="340" w:right="140" w:hanging="332"/>
        <w:spacing w:after="0" w:line="205" w:lineRule="auto"/>
        <w:tabs>
          <w:tab w:leader="none" w:pos="340" w:val="left"/>
        </w:tabs>
        <w:numPr>
          <w:ilvl w:val="0"/>
          <w:numId w:val="52"/>
        </w:numPr>
        <w:rPr>
          <w:rFonts w:ascii="Arial" w:cs="Arial" w:eastAsia="Arial" w:hAnsi="Arial"/>
          <w:sz w:val="13"/>
          <w:szCs w:val="13"/>
          <w:color w:val="auto"/>
        </w:rPr>
      </w:pPr>
      <w:r>
        <w:rPr>
          <w:rFonts w:ascii="Arial" w:cs="Arial" w:eastAsia="Arial" w:hAnsi="Arial"/>
          <w:sz w:val="13"/>
          <w:szCs w:val="13"/>
          <w:color w:val="auto"/>
        </w:rPr>
        <w:t>Includes commitments for the Company’s television broadcasting business that are reflected in the Company’s Consolidated Financial Statements and commitments to purchase programming to be produced in future years.</w:t>
      </w:r>
    </w:p>
    <w:p>
      <w:pPr>
        <w:spacing w:after="0" w:line="1" w:lineRule="exact"/>
        <w:rPr>
          <w:rFonts w:ascii="Arial" w:cs="Arial" w:eastAsia="Arial" w:hAnsi="Arial"/>
          <w:sz w:val="13"/>
          <w:szCs w:val="13"/>
          <w:color w:val="auto"/>
        </w:rPr>
      </w:pPr>
    </w:p>
    <w:p>
      <w:pPr>
        <w:ind w:left="340" w:right="180" w:hanging="332"/>
        <w:spacing w:after="0" w:line="202" w:lineRule="auto"/>
        <w:tabs>
          <w:tab w:leader="none" w:pos="340" w:val="left"/>
        </w:tabs>
        <w:numPr>
          <w:ilvl w:val="0"/>
          <w:numId w:val="52"/>
        </w:numPr>
        <w:rPr>
          <w:rFonts w:ascii="Arial" w:cs="Arial" w:eastAsia="Arial" w:hAnsi="Arial"/>
          <w:sz w:val="13"/>
          <w:szCs w:val="13"/>
          <w:color w:val="auto"/>
        </w:rPr>
      </w:pPr>
      <w:r>
        <w:rPr>
          <w:rFonts w:ascii="Arial" w:cs="Arial" w:eastAsia="Arial" w:hAnsi="Arial"/>
          <w:sz w:val="13"/>
          <w:szCs w:val="13"/>
          <w:color w:val="auto"/>
        </w:rPr>
        <w:t>Includes purchase obligations related to employment agreements, capital projects and other legally binding commitments. Other purchase orders made in the ordinary course of business are excluded from the table above. Any amounts for which the Company is liable under purchase orders are reflected in the Company’s Consolidated Balance Sheets as accounts payable and accrued liabilities.</w:t>
      </w:r>
    </w:p>
    <w:p>
      <w:pPr>
        <w:ind w:left="340" w:right="780" w:hanging="332"/>
        <w:spacing w:after="0" w:line="219" w:lineRule="auto"/>
        <w:tabs>
          <w:tab w:leader="none" w:pos="340" w:val="left"/>
        </w:tabs>
        <w:numPr>
          <w:ilvl w:val="0"/>
          <w:numId w:val="52"/>
        </w:numPr>
        <w:rPr>
          <w:rFonts w:ascii="Arial" w:cs="Arial" w:eastAsia="Arial" w:hAnsi="Arial"/>
          <w:sz w:val="13"/>
          <w:szCs w:val="13"/>
          <w:color w:val="auto"/>
        </w:rPr>
      </w:pPr>
      <w:r>
        <w:rPr>
          <w:rFonts w:ascii="Arial" w:cs="Arial" w:eastAsia="Arial" w:hAnsi="Arial"/>
          <w:sz w:val="13"/>
          <w:szCs w:val="13"/>
          <w:color w:val="auto"/>
        </w:rPr>
        <w:t>Primarily made up of postretirement benefit obligations other than pensions. The Company has other long-term liabilities excluded from the table above, including obligations for deferred compensation, long-term incentive plans and long-term deferred revenue.</w:t>
      </w:r>
    </w:p>
    <w:p>
      <w:pPr>
        <w:spacing w:after="0" w:line="110" w:lineRule="exact"/>
        <w:rPr>
          <w:sz w:val="20"/>
          <w:szCs w:val="20"/>
          <w:color w:val="auto"/>
        </w:rPr>
      </w:pPr>
    </w:p>
    <w:p>
      <w:pPr>
        <w:spacing w:after="0"/>
        <w:rPr>
          <w:sz w:val="20"/>
          <w:szCs w:val="20"/>
          <w:color w:val="auto"/>
        </w:rPr>
      </w:pPr>
      <w:r>
        <w:rPr>
          <w:rFonts w:ascii="Arial" w:cs="Arial" w:eastAsia="Arial" w:hAnsi="Arial"/>
          <w:sz w:val="18"/>
          <w:szCs w:val="18"/>
          <w:color w:val="auto"/>
        </w:rPr>
        <w:t>The table above does not include the Company’s commitment to loan an additional £9.0 million to York International College.</w:t>
      </w:r>
    </w:p>
    <w:p>
      <w:pPr>
        <w:spacing w:after="0" w:line="12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Other. </w:t>
      </w:r>
      <w:r>
        <w:rPr>
          <w:rFonts w:ascii="Arial" w:cs="Arial" w:eastAsia="Arial" w:hAnsi="Arial"/>
          <w:sz w:val="18"/>
          <w:szCs w:val="18"/>
          <w:color w:val="auto"/>
        </w:rPr>
        <w:t>The Company does not have any off-balance-sheet arrangements or financing activities with special-purpose entities (SPEs).</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 AND ESTIMATES</w:t>
      </w:r>
    </w:p>
    <w:p>
      <w:pPr>
        <w:spacing w:after="0" w:line="166" w:lineRule="exact"/>
        <w:rPr>
          <w:sz w:val="20"/>
          <w:szCs w:val="20"/>
          <w:color w:val="auto"/>
        </w:rPr>
      </w:pPr>
    </w:p>
    <w:p>
      <w:pPr>
        <w:ind w:right="260"/>
        <w:spacing w:after="0" w:line="225" w:lineRule="auto"/>
        <w:rPr>
          <w:sz w:val="20"/>
          <w:szCs w:val="20"/>
          <w:color w:val="auto"/>
        </w:rPr>
      </w:pPr>
      <w:r>
        <w:rPr>
          <w:rFonts w:ascii="Arial" w:cs="Arial" w:eastAsia="Arial" w:hAnsi="Arial"/>
          <w:sz w:val="18"/>
          <w:szCs w:val="18"/>
          <w:color w:val="auto"/>
        </w:rPr>
        <w:t>The preparation of financial statements in conformity with generally accepted accounting principles requires management to make estimates and judgments that affect the amounts reported in the financial statements. On an ongoing basis, the Company evaluates its estimates and assumptions. The Company bases its estimates on historical experience and other assumptions believed to be reasonable under the circumstances, the results of which form the basis for making judgments about the carrying value of assets and liabilities that are not readily apparent from other sources. Actual results could differ from these estimates.</w:t>
      </w:r>
    </w:p>
    <w:p>
      <w:pPr>
        <w:spacing w:after="0" w:line="137" w:lineRule="exact"/>
        <w:rPr>
          <w:sz w:val="20"/>
          <w:szCs w:val="20"/>
          <w:color w:val="auto"/>
        </w:rPr>
      </w:pPr>
    </w:p>
    <w:p>
      <w:pPr>
        <w:ind w:right="40"/>
        <w:spacing w:after="0" w:line="229" w:lineRule="auto"/>
        <w:rPr>
          <w:sz w:val="20"/>
          <w:szCs w:val="20"/>
          <w:color w:val="auto"/>
        </w:rPr>
      </w:pPr>
      <w:r>
        <w:rPr>
          <w:rFonts w:ascii="Arial" w:cs="Arial" w:eastAsia="Arial" w:hAnsi="Arial"/>
          <w:sz w:val="18"/>
          <w:szCs w:val="18"/>
          <w:color w:val="auto"/>
        </w:rPr>
        <w:t>An accounting policy is considered to be critical if it is important to the Company’s financial condition and results and if it requires management’s most difficult, subjective and complex judgments in its application. For a summary of all of the Company’s significant accounting policies, see Note 2 to the Company’s Consolidated Financial Statements.</w:t>
      </w:r>
    </w:p>
    <w:p>
      <w:pPr>
        <w:spacing w:after="0" w:line="115" w:lineRule="exact"/>
        <w:rPr>
          <w:sz w:val="20"/>
          <w:szCs w:val="20"/>
          <w:color w:val="auto"/>
        </w:rPr>
      </w:pPr>
    </w:p>
    <w:p>
      <w:pPr>
        <w:ind w:right="40"/>
        <w:spacing w:after="0" w:line="238" w:lineRule="auto"/>
        <w:rPr>
          <w:sz w:val="20"/>
          <w:szCs w:val="20"/>
          <w:color w:val="auto"/>
        </w:rPr>
      </w:pPr>
      <w:r>
        <w:rPr>
          <w:rFonts w:ascii="Arial" w:cs="Arial" w:eastAsia="Arial" w:hAnsi="Arial"/>
          <w:sz w:val="18"/>
          <w:szCs w:val="18"/>
          <w:b w:val="1"/>
          <w:bCs w:val="1"/>
          <w:color w:val="auto"/>
        </w:rPr>
        <w:t xml:space="preserve">Revenue Recognition, Trade Accounts Receivable and Allowance for Doubtful Accounts. </w:t>
      </w:r>
      <w:r>
        <w:rPr>
          <w:rFonts w:ascii="Arial" w:cs="Arial" w:eastAsia="Arial" w:hAnsi="Arial"/>
          <w:sz w:val="18"/>
          <w:szCs w:val="18"/>
          <w:color w:val="auto"/>
        </w:rPr>
        <w:t>Education tuition revenue is recognized ratably</w:t>
      </w:r>
      <w:r>
        <w:rPr>
          <w:rFonts w:ascii="Arial" w:cs="Arial" w:eastAsia="Arial" w:hAnsi="Arial"/>
          <w:sz w:val="18"/>
          <w:szCs w:val="18"/>
          <w:b w:val="1"/>
          <w:bCs w:val="1"/>
          <w:color w:val="auto"/>
        </w:rPr>
        <w:t xml:space="preserve"> </w:t>
      </w:r>
      <w:r>
        <w:rPr>
          <w:rFonts w:ascii="Arial" w:cs="Arial" w:eastAsia="Arial" w:hAnsi="Arial"/>
          <w:sz w:val="18"/>
          <w:szCs w:val="18"/>
          <w:color w:val="auto"/>
        </w:rPr>
        <w:t>over the period of instruction as services are delivered to students, net of any refunds, corporate discounts, scholarships and employee tuition discounts.</w:t>
      </w:r>
    </w:p>
    <w:p>
      <w:pPr>
        <w:spacing w:after="0" w:line="136" w:lineRule="exact"/>
        <w:rPr>
          <w:sz w:val="20"/>
          <w:szCs w:val="20"/>
          <w:color w:val="auto"/>
        </w:rPr>
      </w:pPr>
    </w:p>
    <w:p>
      <w:pPr>
        <w:ind w:right="160"/>
        <w:spacing w:after="0" w:line="227" w:lineRule="auto"/>
        <w:rPr>
          <w:sz w:val="20"/>
          <w:szCs w:val="20"/>
          <w:color w:val="auto"/>
        </w:rPr>
      </w:pPr>
      <w:r>
        <w:rPr>
          <w:rFonts w:ascii="Arial" w:cs="Arial" w:eastAsia="Arial" w:hAnsi="Arial"/>
          <w:sz w:val="18"/>
          <w:szCs w:val="18"/>
          <w:color w:val="auto"/>
        </w:rPr>
        <w:t>At KTP and Kaplan International, estimates of average student course length are developed for each course, along with estimates for the anticipated level of student drops and refunds from test performance guarantees, and these estimates are evaluated on an ongoing basis and adjusted as necessary. As Kaplan’s businesses and related course offerings have changed, including more online programs, the complexity and significance of management’s estimates have increased.</w:t>
      </w:r>
    </w:p>
    <w:p>
      <w:pPr>
        <w:spacing w:after="0" w:line="135" w:lineRule="exact"/>
        <w:rPr>
          <w:sz w:val="20"/>
          <w:szCs w:val="20"/>
          <w:color w:val="auto"/>
        </w:rPr>
      </w:pPr>
    </w:p>
    <w:p>
      <w:pPr>
        <w:ind w:right="320"/>
        <w:spacing w:after="0" w:line="225" w:lineRule="auto"/>
        <w:rPr>
          <w:sz w:val="20"/>
          <w:szCs w:val="20"/>
          <w:color w:val="auto"/>
        </w:rPr>
      </w:pPr>
      <w:r>
        <w:rPr>
          <w:rFonts w:ascii="Arial" w:cs="Arial" w:eastAsia="Arial" w:hAnsi="Arial"/>
          <w:sz w:val="18"/>
          <w:szCs w:val="18"/>
          <w:color w:val="auto"/>
        </w:rPr>
        <w:t>KHE, through the Kaplan Commitment program, provides first-time undergraduate students with a risk-free trial period. Under the program, KHE monitors academic progress and conducts assessments to help determine whether students are likely to be successful in their chosen course of study. Students who withdraw or are subject to dismissal during the risk-free trial period do not incur any significant financial obligation. The Company does not recognize revenues related to coursework until the students complete the risk-free period and decide to continue with their studies, at which time the fees become fixed or determinable.</w:t>
      </w:r>
    </w:p>
    <w:p>
      <w:pPr>
        <w:spacing w:after="0" w:line="137" w:lineRule="exact"/>
        <w:rPr>
          <w:sz w:val="20"/>
          <w:szCs w:val="20"/>
          <w:color w:val="auto"/>
        </w:rPr>
      </w:pPr>
    </w:p>
    <w:p>
      <w:pPr>
        <w:ind w:right="80"/>
        <w:spacing w:after="0" w:line="224" w:lineRule="auto"/>
        <w:rPr>
          <w:sz w:val="20"/>
          <w:szCs w:val="20"/>
          <w:color w:val="auto"/>
        </w:rPr>
      </w:pPr>
      <w:r>
        <w:rPr>
          <w:rFonts w:ascii="Arial" w:cs="Arial" w:eastAsia="Arial" w:hAnsi="Arial"/>
          <w:sz w:val="18"/>
          <w:szCs w:val="18"/>
          <w:color w:val="auto"/>
        </w:rPr>
        <w:t>The determination of whether revenue should be reported on a gross or net basis is based on an assessment of whether the Company acts as a principal or an agent in the transaction. In certain cases, the Company is considered the agent, and the Company records revenue equal to the net amount retained when the fee is earned. In these cases, costs incurred with third-party suppliers are excluded from the Company’s revenue. The Company assesses whether it or the third-party supplier is the primary obligor and evaluates the terms of its customer arrangements as part of this assessment. In addition, the Company considers other key indicators such as latitude in establishing price, inventory risk, nature of services performed, discretion in supplier selection and credit risk.</w:t>
      </w:r>
    </w:p>
    <w:p>
      <w:pPr>
        <w:spacing w:after="0" w:line="137" w:lineRule="exact"/>
        <w:rPr>
          <w:sz w:val="20"/>
          <w:szCs w:val="20"/>
          <w:color w:val="auto"/>
        </w:rPr>
      </w:pPr>
    </w:p>
    <w:p>
      <w:pPr>
        <w:ind w:right="40"/>
        <w:spacing w:after="0" w:line="227" w:lineRule="auto"/>
        <w:rPr>
          <w:sz w:val="20"/>
          <w:szCs w:val="20"/>
          <w:color w:val="auto"/>
        </w:rPr>
      </w:pPr>
      <w:r>
        <w:rPr>
          <w:rFonts w:ascii="Arial" w:cs="Arial" w:eastAsia="Arial" w:hAnsi="Arial"/>
          <w:sz w:val="18"/>
          <w:szCs w:val="18"/>
          <w:color w:val="auto"/>
        </w:rPr>
        <w:t>Accounts receivable have been reduced by an allowance for amounts that may be uncollectible in the future. This estimated allowance is based primarily on the aging category, historical collection experience and management’s evaluation of the financial condition of the customer. The Company generally considers an account past due or delinquent when a student or customer misses a scheduled payment. The Company writes off accounts receivable</w:t>
      </w:r>
    </w:p>
    <w:p>
      <w:pPr>
        <w:spacing w:after="0" w:line="200" w:lineRule="exact"/>
        <w:rPr>
          <w:sz w:val="20"/>
          <w:szCs w:val="20"/>
          <w:color w:val="auto"/>
        </w:rPr>
      </w:pPr>
    </w:p>
    <w:p>
      <w:pPr>
        <w:spacing w:after="0" w:line="3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64</w:t>
      </w:r>
    </w:p>
    <w:p>
      <w:pPr>
        <w:sectPr>
          <w:pgSz w:w="11900" w:h="16838" w:orient="portrait"/>
          <w:cols w:equalWidth="0" w:num="1">
            <w:col w:w="11420"/>
          </w:cols>
          <w:pgMar w:left="240" w:top="746" w:right="239" w:bottom="1440" w:gutter="0" w:footer="0" w:header="0"/>
        </w:sectPr>
      </w:pPr>
    </w:p>
    <w:bookmarkStart w:id="66" w:name="page67"/>
    <w:bookmarkEnd w:id="66"/>
    <w:p>
      <w:pPr>
        <w:ind w:right="60"/>
        <w:spacing w:after="0" w:line="235" w:lineRule="auto"/>
        <w:rPr>
          <w:sz w:val="20"/>
          <w:szCs w:val="20"/>
          <w:color w:val="auto"/>
        </w:rPr>
      </w:pPr>
      <w:r>
        <w:rPr>
          <w:rFonts w:ascii="Arial" w:cs="Arial" w:eastAsia="Arial" w:hAnsi="Arial"/>
          <w:sz w:val="18"/>
          <w:szCs w:val="18"/>
          <w:color w:val="auto"/>
        </w:rPr>
        <w:t>balances deemed uncollectible against the allowance for doubtful accounts following the passage of a certain period of time, or generally when the account is turned over for collection to an outside collection agency.</w:t>
      </w:r>
    </w:p>
    <w:p>
      <w:pPr>
        <w:spacing w:after="0" w:line="113" w:lineRule="exact"/>
        <w:rPr>
          <w:sz w:val="20"/>
          <w:szCs w:val="20"/>
          <w:color w:val="auto"/>
        </w:rPr>
      </w:pPr>
    </w:p>
    <w:p>
      <w:pPr>
        <w:ind w:right="440"/>
        <w:spacing w:after="0" w:line="256" w:lineRule="auto"/>
        <w:rPr>
          <w:sz w:val="20"/>
          <w:szCs w:val="20"/>
          <w:color w:val="auto"/>
        </w:rPr>
      </w:pPr>
      <w:r>
        <w:rPr>
          <w:rFonts w:ascii="Arial" w:cs="Arial" w:eastAsia="Arial" w:hAnsi="Arial"/>
          <w:sz w:val="18"/>
          <w:szCs w:val="18"/>
          <w:b w:val="1"/>
          <w:bCs w:val="1"/>
          <w:color w:val="auto"/>
        </w:rPr>
        <w:t xml:space="preserve">Goodwill and Other Intangible Assets. </w:t>
      </w:r>
      <w:r>
        <w:rPr>
          <w:rFonts w:ascii="Arial" w:cs="Arial" w:eastAsia="Arial" w:hAnsi="Arial"/>
          <w:sz w:val="18"/>
          <w:szCs w:val="18"/>
          <w:color w:val="auto"/>
        </w:rPr>
        <w:t>The Company has a significant amount of goodwill and indefinite-lived intangible assets that are</w:t>
      </w:r>
      <w:r>
        <w:rPr>
          <w:rFonts w:ascii="Arial" w:cs="Arial" w:eastAsia="Arial" w:hAnsi="Arial"/>
          <w:sz w:val="18"/>
          <w:szCs w:val="18"/>
          <w:b w:val="1"/>
          <w:bCs w:val="1"/>
          <w:color w:val="auto"/>
        </w:rPr>
        <w:t xml:space="preserve"> </w:t>
      </w:r>
      <w:r>
        <w:rPr>
          <w:rFonts w:ascii="Arial" w:cs="Arial" w:eastAsia="Arial" w:hAnsi="Arial"/>
          <w:sz w:val="18"/>
          <w:szCs w:val="18"/>
          <w:color w:val="auto"/>
        </w:rPr>
        <w:t>reviewed at least annually for possible impairment.</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8660" w:type="dxa"/>
            <w:vAlign w:val="bottom"/>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2460" w:type="dxa"/>
            <w:vAlign w:val="bottom"/>
            <w:tcBorders>
              <w:bottom w:val="single" w:sz="8" w:color="auto"/>
            </w:tcBorders>
            <w:gridSpan w:val="3"/>
          </w:tcPr>
          <w:p>
            <w:pPr>
              <w:jc w:val="right"/>
              <w:ind w:right="641"/>
              <w:spacing w:after="0"/>
              <w:rPr>
                <w:sz w:val="20"/>
                <w:szCs w:val="20"/>
                <w:color w:val="auto"/>
              </w:rPr>
            </w:pPr>
            <w:r>
              <w:rPr>
                <w:rFonts w:ascii="Arial" w:cs="Arial" w:eastAsia="Arial" w:hAnsi="Arial"/>
                <w:sz w:val="14"/>
                <w:szCs w:val="14"/>
                <w:b w:val="1"/>
                <w:bCs w:val="1"/>
                <w:color w:val="auto"/>
              </w:rPr>
              <w:t>As of December 31</w:t>
            </w:r>
          </w:p>
        </w:tc>
      </w:tr>
      <w:tr>
        <w:trPr>
          <w:trHeight w:val="264"/>
        </w:trPr>
        <w:tc>
          <w:tcPr>
            <w:tcW w:w="866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(in millions)</w:t>
            </w:r>
          </w:p>
        </w:tc>
        <w:tc>
          <w:tcPr>
            <w:tcW w:w="30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ind w:right="423"/>
              <w:spacing w:after="0"/>
              <w:rPr>
                <w:sz w:val="20"/>
                <w:szCs w:val="20"/>
                <w:color w:val="auto"/>
              </w:rPr>
            </w:pPr>
            <w:r>
              <w:rPr>
                <w:rFonts w:ascii="Arial" w:cs="Arial" w:eastAsia="Arial" w:hAnsi="Arial"/>
                <w:sz w:val="14"/>
                <w:szCs w:val="14"/>
                <w:b w:val="1"/>
                <w:bCs w:val="1"/>
                <w:color w:val="auto"/>
              </w:rPr>
              <w:t>2017</w:t>
            </w:r>
          </w:p>
        </w:tc>
        <w:tc>
          <w:tcPr>
            <w:tcW w:w="42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ind w:right="421"/>
              <w:spacing w:after="0"/>
              <w:rPr>
                <w:sz w:val="20"/>
                <w:szCs w:val="20"/>
                <w:color w:val="auto"/>
              </w:rPr>
            </w:pPr>
            <w:r>
              <w:rPr>
                <w:rFonts w:ascii="Arial" w:cs="Arial" w:eastAsia="Arial" w:hAnsi="Arial"/>
                <w:sz w:val="14"/>
                <w:szCs w:val="14"/>
                <w:color w:val="auto"/>
              </w:rPr>
              <w:t>2016</w:t>
            </w:r>
          </w:p>
        </w:tc>
      </w:tr>
      <w:tr>
        <w:trPr>
          <w:trHeight w:val="250"/>
        </w:trPr>
        <w:tc>
          <w:tcPr>
            <w:tcW w:w="8660" w:type="dxa"/>
            <w:vAlign w:val="bottom"/>
          </w:tcPr>
          <w:p>
            <w:pPr>
              <w:ind w:left="40"/>
              <w:spacing w:after="0"/>
              <w:rPr>
                <w:sz w:val="20"/>
                <w:szCs w:val="20"/>
                <w:color w:val="auto"/>
              </w:rPr>
            </w:pPr>
            <w:r>
              <w:rPr>
                <w:rFonts w:ascii="Arial" w:cs="Arial" w:eastAsia="Arial" w:hAnsi="Arial"/>
                <w:sz w:val="16"/>
                <w:szCs w:val="16"/>
                <w:color w:val="auto"/>
              </w:rPr>
              <w:t>Goodwill and indefinite-lived intangible assets</w:t>
            </w:r>
          </w:p>
        </w:tc>
        <w:tc>
          <w:tcPr>
            <w:tcW w:w="300" w:type="dxa"/>
            <w:vAlign w:val="bottom"/>
          </w:tcPr>
          <w:p>
            <w:pPr>
              <w:jc w:val="right"/>
              <w:ind w:right="99"/>
              <w:spacing w:after="0"/>
              <w:rPr>
                <w:sz w:val="20"/>
                <w:szCs w:val="20"/>
                <w:color w:val="auto"/>
              </w:rPr>
            </w:pPr>
            <w:r>
              <w:rPr>
                <w:rFonts w:ascii="Arial" w:cs="Arial" w:eastAsia="Arial" w:hAnsi="Arial"/>
                <w:sz w:val="16"/>
                <w:szCs w:val="16"/>
                <w:b w:val="1"/>
                <w:bCs w:val="1"/>
                <w:color w:val="auto"/>
              </w:rPr>
              <w:t>$</w:t>
            </w:r>
          </w:p>
        </w:tc>
        <w:tc>
          <w:tcPr>
            <w:tcW w:w="1020" w:type="dxa"/>
            <w:vAlign w:val="bottom"/>
          </w:tcPr>
          <w:p>
            <w:pPr>
              <w:jc w:val="right"/>
              <w:ind w:right="223"/>
              <w:spacing w:after="0"/>
              <w:rPr>
                <w:sz w:val="20"/>
                <w:szCs w:val="20"/>
                <w:color w:val="auto"/>
              </w:rPr>
            </w:pPr>
            <w:r>
              <w:rPr>
                <w:rFonts w:ascii="Arial" w:cs="Arial" w:eastAsia="Arial" w:hAnsi="Arial"/>
                <w:sz w:val="16"/>
                <w:szCs w:val="16"/>
                <w:b w:val="1"/>
                <w:bCs w:val="1"/>
                <w:color w:val="auto"/>
              </w:rPr>
              <w:t>1,401.9</w:t>
            </w:r>
          </w:p>
        </w:tc>
        <w:tc>
          <w:tcPr>
            <w:tcW w:w="420" w:type="dxa"/>
            <w:vAlign w:val="bottom"/>
          </w:tcPr>
          <w:p>
            <w:pPr>
              <w:jc w:val="right"/>
              <w:ind w:right="99"/>
              <w:spacing w:after="0"/>
              <w:rPr>
                <w:sz w:val="20"/>
                <w:szCs w:val="20"/>
                <w:color w:val="auto"/>
              </w:rPr>
            </w:pPr>
            <w:r>
              <w:rPr>
                <w:rFonts w:ascii="Arial" w:cs="Arial" w:eastAsia="Arial" w:hAnsi="Arial"/>
                <w:sz w:val="16"/>
                <w:szCs w:val="16"/>
                <w:color w:val="auto"/>
              </w:rPr>
              <w:t>$</w:t>
            </w:r>
          </w:p>
        </w:tc>
        <w:tc>
          <w:tcPr>
            <w:tcW w:w="1020" w:type="dxa"/>
            <w:vAlign w:val="bottom"/>
          </w:tcPr>
          <w:p>
            <w:pPr>
              <w:jc w:val="right"/>
              <w:ind w:right="241"/>
              <w:spacing w:after="0"/>
              <w:rPr>
                <w:sz w:val="20"/>
                <w:szCs w:val="20"/>
                <w:color w:val="auto"/>
              </w:rPr>
            </w:pPr>
            <w:r>
              <w:rPr>
                <w:rFonts w:ascii="Arial" w:cs="Arial" w:eastAsia="Arial" w:hAnsi="Arial"/>
                <w:sz w:val="16"/>
                <w:szCs w:val="16"/>
                <w:color w:val="auto"/>
              </w:rPr>
              <w:t>1,189.0</w:t>
            </w:r>
          </w:p>
        </w:tc>
      </w:tr>
      <w:tr>
        <w:trPr>
          <w:trHeight w:val="270"/>
        </w:trPr>
        <w:tc>
          <w:tcPr>
            <w:tcW w:w="8660" w:type="dxa"/>
            <w:vAlign w:val="bottom"/>
          </w:tcPr>
          <w:p>
            <w:pPr>
              <w:ind w:left="40"/>
              <w:spacing w:after="0"/>
              <w:rPr>
                <w:sz w:val="20"/>
                <w:szCs w:val="20"/>
                <w:color w:val="auto"/>
              </w:rPr>
            </w:pPr>
            <w:r>
              <w:rPr>
                <w:rFonts w:ascii="Arial" w:cs="Arial" w:eastAsia="Arial" w:hAnsi="Arial"/>
                <w:sz w:val="16"/>
                <w:szCs w:val="16"/>
                <w:color w:val="auto"/>
              </w:rPr>
              <w:t>Total assets</w:t>
            </w:r>
          </w:p>
        </w:tc>
        <w:tc>
          <w:tcPr>
            <w:tcW w:w="300" w:type="dxa"/>
            <w:vAlign w:val="bottom"/>
          </w:tcPr>
          <w:p>
            <w:pPr>
              <w:jc w:val="right"/>
              <w:ind w:right="99"/>
              <w:spacing w:after="0"/>
              <w:rPr>
                <w:sz w:val="20"/>
                <w:szCs w:val="20"/>
                <w:color w:val="auto"/>
              </w:rPr>
            </w:pPr>
            <w:r>
              <w:rPr>
                <w:rFonts w:ascii="Arial" w:cs="Arial" w:eastAsia="Arial" w:hAnsi="Arial"/>
                <w:sz w:val="16"/>
                <w:szCs w:val="16"/>
                <w:b w:val="1"/>
                <w:bCs w:val="1"/>
                <w:color w:val="auto"/>
              </w:rPr>
              <w:t>$</w:t>
            </w:r>
          </w:p>
        </w:tc>
        <w:tc>
          <w:tcPr>
            <w:tcW w:w="1020" w:type="dxa"/>
            <w:vAlign w:val="bottom"/>
          </w:tcPr>
          <w:p>
            <w:pPr>
              <w:jc w:val="right"/>
              <w:ind w:right="223"/>
              <w:spacing w:after="0"/>
              <w:rPr>
                <w:sz w:val="20"/>
                <w:szCs w:val="20"/>
                <w:color w:val="auto"/>
              </w:rPr>
            </w:pPr>
            <w:r>
              <w:rPr>
                <w:rFonts w:ascii="Arial" w:cs="Arial" w:eastAsia="Arial" w:hAnsi="Arial"/>
                <w:sz w:val="16"/>
                <w:szCs w:val="16"/>
                <w:b w:val="1"/>
                <w:bCs w:val="1"/>
                <w:color w:val="auto"/>
              </w:rPr>
              <w:t>4,937.8</w:t>
            </w:r>
          </w:p>
        </w:tc>
        <w:tc>
          <w:tcPr>
            <w:tcW w:w="420" w:type="dxa"/>
            <w:vAlign w:val="bottom"/>
          </w:tcPr>
          <w:p>
            <w:pPr>
              <w:jc w:val="right"/>
              <w:ind w:right="99"/>
              <w:spacing w:after="0"/>
              <w:rPr>
                <w:sz w:val="20"/>
                <w:szCs w:val="20"/>
                <w:color w:val="auto"/>
              </w:rPr>
            </w:pPr>
            <w:r>
              <w:rPr>
                <w:rFonts w:ascii="Arial" w:cs="Arial" w:eastAsia="Arial" w:hAnsi="Arial"/>
                <w:sz w:val="16"/>
                <w:szCs w:val="16"/>
                <w:color w:val="auto"/>
              </w:rPr>
              <w:t>$</w:t>
            </w:r>
          </w:p>
        </w:tc>
        <w:tc>
          <w:tcPr>
            <w:tcW w:w="1020" w:type="dxa"/>
            <w:vAlign w:val="bottom"/>
          </w:tcPr>
          <w:p>
            <w:pPr>
              <w:jc w:val="right"/>
              <w:ind w:right="241"/>
              <w:spacing w:after="0"/>
              <w:rPr>
                <w:sz w:val="20"/>
                <w:szCs w:val="20"/>
                <w:color w:val="auto"/>
              </w:rPr>
            </w:pPr>
            <w:r>
              <w:rPr>
                <w:rFonts w:ascii="Arial" w:cs="Arial" w:eastAsia="Arial" w:hAnsi="Arial"/>
                <w:sz w:val="16"/>
                <w:szCs w:val="16"/>
                <w:color w:val="auto"/>
              </w:rPr>
              <w:t>4,432.7</w:t>
            </w:r>
          </w:p>
        </w:tc>
      </w:tr>
      <w:tr>
        <w:trPr>
          <w:trHeight w:val="270"/>
        </w:trPr>
        <w:tc>
          <w:tcPr>
            <w:tcW w:w="8660" w:type="dxa"/>
            <w:vAlign w:val="bottom"/>
          </w:tcPr>
          <w:p>
            <w:pPr>
              <w:ind w:left="40"/>
              <w:spacing w:after="0"/>
              <w:rPr>
                <w:sz w:val="20"/>
                <w:szCs w:val="20"/>
                <w:color w:val="auto"/>
              </w:rPr>
            </w:pPr>
            <w:r>
              <w:rPr>
                <w:rFonts w:ascii="Arial" w:cs="Arial" w:eastAsia="Arial" w:hAnsi="Arial"/>
                <w:sz w:val="16"/>
                <w:szCs w:val="16"/>
                <w:color w:val="auto"/>
              </w:rPr>
              <w:t>Percentage of goodwill and indefinite-lived intangible assets to total assets</w:t>
            </w:r>
          </w:p>
        </w:tc>
        <w:tc>
          <w:tcPr>
            <w:tcW w:w="300" w:type="dxa"/>
            <w:vAlign w:val="bottom"/>
          </w:tcPr>
          <w:p>
            <w:pPr>
              <w:spacing w:after="0"/>
              <w:rPr>
                <w:sz w:val="23"/>
                <w:szCs w:val="23"/>
                <w:color w:val="auto"/>
              </w:rPr>
            </w:pPr>
          </w:p>
        </w:tc>
        <w:tc>
          <w:tcPr>
            <w:tcW w:w="1020" w:type="dxa"/>
            <w:vAlign w:val="bottom"/>
          </w:tcPr>
          <w:p>
            <w:pPr>
              <w:jc w:val="right"/>
              <w:ind w:right="83"/>
              <w:spacing w:after="0"/>
              <w:rPr>
                <w:sz w:val="20"/>
                <w:szCs w:val="20"/>
                <w:color w:val="auto"/>
              </w:rPr>
            </w:pPr>
            <w:r>
              <w:rPr>
                <w:rFonts w:ascii="Arial" w:cs="Arial" w:eastAsia="Arial" w:hAnsi="Arial"/>
                <w:sz w:val="16"/>
                <w:szCs w:val="16"/>
                <w:b w:val="1"/>
                <w:bCs w:val="1"/>
                <w:color w:val="auto"/>
              </w:rPr>
              <w:t>28%</w:t>
            </w:r>
          </w:p>
        </w:tc>
        <w:tc>
          <w:tcPr>
            <w:tcW w:w="420" w:type="dxa"/>
            <w:vAlign w:val="bottom"/>
          </w:tcPr>
          <w:p>
            <w:pPr>
              <w:spacing w:after="0"/>
              <w:rPr>
                <w:sz w:val="23"/>
                <w:szCs w:val="23"/>
                <w:color w:val="auto"/>
              </w:rPr>
            </w:pPr>
          </w:p>
        </w:tc>
        <w:tc>
          <w:tcPr>
            <w:tcW w:w="1020" w:type="dxa"/>
            <w:vAlign w:val="bottom"/>
          </w:tcPr>
          <w:p>
            <w:pPr>
              <w:jc w:val="right"/>
              <w:ind w:right="81"/>
              <w:spacing w:after="0"/>
              <w:rPr>
                <w:sz w:val="20"/>
                <w:szCs w:val="20"/>
                <w:color w:val="auto"/>
              </w:rPr>
            </w:pPr>
            <w:r>
              <w:rPr>
                <w:rFonts w:ascii="Arial" w:cs="Arial" w:eastAsia="Arial" w:hAnsi="Arial"/>
                <w:sz w:val="16"/>
                <w:szCs w:val="16"/>
                <w:color w:val="auto"/>
              </w:rPr>
              <w:t>27%</w:t>
            </w:r>
          </w:p>
        </w:tc>
      </w:tr>
    </w:tbl>
    <w:p>
      <w:pPr>
        <w:spacing w:after="0" w:line="167" w:lineRule="exact"/>
        <w:rPr>
          <w:sz w:val="20"/>
          <w:szCs w:val="20"/>
          <w:color w:val="auto"/>
        </w:rPr>
      </w:pPr>
    </w:p>
    <w:p>
      <w:pPr>
        <w:jc w:val="both"/>
        <w:ind w:right="100"/>
        <w:spacing w:after="0" w:line="229" w:lineRule="auto"/>
        <w:rPr>
          <w:sz w:val="20"/>
          <w:szCs w:val="20"/>
          <w:color w:val="auto"/>
        </w:rPr>
      </w:pPr>
      <w:r>
        <w:rPr>
          <w:rFonts w:ascii="Arial" w:cs="Arial" w:eastAsia="Arial" w:hAnsi="Arial"/>
          <w:sz w:val="18"/>
          <w:szCs w:val="18"/>
          <w:color w:val="auto"/>
        </w:rPr>
        <w:t>The Company performs its annual goodwill and intangible assets impairment test as of November 30. Goodwill and other intangible assets are reviewed for possible impairment between annual tests if an event occurred or circumstances changed that would more likely than not reduce the fair value of the reporting unit or other intangible assets below its carrying value.</w:t>
      </w:r>
    </w:p>
    <w:p>
      <w:pPr>
        <w:spacing w:after="0" w:line="11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Goodwill</w:t>
      </w:r>
    </w:p>
    <w:p>
      <w:pPr>
        <w:spacing w:after="0" w:line="162" w:lineRule="exact"/>
        <w:rPr>
          <w:sz w:val="20"/>
          <w:szCs w:val="20"/>
          <w:color w:val="auto"/>
        </w:rPr>
      </w:pPr>
    </w:p>
    <w:p>
      <w:pPr>
        <w:ind w:right="20"/>
        <w:spacing w:after="0" w:line="224" w:lineRule="auto"/>
        <w:rPr>
          <w:sz w:val="20"/>
          <w:szCs w:val="20"/>
          <w:color w:val="auto"/>
        </w:rPr>
      </w:pPr>
      <w:r>
        <w:rPr>
          <w:rFonts w:ascii="Arial" w:cs="Arial" w:eastAsia="Arial" w:hAnsi="Arial"/>
          <w:sz w:val="18"/>
          <w:szCs w:val="18"/>
          <w:color w:val="auto"/>
        </w:rPr>
        <w:t>The Company tests its goodwill at the reporting unit level, which is an operating segment or one level below an operating segment. The Company initially performs an assessment of qualitative factors to determine if it is necessary to perform a quantitative goodwill impairment test. The Company quantitatively tests goodwill for impairment if, based on its assessment of the qualitative factors, it determines that it is more likely than not that the fair value of a reporting unit is less than its carrying amount, or if it decides to bypass the qualitative assessment. The quantitative goodwill impairment test compares the estimated fair value of a reporting unit with its carrying amount, including goodwill. An impairment charge is recognized for the amount by which the carrying amount exceeds the reporting unit’s fair value.</w:t>
      </w:r>
    </w:p>
    <w:p>
      <w:pPr>
        <w:spacing w:after="0" w:line="137" w:lineRule="exact"/>
        <w:rPr>
          <w:sz w:val="20"/>
          <w:szCs w:val="20"/>
          <w:color w:val="auto"/>
        </w:rPr>
      </w:pPr>
    </w:p>
    <w:p>
      <w:pPr>
        <w:spacing w:after="0" w:line="235" w:lineRule="auto"/>
        <w:rPr>
          <w:sz w:val="20"/>
          <w:szCs w:val="20"/>
          <w:color w:val="auto"/>
        </w:rPr>
      </w:pPr>
      <w:r>
        <w:rPr>
          <w:rFonts w:ascii="Arial" w:cs="Arial" w:eastAsia="Arial" w:hAnsi="Arial"/>
          <w:sz w:val="18"/>
          <w:szCs w:val="18"/>
          <w:color w:val="auto"/>
        </w:rPr>
        <w:t>The Company had 14 reporting units as of December 31, 2017. The reporting units with significant goodwill balances as of December 31, 2017, were as follows, representing 85% of the total goodwill of the Company:</w:t>
      </w:r>
    </w:p>
    <w:p>
      <w:pPr>
        <w:spacing w:after="0" w:line="136"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1012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(in millions)</w:t>
            </w:r>
          </w:p>
        </w:tc>
        <w:tc>
          <w:tcPr>
            <w:tcW w:w="22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ind w:right="240"/>
              <w:spacing w:after="0"/>
              <w:rPr>
                <w:sz w:val="20"/>
                <w:szCs w:val="20"/>
                <w:color w:val="auto"/>
              </w:rPr>
            </w:pPr>
            <w:r>
              <w:rPr>
                <w:rFonts w:ascii="Arial" w:cs="Arial" w:eastAsia="Arial" w:hAnsi="Arial"/>
                <w:sz w:val="14"/>
                <w:szCs w:val="14"/>
                <w:b w:val="1"/>
                <w:bCs w:val="1"/>
                <w:color w:val="auto"/>
              </w:rPr>
              <w:t>Goodwill</w:t>
            </w:r>
          </w:p>
        </w:tc>
      </w:tr>
      <w:tr>
        <w:trPr>
          <w:trHeight w:val="223"/>
        </w:trPr>
        <w:tc>
          <w:tcPr>
            <w:tcW w:w="10120" w:type="dxa"/>
            <w:vAlign w:val="bottom"/>
          </w:tcPr>
          <w:p>
            <w:pPr>
              <w:ind w:left="40"/>
              <w:spacing w:after="0"/>
              <w:rPr>
                <w:sz w:val="20"/>
                <w:szCs w:val="20"/>
                <w:color w:val="auto"/>
              </w:rPr>
            </w:pPr>
            <w:r>
              <w:rPr>
                <w:rFonts w:ascii="Arial" w:cs="Arial" w:eastAsia="Arial" w:hAnsi="Arial"/>
                <w:sz w:val="16"/>
                <w:szCs w:val="16"/>
                <w:color w:val="auto"/>
              </w:rPr>
              <w:t>Education</w:t>
            </w:r>
          </w:p>
        </w:tc>
        <w:tc>
          <w:tcPr>
            <w:tcW w:w="220" w:type="dxa"/>
            <w:vAlign w:val="bottom"/>
          </w:tcPr>
          <w:p>
            <w:pPr>
              <w:spacing w:after="0"/>
              <w:rPr>
                <w:sz w:val="19"/>
                <w:szCs w:val="19"/>
                <w:color w:val="auto"/>
              </w:rPr>
            </w:pPr>
          </w:p>
        </w:tc>
        <w:tc>
          <w:tcPr>
            <w:tcW w:w="1020" w:type="dxa"/>
            <w:vAlign w:val="bottom"/>
          </w:tcPr>
          <w:p>
            <w:pPr>
              <w:spacing w:after="0"/>
              <w:rPr>
                <w:sz w:val="19"/>
                <w:szCs w:val="19"/>
                <w:color w:val="auto"/>
              </w:rPr>
            </w:pPr>
          </w:p>
        </w:tc>
      </w:tr>
      <w:tr>
        <w:trPr>
          <w:trHeight w:val="243"/>
        </w:trPr>
        <w:tc>
          <w:tcPr>
            <w:tcW w:w="10120" w:type="dxa"/>
            <w:vAlign w:val="bottom"/>
          </w:tcPr>
          <w:p>
            <w:pPr>
              <w:ind w:left="280"/>
              <w:spacing w:after="0"/>
              <w:rPr>
                <w:sz w:val="20"/>
                <w:szCs w:val="20"/>
                <w:color w:val="auto"/>
              </w:rPr>
            </w:pPr>
            <w:r>
              <w:rPr>
                <w:rFonts w:ascii="Arial" w:cs="Arial" w:eastAsia="Arial" w:hAnsi="Arial"/>
                <w:sz w:val="16"/>
                <w:szCs w:val="16"/>
                <w:color w:val="auto"/>
              </w:rPr>
              <w:t>Higher education</w:t>
            </w:r>
          </w:p>
        </w:tc>
        <w:tc>
          <w:tcPr>
            <w:tcW w:w="22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1020" w:type="dxa"/>
            <w:vAlign w:val="bottom"/>
          </w:tcPr>
          <w:p>
            <w:pPr>
              <w:jc w:val="right"/>
              <w:ind w:right="20"/>
              <w:spacing w:after="0"/>
              <w:rPr>
                <w:sz w:val="20"/>
                <w:szCs w:val="20"/>
                <w:color w:val="auto"/>
              </w:rPr>
            </w:pPr>
            <w:r>
              <w:rPr>
                <w:rFonts w:ascii="Arial" w:cs="Arial" w:eastAsia="Arial" w:hAnsi="Arial"/>
                <w:sz w:val="16"/>
                <w:szCs w:val="16"/>
                <w:color w:val="auto"/>
              </w:rPr>
              <w:t>141.3</w:t>
            </w:r>
          </w:p>
        </w:tc>
      </w:tr>
      <w:tr>
        <w:trPr>
          <w:trHeight w:val="243"/>
        </w:trPr>
        <w:tc>
          <w:tcPr>
            <w:tcW w:w="10120" w:type="dxa"/>
            <w:vAlign w:val="bottom"/>
          </w:tcPr>
          <w:p>
            <w:pPr>
              <w:ind w:left="280"/>
              <w:spacing w:after="0"/>
              <w:rPr>
                <w:sz w:val="20"/>
                <w:szCs w:val="20"/>
                <w:color w:val="auto"/>
              </w:rPr>
            </w:pPr>
            <w:r>
              <w:rPr>
                <w:rFonts w:ascii="Arial" w:cs="Arial" w:eastAsia="Arial" w:hAnsi="Arial"/>
                <w:sz w:val="16"/>
                <w:szCs w:val="16"/>
                <w:color w:val="auto"/>
              </w:rPr>
              <w:t>Test preparation</w:t>
            </w:r>
          </w:p>
        </w:tc>
        <w:tc>
          <w:tcPr>
            <w:tcW w:w="220" w:type="dxa"/>
            <w:vAlign w:val="bottom"/>
          </w:tcPr>
          <w:p>
            <w:pPr>
              <w:spacing w:after="0"/>
              <w:rPr>
                <w:sz w:val="21"/>
                <w:szCs w:val="21"/>
                <w:color w:val="auto"/>
              </w:rPr>
            </w:pPr>
          </w:p>
        </w:tc>
        <w:tc>
          <w:tcPr>
            <w:tcW w:w="1020" w:type="dxa"/>
            <w:vAlign w:val="bottom"/>
          </w:tcPr>
          <w:p>
            <w:pPr>
              <w:jc w:val="right"/>
              <w:ind w:right="20"/>
              <w:spacing w:after="0"/>
              <w:rPr>
                <w:sz w:val="20"/>
                <w:szCs w:val="20"/>
                <w:color w:val="auto"/>
              </w:rPr>
            </w:pPr>
            <w:r>
              <w:rPr>
                <w:rFonts w:ascii="Arial" w:cs="Arial" w:eastAsia="Arial" w:hAnsi="Arial"/>
                <w:sz w:val="16"/>
                <w:szCs w:val="16"/>
                <w:color w:val="auto"/>
              </w:rPr>
              <w:t>63.8</w:t>
            </w:r>
          </w:p>
        </w:tc>
      </w:tr>
      <w:tr>
        <w:trPr>
          <w:trHeight w:val="243"/>
        </w:trPr>
        <w:tc>
          <w:tcPr>
            <w:tcW w:w="10120" w:type="dxa"/>
            <w:vAlign w:val="bottom"/>
          </w:tcPr>
          <w:p>
            <w:pPr>
              <w:ind w:left="280"/>
              <w:spacing w:after="0"/>
              <w:rPr>
                <w:sz w:val="20"/>
                <w:szCs w:val="20"/>
                <w:color w:val="auto"/>
              </w:rPr>
            </w:pPr>
            <w:r>
              <w:rPr>
                <w:rFonts w:ascii="Arial" w:cs="Arial" w:eastAsia="Arial" w:hAnsi="Arial"/>
                <w:sz w:val="16"/>
                <w:szCs w:val="16"/>
                <w:color w:val="auto"/>
              </w:rPr>
              <w:t>Kaplan international</w:t>
            </w:r>
          </w:p>
        </w:tc>
        <w:tc>
          <w:tcPr>
            <w:tcW w:w="220" w:type="dxa"/>
            <w:vAlign w:val="bottom"/>
          </w:tcPr>
          <w:p>
            <w:pPr>
              <w:spacing w:after="0"/>
              <w:rPr>
                <w:sz w:val="21"/>
                <w:szCs w:val="21"/>
                <w:color w:val="auto"/>
              </w:rPr>
            </w:pPr>
          </w:p>
        </w:tc>
        <w:tc>
          <w:tcPr>
            <w:tcW w:w="1020" w:type="dxa"/>
            <w:vAlign w:val="bottom"/>
          </w:tcPr>
          <w:p>
            <w:pPr>
              <w:jc w:val="right"/>
              <w:ind w:right="20"/>
              <w:spacing w:after="0"/>
              <w:rPr>
                <w:sz w:val="20"/>
                <w:szCs w:val="20"/>
                <w:color w:val="auto"/>
              </w:rPr>
            </w:pPr>
            <w:r>
              <w:rPr>
                <w:rFonts w:ascii="Arial" w:cs="Arial" w:eastAsia="Arial" w:hAnsi="Arial"/>
                <w:sz w:val="16"/>
                <w:szCs w:val="16"/>
                <w:color w:val="auto"/>
              </w:rPr>
              <w:t>615.9</w:t>
            </w:r>
          </w:p>
        </w:tc>
      </w:tr>
      <w:tr>
        <w:trPr>
          <w:trHeight w:val="243"/>
        </w:trPr>
        <w:tc>
          <w:tcPr>
            <w:tcW w:w="10120" w:type="dxa"/>
            <w:vAlign w:val="bottom"/>
          </w:tcPr>
          <w:p>
            <w:pPr>
              <w:ind w:left="40"/>
              <w:spacing w:after="0"/>
              <w:rPr>
                <w:sz w:val="20"/>
                <w:szCs w:val="20"/>
                <w:color w:val="auto"/>
              </w:rPr>
            </w:pPr>
            <w:r>
              <w:rPr>
                <w:rFonts w:ascii="Arial" w:cs="Arial" w:eastAsia="Arial" w:hAnsi="Arial"/>
                <w:sz w:val="16"/>
                <w:szCs w:val="16"/>
                <w:color w:val="auto"/>
              </w:rPr>
              <w:t>Television broadcasting</w:t>
            </w:r>
          </w:p>
        </w:tc>
        <w:tc>
          <w:tcPr>
            <w:tcW w:w="220" w:type="dxa"/>
            <w:vAlign w:val="bottom"/>
          </w:tcPr>
          <w:p>
            <w:pPr>
              <w:spacing w:after="0"/>
              <w:rPr>
                <w:sz w:val="21"/>
                <w:szCs w:val="21"/>
                <w:color w:val="auto"/>
              </w:rPr>
            </w:pPr>
          </w:p>
        </w:tc>
        <w:tc>
          <w:tcPr>
            <w:tcW w:w="1020" w:type="dxa"/>
            <w:vAlign w:val="bottom"/>
          </w:tcPr>
          <w:p>
            <w:pPr>
              <w:jc w:val="right"/>
              <w:ind w:right="20"/>
              <w:spacing w:after="0"/>
              <w:rPr>
                <w:sz w:val="20"/>
                <w:szCs w:val="20"/>
                <w:color w:val="auto"/>
              </w:rPr>
            </w:pPr>
            <w:r>
              <w:rPr>
                <w:rFonts w:ascii="Arial" w:cs="Arial" w:eastAsia="Arial" w:hAnsi="Arial"/>
                <w:sz w:val="16"/>
                <w:szCs w:val="16"/>
                <w:color w:val="auto"/>
              </w:rPr>
              <w:t>190.8</w:t>
            </w:r>
          </w:p>
        </w:tc>
      </w:tr>
      <w:tr>
        <w:trPr>
          <w:trHeight w:val="256"/>
        </w:trPr>
        <w:tc>
          <w:tcPr>
            <w:tcW w:w="10120" w:type="dxa"/>
            <w:vAlign w:val="bottom"/>
          </w:tcPr>
          <w:p>
            <w:pPr>
              <w:ind w:left="40"/>
              <w:spacing w:after="0"/>
              <w:rPr>
                <w:sz w:val="20"/>
                <w:szCs w:val="20"/>
                <w:color w:val="auto"/>
              </w:rPr>
            </w:pPr>
            <w:r>
              <w:rPr>
                <w:rFonts w:ascii="Arial" w:cs="Arial" w:eastAsia="Arial" w:hAnsi="Arial"/>
                <w:sz w:val="16"/>
                <w:szCs w:val="16"/>
                <w:color w:val="auto"/>
              </w:rPr>
              <w:t>Hoover</w:t>
            </w:r>
          </w:p>
        </w:tc>
        <w:tc>
          <w:tcPr>
            <w:tcW w:w="22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91.3</w:t>
            </w:r>
          </w:p>
        </w:tc>
      </w:tr>
      <w:tr>
        <w:trPr>
          <w:trHeight w:val="240"/>
        </w:trPr>
        <w:tc>
          <w:tcPr>
            <w:tcW w:w="10120" w:type="dxa"/>
            <w:vAlign w:val="bottom"/>
          </w:tcPr>
          <w:p>
            <w:pPr>
              <w:ind w:left="40"/>
              <w:spacing w:after="0"/>
              <w:rPr>
                <w:sz w:val="20"/>
                <w:szCs w:val="20"/>
                <w:color w:val="auto"/>
              </w:rPr>
            </w:pPr>
            <w:r>
              <w:rPr>
                <w:rFonts w:ascii="Arial" w:cs="Arial" w:eastAsia="Arial" w:hAnsi="Arial"/>
                <w:sz w:val="16"/>
                <w:szCs w:val="16"/>
                <w:color w:val="auto"/>
              </w:rPr>
              <w:t>Total</w:t>
            </w:r>
          </w:p>
        </w:tc>
        <w:tc>
          <w:tcPr>
            <w:tcW w:w="2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w:t>
            </w:r>
          </w:p>
        </w:tc>
        <w:tc>
          <w:tcPr>
            <w:tcW w:w="102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1,103.1</w:t>
            </w:r>
          </w:p>
        </w:tc>
      </w:tr>
      <w:tr>
        <w:trPr>
          <w:trHeight w:val="20"/>
        </w:trPr>
        <w:tc>
          <w:tcPr>
            <w:tcW w:w="10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spacing w:after="0" w:line="223" w:lineRule="auto"/>
        <w:rPr>
          <w:sz w:val="20"/>
          <w:szCs w:val="20"/>
          <w:color w:val="auto"/>
        </w:rPr>
      </w:pPr>
      <w:r>
        <w:rPr>
          <w:rFonts w:ascii="Arial" w:cs="Arial" w:eastAsia="Arial" w:hAnsi="Arial"/>
          <w:sz w:val="18"/>
          <w:szCs w:val="18"/>
          <w:color w:val="auto"/>
        </w:rPr>
        <w:t>As of November 30, 2017, in connection with the Company’s annual impairment testing, the Company decided to perform the quantitative goodwill impairment process at all of the reporting units. The Company’s policy requires the performance of a quantitative impairment review of the goodwill at least once every three years. The Company used a discounted cash flow model, and, where appropriate, a market value approach was also utilized to supplement the discounted cash flow model to determine the estimated fair value of its reporting units. The Company made estimates and assumptions regarding future cash flows, discount rates, long-term growth rates and market values to determine each reporting unit’s estimated fair value. The methodology used to estimate the fair value of the Company’s reporting units on November 30, 2017, was consistent with the one used during the 2016 annual goodwill impairment test.</w:t>
      </w:r>
    </w:p>
    <w:p>
      <w:pPr>
        <w:spacing w:after="0" w:line="139" w:lineRule="exact"/>
        <w:rPr>
          <w:sz w:val="20"/>
          <w:szCs w:val="20"/>
          <w:color w:val="auto"/>
        </w:rPr>
      </w:pPr>
    </w:p>
    <w:p>
      <w:pPr>
        <w:ind w:right="80"/>
        <w:spacing w:after="0" w:line="229" w:lineRule="auto"/>
        <w:rPr>
          <w:sz w:val="20"/>
          <w:szCs w:val="20"/>
          <w:color w:val="auto"/>
        </w:rPr>
      </w:pPr>
      <w:r>
        <w:rPr>
          <w:rFonts w:ascii="Arial" w:cs="Arial" w:eastAsia="Arial" w:hAnsi="Arial"/>
          <w:sz w:val="18"/>
          <w:szCs w:val="18"/>
          <w:color w:val="auto"/>
        </w:rPr>
        <w:t>The Company made changes to certain of its assumptions utilized in the discounted cash flow models for 2017 compared with the prior year to take into account changes in the economic environment, regulations and their impact on the Company’s businesses. The key assumptions used by the Company were as follows:</w:t>
      </w:r>
    </w:p>
    <w:p>
      <w:pPr>
        <w:spacing w:after="0" w:line="83" w:lineRule="exact"/>
        <w:rPr>
          <w:sz w:val="20"/>
          <w:szCs w:val="20"/>
          <w:color w:val="auto"/>
        </w:rPr>
      </w:pPr>
    </w:p>
    <w:p>
      <w:pPr>
        <w:ind w:left="180" w:right="120" w:hanging="172"/>
        <w:spacing w:after="0" w:line="229" w:lineRule="auto"/>
        <w:tabs>
          <w:tab w:leader="none" w:pos="180" w:val="left"/>
        </w:tabs>
        <w:numPr>
          <w:ilvl w:val="0"/>
          <w:numId w:val="53"/>
        </w:numPr>
        <w:rPr>
          <w:rFonts w:ascii="Arial" w:cs="Arial" w:eastAsia="Arial" w:hAnsi="Arial"/>
          <w:sz w:val="18"/>
          <w:szCs w:val="18"/>
          <w:color w:val="auto"/>
        </w:rPr>
      </w:pPr>
      <w:r>
        <w:rPr>
          <w:rFonts w:ascii="Arial" w:cs="Arial" w:eastAsia="Arial" w:hAnsi="Arial"/>
          <w:sz w:val="18"/>
          <w:szCs w:val="18"/>
          <w:color w:val="auto"/>
        </w:rPr>
        <w:t>Expected cash flows underlying the Company’s business plans for the periods 2018 through 2022 were used. The expected cash flows took into account historical growth rates, the effect of the changed economic outlook at some of the Company’s businesses, industry challenges and an estimate for the possible impact of any applicable regulations.</w:t>
      </w:r>
    </w:p>
    <w:p>
      <w:pPr>
        <w:spacing w:after="0" w:line="82" w:lineRule="exact"/>
        <w:rPr>
          <w:rFonts w:ascii="Arial" w:cs="Arial" w:eastAsia="Arial" w:hAnsi="Arial"/>
          <w:sz w:val="18"/>
          <w:szCs w:val="18"/>
          <w:color w:val="auto"/>
        </w:rPr>
      </w:pPr>
    </w:p>
    <w:p>
      <w:pPr>
        <w:ind w:left="180" w:right="380" w:hanging="172"/>
        <w:spacing w:after="0" w:line="235" w:lineRule="auto"/>
        <w:tabs>
          <w:tab w:leader="none" w:pos="180" w:val="left"/>
        </w:tabs>
        <w:numPr>
          <w:ilvl w:val="0"/>
          <w:numId w:val="53"/>
        </w:numPr>
        <w:rPr>
          <w:rFonts w:ascii="Arial" w:cs="Arial" w:eastAsia="Arial" w:hAnsi="Arial"/>
          <w:sz w:val="18"/>
          <w:szCs w:val="18"/>
          <w:color w:val="auto"/>
        </w:rPr>
      </w:pPr>
      <w:r>
        <w:rPr>
          <w:rFonts w:ascii="Arial" w:cs="Arial" w:eastAsia="Arial" w:hAnsi="Arial"/>
          <w:sz w:val="18"/>
          <w:szCs w:val="18"/>
          <w:color w:val="auto"/>
        </w:rPr>
        <w:t>Cash flows beyond 2022 were projected to grow at a long-term growth rate, which the Company estimated between 1% and 3% for each reporting unit.</w:t>
      </w:r>
    </w:p>
    <w:p>
      <w:pPr>
        <w:spacing w:after="0" w:line="80" w:lineRule="exact"/>
        <w:rPr>
          <w:rFonts w:ascii="Arial" w:cs="Arial" w:eastAsia="Arial" w:hAnsi="Arial"/>
          <w:sz w:val="18"/>
          <w:szCs w:val="18"/>
          <w:color w:val="auto"/>
        </w:rPr>
      </w:pPr>
    </w:p>
    <w:p>
      <w:pPr>
        <w:ind w:left="180" w:hanging="172"/>
        <w:spacing w:after="0"/>
        <w:tabs>
          <w:tab w:leader="none" w:pos="180" w:val="left"/>
        </w:tabs>
        <w:numPr>
          <w:ilvl w:val="0"/>
          <w:numId w:val="53"/>
        </w:numPr>
        <w:rPr>
          <w:rFonts w:ascii="Arial" w:cs="Arial" w:eastAsia="Arial" w:hAnsi="Arial"/>
          <w:sz w:val="18"/>
          <w:szCs w:val="18"/>
          <w:color w:val="auto"/>
        </w:rPr>
      </w:pPr>
      <w:r>
        <w:rPr>
          <w:rFonts w:ascii="Arial" w:cs="Arial" w:eastAsia="Arial" w:hAnsi="Arial"/>
          <w:sz w:val="18"/>
          <w:szCs w:val="18"/>
          <w:color w:val="auto"/>
        </w:rPr>
        <w:t>The Company used a discount rate of 10.0% to 22.5% to risk adjust the cash flow projections in determining the estimated fair value.</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color w:val="auto"/>
        </w:rPr>
        <w:t>The fair value of each of the reporting units exceeded its respective carrying value as of November 30, 2017.</w:t>
      </w:r>
    </w:p>
    <w:p>
      <w:pPr>
        <w:spacing w:after="0" w:line="200" w:lineRule="exact"/>
        <w:rPr>
          <w:sz w:val="20"/>
          <w:szCs w:val="20"/>
          <w:color w:val="auto"/>
        </w:rPr>
      </w:pPr>
    </w:p>
    <w:p>
      <w:pPr>
        <w:spacing w:after="0" w:line="3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65</w:t>
      </w:r>
    </w:p>
    <w:p>
      <w:pPr>
        <w:sectPr>
          <w:pgSz w:w="11900" w:h="16838" w:orient="portrait"/>
          <w:cols w:equalWidth="0" w:num="1">
            <w:col w:w="11420"/>
          </w:cols>
          <w:pgMar w:left="240" w:top="746" w:right="239" w:bottom="1440" w:gutter="0" w:footer="0" w:header="0"/>
        </w:sectPr>
      </w:pPr>
    </w:p>
    <w:bookmarkStart w:id="67" w:name="page68"/>
    <w:bookmarkEnd w:id="67"/>
    <w:p>
      <w:pPr>
        <w:spacing w:after="0" w:line="225" w:lineRule="auto"/>
        <w:rPr>
          <w:sz w:val="20"/>
          <w:szCs w:val="20"/>
          <w:color w:val="auto"/>
        </w:rPr>
      </w:pPr>
      <w:r>
        <w:rPr>
          <w:rFonts w:ascii="Arial" w:cs="Arial" w:eastAsia="Arial" w:hAnsi="Arial"/>
          <w:sz w:val="18"/>
          <w:szCs w:val="18"/>
          <w:color w:val="auto"/>
        </w:rPr>
        <w:t>In 2015, the Company reported a goodwill impairment charge of $248.6 million at the KHE reporting unit. The remaining goodwill balance at the KHE reporting unit as of December 31, 2017 totaled $141.3 million. The estimated fair value of the KHE reporting unit exceeded its carrying value by a margin in excess of 25%. The estimated fair value of the Company’s other reporting units with significant goodwill balances exceeded their respective carrying values by a margin in excess of 25%. It is possible that impairment charges could occur in the future, given changes in market conditions and the inherent variability in projecting future operating performance.</w:t>
      </w:r>
    </w:p>
    <w:p>
      <w:pPr>
        <w:spacing w:after="0" w:line="11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Indefinite-Lived Intangible Assets</w:t>
      </w:r>
    </w:p>
    <w:p>
      <w:pPr>
        <w:spacing w:after="0" w:line="162" w:lineRule="exact"/>
        <w:rPr>
          <w:sz w:val="20"/>
          <w:szCs w:val="20"/>
          <w:color w:val="auto"/>
        </w:rPr>
      </w:pPr>
    </w:p>
    <w:p>
      <w:pPr>
        <w:ind w:right="80"/>
        <w:spacing w:after="0" w:line="222" w:lineRule="auto"/>
        <w:rPr>
          <w:sz w:val="20"/>
          <w:szCs w:val="20"/>
          <w:color w:val="auto"/>
        </w:rPr>
      </w:pPr>
      <w:r>
        <w:rPr>
          <w:rFonts w:ascii="Arial" w:cs="Arial" w:eastAsia="Arial" w:hAnsi="Arial"/>
          <w:sz w:val="18"/>
          <w:szCs w:val="18"/>
          <w:color w:val="auto"/>
        </w:rPr>
        <w:t>The Company initially assesses qualitative factors to determine if it is more likely than not that the fair value of its indefinite-lived intangible assets is less than its carrying value. The Company compares the fair value of the indefinite-lived intangible asset with its carrying value if the qualitative factors indicate it is more likely than not that the fair value of the asset is less than its carrying value or if it decides to bypass the qualitative assessment. The Company records an impairment loss if the carrying value of the indefinite-lived intangible assets exceeds the fair value of the assets for the difference in the values. The Company uses a discounted cash flow model, and, in certain cases, a market value approach is also utilized to supplement the discounted cash flow model to determine the estimated fair value of the indefinite-lived intangible assets. The Company makes estimates and assumptions regarding future cash flows, discount rates, long-term growth rates and other market values to determine the estimated fair value of the indefinite-lived intangible assets. The Company’s policy requires the performance of a quantitative impairment review of the indefinite-lived intangible assets at least once every three years.</w:t>
      </w:r>
    </w:p>
    <w:p>
      <w:pPr>
        <w:spacing w:after="0" w:line="141" w:lineRule="exact"/>
        <w:rPr>
          <w:sz w:val="20"/>
          <w:szCs w:val="20"/>
          <w:color w:val="auto"/>
        </w:rPr>
      </w:pPr>
    </w:p>
    <w:p>
      <w:pPr>
        <w:jc w:val="both"/>
        <w:ind w:right="240"/>
        <w:spacing w:after="0" w:line="229" w:lineRule="auto"/>
        <w:rPr>
          <w:sz w:val="20"/>
          <w:szCs w:val="20"/>
          <w:color w:val="auto"/>
        </w:rPr>
      </w:pPr>
      <w:r>
        <w:rPr>
          <w:rFonts w:ascii="Arial" w:cs="Arial" w:eastAsia="Arial" w:hAnsi="Arial"/>
          <w:sz w:val="18"/>
          <w:szCs w:val="18"/>
          <w:color w:val="auto"/>
        </w:rPr>
        <w:t>The Company’s intangible assets with an indefinite life are principally from trade names and FCC licenses. The fair value of each indefinite-lived intangible asset exceeded its respective carrying value as of November 30, 2017. There is always a possibility that impairment charges could occur in the future, given the inherent variability in projecting future operating performance.</w:t>
      </w:r>
    </w:p>
    <w:p>
      <w:pPr>
        <w:spacing w:after="0" w:line="115" w:lineRule="exact"/>
        <w:rPr>
          <w:sz w:val="20"/>
          <w:szCs w:val="20"/>
          <w:color w:val="auto"/>
        </w:rPr>
      </w:pPr>
    </w:p>
    <w:p>
      <w:pPr>
        <w:ind w:right="20"/>
        <w:spacing w:after="0" w:line="226" w:lineRule="auto"/>
        <w:rPr>
          <w:sz w:val="20"/>
          <w:szCs w:val="20"/>
          <w:color w:val="auto"/>
        </w:rPr>
      </w:pPr>
      <w:r>
        <w:rPr>
          <w:rFonts w:ascii="Arial" w:cs="Arial" w:eastAsia="Arial" w:hAnsi="Arial"/>
          <w:sz w:val="18"/>
          <w:szCs w:val="18"/>
          <w:b w:val="1"/>
          <w:bCs w:val="1"/>
          <w:color w:val="auto"/>
        </w:rPr>
        <w:t xml:space="preserve">Pension Costs. </w:t>
      </w:r>
      <w:r>
        <w:rPr>
          <w:rFonts w:ascii="Arial" w:cs="Arial" w:eastAsia="Arial" w:hAnsi="Arial"/>
          <w:sz w:val="18"/>
          <w:szCs w:val="18"/>
          <w:color w:val="auto"/>
        </w:rPr>
        <w:t>The Company sponsors a defined benefit pension plan for eligible employees in the U.S. Excluding curtailment gain,</w:t>
      </w:r>
      <w:r>
        <w:rPr>
          <w:rFonts w:ascii="Arial" w:cs="Arial" w:eastAsia="Arial" w:hAnsi="Arial"/>
          <w:sz w:val="18"/>
          <w:szCs w:val="18"/>
          <w:b w:val="1"/>
          <w:bCs w:val="1"/>
          <w:color w:val="auto"/>
        </w:rPr>
        <w:t xml:space="preserve"> </w:t>
      </w:r>
      <w:r>
        <w:rPr>
          <w:rFonts w:ascii="Arial" w:cs="Arial" w:eastAsia="Arial" w:hAnsi="Arial"/>
          <w:sz w:val="18"/>
          <w:szCs w:val="18"/>
          <w:color w:val="auto"/>
        </w:rPr>
        <w:t>settlement gain and special termination benefits, the Company’s net pension credit, including amounts for discontinued operations, was $59.0 million, $49.1 million and $ 63.3 million for 2017, 2016 and 2015, respectively. The Company’s pension benefit obligation and related credits are actuarially determined and are impacted significantly by the Company’s assumptions related to future events, including the discount rate, expected return on plan assets and rate of compensation increases. The Company evaluates these critical assumptions at least annually and, periodically, evaluates other assumptions involving demographic factors, such as retirement age, mortality and turnover, and updates them to reflect its experience and expectations for the future. Actual results in any given year will often differ from actuarial assumptions because of economic and other factors.</w:t>
      </w:r>
    </w:p>
    <w:p>
      <w:pPr>
        <w:spacing w:after="0" w:line="137" w:lineRule="exact"/>
        <w:rPr>
          <w:sz w:val="20"/>
          <w:szCs w:val="20"/>
          <w:color w:val="auto"/>
        </w:rPr>
      </w:pPr>
    </w:p>
    <w:p>
      <w:pPr>
        <w:ind w:right="40"/>
        <w:spacing w:after="0" w:line="229" w:lineRule="auto"/>
        <w:rPr>
          <w:sz w:val="20"/>
          <w:szCs w:val="20"/>
          <w:color w:val="auto"/>
        </w:rPr>
      </w:pPr>
      <w:r>
        <w:rPr>
          <w:rFonts w:ascii="Arial" w:cs="Arial" w:eastAsia="Arial" w:hAnsi="Arial"/>
          <w:sz w:val="18"/>
          <w:szCs w:val="18"/>
          <w:color w:val="auto"/>
        </w:rPr>
        <w:t>The Company assumed a 6.25% expected return on plan assets for 2017, which is a change from 6.5% expected return assumption for 2016 and 2015. The Company’s actual return (loss) on plan assets was 19.2% in 2017, (2.0)% in 2016 and (6.2)% in 2015. The 10-year and 20-year actual returns on plan assets on an annual basis were 8.6% and 8.8%, respectively.</w:t>
      </w:r>
    </w:p>
    <w:p>
      <w:pPr>
        <w:spacing w:after="0" w:line="137" w:lineRule="exact"/>
        <w:rPr>
          <w:sz w:val="20"/>
          <w:szCs w:val="20"/>
          <w:color w:val="auto"/>
        </w:rPr>
      </w:pPr>
    </w:p>
    <w:p>
      <w:pPr>
        <w:spacing w:after="0" w:line="225" w:lineRule="auto"/>
        <w:rPr>
          <w:sz w:val="20"/>
          <w:szCs w:val="20"/>
          <w:color w:val="auto"/>
        </w:rPr>
      </w:pPr>
      <w:r>
        <w:rPr>
          <w:rFonts w:ascii="Arial" w:cs="Arial" w:eastAsia="Arial" w:hAnsi="Arial"/>
          <w:sz w:val="18"/>
          <w:szCs w:val="18"/>
          <w:color w:val="auto"/>
        </w:rPr>
        <w:t>Accumulated and projected benefit obligations are measured as the present value of future cash payments. The Company discounts those cash payments using the weighted average of market-observed yields for high-quality fixed-income securities with maturities that correspond to the payment of benefits. Lower discount rates increase present values and generally increase subsequent-year pension costs; higher discount rates decrease present values and decrease subsequent-year pension costs. The Company’s discount rate at December 31, 2017, 2016 and 2015, was 3.6%, 4.1% and 4.3%, respectively, reflecting market interest rates.</w:t>
      </w:r>
    </w:p>
    <w:p>
      <w:pPr>
        <w:spacing w:after="0" w:line="137" w:lineRule="exact"/>
        <w:rPr>
          <w:sz w:val="20"/>
          <w:szCs w:val="20"/>
          <w:color w:val="auto"/>
        </w:rPr>
      </w:pPr>
    </w:p>
    <w:p>
      <w:pPr>
        <w:ind w:right="540"/>
        <w:spacing w:after="0" w:line="235" w:lineRule="auto"/>
        <w:rPr>
          <w:sz w:val="20"/>
          <w:szCs w:val="20"/>
          <w:color w:val="auto"/>
        </w:rPr>
      </w:pPr>
      <w:r>
        <w:rPr>
          <w:rFonts w:ascii="Arial" w:cs="Arial" w:eastAsia="Arial" w:hAnsi="Arial"/>
          <w:sz w:val="18"/>
          <w:szCs w:val="18"/>
          <w:color w:val="auto"/>
        </w:rPr>
        <w:t>Changes in key assumptions for the Company’s pension plan would have had the following effects on the 2017 pension credit, excluding special termination benefits:</w:t>
      </w:r>
    </w:p>
    <w:p>
      <w:pPr>
        <w:spacing w:after="0" w:line="81" w:lineRule="exact"/>
        <w:rPr>
          <w:sz w:val="20"/>
          <w:szCs w:val="20"/>
          <w:color w:val="auto"/>
        </w:rPr>
      </w:pPr>
    </w:p>
    <w:p>
      <w:pPr>
        <w:ind w:left="180" w:right="40" w:hanging="172"/>
        <w:spacing w:after="0" w:line="235" w:lineRule="auto"/>
        <w:tabs>
          <w:tab w:leader="none" w:pos="180" w:val="left"/>
        </w:tabs>
        <w:numPr>
          <w:ilvl w:val="0"/>
          <w:numId w:val="54"/>
        </w:numPr>
        <w:rPr>
          <w:rFonts w:ascii="Arial" w:cs="Arial" w:eastAsia="Arial" w:hAnsi="Arial"/>
          <w:sz w:val="18"/>
          <w:szCs w:val="18"/>
          <w:color w:val="auto"/>
        </w:rPr>
      </w:pPr>
      <w:r>
        <w:rPr>
          <w:rFonts w:ascii="Arial" w:cs="Arial" w:eastAsia="Arial" w:hAnsi="Arial"/>
          <w:sz w:val="18"/>
          <w:szCs w:val="18"/>
          <w:color w:val="auto"/>
        </w:rPr>
        <w:t>Expected return on assets – A 1% increase or decrease to the Company’s assumed expected return on plan assets would have increased or decreased the pension credit by approximately $19.4 million.</w:t>
      </w:r>
    </w:p>
    <w:p>
      <w:pPr>
        <w:spacing w:after="0" w:line="80" w:lineRule="exact"/>
        <w:rPr>
          <w:rFonts w:ascii="Arial" w:cs="Arial" w:eastAsia="Arial" w:hAnsi="Arial"/>
          <w:sz w:val="18"/>
          <w:szCs w:val="18"/>
          <w:color w:val="auto"/>
        </w:rPr>
      </w:pPr>
    </w:p>
    <w:p>
      <w:pPr>
        <w:jc w:val="both"/>
        <w:ind w:left="180" w:right="300" w:hanging="172"/>
        <w:spacing w:after="0" w:line="258" w:lineRule="auto"/>
        <w:tabs>
          <w:tab w:leader="none" w:pos="180" w:val="left"/>
        </w:tabs>
        <w:numPr>
          <w:ilvl w:val="0"/>
          <w:numId w:val="54"/>
        </w:numPr>
        <w:rPr>
          <w:rFonts w:ascii="Arial" w:cs="Arial" w:eastAsia="Arial" w:hAnsi="Arial"/>
          <w:sz w:val="17"/>
          <w:szCs w:val="17"/>
          <w:color w:val="auto"/>
        </w:rPr>
      </w:pPr>
      <w:r>
        <w:rPr>
          <w:rFonts w:ascii="Arial" w:cs="Arial" w:eastAsia="Arial" w:hAnsi="Arial"/>
          <w:sz w:val="17"/>
          <w:szCs w:val="17"/>
          <w:color w:val="auto"/>
        </w:rPr>
        <w:t>Discount rate – A 1% decrease to the Company’s assumed discount rate would have decreased the pension credit by approximately $0.4 million. A 1% increase to the Company’s assumed discount rate would have increased the pension credit by approximately $21.9 million.</w:t>
      </w:r>
    </w:p>
    <w:p>
      <w:pPr>
        <w:spacing w:after="0" w:line="120" w:lineRule="exact"/>
        <w:rPr>
          <w:sz w:val="20"/>
          <w:szCs w:val="20"/>
          <w:color w:val="auto"/>
        </w:rPr>
      </w:pPr>
    </w:p>
    <w:p>
      <w:pPr>
        <w:spacing w:after="0" w:line="224" w:lineRule="auto"/>
        <w:rPr>
          <w:sz w:val="20"/>
          <w:szCs w:val="20"/>
          <w:color w:val="auto"/>
        </w:rPr>
      </w:pPr>
      <w:r>
        <w:rPr>
          <w:rFonts w:ascii="Arial" w:cs="Arial" w:eastAsia="Arial" w:hAnsi="Arial"/>
          <w:sz w:val="18"/>
          <w:szCs w:val="18"/>
          <w:color w:val="auto"/>
        </w:rPr>
        <w:t>The Company’s net pension credit includes an expected return on plan assets component, calculated using the expected return on plan assets assumption applied to a market-related value of plan assets. The market-related value of plan assets is determined using a five-year average market value method, which recognizes realized and unrealized appreciation and depreciation in market values over a five-year period. The value resulting from applying this method is adjusted, if necessary, such that it cannot be less than 80% or more than 120% of the market value of plan assets as of the relevant measurement date. As a result, year-to-year increases or decreases in the market-related value of plan assets impact the return on plan assets component of pension credit for the year.</w:t>
      </w:r>
    </w:p>
    <w:p>
      <w:pPr>
        <w:spacing w:after="0" w:line="200" w:lineRule="exact"/>
        <w:rPr>
          <w:sz w:val="20"/>
          <w:szCs w:val="20"/>
          <w:color w:val="auto"/>
        </w:rPr>
      </w:pPr>
    </w:p>
    <w:p>
      <w:pPr>
        <w:spacing w:after="0" w:line="30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66</w:t>
      </w:r>
    </w:p>
    <w:p>
      <w:pPr>
        <w:sectPr>
          <w:pgSz w:w="11900" w:h="16838" w:orient="portrait"/>
          <w:cols w:equalWidth="0" w:num="1">
            <w:col w:w="11400"/>
          </w:cols>
          <w:pgMar w:left="240" w:top="746" w:right="259" w:bottom="1440" w:gutter="0" w:footer="0" w:header="0"/>
        </w:sectPr>
      </w:pPr>
    </w:p>
    <w:bookmarkStart w:id="68" w:name="page69"/>
    <w:bookmarkEnd w:id="68"/>
    <w:p>
      <w:pPr>
        <w:ind w:right="20"/>
        <w:spacing w:after="0" w:line="227" w:lineRule="auto"/>
        <w:rPr>
          <w:sz w:val="20"/>
          <w:szCs w:val="20"/>
          <w:color w:val="auto"/>
        </w:rPr>
      </w:pPr>
      <w:r>
        <w:rPr>
          <w:rFonts w:ascii="Arial" w:cs="Arial" w:eastAsia="Arial" w:hAnsi="Arial"/>
          <w:sz w:val="18"/>
          <w:szCs w:val="18"/>
          <w:color w:val="auto"/>
        </w:rPr>
        <w:t>At the end of each year, differences between the actual return on plan assets and the expected return on plan assets are combined with other differences in actual versus expected experience to form a net unamortized actuarial gain or loss in accumulated other comprehensive income. Only those net actuarial gains or losses in excess of the deferred realized and unrealized appreciation and depreciation are potentially subject to amortization.</w:t>
      </w:r>
    </w:p>
    <w:p>
      <w:pPr>
        <w:spacing w:after="0" w:line="135" w:lineRule="exact"/>
        <w:rPr>
          <w:sz w:val="20"/>
          <w:szCs w:val="20"/>
          <w:color w:val="auto"/>
        </w:rPr>
      </w:pPr>
    </w:p>
    <w:p>
      <w:pPr>
        <w:ind w:right="80"/>
        <w:spacing w:after="0" w:line="235" w:lineRule="auto"/>
        <w:rPr>
          <w:sz w:val="20"/>
          <w:szCs w:val="20"/>
          <w:color w:val="auto"/>
        </w:rPr>
      </w:pPr>
      <w:r>
        <w:rPr>
          <w:rFonts w:ascii="Arial" w:cs="Arial" w:eastAsia="Arial" w:hAnsi="Arial"/>
          <w:sz w:val="18"/>
          <w:szCs w:val="18"/>
          <w:color w:val="auto"/>
        </w:rPr>
        <w:t>The types of items that generate actuarial gains and losses that may be subject to amortization in net periodic pension (credit) cost include the following:</w:t>
      </w:r>
    </w:p>
    <w:p>
      <w:pPr>
        <w:spacing w:after="0" w:line="81" w:lineRule="exact"/>
        <w:rPr>
          <w:sz w:val="20"/>
          <w:szCs w:val="20"/>
          <w:color w:val="auto"/>
        </w:rPr>
      </w:pPr>
    </w:p>
    <w:p>
      <w:pPr>
        <w:ind w:left="180" w:hanging="172"/>
        <w:spacing w:after="0"/>
        <w:tabs>
          <w:tab w:leader="none" w:pos="180" w:val="left"/>
        </w:tabs>
        <w:numPr>
          <w:ilvl w:val="0"/>
          <w:numId w:val="55"/>
        </w:numPr>
        <w:rPr>
          <w:rFonts w:ascii="Arial" w:cs="Arial" w:eastAsia="Arial" w:hAnsi="Arial"/>
          <w:sz w:val="18"/>
          <w:szCs w:val="18"/>
          <w:color w:val="auto"/>
        </w:rPr>
      </w:pPr>
      <w:r>
        <w:rPr>
          <w:rFonts w:ascii="Arial" w:cs="Arial" w:eastAsia="Arial" w:hAnsi="Arial"/>
          <w:sz w:val="18"/>
          <w:szCs w:val="18"/>
          <w:color w:val="auto"/>
        </w:rPr>
        <w:t>Asset returns that are more or less than the expected return on plan assets for the year;</w:t>
      </w:r>
    </w:p>
    <w:p>
      <w:pPr>
        <w:spacing w:after="0" w:line="90" w:lineRule="exact"/>
        <w:rPr>
          <w:rFonts w:ascii="Arial" w:cs="Arial" w:eastAsia="Arial" w:hAnsi="Arial"/>
          <w:sz w:val="18"/>
          <w:szCs w:val="18"/>
          <w:color w:val="auto"/>
        </w:rPr>
      </w:pPr>
    </w:p>
    <w:p>
      <w:pPr>
        <w:ind w:left="180" w:hanging="172"/>
        <w:spacing w:after="0"/>
        <w:tabs>
          <w:tab w:leader="none" w:pos="180" w:val="left"/>
        </w:tabs>
        <w:numPr>
          <w:ilvl w:val="0"/>
          <w:numId w:val="55"/>
        </w:numPr>
        <w:rPr>
          <w:rFonts w:ascii="Arial" w:cs="Arial" w:eastAsia="Arial" w:hAnsi="Arial"/>
          <w:sz w:val="18"/>
          <w:szCs w:val="18"/>
          <w:color w:val="auto"/>
        </w:rPr>
      </w:pPr>
      <w:r>
        <w:rPr>
          <w:rFonts w:ascii="Arial" w:cs="Arial" w:eastAsia="Arial" w:hAnsi="Arial"/>
          <w:sz w:val="18"/>
          <w:szCs w:val="18"/>
          <w:color w:val="auto"/>
        </w:rPr>
        <w:t>Actual participant demographic experience different from assumed (retirements, terminations and deaths during the year);</w:t>
      </w:r>
    </w:p>
    <w:p>
      <w:pPr>
        <w:spacing w:after="0" w:line="90" w:lineRule="exact"/>
        <w:rPr>
          <w:rFonts w:ascii="Arial" w:cs="Arial" w:eastAsia="Arial" w:hAnsi="Arial"/>
          <w:sz w:val="18"/>
          <w:szCs w:val="18"/>
          <w:color w:val="auto"/>
        </w:rPr>
      </w:pPr>
    </w:p>
    <w:p>
      <w:pPr>
        <w:ind w:left="180" w:hanging="172"/>
        <w:spacing w:after="0"/>
        <w:tabs>
          <w:tab w:leader="none" w:pos="180" w:val="left"/>
        </w:tabs>
        <w:numPr>
          <w:ilvl w:val="0"/>
          <w:numId w:val="55"/>
        </w:numPr>
        <w:rPr>
          <w:rFonts w:ascii="Arial" w:cs="Arial" w:eastAsia="Arial" w:hAnsi="Arial"/>
          <w:sz w:val="18"/>
          <w:szCs w:val="18"/>
          <w:color w:val="auto"/>
        </w:rPr>
      </w:pPr>
      <w:r>
        <w:rPr>
          <w:rFonts w:ascii="Arial" w:cs="Arial" w:eastAsia="Arial" w:hAnsi="Arial"/>
          <w:sz w:val="18"/>
          <w:szCs w:val="18"/>
          <w:color w:val="auto"/>
        </w:rPr>
        <w:t>Actual salary increases different from assumed; and</w:t>
      </w:r>
    </w:p>
    <w:p>
      <w:pPr>
        <w:spacing w:after="0" w:line="90" w:lineRule="exact"/>
        <w:rPr>
          <w:rFonts w:ascii="Arial" w:cs="Arial" w:eastAsia="Arial" w:hAnsi="Arial"/>
          <w:sz w:val="18"/>
          <w:szCs w:val="18"/>
          <w:color w:val="auto"/>
        </w:rPr>
      </w:pPr>
    </w:p>
    <w:p>
      <w:pPr>
        <w:ind w:left="180" w:right="220" w:hanging="172"/>
        <w:spacing w:after="0" w:line="235" w:lineRule="auto"/>
        <w:tabs>
          <w:tab w:leader="none" w:pos="180" w:val="left"/>
        </w:tabs>
        <w:numPr>
          <w:ilvl w:val="0"/>
          <w:numId w:val="55"/>
        </w:numPr>
        <w:rPr>
          <w:rFonts w:ascii="Arial" w:cs="Arial" w:eastAsia="Arial" w:hAnsi="Arial"/>
          <w:sz w:val="18"/>
          <w:szCs w:val="18"/>
          <w:color w:val="auto"/>
        </w:rPr>
      </w:pPr>
      <w:r>
        <w:rPr>
          <w:rFonts w:ascii="Arial" w:cs="Arial" w:eastAsia="Arial" w:hAnsi="Arial"/>
          <w:sz w:val="18"/>
          <w:szCs w:val="18"/>
          <w:color w:val="auto"/>
        </w:rPr>
        <w:t>Any changes in assumptions that are made to better reflect anticipated experience of the plan or to reflect current market conditions on the measurement date (discount rate, longevity increases, changes in expected participant behavior and expected return on plan assets).</w:t>
      </w:r>
    </w:p>
    <w:p>
      <w:pPr>
        <w:spacing w:after="0" w:line="135" w:lineRule="exact"/>
        <w:rPr>
          <w:sz w:val="20"/>
          <w:szCs w:val="20"/>
          <w:color w:val="auto"/>
        </w:rPr>
      </w:pPr>
    </w:p>
    <w:p>
      <w:pPr>
        <w:ind w:right="120"/>
        <w:spacing w:after="0" w:line="224" w:lineRule="auto"/>
        <w:rPr>
          <w:sz w:val="20"/>
          <w:szCs w:val="20"/>
          <w:color w:val="auto"/>
        </w:rPr>
      </w:pPr>
      <w:r>
        <w:rPr>
          <w:rFonts w:ascii="Arial" w:cs="Arial" w:eastAsia="Arial" w:hAnsi="Arial"/>
          <w:sz w:val="18"/>
          <w:szCs w:val="18"/>
          <w:color w:val="auto"/>
        </w:rPr>
        <w:t>Amortization of the unrecognized actuarial gain or loss is included as a component of pension credit for a year if the magnitude of the net unamortized gain or loss in accumulated other comprehensive income exceeds 10% of the greater of the benefit obligation or the market-related value of assets (10% corridor). The amortization component is equal to that excess divided by the average remaining service period of active employees expected to receive benefits under the plan. At the end of 2014, the Company had no net unamortized actuarial gains or losses in accumulated other comprehensive income subject to amortization outside the 10% corridor, and therefore, no amortized gain or loss amounts were included in the pension credit in the first six months of 2015.</w:t>
      </w:r>
    </w:p>
    <w:p>
      <w:pPr>
        <w:spacing w:after="0" w:line="137" w:lineRule="exact"/>
        <w:rPr>
          <w:sz w:val="20"/>
          <w:szCs w:val="20"/>
          <w:color w:val="auto"/>
        </w:rPr>
      </w:pPr>
    </w:p>
    <w:p>
      <w:pPr>
        <w:ind w:right="40"/>
        <w:spacing w:after="0" w:line="223" w:lineRule="auto"/>
        <w:rPr>
          <w:sz w:val="20"/>
          <w:szCs w:val="20"/>
          <w:color w:val="auto"/>
        </w:rPr>
      </w:pPr>
      <w:r>
        <w:rPr>
          <w:rFonts w:ascii="Arial" w:cs="Arial" w:eastAsia="Arial" w:hAnsi="Arial"/>
          <w:sz w:val="18"/>
          <w:szCs w:val="18"/>
          <w:color w:val="auto"/>
        </w:rPr>
        <w:t>As a result of the Cable ONE spin-off and KHE Campuses sale, the Company remeasured the accumulated and projected benefit obligation as of July 1, 2015 and September 3, 2015, respectively, and recorded a curtailment gain. During the first six months of 2015, there were pension asset gains and an increase in the discount rate, which resulted in net unamortized actuarial gains in accumulated other comprehensive income subject to amortization outside the corridor, and therefore, an amortized gain of $11.9 million is included in the pension credit for the last six months of 2015. During the last four months of 2015, there were significant pension asset losses that resulted in no net unamortized actuarial gains or losses in accumulated other comprehensive income subject to amortization outside the 10% corridor, and therefore, no amortized gain or loss amounts were included in the pension credit for 2016.</w:t>
      </w:r>
    </w:p>
    <w:p>
      <w:pPr>
        <w:spacing w:after="0" w:line="139" w:lineRule="exact"/>
        <w:rPr>
          <w:sz w:val="20"/>
          <w:szCs w:val="20"/>
          <w:color w:val="auto"/>
        </w:rPr>
      </w:pPr>
    </w:p>
    <w:p>
      <w:pPr>
        <w:spacing w:after="0" w:line="229" w:lineRule="auto"/>
        <w:rPr>
          <w:sz w:val="20"/>
          <w:szCs w:val="20"/>
          <w:color w:val="auto"/>
        </w:rPr>
      </w:pPr>
      <w:r>
        <w:rPr>
          <w:rFonts w:ascii="Arial" w:cs="Arial" w:eastAsia="Arial" w:hAnsi="Arial"/>
          <w:sz w:val="18"/>
          <w:szCs w:val="18"/>
          <w:color w:val="auto"/>
        </w:rPr>
        <w:t>During 2016, there was a decrease in the discount rate and pension asset losses that still resulted in unamortized gains in accumulated other comprehensive income subject to amortization outside the corridor; an amortized gain amount of $4.4 million was included in the pension credit for 2017.</w:t>
      </w:r>
    </w:p>
    <w:p>
      <w:pPr>
        <w:spacing w:after="0" w:line="137" w:lineRule="exact"/>
        <w:rPr>
          <w:sz w:val="20"/>
          <w:szCs w:val="20"/>
          <w:color w:val="auto"/>
        </w:rPr>
      </w:pPr>
    </w:p>
    <w:p>
      <w:pPr>
        <w:jc w:val="both"/>
        <w:ind w:right="80"/>
        <w:spacing w:after="0" w:line="229" w:lineRule="auto"/>
        <w:rPr>
          <w:sz w:val="20"/>
          <w:szCs w:val="20"/>
          <w:color w:val="auto"/>
        </w:rPr>
      </w:pPr>
      <w:r>
        <w:rPr>
          <w:rFonts w:ascii="Arial" w:cs="Arial" w:eastAsia="Arial" w:hAnsi="Arial"/>
          <w:sz w:val="18"/>
          <w:szCs w:val="18"/>
          <w:color w:val="auto"/>
        </w:rPr>
        <w:t>During 2017, there were pension asset gains offset by a further decrease in the discount rate; however, the Company currently estimates that there will be net unamortized gains in accumulated other comprehensive income subject to amortization outside the corridor, and therefore, an amortized gain amount of $4.2 million is included in the estimated pension credit for 2018.</w:t>
      </w:r>
    </w:p>
    <w:p>
      <w:pPr>
        <w:spacing w:after="0" w:line="137" w:lineRule="exact"/>
        <w:rPr>
          <w:sz w:val="20"/>
          <w:szCs w:val="20"/>
          <w:color w:val="auto"/>
        </w:rPr>
      </w:pPr>
    </w:p>
    <w:p>
      <w:pPr>
        <w:spacing w:after="0"/>
        <w:rPr>
          <w:sz w:val="20"/>
          <w:szCs w:val="20"/>
          <w:color w:val="auto"/>
        </w:rPr>
      </w:pPr>
      <w:r>
        <w:rPr>
          <w:rFonts w:ascii="Arial" w:cs="Arial" w:eastAsia="Arial" w:hAnsi="Arial"/>
          <w:sz w:val="18"/>
          <w:szCs w:val="18"/>
          <w:color w:val="auto"/>
        </w:rPr>
        <w:t>Overall, the Company estimates that it will record a net pension credit of approximately $69 million in 2018.</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color w:val="auto"/>
        </w:rPr>
        <w:t>Note 15 to the Company’s Consolidated Financial Statements provides additional details surrounding pension costs and related assumptions.</w:t>
      </w:r>
    </w:p>
    <w:p>
      <w:pPr>
        <w:spacing w:after="0" w:line="12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Accounting for Income Taxes.</w:t>
      </w:r>
    </w:p>
    <w:p>
      <w:pPr>
        <w:spacing w:after="0" w:line="14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Valuation Allowances</w:t>
      </w:r>
    </w:p>
    <w:p>
      <w:pPr>
        <w:spacing w:after="0" w:line="162" w:lineRule="exact"/>
        <w:rPr>
          <w:sz w:val="20"/>
          <w:szCs w:val="20"/>
          <w:color w:val="auto"/>
        </w:rPr>
      </w:pPr>
    </w:p>
    <w:p>
      <w:pPr>
        <w:ind w:right="300"/>
        <w:spacing w:after="0" w:line="227" w:lineRule="auto"/>
        <w:rPr>
          <w:sz w:val="20"/>
          <w:szCs w:val="20"/>
          <w:color w:val="auto"/>
        </w:rPr>
      </w:pPr>
      <w:r>
        <w:rPr>
          <w:rFonts w:ascii="Arial" w:cs="Arial" w:eastAsia="Arial" w:hAnsi="Arial"/>
          <w:sz w:val="18"/>
          <w:szCs w:val="18"/>
          <w:color w:val="auto"/>
        </w:rPr>
        <w:t>Deferred income taxes arise from temporary differences between the tax and financial statement recognition of assets and liabilities. In evaluating its ability to recover deferred tax assets within the jurisdiction from which they arise, the Company considers all available positive and negative evidence, including scheduled reversals of deferred tax liabilities, projected future taxable income, tax planning strategies and recent financial operations. These assumptions require significant judgment about forecasts of future taxable income.</w:t>
      </w:r>
    </w:p>
    <w:p>
      <w:pPr>
        <w:spacing w:after="0" w:line="135" w:lineRule="exact"/>
        <w:rPr>
          <w:sz w:val="20"/>
          <w:szCs w:val="20"/>
          <w:color w:val="auto"/>
        </w:rPr>
      </w:pPr>
    </w:p>
    <w:p>
      <w:pPr>
        <w:ind w:right="200"/>
        <w:spacing w:after="0" w:line="224" w:lineRule="auto"/>
        <w:rPr>
          <w:sz w:val="20"/>
          <w:szCs w:val="20"/>
          <w:color w:val="auto"/>
        </w:rPr>
      </w:pPr>
      <w:r>
        <w:rPr>
          <w:rFonts w:ascii="Arial" w:cs="Arial" w:eastAsia="Arial" w:hAnsi="Arial"/>
          <w:sz w:val="18"/>
          <w:szCs w:val="18"/>
          <w:color w:val="auto"/>
        </w:rPr>
        <w:t>As of December 31, 2017, the Company had state income tax net operating loss carryforwards of $635.1 million, which will expire at various future dates. Also at December 31, 2017, the Company had $68.4 million of non-U.S. income tax loss carryforwards, of which $57.4 million may be carried forward indefinitely; $7.0 million of losses that, if unutilized, will expire in varying amounts through 2022; and $3.9 million of losses that, if unutilized, will start to expire after 2022. At December 31, 2017, the Company has established approximately $48.7 million in valuation allowances against deferred state tax assets, net of U.S. Federal income taxes, and non-U.S. deferred tax assets, as the Company believes that it is more likely than not that the benefit from certain state and non-U.S. net operating</w:t>
      </w:r>
    </w:p>
    <w:p>
      <w:pPr>
        <w:spacing w:after="0" w:line="200" w:lineRule="exact"/>
        <w:rPr>
          <w:sz w:val="20"/>
          <w:szCs w:val="20"/>
          <w:color w:val="auto"/>
        </w:rPr>
      </w:pPr>
    </w:p>
    <w:p>
      <w:pPr>
        <w:spacing w:after="0" w:line="30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67</w:t>
      </w:r>
    </w:p>
    <w:p>
      <w:pPr>
        <w:sectPr>
          <w:pgSz w:w="11900" w:h="16838" w:orient="portrait"/>
          <w:cols w:equalWidth="0" w:num="1">
            <w:col w:w="11400"/>
          </w:cols>
          <w:pgMar w:left="240" w:top="746" w:right="259" w:bottom="1440" w:gutter="0" w:footer="0" w:header="0"/>
        </w:sectPr>
      </w:pPr>
    </w:p>
    <w:bookmarkStart w:id="69" w:name="page70"/>
    <w:bookmarkEnd w:id="69"/>
    <w:p>
      <w:pPr>
        <w:ind w:right="60"/>
        <w:spacing w:after="0" w:line="222" w:lineRule="auto"/>
        <w:rPr>
          <w:sz w:val="20"/>
          <w:szCs w:val="20"/>
          <w:color w:val="auto"/>
        </w:rPr>
      </w:pPr>
      <w:r>
        <w:rPr>
          <w:rFonts w:ascii="Arial" w:cs="Arial" w:eastAsia="Arial" w:hAnsi="Arial"/>
          <w:sz w:val="18"/>
          <w:szCs w:val="18"/>
          <w:color w:val="auto"/>
        </w:rPr>
        <w:t>loss carryforwards and other deferred tax assets will not be realized. The Company has established valuation allowances against state income tax benefits recognized, without considering potentially offsetting deferred tax liabilities established with respect to prepaid pension cost and goodwill. Prepaid pension cost and goodwill have not been considered a source of future taxable income for realizing deferred tax benefits recognized since these temporary differences are not likely to reverse in the foreseeable future. The valuation allowances established against state and non-U.S. income tax benefits recorded may increase or decrease within the next 12 months, based on operating results, the market value of investment holdings or business and tax planning strategies; as a result, the Company is unable to estimate the potential tax impact, given the uncertain operating and market environment. The Company will be monitoring future operating results and projected future operating results on a quarterly basis to determine whether the valuation allowances provided against state and non-U.S. deferred tax assets should be increased or decreased, as future circumstances warrant. The Company anticipates that the education division may release valuation allowances against state deferred tax assets of approximately $ 22.7 million within the next 12 months, as the education division may generate positive operating results which would support the realization of these deferred tax assets.</w:t>
      </w:r>
    </w:p>
    <w:p>
      <w:pPr>
        <w:spacing w:after="0" w:line="11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Uncertain Tax Positions</w:t>
      </w:r>
    </w:p>
    <w:p>
      <w:pPr>
        <w:spacing w:after="0" w:line="162" w:lineRule="exact"/>
        <w:rPr>
          <w:sz w:val="20"/>
          <w:szCs w:val="20"/>
          <w:color w:val="auto"/>
        </w:rPr>
      </w:pPr>
    </w:p>
    <w:p>
      <w:pPr>
        <w:spacing w:after="0" w:line="223" w:lineRule="auto"/>
        <w:rPr>
          <w:sz w:val="20"/>
          <w:szCs w:val="20"/>
          <w:color w:val="auto"/>
        </w:rPr>
      </w:pPr>
      <w:r>
        <w:rPr>
          <w:rFonts w:ascii="Arial" w:cs="Arial" w:eastAsia="Arial" w:hAnsi="Arial"/>
          <w:sz w:val="18"/>
          <w:szCs w:val="18"/>
          <w:color w:val="auto"/>
        </w:rPr>
        <w:t>The Company recognizes a tax benefit from an uncertain tax position when it is more likely than not that the position will be sustained upon examination, including resolutions of any related to appeals or litigation processes based on the technical merits. The Company records a liability for the difference between the benefit recognized and measured for financial statement purposes and the tax position taken or expected to be taken on the Company’s tax return. Changes in the estimate are recorded in the period in which such termination is made. However, due to lapse of statutes of limitations, the Company expects that approximately $15.7 million of the unrecognized tax benefits will be recognized, and the Company will record a $3.5 million state tax benefit, net of $0.7 million federal tax expense during 2018. Subsequently, the Company expects that a $1.7 million state tax benefit, net of $0.4 million federal tax expense, will reduce the effective tax rate in the future if recognized.</w:t>
      </w:r>
    </w:p>
    <w:p>
      <w:pPr>
        <w:spacing w:after="0" w:line="139" w:lineRule="exact"/>
        <w:rPr>
          <w:sz w:val="20"/>
          <w:szCs w:val="20"/>
          <w:color w:val="auto"/>
        </w:rPr>
      </w:pPr>
    </w:p>
    <w:p>
      <w:pPr>
        <w:jc w:val="both"/>
        <w:ind w:right="180"/>
        <w:spacing w:after="0" w:line="229" w:lineRule="auto"/>
        <w:rPr>
          <w:sz w:val="20"/>
          <w:szCs w:val="20"/>
          <w:color w:val="auto"/>
        </w:rPr>
      </w:pPr>
      <w:r>
        <w:rPr>
          <w:rFonts w:ascii="Arial" w:cs="Arial" w:eastAsia="Arial" w:hAnsi="Arial"/>
          <w:sz w:val="18"/>
          <w:szCs w:val="18"/>
          <w:color w:val="auto"/>
        </w:rPr>
        <w:t>The Company classifies interest and penalties related to uncertain tax positions as a component of interest and other expenses, respectively. As of December 31, 2017, the Company has accrued $1.1 million of interest related to the unrecognized tax benefits. The Company has not accrued any penalties related to the unrecognized tax benefits.</w:t>
      </w:r>
    </w:p>
    <w:p>
      <w:pPr>
        <w:spacing w:after="0" w:line="11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Tax Cuts and Jobs Act</w:t>
      </w:r>
    </w:p>
    <w:p>
      <w:pPr>
        <w:spacing w:after="0" w:line="162" w:lineRule="exact"/>
        <w:rPr>
          <w:sz w:val="20"/>
          <w:szCs w:val="20"/>
          <w:color w:val="auto"/>
        </w:rPr>
      </w:pPr>
    </w:p>
    <w:p>
      <w:pPr>
        <w:spacing w:after="0" w:line="221" w:lineRule="auto"/>
        <w:rPr>
          <w:sz w:val="20"/>
          <w:szCs w:val="20"/>
          <w:color w:val="auto"/>
        </w:rPr>
      </w:pPr>
      <w:r>
        <w:rPr>
          <w:rFonts w:ascii="Arial" w:cs="Arial" w:eastAsia="Arial" w:hAnsi="Arial"/>
          <w:sz w:val="18"/>
          <w:szCs w:val="18"/>
          <w:color w:val="auto"/>
        </w:rPr>
        <w:t>The Tax Cuts and Jobs Act (the Tax Act) was enacted in December 2017. The Tax Act significantly changes U.S. tax law by, among other things, imposing a one-time transition tax on historic earnings of foreign subsidiaries; effective January 1, 2018, lowering the U.S. Federal corporate income tax rate from 35% to 21%; imposing current U.S. taxes on certain non-U.S. profits (depending on how the new tax law will apply to the facts and circumstances of each taxpayer), and at the same time generally allowing overseas cash to be repatriated to the U.S. tax-free. The SEC staff issued Staff Accounting Bulletin No. 118 (SAB 118) to address the application of U.S. GAAP in situations when a registrant does not have the necessary information available, prepared, or analyzed (including computations) in reasonable detail to complete the accounting for certain income tax effects of the Tax Act. SAB 118 allows the registrant to record provisional amounts during a measurement period not to extend beyond one year of the enactment date. The Company has not recognized any provisional tax expense related to the one-time transition tax, and recognized provisional tax benefits on the revaluation of deferred tax balances and included these estimates in its Consolidated Financial Statements for the year ended December 31, 2017. The ultimate impact may materially differ from these provisional amounts due to, among other things, additional analysis, changes in interpretations and assumptions the Company made, additional regulatory guidance that may be issued, and actions the Company may take as a result of the Tax Act. The Company expects to complete its analysis within the measurement period in accordance with SAB 118.</w:t>
      </w:r>
    </w:p>
    <w:p>
      <w:pPr>
        <w:spacing w:after="0" w:line="120" w:lineRule="exact"/>
        <w:rPr>
          <w:sz w:val="20"/>
          <w:szCs w:val="20"/>
          <w:color w:val="auto"/>
        </w:rPr>
      </w:pPr>
    </w:p>
    <w:p>
      <w:pPr>
        <w:ind w:right="860"/>
        <w:spacing w:after="0" w:line="256" w:lineRule="auto"/>
        <w:rPr>
          <w:sz w:val="20"/>
          <w:szCs w:val="20"/>
          <w:color w:val="auto"/>
        </w:rPr>
      </w:pPr>
      <w:r>
        <w:rPr>
          <w:rFonts w:ascii="Arial" w:cs="Arial" w:eastAsia="Arial" w:hAnsi="Arial"/>
          <w:sz w:val="18"/>
          <w:szCs w:val="18"/>
          <w:b w:val="1"/>
          <w:bCs w:val="1"/>
          <w:color w:val="auto"/>
        </w:rPr>
        <w:t xml:space="preserve">Recent Accounting Pronouncements. </w:t>
      </w:r>
      <w:r>
        <w:rPr>
          <w:rFonts w:ascii="Arial" w:cs="Arial" w:eastAsia="Arial" w:hAnsi="Arial"/>
          <w:sz w:val="18"/>
          <w:szCs w:val="18"/>
          <w:color w:val="auto"/>
        </w:rPr>
        <w:t>See Note 2 to the Company’s Consolidated Financial Statements for a discussion of recent</w:t>
      </w:r>
      <w:r>
        <w:rPr>
          <w:rFonts w:ascii="Arial" w:cs="Arial" w:eastAsia="Arial" w:hAnsi="Arial"/>
          <w:sz w:val="18"/>
          <w:szCs w:val="18"/>
          <w:b w:val="1"/>
          <w:bCs w:val="1"/>
          <w:color w:val="auto"/>
        </w:rPr>
        <w:t xml:space="preserve"> </w:t>
      </w:r>
      <w:r>
        <w:rPr>
          <w:rFonts w:ascii="Arial" w:cs="Arial" w:eastAsia="Arial" w:hAnsi="Arial"/>
          <w:sz w:val="18"/>
          <w:szCs w:val="18"/>
          <w:color w:val="auto"/>
        </w:rPr>
        <w:t>accounting pronouncements.</w:t>
      </w:r>
    </w:p>
    <w:p>
      <w:pPr>
        <w:spacing w:after="0" w:line="200" w:lineRule="exact"/>
        <w:rPr>
          <w:sz w:val="20"/>
          <w:szCs w:val="20"/>
          <w:color w:val="auto"/>
        </w:rPr>
      </w:pPr>
    </w:p>
    <w:p>
      <w:pPr>
        <w:spacing w:after="0" w:line="28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68</w:t>
      </w:r>
    </w:p>
    <w:p>
      <w:pPr>
        <w:sectPr>
          <w:pgSz w:w="11900" w:h="16838" w:orient="portrait"/>
          <w:cols w:equalWidth="0" w:num="1">
            <w:col w:w="11400"/>
          </w:cols>
          <w:pgMar w:left="240" w:top="746" w:right="259" w:bottom="1440" w:gutter="0" w:footer="0" w:header="0"/>
        </w:sectPr>
      </w:pPr>
    </w:p>
    <w:bookmarkStart w:id="70" w:name="page71"/>
    <w:bookmarkEnd w:id="70"/>
    <w:p>
      <w:pPr>
        <w:jc w:val="center"/>
        <w:ind w:right="-39"/>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148" w:lineRule="exact"/>
        <w:rPr>
          <w:sz w:val="20"/>
          <w:szCs w:val="20"/>
          <w:color w:val="auto"/>
        </w:rPr>
      </w:pPr>
    </w:p>
    <w:p>
      <w:pPr>
        <w:spacing w:after="0"/>
        <w:rPr>
          <w:sz w:val="20"/>
          <w:szCs w:val="20"/>
          <w:color w:val="auto"/>
        </w:rPr>
      </w:pPr>
      <w:r>
        <w:rPr>
          <w:rFonts w:ascii="Arial" w:cs="Arial" w:eastAsia="Arial" w:hAnsi="Arial"/>
          <w:sz w:val="18"/>
          <w:szCs w:val="18"/>
          <w:color w:val="auto"/>
        </w:rPr>
        <w:t>To the Board of Directors and</w:t>
      </w:r>
    </w:p>
    <w:p>
      <w:pPr>
        <w:spacing w:after="0"/>
        <w:rPr>
          <w:sz w:val="20"/>
          <w:szCs w:val="20"/>
          <w:color w:val="auto"/>
        </w:rPr>
      </w:pPr>
      <w:r>
        <w:rPr>
          <w:rFonts w:ascii="Arial" w:cs="Arial" w:eastAsia="Arial" w:hAnsi="Arial"/>
          <w:sz w:val="18"/>
          <w:szCs w:val="18"/>
          <w:color w:val="auto"/>
        </w:rPr>
        <w:t>Stockholders of Graham Holdings Company:</w:t>
      </w:r>
    </w:p>
    <w:p>
      <w:pPr>
        <w:spacing w:after="0" w:line="12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Opinions on the Financial Statements and Internal Control over Financial Reporting</w:t>
      </w:r>
    </w:p>
    <w:p>
      <w:pPr>
        <w:spacing w:after="0" w:line="166" w:lineRule="exact"/>
        <w:rPr>
          <w:sz w:val="20"/>
          <w:szCs w:val="20"/>
          <w:color w:val="auto"/>
        </w:rPr>
      </w:pPr>
    </w:p>
    <w:p>
      <w:pPr>
        <w:ind w:right="80"/>
        <w:spacing w:after="0" w:line="224" w:lineRule="auto"/>
        <w:rPr>
          <w:sz w:val="20"/>
          <w:szCs w:val="20"/>
          <w:color w:val="auto"/>
        </w:rPr>
      </w:pPr>
      <w:r>
        <w:rPr>
          <w:rFonts w:ascii="Arial" w:cs="Arial" w:eastAsia="Arial" w:hAnsi="Arial"/>
          <w:sz w:val="18"/>
          <w:szCs w:val="18"/>
          <w:color w:val="auto"/>
        </w:rPr>
        <w:t>We have audited the accompanying consolidated balance sheets of Graham Holdings Company and its subsidiaries as of December 31, 2017 and 2016, and the related consolidated statements of operations, comprehensive income (loss), changes in common stockholders’ equity and cash flows for each of the three years in the period ended December 31, 2017, including the related notes (collectively referred to as the “consolidated financial statements”). We also have audited the Company’s internal control over financial reporting as of December 31, 2017, based on criteria established in Internal Control - Integrated Framework (2013) issued by the Committee of Sponsoring Organizations of the Treadway Commission (COSO).</w:t>
      </w:r>
    </w:p>
    <w:p>
      <w:pPr>
        <w:spacing w:after="0" w:line="137" w:lineRule="exact"/>
        <w:rPr>
          <w:sz w:val="20"/>
          <w:szCs w:val="20"/>
          <w:color w:val="auto"/>
        </w:rPr>
      </w:pPr>
    </w:p>
    <w:p>
      <w:pPr>
        <w:ind w:right="40"/>
        <w:spacing w:after="0" w:line="223" w:lineRule="auto"/>
        <w:rPr>
          <w:sz w:val="20"/>
          <w:szCs w:val="20"/>
          <w:color w:val="auto"/>
        </w:rPr>
      </w:pPr>
      <w:r>
        <w:rPr>
          <w:rFonts w:ascii="Arial" w:cs="Arial" w:eastAsia="Arial" w:hAnsi="Arial"/>
          <w:sz w:val="18"/>
          <w:szCs w:val="18"/>
          <w:color w:val="auto"/>
        </w:rPr>
        <w:t>In our opinion, the consolidated financial statements referred to above present fairly, in all material respects, the financial position of the Company as of December 31, 2017 and 2016, and the results of their operations and their cash flows for each of the three years in the period ended December 31, 2017 in conformity with accounting principles generally accepted in the United States of America. Also in our opinion, the Company did not maintain, in all material respects, effective internal control over financial reporting as of December 31, 2017, based on criteria established in Internal Control - Integrated Framework (2013) issued by the COSO because a material weakness in internal control over financial reporting related to changes to the Company’s procedures impacting the processing of refunds of student financial aid existed as of that date.</w:t>
      </w:r>
    </w:p>
    <w:p>
      <w:pPr>
        <w:spacing w:after="0" w:line="139" w:lineRule="exact"/>
        <w:rPr>
          <w:sz w:val="20"/>
          <w:szCs w:val="20"/>
          <w:color w:val="auto"/>
        </w:rPr>
      </w:pPr>
    </w:p>
    <w:p>
      <w:pPr>
        <w:ind w:right="40"/>
        <w:spacing w:after="0" w:line="224" w:lineRule="auto"/>
        <w:rPr>
          <w:sz w:val="20"/>
          <w:szCs w:val="20"/>
          <w:color w:val="auto"/>
        </w:rPr>
      </w:pPr>
      <w:r>
        <w:rPr>
          <w:rFonts w:ascii="Arial" w:cs="Arial" w:eastAsia="Arial" w:hAnsi="Arial"/>
          <w:sz w:val="18"/>
          <w:szCs w:val="18"/>
          <w:color w:val="auto"/>
        </w:rPr>
        <w:t>A material weakness is a deficiency, or a combination of deficiencies, in internal control over financial reporting, such that there is a reasonable possibility that a material misstatement of the annual or interim financial statements will not be prevented or detected on a timely basis. The material weakness referred to above is described in Management’s Report on Internal Control over Financial Reporting appearing under Item 9A. We considered this material weakness in determining the nature, timing, and extent of audit tests applied in our audit of the 2017 consolidated financial statements, and our opinion regarding the effectiveness of the Company’s internal control over financial reporting does not affect our opinion on those consolidated financial statements.</w:t>
      </w:r>
    </w:p>
    <w:p>
      <w:pPr>
        <w:spacing w:after="0" w:line="11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Basis for Opinions</w:t>
      </w:r>
    </w:p>
    <w:p>
      <w:pPr>
        <w:spacing w:after="0" w:line="166" w:lineRule="exact"/>
        <w:rPr>
          <w:sz w:val="20"/>
          <w:szCs w:val="20"/>
          <w:color w:val="auto"/>
        </w:rPr>
      </w:pPr>
    </w:p>
    <w:p>
      <w:pPr>
        <w:spacing w:after="0" w:line="224" w:lineRule="auto"/>
        <w:rPr>
          <w:sz w:val="20"/>
          <w:szCs w:val="20"/>
          <w:color w:val="auto"/>
        </w:rPr>
      </w:pPr>
      <w:r>
        <w:rPr>
          <w:rFonts w:ascii="Arial" w:cs="Arial" w:eastAsia="Arial" w:hAnsi="Arial"/>
          <w:sz w:val="18"/>
          <w:szCs w:val="18"/>
          <w:color w:val="auto"/>
        </w:rPr>
        <w:t>The Company’s management is responsible for these consolidated financial statements, for maintaining effective internal control over financial reporting, and for its assessment of the effectiveness of internal control over financial reporting included in management’s report referred to above. Our responsibility is to express opinions on the Company’s consolidated financial statements and on the Company’s internal control over financial reporting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spacing w:after="0" w:line="137" w:lineRule="exact"/>
        <w:rPr>
          <w:sz w:val="20"/>
          <w:szCs w:val="20"/>
          <w:color w:val="auto"/>
        </w:rPr>
      </w:pPr>
    </w:p>
    <w:p>
      <w:pPr>
        <w:ind w:right="280"/>
        <w:spacing w:after="0" w:line="229" w:lineRule="auto"/>
        <w:rPr>
          <w:sz w:val="20"/>
          <w:szCs w:val="20"/>
          <w:color w:val="auto"/>
        </w:rPr>
      </w:pPr>
      <w:r>
        <w:rPr>
          <w:rFonts w:ascii="Arial" w:cs="Arial" w:eastAsia="Arial" w:hAnsi="Arial"/>
          <w:sz w:val="18"/>
          <w:szCs w:val="18"/>
          <w:color w:val="auto"/>
        </w:rPr>
        <w:t>We conducted our audits in accordance with the standards of the PCAOB. Those standards require that we plan and perform the audits to obtain reasonable assurance about whether the consolidated financial statements are free of material misstatement, whether due to error or fraud, and whether effective internal control over financial reporting was maintained in all material respects.</w:t>
      </w:r>
    </w:p>
    <w:p>
      <w:pPr>
        <w:spacing w:after="0" w:line="137" w:lineRule="exact"/>
        <w:rPr>
          <w:sz w:val="20"/>
          <w:szCs w:val="20"/>
          <w:color w:val="auto"/>
        </w:rPr>
      </w:pPr>
    </w:p>
    <w:p>
      <w:pPr>
        <w:ind w:right="120"/>
        <w:spacing w:after="0" w:line="223" w:lineRule="auto"/>
        <w:rPr>
          <w:sz w:val="20"/>
          <w:szCs w:val="20"/>
          <w:color w:val="auto"/>
        </w:rPr>
      </w:pPr>
      <w:r>
        <w:rPr>
          <w:rFonts w:ascii="Arial" w:cs="Arial" w:eastAsia="Arial" w:hAnsi="Arial"/>
          <w:sz w:val="18"/>
          <w:szCs w:val="18"/>
          <w:color w:val="auto"/>
        </w:rPr>
        <w:t>Our audits of the consolidated financial statements included performing procedures to assess the risks of material misstatement of the consolidated financial statements, whether due to error or fraud, and performing procedures that respond to those risks. Such procedures included examining, on a test basis, evidence regarding the amounts and disclosures in the consolidated financial statements. Our audits also included evaluating the accounting principles used and significant estimates made by management, as well as evaluating the overall presentation of the consolidated financial statements. Our audit of internal control over financial reporting included obtaining an understanding of internal control over financial reporting, assessing the risk that a material weakness exists, and testing and evaluating the design and operating effectiveness of internal control based on the assessed risk. Our audits also included performing such other procedures as we considered necessary in the circumstances. We believe that our audits provide a reasonable basis for our opinions.</w:t>
      </w:r>
    </w:p>
    <w:p>
      <w:pPr>
        <w:spacing w:after="0" w:line="11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Definition and Limitations of Internal Control over Financial Reporting</w:t>
      </w:r>
    </w:p>
    <w:p>
      <w:pPr>
        <w:spacing w:after="0" w:line="166" w:lineRule="exact"/>
        <w:rPr>
          <w:sz w:val="20"/>
          <w:szCs w:val="20"/>
          <w:color w:val="auto"/>
        </w:rPr>
      </w:pPr>
    </w:p>
    <w:p>
      <w:pPr>
        <w:ind w:right="40"/>
        <w:spacing w:after="0" w:line="227" w:lineRule="auto"/>
        <w:rPr>
          <w:sz w:val="20"/>
          <w:szCs w:val="20"/>
          <w:color w:val="auto"/>
        </w:rPr>
      </w:pPr>
      <w:r>
        <w:rPr>
          <w:rFonts w:ascii="Arial" w:cs="Arial" w:eastAsia="Arial" w:hAnsi="Arial"/>
          <w:sz w:val="18"/>
          <w:szCs w:val="18"/>
          <w:color w:val="auto"/>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(i) pertain to the maintenance of records that, in reasonable detail, accurately and fairly reflect the transactions and dispositions of the assets of the company; (ii) provide reasonable</w:t>
      </w:r>
    </w:p>
    <w:p>
      <w:pPr>
        <w:spacing w:after="0" w:line="200" w:lineRule="exact"/>
        <w:rPr>
          <w:sz w:val="20"/>
          <w:szCs w:val="20"/>
          <w:color w:val="auto"/>
        </w:rPr>
      </w:pPr>
    </w:p>
    <w:p>
      <w:pPr>
        <w:spacing w:after="0" w:line="30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69</w:t>
      </w:r>
    </w:p>
    <w:p>
      <w:pPr>
        <w:sectPr>
          <w:pgSz w:w="11900" w:h="16838" w:orient="portrait"/>
          <w:cols w:equalWidth="0" w:num="1">
            <w:col w:w="11400"/>
          </w:cols>
          <w:pgMar w:left="240" w:top="724" w:right="259" w:bottom="1440" w:gutter="0" w:footer="0" w:header="0"/>
        </w:sectPr>
      </w:pPr>
    </w:p>
    <w:bookmarkStart w:id="71" w:name="page72"/>
    <w:bookmarkEnd w:id="71"/>
    <w:p>
      <w:pPr>
        <w:ind w:right="180"/>
        <w:spacing w:after="0" w:line="227" w:lineRule="auto"/>
        <w:rPr>
          <w:sz w:val="20"/>
          <w:szCs w:val="20"/>
          <w:color w:val="auto"/>
        </w:rPr>
      </w:pPr>
      <w:r>
        <w:rPr>
          <w:rFonts w:ascii="Arial" w:cs="Arial" w:eastAsia="Arial" w:hAnsi="Arial"/>
          <w:sz w:val="18"/>
          <w:szCs w:val="18"/>
          <w:color w:val="auto"/>
        </w:rPr>
        <w:t>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(iii) provide reasonable assurance regarding prevention or timely detection of unauthorized acquisition, use, or disposition of the company’s assets that could have a material effect on the financial statements.</w:t>
      </w:r>
    </w:p>
    <w:p>
      <w:pPr>
        <w:spacing w:after="0" w:line="135" w:lineRule="exact"/>
        <w:rPr>
          <w:sz w:val="20"/>
          <w:szCs w:val="20"/>
          <w:color w:val="auto"/>
        </w:rPr>
      </w:pPr>
    </w:p>
    <w:p>
      <w:pPr>
        <w:spacing w:after="0" w:line="229" w:lineRule="auto"/>
        <w:rPr>
          <w:sz w:val="20"/>
          <w:szCs w:val="20"/>
          <w:color w:val="auto"/>
        </w:rPr>
      </w:pPr>
      <w:r>
        <w:rPr>
          <w:rFonts w:ascii="Arial" w:cs="Arial" w:eastAsia="Arial" w:hAnsi="Arial"/>
          <w:sz w:val="18"/>
          <w:szCs w:val="18"/>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137" w:lineRule="exact"/>
        <w:rPr>
          <w:sz w:val="20"/>
          <w:szCs w:val="20"/>
          <w:color w:val="auto"/>
        </w:rPr>
      </w:pPr>
    </w:p>
    <w:p>
      <w:pPr>
        <w:spacing w:after="0"/>
        <w:rPr>
          <w:sz w:val="20"/>
          <w:szCs w:val="20"/>
          <w:color w:val="auto"/>
        </w:rPr>
      </w:pPr>
      <w:r>
        <w:rPr>
          <w:rFonts w:ascii="Arial" w:cs="Arial" w:eastAsia="Arial" w:hAnsi="Arial"/>
          <w:sz w:val="18"/>
          <w:szCs w:val="18"/>
          <w:color w:val="auto"/>
        </w:rPr>
        <w:t>/s/ PricewaterhouseCoopers LLP</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color w:val="auto"/>
        </w:rPr>
        <w:t>McLean, Virginia</w:t>
      </w:r>
    </w:p>
    <w:p>
      <w:pPr>
        <w:spacing w:after="0"/>
        <w:rPr>
          <w:sz w:val="20"/>
          <w:szCs w:val="20"/>
          <w:color w:val="auto"/>
        </w:rPr>
      </w:pPr>
      <w:r>
        <w:rPr>
          <w:rFonts w:ascii="Arial" w:cs="Arial" w:eastAsia="Arial" w:hAnsi="Arial"/>
          <w:sz w:val="18"/>
          <w:szCs w:val="18"/>
          <w:color w:val="auto"/>
        </w:rPr>
        <w:t>February 23, 2018</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We have served as the Company’s auditor since 1946.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70</w:t>
      </w:r>
    </w:p>
    <w:p>
      <w:pPr>
        <w:sectPr>
          <w:pgSz w:w="11900" w:h="16838" w:orient="portrait"/>
          <w:cols w:equalWidth="0" w:num="1">
            <w:col w:w="11260"/>
          </w:cols>
          <w:pgMar w:left="240" w:top="746" w:right="399" w:bottom="1440" w:gutter="0" w:footer="0" w:header="0"/>
        </w:sectPr>
      </w:pPr>
    </w:p>
    <w:bookmarkStart w:id="72" w:name="page73"/>
    <w:bookmarkEnd w:id="72"/>
    <w:p>
      <w:pPr>
        <w:jc w:val="center"/>
        <w:spacing w:after="0"/>
        <w:rPr>
          <w:sz w:val="20"/>
          <w:szCs w:val="20"/>
          <w:color w:val="auto"/>
        </w:rPr>
      </w:pPr>
      <w:r>
        <w:rPr>
          <w:rFonts w:ascii="Arial" w:cs="Arial" w:eastAsia="Arial" w:hAnsi="Arial"/>
          <w:sz w:val="18"/>
          <w:szCs w:val="18"/>
          <w:b w:val="1"/>
          <w:bCs w:val="1"/>
          <w:color w:val="auto"/>
        </w:rPr>
        <w:t>GRAHAM HOLDINGS COMPANY</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OPERATIONS</w:t>
      </w:r>
    </w:p>
    <w:p>
      <w:pPr>
        <w:spacing w:after="0" w:line="159"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778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2540" w:type="dxa"/>
            <w:vAlign w:val="bottom"/>
            <w:tcBorders>
              <w:bottom w:val="single" w:sz="8" w:color="auto"/>
            </w:tcBorders>
            <w:gridSpan w:val="4"/>
          </w:tcPr>
          <w:p>
            <w:pPr>
              <w:jc w:val="right"/>
              <w:spacing w:after="0"/>
              <w:rPr>
                <w:sz w:val="20"/>
                <w:szCs w:val="20"/>
                <w:color w:val="auto"/>
              </w:rPr>
            </w:pPr>
            <w:r>
              <w:rPr>
                <w:rFonts w:ascii="Arial" w:cs="Arial" w:eastAsia="Arial" w:hAnsi="Arial"/>
                <w:sz w:val="14"/>
                <w:szCs w:val="14"/>
                <w:b w:val="1"/>
                <w:bCs w:val="1"/>
                <w:color w:val="auto"/>
              </w:rPr>
              <w:t>Year Ended December 31</w:t>
            </w:r>
          </w:p>
        </w:tc>
        <w:tc>
          <w:tcPr>
            <w:tcW w:w="88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64"/>
        </w:trPr>
        <w:tc>
          <w:tcPr>
            <w:tcW w:w="778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(in thousands, except per share amounts)</w:t>
            </w:r>
          </w:p>
        </w:tc>
        <w:tc>
          <w:tcPr>
            <w:tcW w:w="22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ind w:right="379"/>
              <w:spacing w:after="0"/>
              <w:rPr>
                <w:sz w:val="20"/>
                <w:szCs w:val="20"/>
                <w:color w:val="auto"/>
              </w:rPr>
            </w:pPr>
            <w:r>
              <w:rPr>
                <w:rFonts w:ascii="Arial" w:cs="Arial" w:eastAsia="Arial" w:hAnsi="Arial"/>
                <w:sz w:val="14"/>
                <w:szCs w:val="14"/>
                <w:b w:val="1"/>
                <w:bCs w:val="1"/>
                <w:color w:val="auto"/>
              </w:rPr>
              <w:t>2017</w:t>
            </w:r>
          </w:p>
        </w:tc>
        <w:tc>
          <w:tcPr>
            <w:tcW w:w="28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359"/>
              <w:spacing w:after="0"/>
              <w:rPr>
                <w:sz w:val="20"/>
                <w:szCs w:val="20"/>
                <w:color w:val="auto"/>
              </w:rPr>
            </w:pPr>
            <w:r>
              <w:rPr>
                <w:rFonts w:ascii="Arial" w:cs="Arial" w:eastAsia="Arial" w:hAnsi="Arial"/>
                <w:sz w:val="14"/>
                <w:szCs w:val="14"/>
                <w:color w:val="auto"/>
              </w:rPr>
              <w:t>2016</w:t>
            </w:r>
          </w:p>
        </w:tc>
        <w:tc>
          <w:tcPr>
            <w:tcW w:w="32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ind w:right="319"/>
              <w:spacing w:after="0"/>
              <w:rPr>
                <w:sz w:val="20"/>
                <w:szCs w:val="20"/>
                <w:color w:val="auto"/>
              </w:rPr>
            </w:pPr>
            <w:r>
              <w:rPr>
                <w:rFonts w:ascii="Arial" w:cs="Arial" w:eastAsia="Arial" w:hAnsi="Arial"/>
                <w:sz w:val="14"/>
                <w:szCs w:val="14"/>
                <w:color w:val="auto"/>
              </w:rPr>
              <w:t>2015</w:t>
            </w:r>
          </w:p>
        </w:tc>
        <w:tc>
          <w:tcPr>
            <w:tcW w:w="0" w:type="dxa"/>
            <w:vAlign w:val="bottom"/>
          </w:tcPr>
          <w:p>
            <w:pPr>
              <w:spacing w:after="0"/>
              <w:rPr>
                <w:sz w:val="1"/>
                <w:szCs w:val="1"/>
                <w:color w:val="auto"/>
              </w:rPr>
            </w:pPr>
          </w:p>
        </w:tc>
      </w:tr>
      <w:tr>
        <w:trPr>
          <w:trHeight w:val="250"/>
        </w:trPr>
        <w:tc>
          <w:tcPr>
            <w:tcW w:w="7780" w:type="dxa"/>
            <w:vAlign w:val="bottom"/>
          </w:tcPr>
          <w:p>
            <w:pPr>
              <w:ind w:left="40"/>
              <w:spacing w:after="0"/>
              <w:rPr>
                <w:sz w:val="20"/>
                <w:szCs w:val="20"/>
                <w:color w:val="auto"/>
              </w:rPr>
            </w:pPr>
            <w:r>
              <w:rPr>
                <w:rFonts w:ascii="Arial" w:cs="Arial" w:eastAsia="Arial" w:hAnsi="Arial"/>
                <w:sz w:val="16"/>
                <w:szCs w:val="16"/>
                <w:b w:val="1"/>
                <w:bCs w:val="1"/>
                <w:color w:val="auto"/>
              </w:rPr>
              <w:t>Operating Revenues</w:t>
            </w:r>
          </w:p>
        </w:tc>
        <w:tc>
          <w:tcPr>
            <w:tcW w:w="22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0"/>
        </w:trPr>
        <w:tc>
          <w:tcPr>
            <w:tcW w:w="7780" w:type="dxa"/>
            <w:vAlign w:val="bottom"/>
          </w:tcPr>
          <w:p>
            <w:pPr>
              <w:ind w:left="180"/>
              <w:spacing w:after="0"/>
              <w:rPr>
                <w:sz w:val="20"/>
                <w:szCs w:val="20"/>
                <w:color w:val="auto"/>
              </w:rPr>
            </w:pPr>
            <w:r>
              <w:rPr>
                <w:rFonts w:ascii="Arial" w:cs="Arial" w:eastAsia="Arial" w:hAnsi="Arial"/>
                <w:sz w:val="16"/>
                <w:szCs w:val="16"/>
                <w:color w:val="auto"/>
              </w:rPr>
              <w:t>Education</w:t>
            </w:r>
          </w:p>
        </w:tc>
        <w:tc>
          <w:tcPr>
            <w:tcW w:w="220" w:type="dxa"/>
            <w:vAlign w:val="bottom"/>
          </w:tcPr>
          <w:p>
            <w:pPr>
              <w:jc w:val="right"/>
              <w:ind w:right="19"/>
              <w:spacing w:after="0"/>
              <w:rPr>
                <w:sz w:val="20"/>
                <w:szCs w:val="20"/>
                <w:color w:val="auto"/>
              </w:rPr>
            </w:pPr>
            <w:r>
              <w:rPr>
                <w:rFonts w:ascii="Arial" w:cs="Arial" w:eastAsia="Arial" w:hAnsi="Arial"/>
                <w:sz w:val="16"/>
                <w:szCs w:val="16"/>
                <w:b w:val="1"/>
                <w:bCs w:val="1"/>
                <w:color w:val="auto"/>
              </w:rPr>
              <w:t>$</w:t>
            </w:r>
          </w:p>
        </w:tc>
        <w:tc>
          <w:tcPr>
            <w:tcW w:w="980" w:type="dxa"/>
            <w:vAlign w:val="bottom"/>
          </w:tcPr>
          <w:p>
            <w:pPr>
              <w:jc w:val="right"/>
              <w:ind w:right="79"/>
              <w:spacing w:after="0"/>
              <w:rPr>
                <w:sz w:val="20"/>
                <w:szCs w:val="20"/>
                <w:color w:val="auto"/>
              </w:rPr>
            </w:pPr>
            <w:r>
              <w:rPr>
                <w:rFonts w:ascii="Arial" w:cs="Arial" w:eastAsia="Arial" w:hAnsi="Arial"/>
                <w:sz w:val="16"/>
                <w:szCs w:val="16"/>
                <w:b w:val="1"/>
                <w:bCs w:val="1"/>
                <w:color w:val="auto"/>
              </w:rPr>
              <w:t>1,517,659</w:t>
            </w:r>
          </w:p>
        </w:tc>
        <w:tc>
          <w:tcPr>
            <w:tcW w:w="28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960" w:type="dxa"/>
            <w:vAlign w:val="bottom"/>
          </w:tcPr>
          <w:p>
            <w:pPr>
              <w:jc w:val="right"/>
              <w:ind w:right="79"/>
              <w:spacing w:after="0"/>
              <w:rPr>
                <w:sz w:val="20"/>
                <w:szCs w:val="20"/>
                <w:color w:val="auto"/>
              </w:rPr>
            </w:pPr>
            <w:r>
              <w:rPr>
                <w:rFonts w:ascii="Arial" w:cs="Arial" w:eastAsia="Arial" w:hAnsi="Arial"/>
                <w:sz w:val="16"/>
                <w:szCs w:val="16"/>
                <w:color w:val="auto"/>
              </w:rPr>
              <w:t>1,598,347</w:t>
            </w:r>
          </w:p>
        </w:tc>
        <w:tc>
          <w:tcPr>
            <w:tcW w:w="32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880" w:type="dxa"/>
            <w:vAlign w:val="bottom"/>
          </w:tcPr>
          <w:p>
            <w:pPr>
              <w:jc w:val="right"/>
              <w:ind w:right="19"/>
              <w:spacing w:after="0"/>
              <w:rPr>
                <w:sz w:val="20"/>
                <w:szCs w:val="20"/>
                <w:color w:val="auto"/>
              </w:rPr>
            </w:pPr>
            <w:r>
              <w:rPr>
                <w:rFonts w:ascii="Arial" w:cs="Arial" w:eastAsia="Arial" w:hAnsi="Arial"/>
                <w:sz w:val="16"/>
                <w:szCs w:val="16"/>
                <w:color w:val="auto"/>
              </w:rPr>
              <w:t>1,927,405</w:t>
            </w:r>
          </w:p>
        </w:tc>
        <w:tc>
          <w:tcPr>
            <w:tcW w:w="0" w:type="dxa"/>
            <w:vAlign w:val="bottom"/>
          </w:tcPr>
          <w:p>
            <w:pPr>
              <w:spacing w:after="0"/>
              <w:rPr>
                <w:sz w:val="1"/>
                <w:szCs w:val="1"/>
                <w:color w:val="auto"/>
              </w:rPr>
            </w:pPr>
          </w:p>
        </w:tc>
      </w:tr>
      <w:tr>
        <w:trPr>
          <w:trHeight w:val="270"/>
        </w:trPr>
        <w:tc>
          <w:tcPr>
            <w:tcW w:w="7780" w:type="dxa"/>
            <w:vAlign w:val="bottom"/>
          </w:tcPr>
          <w:p>
            <w:pPr>
              <w:ind w:left="180"/>
              <w:spacing w:after="0"/>
              <w:rPr>
                <w:sz w:val="20"/>
                <w:szCs w:val="20"/>
                <w:color w:val="auto"/>
              </w:rPr>
            </w:pPr>
            <w:r>
              <w:rPr>
                <w:rFonts w:ascii="Arial" w:cs="Arial" w:eastAsia="Arial" w:hAnsi="Arial"/>
                <w:sz w:val="16"/>
                <w:szCs w:val="16"/>
                <w:color w:val="auto"/>
              </w:rPr>
              <w:t>Advertising</w:t>
            </w:r>
          </w:p>
        </w:tc>
        <w:tc>
          <w:tcPr>
            <w:tcW w:w="220" w:type="dxa"/>
            <w:vAlign w:val="bottom"/>
          </w:tcPr>
          <w:p>
            <w:pPr>
              <w:spacing w:after="0"/>
              <w:rPr>
                <w:sz w:val="23"/>
                <w:szCs w:val="23"/>
                <w:color w:val="auto"/>
              </w:rPr>
            </w:pPr>
          </w:p>
        </w:tc>
        <w:tc>
          <w:tcPr>
            <w:tcW w:w="980" w:type="dxa"/>
            <w:vAlign w:val="bottom"/>
          </w:tcPr>
          <w:p>
            <w:pPr>
              <w:jc w:val="right"/>
              <w:ind w:right="79"/>
              <w:spacing w:after="0"/>
              <w:rPr>
                <w:sz w:val="20"/>
                <w:szCs w:val="20"/>
                <w:color w:val="auto"/>
              </w:rPr>
            </w:pPr>
            <w:r>
              <w:rPr>
                <w:rFonts w:ascii="Arial" w:cs="Arial" w:eastAsia="Arial" w:hAnsi="Arial"/>
                <w:sz w:val="16"/>
                <w:szCs w:val="16"/>
                <w:b w:val="1"/>
                <w:bCs w:val="1"/>
                <w:color w:val="auto"/>
              </w:rPr>
              <w:t>305,373</w:t>
            </w:r>
          </w:p>
        </w:tc>
        <w:tc>
          <w:tcPr>
            <w:tcW w:w="280" w:type="dxa"/>
            <w:vAlign w:val="bottom"/>
          </w:tcPr>
          <w:p>
            <w:pPr>
              <w:spacing w:after="0"/>
              <w:rPr>
                <w:sz w:val="23"/>
                <w:szCs w:val="23"/>
                <w:color w:val="auto"/>
              </w:rPr>
            </w:pPr>
          </w:p>
        </w:tc>
        <w:tc>
          <w:tcPr>
            <w:tcW w:w="960" w:type="dxa"/>
            <w:vAlign w:val="bottom"/>
          </w:tcPr>
          <w:p>
            <w:pPr>
              <w:jc w:val="right"/>
              <w:ind w:right="79"/>
              <w:spacing w:after="0"/>
              <w:rPr>
                <w:sz w:val="20"/>
                <w:szCs w:val="20"/>
                <w:color w:val="auto"/>
              </w:rPr>
            </w:pPr>
            <w:r>
              <w:rPr>
                <w:rFonts w:ascii="Arial" w:cs="Arial" w:eastAsia="Arial" w:hAnsi="Arial"/>
                <w:sz w:val="16"/>
                <w:szCs w:val="16"/>
                <w:color w:val="auto"/>
              </w:rPr>
              <w:t>330,902</w:t>
            </w:r>
          </w:p>
        </w:tc>
        <w:tc>
          <w:tcPr>
            <w:tcW w:w="320" w:type="dxa"/>
            <w:vAlign w:val="bottom"/>
          </w:tcPr>
          <w:p>
            <w:pPr>
              <w:spacing w:after="0"/>
              <w:rPr>
                <w:sz w:val="23"/>
                <w:szCs w:val="23"/>
                <w:color w:val="auto"/>
              </w:rPr>
            </w:pPr>
          </w:p>
        </w:tc>
        <w:tc>
          <w:tcPr>
            <w:tcW w:w="880" w:type="dxa"/>
            <w:vAlign w:val="bottom"/>
          </w:tcPr>
          <w:p>
            <w:pPr>
              <w:jc w:val="right"/>
              <w:ind w:right="19"/>
              <w:spacing w:after="0"/>
              <w:rPr>
                <w:sz w:val="20"/>
                <w:szCs w:val="20"/>
                <w:color w:val="auto"/>
              </w:rPr>
            </w:pPr>
            <w:r>
              <w:rPr>
                <w:rFonts w:ascii="Arial" w:cs="Arial" w:eastAsia="Arial" w:hAnsi="Arial"/>
                <w:sz w:val="16"/>
                <w:szCs w:val="16"/>
                <w:color w:val="auto"/>
              </w:rPr>
              <w:t>299,076</w:t>
            </w:r>
          </w:p>
        </w:tc>
        <w:tc>
          <w:tcPr>
            <w:tcW w:w="0" w:type="dxa"/>
            <w:vAlign w:val="bottom"/>
          </w:tcPr>
          <w:p>
            <w:pPr>
              <w:spacing w:after="0"/>
              <w:rPr>
                <w:sz w:val="1"/>
                <w:szCs w:val="1"/>
                <w:color w:val="auto"/>
              </w:rPr>
            </w:pPr>
          </w:p>
        </w:tc>
      </w:tr>
      <w:tr>
        <w:trPr>
          <w:trHeight w:val="283"/>
        </w:trPr>
        <w:tc>
          <w:tcPr>
            <w:tcW w:w="7780" w:type="dxa"/>
            <w:vAlign w:val="bottom"/>
          </w:tcPr>
          <w:p>
            <w:pPr>
              <w:ind w:left="180"/>
              <w:spacing w:after="0"/>
              <w:rPr>
                <w:sz w:val="20"/>
                <w:szCs w:val="20"/>
                <w:color w:val="auto"/>
              </w:rPr>
            </w:pPr>
            <w:r>
              <w:rPr>
                <w:rFonts w:ascii="Arial" w:cs="Arial" w:eastAsia="Arial" w:hAnsi="Arial"/>
                <w:sz w:val="16"/>
                <w:szCs w:val="16"/>
                <w:color w:val="auto"/>
              </w:rPr>
              <w:t>Other</w:t>
            </w:r>
          </w:p>
        </w:tc>
        <w:tc>
          <w:tcPr>
            <w:tcW w:w="22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b w:val="1"/>
                <w:bCs w:val="1"/>
                <w:color w:val="auto"/>
              </w:rPr>
              <w:t>768,814</w:t>
            </w:r>
          </w:p>
        </w:tc>
        <w:tc>
          <w:tcPr>
            <w:tcW w:w="28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552,641</w:t>
            </w:r>
          </w:p>
        </w:tc>
        <w:tc>
          <w:tcPr>
            <w:tcW w:w="32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359,633</w:t>
            </w:r>
          </w:p>
        </w:tc>
        <w:tc>
          <w:tcPr>
            <w:tcW w:w="0" w:type="dxa"/>
            <w:vAlign w:val="bottom"/>
          </w:tcPr>
          <w:p>
            <w:pPr>
              <w:spacing w:after="0"/>
              <w:rPr>
                <w:sz w:val="1"/>
                <w:szCs w:val="1"/>
                <w:color w:val="auto"/>
              </w:rPr>
            </w:pPr>
          </w:p>
        </w:tc>
      </w:tr>
      <w:tr>
        <w:trPr>
          <w:trHeight w:val="264"/>
        </w:trPr>
        <w:tc>
          <w:tcPr>
            <w:tcW w:w="7780" w:type="dxa"/>
            <w:vAlign w:val="bottom"/>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b w:val="1"/>
                <w:bCs w:val="1"/>
                <w:color w:val="auto"/>
              </w:rPr>
              <w:t>2,591,846</w:t>
            </w:r>
          </w:p>
        </w:tc>
        <w:tc>
          <w:tcPr>
            <w:tcW w:w="28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2,481,890</w:t>
            </w:r>
          </w:p>
        </w:tc>
        <w:tc>
          <w:tcPr>
            <w:tcW w:w="32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2,586,114</w:t>
            </w:r>
          </w:p>
        </w:tc>
        <w:tc>
          <w:tcPr>
            <w:tcW w:w="0" w:type="dxa"/>
            <w:vAlign w:val="bottom"/>
          </w:tcPr>
          <w:p>
            <w:pPr>
              <w:spacing w:after="0"/>
              <w:rPr>
                <w:sz w:val="1"/>
                <w:szCs w:val="1"/>
                <w:color w:val="auto"/>
              </w:rPr>
            </w:pPr>
          </w:p>
        </w:tc>
      </w:tr>
      <w:tr>
        <w:trPr>
          <w:trHeight w:val="251"/>
        </w:trPr>
        <w:tc>
          <w:tcPr>
            <w:tcW w:w="7780" w:type="dxa"/>
            <w:vAlign w:val="bottom"/>
          </w:tcPr>
          <w:p>
            <w:pPr>
              <w:ind w:left="40"/>
              <w:spacing w:after="0"/>
              <w:rPr>
                <w:sz w:val="20"/>
                <w:szCs w:val="20"/>
                <w:color w:val="auto"/>
              </w:rPr>
            </w:pPr>
            <w:r>
              <w:rPr>
                <w:rFonts w:ascii="Arial" w:cs="Arial" w:eastAsia="Arial" w:hAnsi="Arial"/>
                <w:sz w:val="16"/>
                <w:szCs w:val="16"/>
                <w:b w:val="1"/>
                <w:bCs w:val="1"/>
                <w:color w:val="auto"/>
              </w:rPr>
              <w:t>Operating Costs and Expenses</w:t>
            </w:r>
          </w:p>
        </w:tc>
        <w:tc>
          <w:tcPr>
            <w:tcW w:w="22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0"/>
        </w:trPr>
        <w:tc>
          <w:tcPr>
            <w:tcW w:w="7780" w:type="dxa"/>
            <w:vAlign w:val="bottom"/>
          </w:tcPr>
          <w:p>
            <w:pPr>
              <w:ind w:left="180"/>
              <w:spacing w:after="0"/>
              <w:rPr>
                <w:sz w:val="20"/>
                <w:szCs w:val="20"/>
                <w:color w:val="auto"/>
              </w:rPr>
            </w:pPr>
            <w:r>
              <w:rPr>
                <w:rFonts w:ascii="Arial" w:cs="Arial" w:eastAsia="Arial" w:hAnsi="Arial"/>
                <w:sz w:val="16"/>
                <w:szCs w:val="16"/>
                <w:color w:val="auto"/>
              </w:rPr>
              <w:t>Operating</w:t>
            </w:r>
          </w:p>
        </w:tc>
        <w:tc>
          <w:tcPr>
            <w:tcW w:w="220" w:type="dxa"/>
            <w:vAlign w:val="bottom"/>
          </w:tcPr>
          <w:p>
            <w:pPr>
              <w:spacing w:after="0"/>
              <w:rPr>
                <w:sz w:val="23"/>
                <w:szCs w:val="23"/>
                <w:color w:val="auto"/>
              </w:rPr>
            </w:pPr>
          </w:p>
        </w:tc>
        <w:tc>
          <w:tcPr>
            <w:tcW w:w="980" w:type="dxa"/>
            <w:vAlign w:val="bottom"/>
          </w:tcPr>
          <w:p>
            <w:pPr>
              <w:jc w:val="right"/>
              <w:ind w:right="79"/>
              <w:spacing w:after="0"/>
              <w:rPr>
                <w:sz w:val="20"/>
                <w:szCs w:val="20"/>
                <w:color w:val="auto"/>
              </w:rPr>
            </w:pPr>
            <w:r>
              <w:rPr>
                <w:rFonts w:ascii="Arial" w:cs="Arial" w:eastAsia="Arial" w:hAnsi="Arial"/>
                <w:sz w:val="16"/>
                <w:szCs w:val="16"/>
                <w:b w:val="1"/>
                <w:bCs w:val="1"/>
                <w:color w:val="auto"/>
              </w:rPr>
              <w:t>1,359,842</w:t>
            </w:r>
          </w:p>
        </w:tc>
        <w:tc>
          <w:tcPr>
            <w:tcW w:w="280" w:type="dxa"/>
            <w:vAlign w:val="bottom"/>
          </w:tcPr>
          <w:p>
            <w:pPr>
              <w:spacing w:after="0"/>
              <w:rPr>
                <w:sz w:val="23"/>
                <w:szCs w:val="23"/>
                <w:color w:val="auto"/>
              </w:rPr>
            </w:pPr>
          </w:p>
        </w:tc>
        <w:tc>
          <w:tcPr>
            <w:tcW w:w="960" w:type="dxa"/>
            <w:vAlign w:val="bottom"/>
          </w:tcPr>
          <w:p>
            <w:pPr>
              <w:jc w:val="right"/>
              <w:ind w:right="79"/>
              <w:spacing w:after="0"/>
              <w:rPr>
                <w:sz w:val="20"/>
                <w:szCs w:val="20"/>
                <w:color w:val="auto"/>
              </w:rPr>
            </w:pPr>
            <w:r>
              <w:rPr>
                <w:rFonts w:ascii="Arial" w:cs="Arial" w:eastAsia="Arial" w:hAnsi="Arial"/>
                <w:sz w:val="16"/>
                <w:szCs w:val="16"/>
                <w:color w:val="auto"/>
              </w:rPr>
              <w:t>1,180,945</w:t>
            </w:r>
          </w:p>
        </w:tc>
        <w:tc>
          <w:tcPr>
            <w:tcW w:w="320" w:type="dxa"/>
            <w:vAlign w:val="bottom"/>
          </w:tcPr>
          <w:p>
            <w:pPr>
              <w:spacing w:after="0"/>
              <w:rPr>
                <w:sz w:val="23"/>
                <w:szCs w:val="23"/>
                <w:color w:val="auto"/>
              </w:rPr>
            </w:pPr>
          </w:p>
        </w:tc>
        <w:tc>
          <w:tcPr>
            <w:tcW w:w="880" w:type="dxa"/>
            <w:vAlign w:val="bottom"/>
          </w:tcPr>
          <w:p>
            <w:pPr>
              <w:jc w:val="right"/>
              <w:ind w:right="19"/>
              <w:spacing w:after="0"/>
              <w:rPr>
                <w:sz w:val="20"/>
                <w:szCs w:val="20"/>
                <w:color w:val="auto"/>
              </w:rPr>
            </w:pPr>
            <w:r>
              <w:rPr>
                <w:rFonts w:ascii="Arial" w:cs="Arial" w:eastAsia="Arial" w:hAnsi="Arial"/>
                <w:sz w:val="16"/>
                <w:szCs w:val="16"/>
                <w:color w:val="auto"/>
              </w:rPr>
              <w:t>1,206,153</w:t>
            </w:r>
          </w:p>
        </w:tc>
        <w:tc>
          <w:tcPr>
            <w:tcW w:w="0" w:type="dxa"/>
            <w:vAlign w:val="bottom"/>
          </w:tcPr>
          <w:p>
            <w:pPr>
              <w:spacing w:after="0"/>
              <w:rPr>
                <w:sz w:val="1"/>
                <w:szCs w:val="1"/>
                <w:color w:val="auto"/>
              </w:rPr>
            </w:pPr>
          </w:p>
        </w:tc>
      </w:tr>
      <w:tr>
        <w:trPr>
          <w:trHeight w:val="270"/>
        </w:trPr>
        <w:tc>
          <w:tcPr>
            <w:tcW w:w="7780" w:type="dxa"/>
            <w:vAlign w:val="bottom"/>
          </w:tcPr>
          <w:p>
            <w:pPr>
              <w:ind w:left="180"/>
              <w:spacing w:after="0"/>
              <w:rPr>
                <w:sz w:val="20"/>
                <w:szCs w:val="20"/>
                <w:color w:val="auto"/>
              </w:rPr>
            </w:pPr>
            <w:r>
              <w:rPr>
                <w:rFonts w:ascii="Arial" w:cs="Arial" w:eastAsia="Arial" w:hAnsi="Arial"/>
                <w:sz w:val="16"/>
                <w:szCs w:val="16"/>
                <w:color w:val="auto"/>
              </w:rPr>
              <w:t>Selling, general and administrative</w:t>
            </w:r>
          </w:p>
        </w:tc>
        <w:tc>
          <w:tcPr>
            <w:tcW w:w="220" w:type="dxa"/>
            <w:vAlign w:val="bottom"/>
          </w:tcPr>
          <w:p>
            <w:pPr>
              <w:spacing w:after="0"/>
              <w:rPr>
                <w:sz w:val="23"/>
                <w:szCs w:val="23"/>
                <w:color w:val="auto"/>
              </w:rPr>
            </w:pPr>
          </w:p>
        </w:tc>
        <w:tc>
          <w:tcPr>
            <w:tcW w:w="980" w:type="dxa"/>
            <w:vAlign w:val="bottom"/>
          </w:tcPr>
          <w:p>
            <w:pPr>
              <w:jc w:val="right"/>
              <w:ind w:right="79"/>
              <w:spacing w:after="0"/>
              <w:rPr>
                <w:sz w:val="20"/>
                <w:szCs w:val="20"/>
                <w:color w:val="auto"/>
              </w:rPr>
            </w:pPr>
            <w:r>
              <w:rPr>
                <w:rFonts w:ascii="Arial" w:cs="Arial" w:eastAsia="Arial" w:hAnsi="Arial"/>
                <w:sz w:val="16"/>
                <w:szCs w:val="16"/>
                <w:b w:val="1"/>
                <w:bCs w:val="1"/>
                <w:color w:val="auto"/>
              </w:rPr>
              <w:t>909,592</w:t>
            </w:r>
          </w:p>
        </w:tc>
        <w:tc>
          <w:tcPr>
            <w:tcW w:w="280" w:type="dxa"/>
            <w:vAlign w:val="bottom"/>
          </w:tcPr>
          <w:p>
            <w:pPr>
              <w:spacing w:after="0"/>
              <w:rPr>
                <w:sz w:val="23"/>
                <w:szCs w:val="23"/>
                <w:color w:val="auto"/>
              </w:rPr>
            </w:pPr>
          </w:p>
        </w:tc>
        <w:tc>
          <w:tcPr>
            <w:tcW w:w="960" w:type="dxa"/>
            <w:vAlign w:val="bottom"/>
          </w:tcPr>
          <w:p>
            <w:pPr>
              <w:jc w:val="right"/>
              <w:ind w:right="79"/>
              <w:spacing w:after="0"/>
              <w:rPr>
                <w:sz w:val="20"/>
                <w:szCs w:val="20"/>
                <w:color w:val="auto"/>
              </w:rPr>
            </w:pPr>
            <w:r>
              <w:rPr>
                <w:rFonts w:ascii="Arial" w:cs="Arial" w:eastAsia="Arial" w:hAnsi="Arial"/>
                <w:sz w:val="16"/>
                <w:szCs w:val="16"/>
                <w:color w:val="auto"/>
              </w:rPr>
              <w:t>904,517</w:t>
            </w:r>
          </w:p>
        </w:tc>
        <w:tc>
          <w:tcPr>
            <w:tcW w:w="320" w:type="dxa"/>
            <w:vAlign w:val="bottom"/>
          </w:tcPr>
          <w:p>
            <w:pPr>
              <w:spacing w:after="0"/>
              <w:rPr>
                <w:sz w:val="23"/>
                <w:szCs w:val="23"/>
                <w:color w:val="auto"/>
              </w:rPr>
            </w:pPr>
          </w:p>
        </w:tc>
        <w:tc>
          <w:tcPr>
            <w:tcW w:w="880" w:type="dxa"/>
            <w:vAlign w:val="bottom"/>
          </w:tcPr>
          <w:p>
            <w:pPr>
              <w:jc w:val="right"/>
              <w:ind w:right="19"/>
              <w:spacing w:after="0"/>
              <w:rPr>
                <w:sz w:val="20"/>
                <w:szCs w:val="20"/>
                <w:color w:val="auto"/>
              </w:rPr>
            </w:pPr>
            <w:r>
              <w:rPr>
                <w:rFonts w:ascii="Arial" w:cs="Arial" w:eastAsia="Arial" w:hAnsi="Arial"/>
                <w:sz w:val="16"/>
                <w:szCs w:val="16"/>
                <w:color w:val="auto"/>
              </w:rPr>
              <w:t>1,104,163</w:t>
            </w:r>
          </w:p>
        </w:tc>
        <w:tc>
          <w:tcPr>
            <w:tcW w:w="0" w:type="dxa"/>
            <w:vAlign w:val="bottom"/>
          </w:tcPr>
          <w:p>
            <w:pPr>
              <w:spacing w:after="0"/>
              <w:rPr>
                <w:sz w:val="1"/>
                <w:szCs w:val="1"/>
                <w:color w:val="auto"/>
              </w:rPr>
            </w:pPr>
          </w:p>
        </w:tc>
      </w:tr>
      <w:tr>
        <w:trPr>
          <w:trHeight w:val="270"/>
        </w:trPr>
        <w:tc>
          <w:tcPr>
            <w:tcW w:w="7780" w:type="dxa"/>
            <w:vAlign w:val="bottom"/>
          </w:tcPr>
          <w:p>
            <w:pPr>
              <w:ind w:left="180"/>
              <w:spacing w:after="0"/>
              <w:rPr>
                <w:sz w:val="20"/>
                <w:szCs w:val="20"/>
                <w:color w:val="auto"/>
              </w:rPr>
            </w:pPr>
            <w:r>
              <w:rPr>
                <w:rFonts w:ascii="Arial" w:cs="Arial" w:eastAsia="Arial" w:hAnsi="Arial"/>
                <w:sz w:val="16"/>
                <w:szCs w:val="16"/>
                <w:color w:val="auto"/>
              </w:rPr>
              <w:t>Depreciation of property, plant and equipment</w:t>
            </w:r>
          </w:p>
        </w:tc>
        <w:tc>
          <w:tcPr>
            <w:tcW w:w="220" w:type="dxa"/>
            <w:vAlign w:val="bottom"/>
          </w:tcPr>
          <w:p>
            <w:pPr>
              <w:spacing w:after="0"/>
              <w:rPr>
                <w:sz w:val="23"/>
                <w:szCs w:val="23"/>
                <w:color w:val="auto"/>
              </w:rPr>
            </w:pPr>
          </w:p>
        </w:tc>
        <w:tc>
          <w:tcPr>
            <w:tcW w:w="980" w:type="dxa"/>
            <w:vAlign w:val="bottom"/>
          </w:tcPr>
          <w:p>
            <w:pPr>
              <w:jc w:val="right"/>
              <w:ind w:right="79"/>
              <w:spacing w:after="0"/>
              <w:rPr>
                <w:sz w:val="20"/>
                <w:szCs w:val="20"/>
                <w:color w:val="auto"/>
              </w:rPr>
            </w:pPr>
            <w:r>
              <w:rPr>
                <w:rFonts w:ascii="Arial" w:cs="Arial" w:eastAsia="Arial" w:hAnsi="Arial"/>
                <w:sz w:val="16"/>
                <w:szCs w:val="16"/>
                <w:b w:val="1"/>
                <w:bCs w:val="1"/>
                <w:color w:val="auto"/>
              </w:rPr>
              <w:t>62,509</w:t>
            </w:r>
          </w:p>
        </w:tc>
        <w:tc>
          <w:tcPr>
            <w:tcW w:w="280" w:type="dxa"/>
            <w:vAlign w:val="bottom"/>
          </w:tcPr>
          <w:p>
            <w:pPr>
              <w:spacing w:after="0"/>
              <w:rPr>
                <w:sz w:val="23"/>
                <w:szCs w:val="23"/>
                <w:color w:val="auto"/>
              </w:rPr>
            </w:pPr>
          </w:p>
        </w:tc>
        <w:tc>
          <w:tcPr>
            <w:tcW w:w="960" w:type="dxa"/>
            <w:vAlign w:val="bottom"/>
          </w:tcPr>
          <w:p>
            <w:pPr>
              <w:jc w:val="right"/>
              <w:ind w:right="79"/>
              <w:spacing w:after="0"/>
              <w:rPr>
                <w:sz w:val="20"/>
                <w:szCs w:val="20"/>
                <w:color w:val="auto"/>
              </w:rPr>
            </w:pPr>
            <w:r>
              <w:rPr>
                <w:rFonts w:ascii="Arial" w:cs="Arial" w:eastAsia="Arial" w:hAnsi="Arial"/>
                <w:sz w:val="16"/>
                <w:szCs w:val="16"/>
                <w:color w:val="auto"/>
              </w:rPr>
              <w:t>64,620</w:t>
            </w:r>
          </w:p>
        </w:tc>
        <w:tc>
          <w:tcPr>
            <w:tcW w:w="320" w:type="dxa"/>
            <w:vAlign w:val="bottom"/>
          </w:tcPr>
          <w:p>
            <w:pPr>
              <w:spacing w:after="0"/>
              <w:rPr>
                <w:sz w:val="23"/>
                <w:szCs w:val="23"/>
                <w:color w:val="auto"/>
              </w:rPr>
            </w:pPr>
          </w:p>
        </w:tc>
        <w:tc>
          <w:tcPr>
            <w:tcW w:w="880" w:type="dxa"/>
            <w:vAlign w:val="bottom"/>
          </w:tcPr>
          <w:p>
            <w:pPr>
              <w:jc w:val="right"/>
              <w:ind w:right="19"/>
              <w:spacing w:after="0"/>
              <w:rPr>
                <w:sz w:val="20"/>
                <w:szCs w:val="20"/>
                <w:color w:val="auto"/>
              </w:rPr>
            </w:pPr>
            <w:r>
              <w:rPr>
                <w:rFonts w:ascii="Arial" w:cs="Arial" w:eastAsia="Arial" w:hAnsi="Arial"/>
                <w:sz w:val="16"/>
                <w:szCs w:val="16"/>
                <w:color w:val="auto"/>
              </w:rPr>
              <w:t>77,906</w:t>
            </w:r>
          </w:p>
        </w:tc>
        <w:tc>
          <w:tcPr>
            <w:tcW w:w="0" w:type="dxa"/>
            <w:vAlign w:val="bottom"/>
          </w:tcPr>
          <w:p>
            <w:pPr>
              <w:spacing w:after="0"/>
              <w:rPr>
                <w:sz w:val="1"/>
                <w:szCs w:val="1"/>
                <w:color w:val="auto"/>
              </w:rPr>
            </w:pPr>
          </w:p>
        </w:tc>
      </w:tr>
      <w:tr>
        <w:trPr>
          <w:trHeight w:val="270"/>
        </w:trPr>
        <w:tc>
          <w:tcPr>
            <w:tcW w:w="7780" w:type="dxa"/>
            <w:vAlign w:val="bottom"/>
          </w:tcPr>
          <w:p>
            <w:pPr>
              <w:ind w:left="180"/>
              <w:spacing w:after="0"/>
              <w:rPr>
                <w:sz w:val="20"/>
                <w:szCs w:val="20"/>
                <w:color w:val="auto"/>
              </w:rPr>
            </w:pPr>
            <w:r>
              <w:rPr>
                <w:rFonts w:ascii="Arial" w:cs="Arial" w:eastAsia="Arial" w:hAnsi="Arial"/>
                <w:sz w:val="16"/>
                <w:szCs w:val="16"/>
                <w:color w:val="auto"/>
              </w:rPr>
              <w:t>Amortization of intangible assets</w:t>
            </w:r>
          </w:p>
        </w:tc>
        <w:tc>
          <w:tcPr>
            <w:tcW w:w="220" w:type="dxa"/>
            <w:vAlign w:val="bottom"/>
          </w:tcPr>
          <w:p>
            <w:pPr>
              <w:spacing w:after="0"/>
              <w:rPr>
                <w:sz w:val="23"/>
                <w:szCs w:val="23"/>
                <w:color w:val="auto"/>
              </w:rPr>
            </w:pPr>
          </w:p>
        </w:tc>
        <w:tc>
          <w:tcPr>
            <w:tcW w:w="980" w:type="dxa"/>
            <w:vAlign w:val="bottom"/>
          </w:tcPr>
          <w:p>
            <w:pPr>
              <w:jc w:val="right"/>
              <w:ind w:right="79"/>
              <w:spacing w:after="0"/>
              <w:rPr>
                <w:sz w:val="20"/>
                <w:szCs w:val="20"/>
                <w:color w:val="auto"/>
              </w:rPr>
            </w:pPr>
            <w:r>
              <w:rPr>
                <w:rFonts w:ascii="Arial" w:cs="Arial" w:eastAsia="Arial" w:hAnsi="Arial"/>
                <w:sz w:val="16"/>
                <w:szCs w:val="16"/>
                <w:b w:val="1"/>
                <w:bCs w:val="1"/>
                <w:color w:val="auto"/>
              </w:rPr>
              <w:t>41,187</w:t>
            </w:r>
          </w:p>
        </w:tc>
        <w:tc>
          <w:tcPr>
            <w:tcW w:w="280" w:type="dxa"/>
            <w:vAlign w:val="bottom"/>
          </w:tcPr>
          <w:p>
            <w:pPr>
              <w:spacing w:after="0"/>
              <w:rPr>
                <w:sz w:val="23"/>
                <w:szCs w:val="23"/>
                <w:color w:val="auto"/>
              </w:rPr>
            </w:pPr>
          </w:p>
        </w:tc>
        <w:tc>
          <w:tcPr>
            <w:tcW w:w="960" w:type="dxa"/>
            <w:vAlign w:val="bottom"/>
          </w:tcPr>
          <w:p>
            <w:pPr>
              <w:jc w:val="right"/>
              <w:ind w:right="79"/>
              <w:spacing w:after="0"/>
              <w:rPr>
                <w:sz w:val="20"/>
                <w:szCs w:val="20"/>
                <w:color w:val="auto"/>
              </w:rPr>
            </w:pPr>
            <w:r>
              <w:rPr>
                <w:rFonts w:ascii="Arial" w:cs="Arial" w:eastAsia="Arial" w:hAnsi="Arial"/>
                <w:sz w:val="16"/>
                <w:szCs w:val="16"/>
                <w:color w:val="auto"/>
              </w:rPr>
              <w:t>26,671</w:t>
            </w:r>
          </w:p>
        </w:tc>
        <w:tc>
          <w:tcPr>
            <w:tcW w:w="320" w:type="dxa"/>
            <w:vAlign w:val="bottom"/>
          </w:tcPr>
          <w:p>
            <w:pPr>
              <w:spacing w:after="0"/>
              <w:rPr>
                <w:sz w:val="23"/>
                <w:szCs w:val="23"/>
                <w:color w:val="auto"/>
              </w:rPr>
            </w:pPr>
          </w:p>
        </w:tc>
        <w:tc>
          <w:tcPr>
            <w:tcW w:w="880" w:type="dxa"/>
            <w:vAlign w:val="bottom"/>
          </w:tcPr>
          <w:p>
            <w:pPr>
              <w:jc w:val="right"/>
              <w:ind w:right="19"/>
              <w:spacing w:after="0"/>
              <w:rPr>
                <w:sz w:val="20"/>
                <w:szCs w:val="20"/>
                <w:color w:val="auto"/>
              </w:rPr>
            </w:pPr>
            <w:r>
              <w:rPr>
                <w:rFonts w:ascii="Arial" w:cs="Arial" w:eastAsia="Arial" w:hAnsi="Arial"/>
                <w:sz w:val="16"/>
                <w:szCs w:val="16"/>
                <w:color w:val="auto"/>
              </w:rPr>
              <w:t>19,017</w:t>
            </w:r>
          </w:p>
        </w:tc>
        <w:tc>
          <w:tcPr>
            <w:tcW w:w="0" w:type="dxa"/>
            <w:vAlign w:val="bottom"/>
          </w:tcPr>
          <w:p>
            <w:pPr>
              <w:spacing w:after="0"/>
              <w:rPr>
                <w:sz w:val="1"/>
                <w:szCs w:val="1"/>
                <w:color w:val="auto"/>
              </w:rPr>
            </w:pPr>
          </w:p>
        </w:tc>
      </w:tr>
      <w:tr>
        <w:trPr>
          <w:trHeight w:val="283"/>
        </w:trPr>
        <w:tc>
          <w:tcPr>
            <w:tcW w:w="7780" w:type="dxa"/>
            <w:vAlign w:val="bottom"/>
          </w:tcPr>
          <w:p>
            <w:pPr>
              <w:ind w:left="180"/>
              <w:spacing w:after="0"/>
              <w:rPr>
                <w:sz w:val="20"/>
                <w:szCs w:val="20"/>
                <w:color w:val="auto"/>
              </w:rPr>
            </w:pPr>
            <w:r>
              <w:rPr>
                <w:rFonts w:ascii="Arial" w:cs="Arial" w:eastAsia="Arial" w:hAnsi="Arial"/>
                <w:sz w:val="16"/>
                <w:szCs w:val="16"/>
                <w:color w:val="auto"/>
              </w:rPr>
              <w:t>Impairment of goodwill and other long-lived assets</w:t>
            </w:r>
          </w:p>
        </w:tc>
        <w:tc>
          <w:tcPr>
            <w:tcW w:w="22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b w:val="1"/>
                <w:bCs w:val="1"/>
                <w:color w:val="auto"/>
              </w:rPr>
              <w:t>9,614</w:t>
            </w:r>
          </w:p>
        </w:tc>
        <w:tc>
          <w:tcPr>
            <w:tcW w:w="28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1,603</w:t>
            </w:r>
          </w:p>
        </w:tc>
        <w:tc>
          <w:tcPr>
            <w:tcW w:w="32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259,700</w:t>
            </w:r>
          </w:p>
        </w:tc>
        <w:tc>
          <w:tcPr>
            <w:tcW w:w="0" w:type="dxa"/>
            <w:vAlign w:val="bottom"/>
          </w:tcPr>
          <w:p>
            <w:pPr>
              <w:spacing w:after="0"/>
              <w:rPr>
                <w:sz w:val="1"/>
                <w:szCs w:val="1"/>
                <w:color w:val="auto"/>
              </w:rPr>
            </w:pPr>
          </w:p>
        </w:tc>
      </w:tr>
      <w:tr>
        <w:trPr>
          <w:trHeight w:val="264"/>
        </w:trPr>
        <w:tc>
          <w:tcPr>
            <w:tcW w:w="7780" w:type="dxa"/>
            <w:vAlign w:val="bottom"/>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b w:val="1"/>
                <w:bCs w:val="1"/>
                <w:color w:val="auto"/>
              </w:rPr>
              <w:t>2,382,744</w:t>
            </w:r>
          </w:p>
        </w:tc>
        <w:tc>
          <w:tcPr>
            <w:tcW w:w="28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2,178,356</w:t>
            </w:r>
          </w:p>
        </w:tc>
        <w:tc>
          <w:tcPr>
            <w:tcW w:w="32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2,666,939</w:t>
            </w:r>
          </w:p>
        </w:tc>
        <w:tc>
          <w:tcPr>
            <w:tcW w:w="0" w:type="dxa"/>
            <w:vAlign w:val="bottom"/>
          </w:tcPr>
          <w:p>
            <w:pPr>
              <w:spacing w:after="0"/>
              <w:rPr>
                <w:sz w:val="1"/>
                <w:szCs w:val="1"/>
                <w:color w:val="auto"/>
              </w:rPr>
            </w:pPr>
          </w:p>
        </w:tc>
      </w:tr>
      <w:tr>
        <w:trPr>
          <w:trHeight w:val="251"/>
        </w:trPr>
        <w:tc>
          <w:tcPr>
            <w:tcW w:w="7780" w:type="dxa"/>
            <w:vAlign w:val="bottom"/>
          </w:tcPr>
          <w:p>
            <w:pPr>
              <w:ind w:left="40"/>
              <w:spacing w:after="0"/>
              <w:rPr>
                <w:sz w:val="20"/>
                <w:szCs w:val="20"/>
                <w:color w:val="auto"/>
              </w:rPr>
            </w:pPr>
            <w:r>
              <w:rPr>
                <w:rFonts w:ascii="Arial" w:cs="Arial" w:eastAsia="Arial" w:hAnsi="Arial"/>
                <w:sz w:val="16"/>
                <w:szCs w:val="16"/>
                <w:b w:val="1"/>
                <w:bCs w:val="1"/>
                <w:color w:val="auto"/>
              </w:rPr>
              <w:t>Income (Loss) from Operations</w:t>
            </w:r>
          </w:p>
        </w:tc>
        <w:tc>
          <w:tcPr>
            <w:tcW w:w="220" w:type="dxa"/>
            <w:vAlign w:val="bottom"/>
          </w:tcPr>
          <w:p>
            <w:pPr>
              <w:spacing w:after="0"/>
              <w:rPr>
                <w:sz w:val="21"/>
                <w:szCs w:val="21"/>
                <w:color w:val="auto"/>
              </w:rPr>
            </w:pPr>
          </w:p>
        </w:tc>
        <w:tc>
          <w:tcPr>
            <w:tcW w:w="980" w:type="dxa"/>
            <w:vAlign w:val="bottom"/>
          </w:tcPr>
          <w:p>
            <w:pPr>
              <w:jc w:val="right"/>
              <w:ind w:right="79"/>
              <w:spacing w:after="0"/>
              <w:rPr>
                <w:sz w:val="20"/>
                <w:szCs w:val="20"/>
                <w:color w:val="auto"/>
              </w:rPr>
            </w:pPr>
            <w:r>
              <w:rPr>
                <w:rFonts w:ascii="Arial" w:cs="Arial" w:eastAsia="Arial" w:hAnsi="Arial"/>
                <w:sz w:val="16"/>
                <w:szCs w:val="16"/>
                <w:b w:val="1"/>
                <w:bCs w:val="1"/>
                <w:color w:val="auto"/>
              </w:rPr>
              <w:t>209,102</w:t>
            </w:r>
          </w:p>
        </w:tc>
        <w:tc>
          <w:tcPr>
            <w:tcW w:w="280" w:type="dxa"/>
            <w:vAlign w:val="bottom"/>
          </w:tcPr>
          <w:p>
            <w:pPr>
              <w:spacing w:after="0"/>
              <w:rPr>
                <w:sz w:val="21"/>
                <w:szCs w:val="21"/>
                <w:color w:val="auto"/>
              </w:rPr>
            </w:pPr>
          </w:p>
        </w:tc>
        <w:tc>
          <w:tcPr>
            <w:tcW w:w="960" w:type="dxa"/>
            <w:vAlign w:val="bottom"/>
          </w:tcPr>
          <w:p>
            <w:pPr>
              <w:jc w:val="right"/>
              <w:ind w:right="79"/>
              <w:spacing w:after="0"/>
              <w:rPr>
                <w:sz w:val="20"/>
                <w:szCs w:val="20"/>
                <w:color w:val="auto"/>
              </w:rPr>
            </w:pPr>
            <w:r>
              <w:rPr>
                <w:rFonts w:ascii="Arial" w:cs="Arial" w:eastAsia="Arial" w:hAnsi="Arial"/>
                <w:sz w:val="16"/>
                <w:szCs w:val="16"/>
                <w:color w:val="auto"/>
              </w:rPr>
              <w:t>303,534</w:t>
            </w:r>
          </w:p>
        </w:tc>
        <w:tc>
          <w:tcPr>
            <w:tcW w:w="32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(80,825)</w:t>
            </w:r>
          </w:p>
        </w:tc>
        <w:tc>
          <w:tcPr>
            <w:tcW w:w="0" w:type="dxa"/>
            <w:vAlign w:val="bottom"/>
          </w:tcPr>
          <w:p>
            <w:pPr>
              <w:spacing w:after="0"/>
              <w:rPr>
                <w:sz w:val="1"/>
                <w:szCs w:val="1"/>
                <w:color w:val="auto"/>
              </w:rPr>
            </w:pPr>
          </w:p>
        </w:tc>
      </w:tr>
      <w:tr>
        <w:trPr>
          <w:trHeight w:val="270"/>
        </w:trPr>
        <w:tc>
          <w:tcPr>
            <w:tcW w:w="7780" w:type="dxa"/>
            <w:vAlign w:val="bottom"/>
          </w:tcPr>
          <w:p>
            <w:pPr>
              <w:ind w:left="180"/>
              <w:spacing w:after="0"/>
              <w:rPr>
                <w:sz w:val="20"/>
                <w:szCs w:val="20"/>
                <w:color w:val="auto"/>
              </w:rPr>
            </w:pPr>
            <w:r>
              <w:rPr>
                <w:rFonts w:ascii="Arial" w:cs="Arial" w:eastAsia="Arial" w:hAnsi="Arial"/>
                <w:sz w:val="16"/>
                <w:szCs w:val="16"/>
                <w:color w:val="auto"/>
              </w:rPr>
              <w:t>Equity in losses of affiliates, net</w:t>
            </w:r>
          </w:p>
        </w:tc>
        <w:tc>
          <w:tcPr>
            <w:tcW w:w="220" w:type="dxa"/>
            <w:vAlign w:val="bottom"/>
          </w:tcPr>
          <w:p>
            <w:pPr>
              <w:spacing w:after="0"/>
              <w:rPr>
                <w:sz w:val="23"/>
                <w:szCs w:val="23"/>
                <w:color w:val="auto"/>
              </w:rPr>
            </w:pPr>
          </w:p>
        </w:tc>
        <w:tc>
          <w:tcPr>
            <w:tcW w:w="980" w:type="dxa"/>
            <w:vAlign w:val="bottom"/>
          </w:tcPr>
          <w:p>
            <w:pPr>
              <w:jc w:val="right"/>
              <w:ind w:right="19"/>
              <w:spacing w:after="0"/>
              <w:rPr>
                <w:sz w:val="20"/>
                <w:szCs w:val="20"/>
                <w:color w:val="auto"/>
              </w:rPr>
            </w:pPr>
            <w:r>
              <w:rPr>
                <w:rFonts w:ascii="Arial" w:cs="Arial" w:eastAsia="Arial" w:hAnsi="Arial"/>
                <w:sz w:val="16"/>
                <w:szCs w:val="16"/>
                <w:b w:val="1"/>
                <w:bCs w:val="1"/>
                <w:color w:val="auto"/>
              </w:rPr>
              <w:t>(3,249)</w:t>
            </w:r>
          </w:p>
        </w:tc>
        <w:tc>
          <w:tcPr>
            <w:tcW w:w="280" w:type="dxa"/>
            <w:vAlign w:val="bottom"/>
          </w:tcPr>
          <w:p>
            <w:pPr>
              <w:spacing w:after="0"/>
              <w:rPr>
                <w:sz w:val="23"/>
                <w:szCs w:val="23"/>
                <w:color w:val="auto"/>
              </w:rPr>
            </w:pPr>
          </w:p>
        </w:tc>
        <w:tc>
          <w:tcPr>
            <w:tcW w:w="960" w:type="dxa"/>
            <w:vAlign w:val="bottom"/>
          </w:tcPr>
          <w:p>
            <w:pPr>
              <w:jc w:val="right"/>
              <w:ind w:right="19"/>
              <w:spacing w:after="0"/>
              <w:rPr>
                <w:sz w:val="20"/>
                <w:szCs w:val="20"/>
                <w:color w:val="auto"/>
              </w:rPr>
            </w:pPr>
            <w:r>
              <w:rPr>
                <w:rFonts w:ascii="Arial" w:cs="Arial" w:eastAsia="Arial" w:hAnsi="Arial"/>
                <w:sz w:val="16"/>
                <w:szCs w:val="16"/>
                <w:color w:val="auto"/>
              </w:rPr>
              <w:t>(7,937)</w:t>
            </w:r>
          </w:p>
        </w:tc>
        <w:tc>
          <w:tcPr>
            <w:tcW w:w="320" w:type="dxa"/>
            <w:vAlign w:val="bottom"/>
          </w:tcPr>
          <w:p>
            <w:pPr>
              <w:spacing w:after="0"/>
              <w:rPr>
                <w:sz w:val="23"/>
                <w:szCs w:val="23"/>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(697)</w:t>
            </w:r>
          </w:p>
        </w:tc>
        <w:tc>
          <w:tcPr>
            <w:tcW w:w="0" w:type="dxa"/>
            <w:vAlign w:val="bottom"/>
          </w:tcPr>
          <w:p>
            <w:pPr>
              <w:spacing w:after="0"/>
              <w:rPr>
                <w:sz w:val="1"/>
                <w:szCs w:val="1"/>
                <w:color w:val="auto"/>
              </w:rPr>
            </w:pPr>
          </w:p>
        </w:tc>
      </w:tr>
      <w:tr>
        <w:trPr>
          <w:trHeight w:val="270"/>
        </w:trPr>
        <w:tc>
          <w:tcPr>
            <w:tcW w:w="7780" w:type="dxa"/>
            <w:vAlign w:val="bottom"/>
          </w:tcPr>
          <w:p>
            <w:pPr>
              <w:ind w:left="180"/>
              <w:spacing w:after="0"/>
              <w:rPr>
                <w:sz w:val="20"/>
                <w:szCs w:val="20"/>
                <w:color w:val="auto"/>
              </w:rPr>
            </w:pPr>
            <w:r>
              <w:rPr>
                <w:rFonts w:ascii="Arial" w:cs="Arial" w:eastAsia="Arial" w:hAnsi="Arial"/>
                <w:sz w:val="16"/>
                <w:szCs w:val="16"/>
                <w:color w:val="auto"/>
              </w:rPr>
              <w:t>Interest income</w:t>
            </w:r>
          </w:p>
        </w:tc>
        <w:tc>
          <w:tcPr>
            <w:tcW w:w="220" w:type="dxa"/>
            <w:vAlign w:val="bottom"/>
          </w:tcPr>
          <w:p>
            <w:pPr>
              <w:spacing w:after="0"/>
              <w:rPr>
                <w:sz w:val="23"/>
                <w:szCs w:val="23"/>
                <w:color w:val="auto"/>
              </w:rPr>
            </w:pPr>
          </w:p>
        </w:tc>
        <w:tc>
          <w:tcPr>
            <w:tcW w:w="980" w:type="dxa"/>
            <w:vAlign w:val="bottom"/>
          </w:tcPr>
          <w:p>
            <w:pPr>
              <w:jc w:val="right"/>
              <w:ind w:right="79"/>
              <w:spacing w:after="0"/>
              <w:rPr>
                <w:sz w:val="20"/>
                <w:szCs w:val="20"/>
                <w:color w:val="auto"/>
              </w:rPr>
            </w:pPr>
            <w:r>
              <w:rPr>
                <w:rFonts w:ascii="Arial" w:cs="Arial" w:eastAsia="Arial" w:hAnsi="Arial"/>
                <w:sz w:val="16"/>
                <w:szCs w:val="16"/>
                <w:b w:val="1"/>
                <w:bCs w:val="1"/>
                <w:color w:val="auto"/>
              </w:rPr>
              <w:t>6,581</w:t>
            </w:r>
          </w:p>
        </w:tc>
        <w:tc>
          <w:tcPr>
            <w:tcW w:w="280" w:type="dxa"/>
            <w:vAlign w:val="bottom"/>
          </w:tcPr>
          <w:p>
            <w:pPr>
              <w:spacing w:after="0"/>
              <w:rPr>
                <w:sz w:val="23"/>
                <w:szCs w:val="23"/>
                <w:color w:val="auto"/>
              </w:rPr>
            </w:pPr>
          </w:p>
        </w:tc>
        <w:tc>
          <w:tcPr>
            <w:tcW w:w="960" w:type="dxa"/>
            <w:vAlign w:val="bottom"/>
          </w:tcPr>
          <w:p>
            <w:pPr>
              <w:jc w:val="right"/>
              <w:ind w:right="79"/>
              <w:spacing w:after="0"/>
              <w:rPr>
                <w:sz w:val="20"/>
                <w:szCs w:val="20"/>
                <w:color w:val="auto"/>
              </w:rPr>
            </w:pPr>
            <w:r>
              <w:rPr>
                <w:rFonts w:ascii="Arial" w:cs="Arial" w:eastAsia="Arial" w:hAnsi="Arial"/>
                <w:sz w:val="16"/>
                <w:szCs w:val="16"/>
                <w:color w:val="auto"/>
              </w:rPr>
              <w:t>3,093</w:t>
            </w:r>
          </w:p>
        </w:tc>
        <w:tc>
          <w:tcPr>
            <w:tcW w:w="320" w:type="dxa"/>
            <w:vAlign w:val="bottom"/>
          </w:tcPr>
          <w:p>
            <w:pPr>
              <w:spacing w:after="0"/>
              <w:rPr>
                <w:sz w:val="23"/>
                <w:szCs w:val="23"/>
                <w:color w:val="auto"/>
              </w:rPr>
            </w:pPr>
          </w:p>
        </w:tc>
        <w:tc>
          <w:tcPr>
            <w:tcW w:w="880" w:type="dxa"/>
            <w:vAlign w:val="bottom"/>
          </w:tcPr>
          <w:p>
            <w:pPr>
              <w:jc w:val="right"/>
              <w:ind w:right="19"/>
              <w:spacing w:after="0"/>
              <w:rPr>
                <w:sz w:val="20"/>
                <w:szCs w:val="20"/>
                <w:color w:val="auto"/>
              </w:rPr>
            </w:pPr>
            <w:r>
              <w:rPr>
                <w:rFonts w:ascii="Arial" w:cs="Arial" w:eastAsia="Arial" w:hAnsi="Arial"/>
                <w:sz w:val="16"/>
                <w:szCs w:val="16"/>
                <w:color w:val="auto"/>
              </w:rPr>
              <w:t>1,909</w:t>
            </w:r>
          </w:p>
        </w:tc>
        <w:tc>
          <w:tcPr>
            <w:tcW w:w="0" w:type="dxa"/>
            <w:vAlign w:val="bottom"/>
          </w:tcPr>
          <w:p>
            <w:pPr>
              <w:spacing w:after="0"/>
              <w:rPr>
                <w:sz w:val="1"/>
                <w:szCs w:val="1"/>
                <w:color w:val="auto"/>
              </w:rPr>
            </w:pPr>
          </w:p>
        </w:tc>
      </w:tr>
      <w:tr>
        <w:trPr>
          <w:trHeight w:val="270"/>
        </w:trPr>
        <w:tc>
          <w:tcPr>
            <w:tcW w:w="7780" w:type="dxa"/>
            <w:vAlign w:val="bottom"/>
          </w:tcPr>
          <w:p>
            <w:pPr>
              <w:ind w:left="180"/>
              <w:spacing w:after="0"/>
              <w:rPr>
                <w:sz w:val="20"/>
                <w:szCs w:val="20"/>
                <w:color w:val="auto"/>
              </w:rPr>
            </w:pPr>
            <w:r>
              <w:rPr>
                <w:rFonts w:ascii="Arial" w:cs="Arial" w:eastAsia="Arial" w:hAnsi="Arial"/>
                <w:sz w:val="16"/>
                <w:szCs w:val="16"/>
                <w:color w:val="auto"/>
              </w:rPr>
              <w:t>Interest expense</w:t>
            </w:r>
          </w:p>
        </w:tc>
        <w:tc>
          <w:tcPr>
            <w:tcW w:w="220" w:type="dxa"/>
            <w:vAlign w:val="bottom"/>
          </w:tcPr>
          <w:p>
            <w:pPr>
              <w:spacing w:after="0"/>
              <w:rPr>
                <w:sz w:val="23"/>
                <w:szCs w:val="23"/>
                <w:color w:val="auto"/>
              </w:rPr>
            </w:pPr>
          </w:p>
        </w:tc>
        <w:tc>
          <w:tcPr>
            <w:tcW w:w="980" w:type="dxa"/>
            <w:vAlign w:val="bottom"/>
          </w:tcPr>
          <w:p>
            <w:pPr>
              <w:jc w:val="right"/>
              <w:ind w:right="19"/>
              <w:spacing w:after="0"/>
              <w:rPr>
                <w:sz w:val="20"/>
                <w:szCs w:val="20"/>
                <w:color w:val="auto"/>
              </w:rPr>
            </w:pPr>
            <w:r>
              <w:rPr>
                <w:rFonts w:ascii="Arial" w:cs="Arial" w:eastAsia="Arial" w:hAnsi="Arial"/>
                <w:sz w:val="16"/>
                <w:szCs w:val="16"/>
                <w:b w:val="1"/>
                <w:bCs w:val="1"/>
                <w:color w:val="auto"/>
              </w:rPr>
              <w:t>(33,886)</w:t>
            </w:r>
          </w:p>
        </w:tc>
        <w:tc>
          <w:tcPr>
            <w:tcW w:w="280" w:type="dxa"/>
            <w:vAlign w:val="bottom"/>
          </w:tcPr>
          <w:p>
            <w:pPr>
              <w:spacing w:after="0"/>
              <w:rPr>
                <w:sz w:val="23"/>
                <w:szCs w:val="23"/>
                <w:color w:val="auto"/>
              </w:rPr>
            </w:pPr>
          </w:p>
        </w:tc>
        <w:tc>
          <w:tcPr>
            <w:tcW w:w="960" w:type="dxa"/>
            <w:vAlign w:val="bottom"/>
          </w:tcPr>
          <w:p>
            <w:pPr>
              <w:jc w:val="right"/>
              <w:ind w:right="19"/>
              <w:spacing w:after="0"/>
              <w:rPr>
                <w:sz w:val="20"/>
                <w:szCs w:val="20"/>
                <w:color w:val="auto"/>
              </w:rPr>
            </w:pPr>
            <w:r>
              <w:rPr>
                <w:rFonts w:ascii="Arial" w:cs="Arial" w:eastAsia="Arial" w:hAnsi="Arial"/>
                <w:sz w:val="16"/>
                <w:szCs w:val="16"/>
                <w:color w:val="auto"/>
              </w:rPr>
              <w:t>(35,390)</w:t>
            </w:r>
          </w:p>
        </w:tc>
        <w:tc>
          <w:tcPr>
            <w:tcW w:w="320" w:type="dxa"/>
            <w:vAlign w:val="bottom"/>
          </w:tcPr>
          <w:p>
            <w:pPr>
              <w:spacing w:after="0"/>
              <w:rPr>
                <w:sz w:val="23"/>
                <w:szCs w:val="23"/>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(32,654)</w:t>
            </w:r>
          </w:p>
        </w:tc>
        <w:tc>
          <w:tcPr>
            <w:tcW w:w="0" w:type="dxa"/>
            <w:vAlign w:val="bottom"/>
          </w:tcPr>
          <w:p>
            <w:pPr>
              <w:spacing w:after="0"/>
              <w:rPr>
                <w:sz w:val="1"/>
                <w:szCs w:val="1"/>
                <w:color w:val="auto"/>
              </w:rPr>
            </w:pPr>
          </w:p>
        </w:tc>
      </w:tr>
      <w:tr>
        <w:trPr>
          <w:trHeight w:val="283"/>
        </w:trPr>
        <w:tc>
          <w:tcPr>
            <w:tcW w:w="7780" w:type="dxa"/>
            <w:vAlign w:val="bottom"/>
          </w:tcPr>
          <w:p>
            <w:pPr>
              <w:ind w:left="180"/>
              <w:spacing w:after="0"/>
              <w:rPr>
                <w:sz w:val="20"/>
                <w:szCs w:val="20"/>
                <w:color w:val="auto"/>
              </w:rPr>
            </w:pPr>
            <w:r>
              <w:rPr>
                <w:rFonts w:ascii="Arial" w:cs="Arial" w:eastAsia="Arial" w:hAnsi="Arial"/>
                <w:sz w:val="16"/>
                <w:szCs w:val="16"/>
                <w:color w:val="auto"/>
              </w:rPr>
              <w:t>Other income (expense), net</w:t>
            </w:r>
          </w:p>
        </w:tc>
        <w:tc>
          <w:tcPr>
            <w:tcW w:w="22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b w:val="1"/>
                <w:bCs w:val="1"/>
                <w:color w:val="auto"/>
              </w:rPr>
              <w:t>4,241</w:t>
            </w:r>
          </w:p>
        </w:tc>
        <w:tc>
          <w:tcPr>
            <w:tcW w:w="28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(12,642)</w:t>
            </w:r>
          </w:p>
        </w:tc>
        <w:tc>
          <w:tcPr>
            <w:tcW w:w="32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(8,623)</w:t>
            </w:r>
          </w:p>
        </w:tc>
        <w:tc>
          <w:tcPr>
            <w:tcW w:w="0" w:type="dxa"/>
            <w:vAlign w:val="bottom"/>
          </w:tcPr>
          <w:p>
            <w:pPr>
              <w:spacing w:after="0"/>
              <w:rPr>
                <w:sz w:val="1"/>
                <w:szCs w:val="1"/>
                <w:color w:val="auto"/>
              </w:rPr>
            </w:pPr>
          </w:p>
        </w:tc>
      </w:tr>
      <w:tr>
        <w:trPr>
          <w:trHeight w:val="251"/>
        </w:trPr>
        <w:tc>
          <w:tcPr>
            <w:tcW w:w="7780" w:type="dxa"/>
            <w:vAlign w:val="bottom"/>
          </w:tcPr>
          <w:p>
            <w:pPr>
              <w:ind w:left="40"/>
              <w:spacing w:after="0"/>
              <w:rPr>
                <w:sz w:val="20"/>
                <w:szCs w:val="20"/>
                <w:color w:val="auto"/>
              </w:rPr>
            </w:pPr>
            <w:r>
              <w:rPr>
                <w:rFonts w:ascii="Arial" w:cs="Arial" w:eastAsia="Arial" w:hAnsi="Arial"/>
                <w:sz w:val="16"/>
                <w:szCs w:val="16"/>
                <w:b w:val="1"/>
                <w:bCs w:val="1"/>
                <w:color w:val="auto"/>
              </w:rPr>
              <w:t>Income (Loss) from Continuing Operations Before Income Taxes</w:t>
            </w:r>
          </w:p>
        </w:tc>
        <w:tc>
          <w:tcPr>
            <w:tcW w:w="220" w:type="dxa"/>
            <w:vAlign w:val="bottom"/>
          </w:tcPr>
          <w:p>
            <w:pPr>
              <w:spacing w:after="0"/>
              <w:rPr>
                <w:sz w:val="21"/>
                <w:szCs w:val="21"/>
                <w:color w:val="auto"/>
              </w:rPr>
            </w:pPr>
          </w:p>
        </w:tc>
        <w:tc>
          <w:tcPr>
            <w:tcW w:w="980" w:type="dxa"/>
            <w:vAlign w:val="bottom"/>
          </w:tcPr>
          <w:p>
            <w:pPr>
              <w:jc w:val="right"/>
              <w:ind w:right="79"/>
              <w:spacing w:after="0"/>
              <w:rPr>
                <w:sz w:val="20"/>
                <w:szCs w:val="20"/>
                <w:color w:val="auto"/>
              </w:rPr>
            </w:pPr>
            <w:r>
              <w:rPr>
                <w:rFonts w:ascii="Arial" w:cs="Arial" w:eastAsia="Arial" w:hAnsi="Arial"/>
                <w:sz w:val="16"/>
                <w:szCs w:val="16"/>
                <w:b w:val="1"/>
                <w:bCs w:val="1"/>
                <w:color w:val="auto"/>
              </w:rPr>
              <w:t>182,789</w:t>
            </w:r>
          </w:p>
        </w:tc>
        <w:tc>
          <w:tcPr>
            <w:tcW w:w="280" w:type="dxa"/>
            <w:vAlign w:val="bottom"/>
          </w:tcPr>
          <w:p>
            <w:pPr>
              <w:spacing w:after="0"/>
              <w:rPr>
                <w:sz w:val="21"/>
                <w:szCs w:val="21"/>
                <w:color w:val="auto"/>
              </w:rPr>
            </w:pPr>
          </w:p>
        </w:tc>
        <w:tc>
          <w:tcPr>
            <w:tcW w:w="960" w:type="dxa"/>
            <w:vAlign w:val="bottom"/>
          </w:tcPr>
          <w:p>
            <w:pPr>
              <w:jc w:val="right"/>
              <w:ind w:right="79"/>
              <w:spacing w:after="0"/>
              <w:rPr>
                <w:sz w:val="20"/>
                <w:szCs w:val="20"/>
                <w:color w:val="auto"/>
              </w:rPr>
            </w:pPr>
            <w:r>
              <w:rPr>
                <w:rFonts w:ascii="Arial" w:cs="Arial" w:eastAsia="Arial" w:hAnsi="Arial"/>
                <w:sz w:val="16"/>
                <w:szCs w:val="16"/>
                <w:color w:val="auto"/>
              </w:rPr>
              <w:t>250,658</w:t>
            </w:r>
          </w:p>
        </w:tc>
        <w:tc>
          <w:tcPr>
            <w:tcW w:w="32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(120,890)</w:t>
            </w:r>
          </w:p>
        </w:tc>
        <w:tc>
          <w:tcPr>
            <w:tcW w:w="0" w:type="dxa"/>
            <w:vAlign w:val="bottom"/>
          </w:tcPr>
          <w:p>
            <w:pPr>
              <w:spacing w:after="0"/>
              <w:rPr>
                <w:sz w:val="1"/>
                <w:szCs w:val="1"/>
                <w:color w:val="auto"/>
              </w:rPr>
            </w:pPr>
          </w:p>
        </w:tc>
      </w:tr>
      <w:tr>
        <w:trPr>
          <w:trHeight w:val="283"/>
        </w:trPr>
        <w:tc>
          <w:tcPr>
            <w:tcW w:w="7780" w:type="dxa"/>
            <w:vAlign w:val="bottom"/>
          </w:tcPr>
          <w:p>
            <w:pPr>
              <w:ind w:left="40"/>
              <w:spacing w:after="0"/>
              <w:rPr>
                <w:sz w:val="20"/>
                <w:szCs w:val="20"/>
                <w:color w:val="auto"/>
              </w:rPr>
            </w:pPr>
            <w:r>
              <w:rPr>
                <w:rFonts w:ascii="Arial" w:cs="Arial" w:eastAsia="Arial" w:hAnsi="Arial"/>
                <w:sz w:val="16"/>
                <w:szCs w:val="16"/>
                <w:b w:val="1"/>
                <w:bCs w:val="1"/>
                <w:color w:val="auto"/>
              </w:rPr>
              <w:t>(Benefit from) Provision for Income Taxes</w:t>
            </w:r>
          </w:p>
        </w:tc>
        <w:tc>
          <w:tcPr>
            <w:tcW w:w="22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b w:val="1"/>
                <w:bCs w:val="1"/>
                <w:color w:val="auto"/>
              </w:rPr>
              <w:t>(119,700)</w:t>
            </w:r>
          </w:p>
        </w:tc>
        <w:tc>
          <w:tcPr>
            <w:tcW w:w="28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81,200</w:t>
            </w:r>
          </w:p>
        </w:tc>
        <w:tc>
          <w:tcPr>
            <w:tcW w:w="32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20,500</w:t>
            </w:r>
          </w:p>
        </w:tc>
        <w:tc>
          <w:tcPr>
            <w:tcW w:w="0" w:type="dxa"/>
            <w:vAlign w:val="bottom"/>
          </w:tcPr>
          <w:p>
            <w:pPr>
              <w:spacing w:after="0"/>
              <w:rPr>
                <w:sz w:val="1"/>
                <w:szCs w:val="1"/>
                <w:color w:val="auto"/>
              </w:rPr>
            </w:pPr>
          </w:p>
        </w:tc>
      </w:tr>
      <w:tr>
        <w:trPr>
          <w:trHeight w:val="251"/>
        </w:trPr>
        <w:tc>
          <w:tcPr>
            <w:tcW w:w="7780" w:type="dxa"/>
            <w:vAlign w:val="bottom"/>
          </w:tcPr>
          <w:p>
            <w:pPr>
              <w:ind w:left="40"/>
              <w:spacing w:after="0"/>
              <w:rPr>
                <w:sz w:val="20"/>
                <w:szCs w:val="20"/>
                <w:color w:val="auto"/>
              </w:rPr>
            </w:pPr>
            <w:r>
              <w:rPr>
                <w:rFonts w:ascii="Arial" w:cs="Arial" w:eastAsia="Arial" w:hAnsi="Arial"/>
                <w:sz w:val="16"/>
                <w:szCs w:val="16"/>
                <w:b w:val="1"/>
                <w:bCs w:val="1"/>
                <w:color w:val="auto"/>
              </w:rPr>
              <w:t>Income (Loss) from Continuing Operations</w:t>
            </w:r>
          </w:p>
        </w:tc>
        <w:tc>
          <w:tcPr>
            <w:tcW w:w="220" w:type="dxa"/>
            <w:vAlign w:val="bottom"/>
          </w:tcPr>
          <w:p>
            <w:pPr>
              <w:spacing w:after="0"/>
              <w:rPr>
                <w:sz w:val="21"/>
                <w:szCs w:val="21"/>
                <w:color w:val="auto"/>
              </w:rPr>
            </w:pPr>
          </w:p>
        </w:tc>
        <w:tc>
          <w:tcPr>
            <w:tcW w:w="980" w:type="dxa"/>
            <w:vAlign w:val="bottom"/>
          </w:tcPr>
          <w:p>
            <w:pPr>
              <w:jc w:val="right"/>
              <w:ind w:right="79"/>
              <w:spacing w:after="0"/>
              <w:rPr>
                <w:sz w:val="20"/>
                <w:szCs w:val="20"/>
                <w:color w:val="auto"/>
              </w:rPr>
            </w:pPr>
            <w:r>
              <w:rPr>
                <w:rFonts w:ascii="Arial" w:cs="Arial" w:eastAsia="Arial" w:hAnsi="Arial"/>
                <w:sz w:val="16"/>
                <w:szCs w:val="16"/>
                <w:b w:val="1"/>
                <w:bCs w:val="1"/>
                <w:color w:val="auto"/>
              </w:rPr>
              <w:t>302,489</w:t>
            </w:r>
          </w:p>
        </w:tc>
        <w:tc>
          <w:tcPr>
            <w:tcW w:w="280" w:type="dxa"/>
            <w:vAlign w:val="bottom"/>
          </w:tcPr>
          <w:p>
            <w:pPr>
              <w:spacing w:after="0"/>
              <w:rPr>
                <w:sz w:val="21"/>
                <w:szCs w:val="21"/>
                <w:color w:val="auto"/>
              </w:rPr>
            </w:pPr>
          </w:p>
        </w:tc>
        <w:tc>
          <w:tcPr>
            <w:tcW w:w="960" w:type="dxa"/>
            <w:vAlign w:val="bottom"/>
          </w:tcPr>
          <w:p>
            <w:pPr>
              <w:jc w:val="right"/>
              <w:ind w:right="79"/>
              <w:spacing w:after="0"/>
              <w:rPr>
                <w:sz w:val="20"/>
                <w:szCs w:val="20"/>
                <w:color w:val="auto"/>
              </w:rPr>
            </w:pPr>
            <w:r>
              <w:rPr>
                <w:rFonts w:ascii="Arial" w:cs="Arial" w:eastAsia="Arial" w:hAnsi="Arial"/>
                <w:sz w:val="16"/>
                <w:szCs w:val="16"/>
                <w:color w:val="auto"/>
              </w:rPr>
              <w:t>169,458</w:t>
            </w:r>
          </w:p>
        </w:tc>
        <w:tc>
          <w:tcPr>
            <w:tcW w:w="32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(141,390)</w:t>
            </w:r>
          </w:p>
        </w:tc>
        <w:tc>
          <w:tcPr>
            <w:tcW w:w="0" w:type="dxa"/>
            <w:vAlign w:val="bottom"/>
          </w:tcPr>
          <w:p>
            <w:pPr>
              <w:spacing w:after="0"/>
              <w:rPr>
                <w:sz w:val="1"/>
                <w:szCs w:val="1"/>
                <w:color w:val="auto"/>
              </w:rPr>
            </w:pPr>
          </w:p>
        </w:tc>
      </w:tr>
      <w:tr>
        <w:trPr>
          <w:trHeight w:val="283"/>
        </w:trPr>
        <w:tc>
          <w:tcPr>
            <w:tcW w:w="7780" w:type="dxa"/>
            <w:vAlign w:val="bottom"/>
          </w:tcPr>
          <w:p>
            <w:pPr>
              <w:ind w:left="40"/>
              <w:spacing w:after="0"/>
              <w:rPr>
                <w:sz w:val="20"/>
                <w:szCs w:val="20"/>
                <w:color w:val="auto"/>
              </w:rPr>
            </w:pPr>
            <w:r>
              <w:rPr>
                <w:rFonts w:ascii="Arial" w:cs="Arial" w:eastAsia="Arial" w:hAnsi="Arial"/>
                <w:sz w:val="16"/>
                <w:szCs w:val="16"/>
                <w:b w:val="1"/>
                <w:bCs w:val="1"/>
                <w:color w:val="auto"/>
              </w:rPr>
              <w:t>Income from Discontinued Operations, Net of Tax</w:t>
            </w:r>
          </w:p>
        </w:tc>
        <w:tc>
          <w:tcPr>
            <w:tcW w:w="22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b w:val="1"/>
                <w:bCs w:val="1"/>
                <w:color w:val="auto"/>
              </w:rPr>
              <w:t>—</w:t>
            </w:r>
          </w:p>
        </w:tc>
        <w:tc>
          <w:tcPr>
            <w:tcW w:w="28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w:t>
            </w:r>
          </w:p>
        </w:tc>
        <w:tc>
          <w:tcPr>
            <w:tcW w:w="32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42,170</w:t>
            </w:r>
          </w:p>
        </w:tc>
        <w:tc>
          <w:tcPr>
            <w:tcW w:w="0" w:type="dxa"/>
            <w:vAlign w:val="bottom"/>
          </w:tcPr>
          <w:p>
            <w:pPr>
              <w:spacing w:after="0"/>
              <w:rPr>
                <w:sz w:val="1"/>
                <w:szCs w:val="1"/>
                <w:color w:val="auto"/>
              </w:rPr>
            </w:pPr>
          </w:p>
        </w:tc>
      </w:tr>
      <w:tr>
        <w:trPr>
          <w:trHeight w:val="251"/>
        </w:trPr>
        <w:tc>
          <w:tcPr>
            <w:tcW w:w="7780" w:type="dxa"/>
            <w:vAlign w:val="bottom"/>
          </w:tcPr>
          <w:p>
            <w:pPr>
              <w:ind w:left="40"/>
              <w:spacing w:after="0"/>
              <w:rPr>
                <w:sz w:val="20"/>
                <w:szCs w:val="20"/>
                <w:color w:val="auto"/>
              </w:rPr>
            </w:pPr>
            <w:r>
              <w:rPr>
                <w:rFonts w:ascii="Arial" w:cs="Arial" w:eastAsia="Arial" w:hAnsi="Arial"/>
                <w:sz w:val="16"/>
                <w:szCs w:val="16"/>
                <w:b w:val="1"/>
                <w:bCs w:val="1"/>
                <w:color w:val="auto"/>
              </w:rPr>
              <w:t>Net Income (Loss)</w:t>
            </w:r>
          </w:p>
        </w:tc>
        <w:tc>
          <w:tcPr>
            <w:tcW w:w="220" w:type="dxa"/>
            <w:vAlign w:val="bottom"/>
          </w:tcPr>
          <w:p>
            <w:pPr>
              <w:spacing w:after="0"/>
              <w:rPr>
                <w:sz w:val="21"/>
                <w:szCs w:val="21"/>
                <w:color w:val="auto"/>
              </w:rPr>
            </w:pPr>
          </w:p>
        </w:tc>
        <w:tc>
          <w:tcPr>
            <w:tcW w:w="980" w:type="dxa"/>
            <w:vAlign w:val="bottom"/>
          </w:tcPr>
          <w:p>
            <w:pPr>
              <w:jc w:val="right"/>
              <w:ind w:right="79"/>
              <w:spacing w:after="0"/>
              <w:rPr>
                <w:sz w:val="20"/>
                <w:szCs w:val="20"/>
                <w:color w:val="auto"/>
              </w:rPr>
            </w:pPr>
            <w:r>
              <w:rPr>
                <w:rFonts w:ascii="Arial" w:cs="Arial" w:eastAsia="Arial" w:hAnsi="Arial"/>
                <w:sz w:val="16"/>
                <w:szCs w:val="16"/>
                <w:b w:val="1"/>
                <w:bCs w:val="1"/>
                <w:color w:val="auto"/>
              </w:rPr>
              <w:t>302,489</w:t>
            </w:r>
          </w:p>
        </w:tc>
        <w:tc>
          <w:tcPr>
            <w:tcW w:w="280" w:type="dxa"/>
            <w:vAlign w:val="bottom"/>
          </w:tcPr>
          <w:p>
            <w:pPr>
              <w:spacing w:after="0"/>
              <w:rPr>
                <w:sz w:val="21"/>
                <w:szCs w:val="21"/>
                <w:color w:val="auto"/>
              </w:rPr>
            </w:pPr>
          </w:p>
        </w:tc>
        <w:tc>
          <w:tcPr>
            <w:tcW w:w="960" w:type="dxa"/>
            <w:vAlign w:val="bottom"/>
          </w:tcPr>
          <w:p>
            <w:pPr>
              <w:jc w:val="right"/>
              <w:ind w:right="79"/>
              <w:spacing w:after="0"/>
              <w:rPr>
                <w:sz w:val="20"/>
                <w:szCs w:val="20"/>
                <w:color w:val="auto"/>
              </w:rPr>
            </w:pPr>
            <w:r>
              <w:rPr>
                <w:rFonts w:ascii="Arial" w:cs="Arial" w:eastAsia="Arial" w:hAnsi="Arial"/>
                <w:sz w:val="16"/>
                <w:szCs w:val="16"/>
                <w:color w:val="auto"/>
              </w:rPr>
              <w:t>169,458</w:t>
            </w:r>
          </w:p>
        </w:tc>
        <w:tc>
          <w:tcPr>
            <w:tcW w:w="32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(99,220)</w:t>
            </w:r>
          </w:p>
        </w:tc>
        <w:tc>
          <w:tcPr>
            <w:tcW w:w="0" w:type="dxa"/>
            <w:vAlign w:val="bottom"/>
          </w:tcPr>
          <w:p>
            <w:pPr>
              <w:spacing w:after="0"/>
              <w:rPr>
                <w:sz w:val="1"/>
                <w:szCs w:val="1"/>
                <w:color w:val="auto"/>
              </w:rPr>
            </w:pPr>
          </w:p>
        </w:tc>
      </w:tr>
      <w:tr>
        <w:trPr>
          <w:trHeight w:val="283"/>
        </w:trPr>
        <w:tc>
          <w:tcPr>
            <w:tcW w:w="7780" w:type="dxa"/>
            <w:vAlign w:val="bottom"/>
          </w:tcPr>
          <w:p>
            <w:pPr>
              <w:ind w:left="40"/>
              <w:spacing w:after="0"/>
              <w:rPr>
                <w:sz w:val="20"/>
                <w:szCs w:val="20"/>
                <w:color w:val="auto"/>
              </w:rPr>
            </w:pPr>
            <w:r>
              <w:rPr>
                <w:rFonts w:ascii="Arial" w:cs="Arial" w:eastAsia="Arial" w:hAnsi="Arial"/>
                <w:sz w:val="16"/>
                <w:szCs w:val="16"/>
                <w:b w:val="1"/>
                <w:bCs w:val="1"/>
                <w:color w:val="auto"/>
              </w:rPr>
              <w:t>Net Income Attributable to Noncontrolling Interests</w:t>
            </w:r>
          </w:p>
        </w:tc>
        <w:tc>
          <w:tcPr>
            <w:tcW w:w="22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b w:val="1"/>
                <w:bCs w:val="1"/>
                <w:color w:val="auto"/>
              </w:rPr>
              <w:t>(445)</w:t>
            </w:r>
          </w:p>
        </w:tc>
        <w:tc>
          <w:tcPr>
            <w:tcW w:w="28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(868)</w:t>
            </w:r>
          </w:p>
        </w:tc>
        <w:tc>
          <w:tcPr>
            <w:tcW w:w="32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(1,435)</w:t>
            </w:r>
          </w:p>
        </w:tc>
        <w:tc>
          <w:tcPr>
            <w:tcW w:w="0" w:type="dxa"/>
            <w:vAlign w:val="bottom"/>
          </w:tcPr>
          <w:p>
            <w:pPr>
              <w:spacing w:after="0"/>
              <w:rPr>
                <w:sz w:val="1"/>
                <w:szCs w:val="1"/>
                <w:color w:val="auto"/>
              </w:rPr>
            </w:pPr>
          </w:p>
        </w:tc>
      </w:tr>
      <w:tr>
        <w:trPr>
          <w:trHeight w:val="251"/>
        </w:trPr>
        <w:tc>
          <w:tcPr>
            <w:tcW w:w="7780" w:type="dxa"/>
            <w:vAlign w:val="bottom"/>
          </w:tcPr>
          <w:p>
            <w:pPr>
              <w:ind w:left="40"/>
              <w:spacing w:after="0"/>
              <w:rPr>
                <w:sz w:val="20"/>
                <w:szCs w:val="20"/>
                <w:color w:val="auto"/>
              </w:rPr>
            </w:pPr>
            <w:r>
              <w:rPr>
                <w:rFonts w:ascii="Arial" w:cs="Arial" w:eastAsia="Arial" w:hAnsi="Arial"/>
                <w:sz w:val="16"/>
                <w:szCs w:val="16"/>
                <w:b w:val="1"/>
                <w:bCs w:val="1"/>
                <w:color w:val="auto"/>
              </w:rPr>
              <w:t>Net Income (Loss) Attributable to Graham Holdings Company</w:t>
            </w:r>
          </w:p>
        </w:tc>
        <w:tc>
          <w:tcPr>
            <w:tcW w:w="220" w:type="dxa"/>
            <w:vAlign w:val="bottom"/>
          </w:tcPr>
          <w:p>
            <w:pPr>
              <w:spacing w:after="0"/>
              <w:rPr>
                <w:sz w:val="21"/>
                <w:szCs w:val="21"/>
                <w:color w:val="auto"/>
              </w:rPr>
            </w:pPr>
          </w:p>
        </w:tc>
        <w:tc>
          <w:tcPr>
            <w:tcW w:w="980" w:type="dxa"/>
            <w:vAlign w:val="bottom"/>
          </w:tcPr>
          <w:p>
            <w:pPr>
              <w:jc w:val="right"/>
              <w:ind w:right="79"/>
              <w:spacing w:after="0"/>
              <w:rPr>
                <w:sz w:val="20"/>
                <w:szCs w:val="20"/>
                <w:color w:val="auto"/>
              </w:rPr>
            </w:pPr>
            <w:r>
              <w:rPr>
                <w:rFonts w:ascii="Arial" w:cs="Arial" w:eastAsia="Arial" w:hAnsi="Arial"/>
                <w:sz w:val="16"/>
                <w:szCs w:val="16"/>
                <w:b w:val="1"/>
                <w:bCs w:val="1"/>
                <w:color w:val="auto"/>
              </w:rPr>
              <w:t>302,044</w:t>
            </w:r>
          </w:p>
        </w:tc>
        <w:tc>
          <w:tcPr>
            <w:tcW w:w="280" w:type="dxa"/>
            <w:vAlign w:val="bottom"/>
          </w:tcPr>
          <w:p>
            <w:pPr>
              <w:spacing w:after="0"/>
              <w:rPr>
                <w:sz w:val="21"/>
                <w:szCs w:val="21"/>
                <w:color w:val="auto"/>
              </w:rPr>
            </w:pPr>
          </w:p>
        </w:tc>
        <w:tc>
          <w:tcPr>
            <w:tcW w:w="960" w:type="dxa"/>
            <w:vAlign w:val="bottom"/>
          </w:tcPr>
          <w:p>
            <w:pPr>
              <w:jc w:val="right"/>
              <w:ind w:right="79"/>
              <w:spacing w:after="0"/>
              <w:rPr>
                <w:sz w:val="20"/>
                <w:szCs w:val="20"/>
                <w:color w:val="auto"/>
              </w:rPr>
            </w:pPr>
            <w:r>
              <w:rPr>
                <w:rFonts w:ascii="Arial" w:cs="Arial" w:eastAsia="Arial" w:hAnsi="Arial"/>
                <w:sz w:val="16"/>
                <w:szCs w:val="16"/>
                <w:color w:val="auto"/>
              </w:rPr>
              <w:t>168,590</w:t>
            </w:r>
          </w:p>
        </w:tc>
        <w:tc>
          <w:tcPr>
            <w:tcW w:w="32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(100,655)</w:t>
            </w:r>
          </w:p>
        </w:tc>
        <w:tc>
          <w:tcPr>
            <w:tcW w:w="0" w:type="dxa"/>
            <w:vAlign w:val="bottom"/>
          </w:tcPr>
          <w:p>
            <w:pPr>
              <w:spacing w:after="0"/>
              <w:rPr>
                <w:sz w:val="1"/>
                <w:szCs w:val="1"/>
                <w:color w:val="auto"/>
              </w:rPr>
            </w:pPr>
          </w:p>
        </w:tc>
      </w:tr>
      <w:tr>
        <w:trPr>
          <w:trHeight w:val="283"/>
        </w:trPr>
        <w:tc>
          <w:tcPr>
            <w:tcW w:w="7780" w:type="dxa"/>
            <w:vAlign w:val="bottom"/>
          </w:tcPr>
          <w:p>
            <w:pPr>
              <w:ind w:left="40"/>
              <w:spacing w:after="0"/>
              <w:rPr>
                <w:sz w:val="20"/>
                <w:szCs w:val="20"/>
                <w:color w:val="auto"/>
              </w:rPr>
            </w:pPr>
            <w:r>
              <w:rPr>
                <w:rFonts w:ascii="Arial" w:cs="Arial" w:eastAsia="Arial" w:hAnsi="Arial"/>
                <w:sz w:val="16"/>
                <w:szCs w:val="16"/>
                <w:b w:val="1"/>
                <w:bCs w:val="1"/>
                <w:color w:val="auto"/>
              </w:rPr>
              <w:t>Redeemable Preferred Stock Dividends</w:t>
            </w:r>
          </w:p>
        </w:tc>
        <w:tc>
          <w:tcPr>
            <w:tcW w:w="22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b w:val="1"/>
                <w:bCs w:val="1"/>
                <w:color w:val="auto"/>
              </w:rPr>
              <w:t>—</w:t>
            </w:r>
          </w:p>
        </w:tc>
        <w:tc>
          <w:tcPr>
            <w:tcW w:w="28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w:t>
            </w:r>
          </w:p>
        </w:tc>
        <w:tc>
          <w:tcPr>
            <w:tcW w:w="32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(631)</w:t>
            </w:r>
          </w:p>
        </w:tc>
        <w:tc>
          <w:tcPr>
            <w:tcW w:w="0" w:type="dxa"/>
            <w:vAlign w:val="bottom"/>
          </w:tcPr>
          <w:p>
            <w:pPr>
              <w:spacing w:after="0"/>
              <w:rPr>
                <w:sz w:val="1"/>
                <w:szCs w:val="1"/>
                <w:color w:val="auto"/>
              </w:rPr>
            </w:pPr>
          </w:p>
        </w:tc>
      </w:tr>
      <w:tr>
        <w:trPr>
          <w:trHeight w:val="264"/>
        </w:trPr>
        <w:tc>
          <w:tcPr>
            <w:tcW w:w="7780" w:type="dxa"/>
            <w:vAlign w:val="bottom"/>
          </w:tcPr>
          <w:p>
            <w:pPr>
              <w:ind w:left="40"/>
              <w:spacing w:after="0"/>
              <w:rPr>
                <w:sz w:val="20"/>
                <w:szCs w:val="20"/>
                <w:color w:val="auto"/>
              </w:rPr>
            </w:pPr>
            <w:r>
              <w:rPr>
                <w:rFonts w:ascii="Arial" w:cs="Arial" w:eastAsia="Arial" w:hAnsi="Arial"/>
                <w:sz w:val="16"/>
                <w:szCs w:val="16"/>
                <w:b w:val="1"/>
                <w:bCs w:val="1"/>
                <w:color w:val="auto"/>
              </w:rPr>
              <w:t>Net Income (Loss) Attributable to Graham Holdings Company Common Stockholders</w:t>
            </w:r>
          </w:p>
        </w:tc>
        <w:tc>
          <w:tcPr>
            <w:tcW w:w="2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b w:val="1"/>
                <w:bCs w:val="1"/>
                <w:color w:val="auto"/>
              </w:rPr>
              <w:t>$</w:t>
            </w:r>
          </w:p>
        </w:tc>
        <w:tc>
          <w:tcPr>
            <w:tcW w:w="98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b w:val="1"/>
                <w:bCs w:val="1"/>
                <w:color w:val="auto"/>
              </w:rPr>
              <w:t>302,044</w:t>
            </w:r>
          </w:p>
        </w:tc>
        <w:tc>
          <w:tcPr>
            <w:tcW w:w="28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w:t>
            </w:r>
          </w:p>
        </w:tc>
        <w:tc>
          <w:tcPr>
            <w:tcW w:w="96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168,590</w:t>
            </w:r>
          </w:p>
        </w:tc>
        <w:tc>
          <w:tcPr>
            <w:tcW w:w="32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(101,286)</w:t>
            </w:r>
          </w:p>
        </w:tc>
        <w:tc>
          <w:tcPr>
            <w:tcW w:w="0" w:type="dxa"/>
            <w:vAlign w:val="bottom"/>
          </w:tcPr>
          <w:p>
            <w:pPr>
              <w:spacing w:after="0"/>
              <w:rPr>
                <w:sz w:val="1"/>
                <w:szCs w:val="1"/>
                <w:color w:val="auto"/>
              </w:rPr>
            </w:pPr>
          </w:p>
        </w:tc>
      </w:tr>
      <w:tr>
        <w:trPr>
          <w:trHeight w:val="20"/>
        </w:trPr>
        <w:tc>
          <w:tcPr>
            <w:tcW w:w="7780" w:type="dxa"/>
            <w:vAlign w:val="bottom"/>
            <w:vMerge w:val="restart"/>
          </w:tcPr>
          <w:p>
            <w:pPr>
              <w:ind w:left="40"/>
              <w:spacing w:after="0"/>
              <w:rPr>
                <w:sz w:val="20"/>
                <w:szCs w:val="20"/>
                <w:color w:val="auto"/>
              </w:rPr>
            </w:pPr>
            <w:r>
              <w:rPr>
                <w:rFonts w:ascii="Arial" w:cs="Arial" w:eastAsia="Arial" w:hAnsi="Arial"/>
                <w:sz w:val="16"/>
                <w:szCs w:val="16"/>
                <w:b w:val="1"/>
                <w:bCs w:val="1"/>
                <w:color w:val="auto"/>
              </w:rPr>
              <w:t>Amounts Attributable to Graham Holdings Company Common Stockholders</w:t>
            </w:r>
          </w:p>
        </w:tc>
        <w:tc>
          <w:tcPr>
            <w:tcW w:w="2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7780" w:type="dxa"/>
            <w:vAlign w:val="bottom"/>
            <w:vMerge w:val="continue"/>
          </w:tcPr>
          <w:p>
            <w:pPr>
              <w:spacing w:after="0"/>
              <w:rPr>
                <w:sz w:val="20"/>
                <w:szCs w:val="20"/>
                <w:color w:val="auto"/>
              </w:rPr>
            </w:pPr>
          </w:p>
        </w:tc>
        <w:tc>
          <w:tcPr>
            <w:tcW w:w="22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0"/>
        </w:trPr>
        <w:tc>
          <w:tcPr>
            <w:tcW w:w="7780" w:type="dxa"/>
            <w:vAlign w:val="bottom"/>
          </w:tcPr>
          <w:p>
            <w:pPr>
              <w:ind w:left="40"/>
              <w:spacing w:after="0"/>
              <w:rPr>
                <w:sz w:val="20"/>
                <w:szCs w:val="20"/>
                <w:color w:val="auto"/>
              </w:rPr>
            </w:pPr>
            <w:r>
              <w:rPr>
                <w:rFonts w:ascii="Arial" w:cs="Arial" w:eastAsia="Arial" w:hAnsi="Arial"/>
                <w:sz w:val="16"/>
                <w:szCs w:val="16"/>
                <w:color w:val="auto"/>
              </w:rPr>
              <w:t>Income (loss) from continuing operations</w:t>
            </w:r>
          </w:p>
        </w:tc>
        <w:tc>
          <w:tcPr>
            <w:tcW w:w="220" w:type="dxa"/>
            <w:vAlign w:val="bottom"/>
          </w:tcPr>
          <w:p>
            <w:pPr>
              <w:jc w:val="right"/>
              <w:ind w:right="19"/>
              <w:spacing w:after="0"/>
              <w:rPr>
                <w:sz w:val="20"/>
                <w:szCs w:val="20"/>
                <w:color w:val="auto"/>
              </w:rPr>
            </w:pPr>
            <w:r>
              <w:rPr>
                <w:rFonts w:ascii="Arial" w:cs="Arial" w:eastAsia="Arial" w:hAnsi="Arial"/>
                <w:sz w:val="16"/>
                <w:szCs w:val="16"/>
                <w:b w:val="1"/>
                <w:bCs w:val="1"/>
                <w:color w:val="auto"/>
              </w:rPr>
              <w:t>$</w:t>
            </w:r>
          </w:p>
        </w:tc>
        <w:tc>
          <w:tcPr>
            <w:tcW w:w="980" w:type="dxa"/>
            <w:vAlign w:val="bottom"/>
          </w:tcPr>
          <w:p>
            <w:pPr>
              <w:jc w:val="right"/>
              <w:ind w:right="79"/>
              <w:spacing w:after="0"/>
              <w:rPr>
                <w:sz w:val="20"/>
                <w:szCs w:val="20"/>
                <w:color w:val="auto"/>
              </w:rPr>
            </w:pPr>
            <w:r>
              <w:rPr>
                <w:rFonts w:ascii="Arial" w:cs="Arial" w:eastAsia="Arial" w:hAnsi="Arial"/>
                <w:sz w:val="16"/>
                <w:szCs w:val="16"/>
                <w:b w:val="1"/>
                <w:bCs w:val="1"/>
                <w:color w:val="auto"/>
              </w:rPr>
              <w:t>302,044</w:t>
            </w:r>
          </w:p>
        </w:tc>
        <w:tc>
          <w:tcPr>
            <w:tcW w:w="28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960" w:type="dxa"/>
            <w:vAlign w:val="bottom"/>
          </w:tcPr>
          <w:p>
            <w:pPr>
              <w:jc w:val="right"/>
              <w:ind w:right="79"/>
              <w:spacing w:after="0"/>
              <w:rPr>
                <w:sz w:val="20"/>
                <w:szCs w:val="20"/>
                <w:color w:val="auto"/>
              </w:rPr>
            </w:pPr>
            <w:r>
              <w:rPr>
                <w:rFonts w:ascii="Arial" w:cs="Arial" w:eastAsia="Arial" w:hAnsi="Arial"/>
                <w:sz w:val="16"/>
                <w:szCs w:val="16"/>
                <w:color w:val="auto"/>
              </w:rPr>
              <w:t>168,590</w:t>
            </w:r>
          </w:p>
        </w:tc>
        <w:tc>
          <w:tcPr>
            <w:tcW w:w="32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880" w:type="dxa"/>
            <w:vAlign w:val="bottom"/>
          </w:tcPr>
          <w:p>
            <w:pPr>
              <w:jc w:val="right"/>
              <w:spacing w:after="0"/>
              <w:rPr>
                <w:sz w:val="20"/>
                <w:szCs w:val="20"/>
                <w:color w:val="auto"/>
              </w:rPr>
            </w:pPr>
            <w:r>
              <w:rPr>
                <w:rFonts w:ascii="Arial" w:cs="Arial" w:eastAsia="Arial" w:hAnsi="Arial"/>
                <w:sz w:val="16"/>
                <w:szCs w:val="16"/>
                <w:color w:val="auto"/>
              </w:rPr>
              <w:t>(143,456)</w:t>
            </w:r>
          </w:p>
        </w:tc>
        <w:tc>
          <w:tcPr>
            <w:tcW w:w="0" w:type="dxa"/>
            <w:vAlign w:val="bottom"/>
          </w:tcPr>
          <w:p>
            <w:pPr>
              <w:spacing w:after="0"/>
              <w:rPr>
                <w:sz w:val="1"/>
                <w:szCs w:val="1"/>
                <w:color w:val="auto"/>
              </w:rPr>
            </w:pPr>
          </w:p>
        </w:tc>
      </w:tr>
      <w:tr>
        <w:trPr>
          <w:trHeight w:val="283"/>
        </w:trPr>
        <w:tc>
          <w:tcPr>
            <w:tcW w:w="7780" w:type="dxa"/>
            <w:vAlign w:val="bottom"/>
          </w:tcPr>
          <w:p>
            <w:pPr>
              <w:ind w:left="40"/>
              <w:spacing w:after="0"/>
              <w:rPr>
                <w:sz w:val="20"/>
                <w:szCs w:val="20"/>
                <w:color w:val="auto"/>
              </w:rPr>
            </w:pPr>
            <w:r>
              <w:rPr>
                <w:rFonts w:ascii="Arial" w:cs="Arial" w:eastAsia="Arial" w:hAnsi="Arial"/>
                <w:sz w:val="16"/>
                <w:szCs w:val="16"/>
                <w:color w:val="auto"/>
              </w:rPr>
              <w:t>Income from discontinued operations, net of tax</w:t>
            </w:r>
          </w:p>
        </w:tc>
        <w:tc>
          <w:tcPr>
            <w:tcW w:w="22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b w:val="1"/>
                <w:bCs w:val="1"/>
                <w:color w:val="auto"/>
              </w:rPr>
              <w:t>—</w:t>
            </w:r>
          </w:p>
        </w:tc>
        <w:tc>
          <w:tcPr>
            <w:tcW w:w="28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w:t>
            </w:r>
          </w:p>
        </w:tc>
        <w:tc>
          <w:tcPr>
            <w:tcW w:w="32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42,170</w:t>
            </w:r>
          </w:p>
        </w:tc>
        <w:tc>
          <w:tcPr>
            <w:tcW w:w="0" w:type="dxa"/>
            <w:vAlign w:val="bottom"/>
          </w:tcPr>
          <w:p>
            <w:pPr>
              <w:spacing w:after="0"/>
              <w:rPr>
                <w:sz w:val="1"/>
                <w:szCs w:val="1"/>
                <w:color w:val="auto"/>
              </w:rPr>
            </w:pPr>
          </w:p>
        </w:tc>
      </w:tr>
      <w:tr>
        <w:trPr>
          <w:trHeight w:val="264"/>
        </w:trPr>
        <w:tc>
          <w:tcPr>
            <w:tcW w:w="7780" w:type="dxa"/>
            <w:vAlign w:val="bottom"/>
          </w:tcPr>
          <w:p>
            <w:pPr>
              <w:ind w:left="40"/>
              <w:spacing w:after="0"/>
              <w:rPr>
                <w:sz w:val="20"/>
                <w:szCs w:val="20"/>
                <w:color w:val="auto"/>
              </w:rPr>
            </w:pPr>
            <w:r>
              <w:rPr>
                <w:rFonts w:ascii="Arial" w:cs="Arial" w:eastAsia="Arial" w:hAnsi="Arial"/>
                <w:sz w:val="16"/>
                <w:szCs w:val="16"/>
                <w:color w:val="auto"/>
              </w:rPr>
              <w:t>Net income (loss) attributable to Graham Holdings Company common stockholders</w:t>
            </w:r>
          </w:p>
        </w:tc>
        <w:tc>
          <w:tcPr>
            <w:tcW w:w="2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b w:val="1"/>
                <w:bCs w:val="1"/>
                <w:color w:val="auto"/>
              </w:rPr>
              <w:t>$</w:t>
            </w:r>
          </w:p>
        </w:tc>
        <w:tc>
          <w:tcPr>
            <w:tcW w:w="98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b w:val="1"/>
                <w:bCs w:val="1"/>
                <w:color w:val="auto"/>
              </w:rPr>
              <w:t>302,044</w:t>
            </w:r>
          </w:p>
        </w:tc>
        <w:tc>
          <w:tcPr>
            <w:tcW w:w="28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w:t>
            </w:r>
          </w:p>
        </w:tc>
        <w:tc>
          <w:tcPr>
            <w:tcW w:w="96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168,590</w:t>
            </w:r>
          </w:p>
        </w:tc>
        <w:tc>
          <w:tcPr>
            <w:tcW w:w="32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(101,286)</w:t>
            </w:r>
          </w:p>
        </w:tc>
        <w:tc>
          <w:tcPr>
            <w:tcW w:w="0" w:type="dxa"/>
            <w:vAlign w:val="bottom"/>
          </w:tcPr>
          <w:p>
            <w:pPr>
              <w:spacing w:after="0"/>
              <w:rPr>
                <w:sz w:val="1"/>
                <w:szCs w:val="1"/>
                <w:color w:val="auto"/>
              </w:rPr>
            </w:pPr>
          </w:p>
        </w:tc>
      </w:tr>
      <w:tr>
        <w:trPr>
          <w:trHeight w:val="20"/>
        </w:trPr>
        <w:tc>
          <w:tcPr>
            <w:tcW w:w="7780" w:type="dxa"/>
            <w:vAlign w:val="bottom"/>
            <w:vMerge w:val="restart"/>
          </w:tcPr>
          <w:p>
            <w:pPr>
              <w:ind w:left="40"/>
              <w:spacing w:after="0"/>
              <w:rPr>
                <w:sz w:val="20"/>
                <w:szCs w:val="20"/>
                <w:color w:val="auto"/>
              </w:rPr>
            </w:pPr>
            <w:r>
              <w:rPr>
                <w:rFonts w:ascii="Arial" w:cs="Arial" w:eastAsia="Arial" w:hAnsi="Arial"/>
                <w:sz w:val="16"/>
                <w:szCs w:val="16"/>
                <w:b w:val="1"/>
                <w:bCs w:val="1"/>
                <w:color w:val="auto"/>
              </w:rPr>
              <w:t>Per Share Information Attributable to Graham Holdings Company Common Stockholders</w:t>
            </w:r>
          </w:p>
        </w:tc>
        <w:tc>
          <w:tcPr>
            <w:tcW w:w="2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7780" w:type="dxa"/>
            <w:vAlign w:val="bottom"/>
            <w:vMerge w:val="continue"/>
          </w:tcPr>
          <w:p>
            <w:pPr>
              <w:spacing w:after="0"/>
              <w:rPr>
                <w:sz w:val="20"/>
                <w:szCs w:val="20"/>
                <w:color w:val="auto"/>
              </w:rPr>
            </w:pPr>
          </w:p>
        </w:tc>
        <w:tc>
          <w:tcPr>
            <w:tcW w:w="22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0"/>
        </w:trPr>
        <w:tc>
          <w:tcPr>
            <w:tcW w:w="7780" w:type="dxa"/>
            <w:vAlign w:val="bottom"/>
          </w:tcPr>
          <w:p>
            <w:pPr>
              <w:ind w:left="40"/>
              <w:spacing w:after="0"/>
              <w:rPr>
                <w:sz w:val="20"/>
                <w:szCs w:val="20"/>
                <w:color w:val="auto"/>
              </w:rPr>
            </w:pPr>
            <w:r>
              <w:rPr>
                <w:rFonts w:ascii="Arial" w:cs="Arial" w:eastAsia="Arial" w:hAnsi="Arial"/>
                <w:sz w:val="16"/>
                <w:szCs w:val="16"/>
                <w:color w:val="auto"/>
              </w:rPr>
              <w:t>Basic income (loss) per common share from continuing operations</w:t>
            </w:r>
          </w:p>
        </w:tc>
        <w:tc>
          <w:tcPr>
            <w:tcW w:w="220" w:type="dxa"/>
            <w:vAlign w:val="bottom"/>
          </w:tcPr>
          <w:p>
            <w:pPr>
              <w:jc w:val="right"/>
              <w:ind w:right="19"/>
              <w:spacing w:after="0"/>
              <w:rPr>
                <w:sz w:val="20"/>
                <w:szCs w:val="20"/>
                <w:color w:val="auto"/>
              </w:rPr>
            </w:pPr>
            <w:r>
              <w:rPr>
                <w:rFonts w:ascii="Arial" w:cs="Arial" w:eastAsia="Arial" w:hAnsi="Arial"/>
                <w:sz w:val="16"/>
                <w:szCs w:val="16"/>
                <w:b w:val="1"/>
                <w:bCs w:val="1"/>
                <w:color w:val="auto"/>
              </w:rPr>
              <w:t>$</w:t>
            </w:r>
          </w:p>
        </w:tc>
        <w:tc>
          <w:tcPr>
            <w:tcW w:w="980" w:type="dxa"/>
            <w:vAlign w:val="bottom"/>
          </w:tcPr>
          <w:p>
            <w:pPr>
              <w:jc w:val="right"/>
              <w:ind w:right="79"/>
              <w:spacing w:after="0"/>
              <w:rPr>
                <w:sz w:val="20"/>
                <w:szCs w:val="20"/>
                <w:color w:val="auto"/>
              </w:rPr>
            </w:pPr>
            <w:r>
              <w:rPr>
                <w:rFonts w:ascii="Arial" w:cs="Arial" w:eastAsia="Arial" w:hAnsi="Arial"/>
                <w:sz w:val="16"/>
                <w:szCs w:val="16"/>
                <w:b w:val="1"/>
                <w:bCs w:val="1"/>
                <w:color w:val="auto"/>
              </w:rPr>
              <w:t>54.24</w:t>
            </w:r>
          </w:p>
        </w:tc>
        <w:tc>
          <w:tcPr>
            <w:tcW w:w="28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960" w:type="dxa"/>
            <w:vAlign w:val="bottom"/>
          </w:tcPr>
          <w:p>
            <w:pPr>
              <w:jc w:val="right"/>
              <w:ind w:right="79"/>
              <w:spacing w:after="0"/>
              <w:rPr>
                <w:sz w:val="20"/>
                <w:szCs w:val="20"/>
                <w:color w:val="auto"/>
              </w:rPr>
            </w:pPr>
            <w:r>
              <w:rPr>
                <w:rFonts w:ascii="Arial" w:cs="Arial" w:eastAsia="Arial" w:hAnsi="Arial"/>
                <w:sz w:val="16"/>
                <w:szCs w:val="16"/>
                <w:color w:val="auto"/>
              </w:rPr>
              <w:t>29.95</w:t>
            </w:r>
          </w:p>
        </w:tc>
        <w:tc>
          <w:tcPr>
            <w:tcW w:w="32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880" w:type="dxa"/>
            <w:vAlign w:val="bottom"/>
          </w:tcPr>
          <w:p>
            <w:pPr>
              <w:jc w:val="right"/>
              <w:spacing w:after="0"/>
              <w:rPr>
                <w:sz w:val="20"/>
                <w:szCs w:val="20"/>
                <w:color w:val="auto"/>
              </w:rPr>
            </w:pPr>
            <w:r>
              <w:rPr>
                <w:rFonts w:ascii="Arial" w:cs="Arial" w:eastAsia="Arial" w:hAnsi="Arial"/>
                <w:sz w:val="16"/>
                <w:szCs w:val="16"/>
                <w:color w:val="auto"/>
              </w:rPr>
              <w:t>(25.23)</w:t>
            </w:r>
          </w:p>
        </w:tc>
        <w:tc>
          <w:tcPr>
            <w:tcW w:w="0" w:type="dxa"/>
            <w:vAlign w:val="bottom"/>
          </w:tcPr>
          <w:p>
            <w:pPr>
              <w:spacing w:after="0"/>
              <w:rPr>
                <w:sz w:val="1"/>
                <w:szCs w:val="1"/>
                <w:color w:val="auto"/>
              </w:rPr>
            </w:pPr>
          </w:p>
        </w:tc>
      </w:tr>
      <w:tr>
        <w:trPr>
          <w:trHeight w:val="283"/>
        </w:trPr>
        <w:tc>
          <w:tcPr>
            <w:tcW w:w="7780" w:type="dxa"/>
            <w:vAlign w:val="bottom"/>
          </w:tcPr>
          <w:p>
            <w:pPr>
              <w:ind w:left="40"/>
              <w:spacing w:after="0"/>
              <w:rPr>
                <w:sz w:val="20"/>
                <w:szCs w:val="20"/>
                <w:color w:val="auto"/>
              </w:rPr>
            </w:pPr>
            <w:r>
              <w:rPr>
                <w:rFonts w:ascii="Arial" w:cs="Arial" w:eastAsia="Arial" w:hAnsi="Arial"/>
                <w:sz w:val="16"/>
                <w:szCs w:val="16"/>
                <w:color w:val="auto"/>
              </w:rPr>
              <w:t>Basic income per common share from discontinued operations</w:t>
            </w:r>
          </w:p>
        </w:tc>
        <w:tc>
          <w:tcPr>
            <w:tcW w:w="22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b w:val="1"/>
                <w:bCs w:val="1"/>
                <w:color w:val="auto"/>
              </w:rPr>
              <w:t>—</w:t>
            </w:r>
          </w:p>
        </w:tc>
        <w:tc>
          <w:tcPr>
            <w:tcW w:w="28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w:t>
            </w:r>
          </w:p>
        </w:tc>
        <w:tc>
          <w:tcPr>
            <w:tcW w:w="32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7.36</w:t>
            </w:r>
          </w:p>
        </w:tc>
        <w:tc>
          <w:tcPr>
            <w:tcW w:w="0" w:type="dxa"/>
            <w:vAlign w:val="bottom"/>
          </w:tcPr>
          <w:p>
            <w:pPr>
              <w:spacing w:after="0"/>
              <w:rPr>
                <w:sz w:val="1"/>
                <w:szCs w:val="1"/>
                <w:color w:val="auto"/>
              </w:rPr>
            </w:pPr>
          </w:p>
        </w:tc>
      </w:tr>
      <w:tr>
        <w:trPr>
          <w:trHeight w:val="267"/>
        </w:trPr>
        <w:tc>
          <w:tcPr>
            <w:tcW w:w="7780" w:type="dxa"/>
            <w:vAlign w:val="bottom"/>
          </w:tcPr>
          <w:p>
            <w:pPr>
              <w:ind w:left="40"/>
              <w:spacing w:after="0"/>
              <w:rPr>
                <w:sz w:val="20"/>
                <w:szCs w:val="20"/>
                <w:color w:val="auto"/>
              </w:rPr>
            </w:pPr>
            <w:r>
              <w:rPr>
                <w:rFonts w:ascii="Arial" w:cs="Arial" w:eastAsia="Arial" w:hAnsi="Arial"/>
                <w:sz w:val="16"/>
                <w:szCs w:val="16"/>
                <w:color w:val="auto"/>
              </w:rPr>
              <w:t>Basic net income (loss) per common share</w:t>
            </w:r>
          </w:p>
        </w:tc>
        <w:tc>
          <w:tcPr>
            <w:tcW w:w="2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b w:val="1"/>
                <w:bCs w:val="1"/>
                <w:color w:val="auto"/>
              </w:rPr>
              <w:t>$</w:t>
            </w:r>
          </w:p>
        </w:tc>
        <w:tc>
          <w:tcPr>
            <w:tcW w:w="98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b w:val="1"/>
                <w:bCs w:val="1"/>
                <w:color w:val="auto"/>
              </w:rPr>
              <w:t>54.24</w:t>
            </w:r>
          </w:p>
        </w:tc>
        <w:tc>
          <w:tcPr>
            <w:tcW w:w="28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w:t>
            </w:r>
          </w:p>
        </w:tc>
        <w:tc>
          <w:tcPr>
            <w:tcW w:w="96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29.95</w:t>
            </w:r>
          </w:p>
        </w:tc>
        <w:tc>
          <w:tcPr>
            <w:tcW w:w="32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(17.87)</w:t>
            </w:r>
          </w:p>
        </w:tc>
        <w:tc>
          <w:tcPr>
            <w:tcW w:w="0" w:type="dxa"/>
            <w:vAlign w:val="bottom"/>
          </w:tcPr>
          <w:p>
            <w:pPr>
              <w:spacing w:after="0"/>
              <w:rPr>
                <w:sz w:val="1"/>
                <w:szCs w:val="1"/>
                <w:color w:val="auto"/>
              </w:rPr>
            </w:pPr>
          </w:p>
        </w:tc>
      </w:tr>
      <w:tr>
        <w:trPr>
          <w:trHeight w:val="20"/>
        </w:trPr>
        <w:tc>
          <w:tcPr>
            <w:tcW w:w="77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1"/>
        </w:trPr>
        <w:tc>
          <w:tcPr>
            <w:tcW w:w="7780" w:type="dxa"/>
            <w:vAlign w:val="bottom"/>
          </w:tcPr>
          <w:p>
            <w:pPr>
              <w:ind w:left="40"/>
              <w:spacing w:after="0"/>
              <w:rPr>
                <w:sz w:val="20"/>
                <w:szCs w:val="20"/>
                <w:color w:val="auto"/>
              </w:rPr>
            </w:pPr>
            <w:r>
              <w:rPr>
                <w:rFonts w:ascii="Arial" w:cs="Arial" w:eastAsia="Arial" w:hAnsi="Arial"/>
                <w:sz w:val="16"/>
                <w:szCs w:val="16"/>
                <w:color w:val="auto"/>
              </w:rPr>
              <w:t>Basic average number of common shares outstanding</w:t>
            </w:r>
          </w:p>
        </w:tc>
        <w:tc>
          <w:tcPr>
            <w:tcW w:w="220" w:type="dxa"/>
            <w:vAlign w:val="bottom"/>
            <w:tcBorders>
              <w:bottom w:val="single" w:sz="8" w:color="auto"/>
            </w:tcBorders>
          </w:tcPr>
          <w:p>
            <w:pPr>
              <w:spacing w:after="0"/>
              <w:rPr>
                <w:sz w:val="21"/>
                <w:szCs w:val="21"/>
                <w:color w:val="auto"/>
              </w:rPr>
            </w:pPr>
          </w:p>
        </w:tc>
        <w:tc>
          <w:tcPr>
            <w:tcW w:w="98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b w:val="1"/>
                <w:bCs w:val="1"/>
                <w:color w:val="auto"/>
              </w:rPr>
              <w:t>5,516</w:t>
            </w:r>
          </w:p>
        </w:tc>
        <w:tc>
          <w:tcPr>
            <w:tcW w:w="280" w:type="dxa"/>
            <w:vAlign w:val="bottom"/>
            <w:tcBorders>
              <w:bottom w:val="single" w:sz="8" w:color="auto"/>
            </w:tcBorders>
          </w:tcPr>
          <w:p>
            <w:pPr>
              <w:spacing w:after="0"/>
              <w:rPr>
                <w:sz w:val="21"/>
                <w:szCs w:val="21"/>
                <w:color w:val="auto"/>
              </w:rPr>
            </w:pPr>
          </w:p>
        </w:tc>
        <w:tc>
          <w:tcPr>
            <w:tcW w:w="96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5,559</w:t>
            </w:r>
          </w:p>
        </w:tc>
        <w:tc>
          <w:tcPr>
            <w:tcW w:w="32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5,727</w:t>
            </w:r>
          </w:p>
        </w:tc>
        <w:tc>
          <w:tcPr>
            <w:tcW w:w="0" w:type="dxa"/>
            <w:vAlign w:val="bottom"/>
          </w:tcPr>
          <w:p>
            <w:pPr>
              <w:spacing w:after="0"/>
              <w:rPr>
                <w:sz w:val="1"/>
                <w:szCs w:val="1"/>
                <w:color w:val="auto"/>
              </w:rPr>
            </w:pPr>
          </w:p>
        </w:tc>
      </w:tr>
      <w:tr>
        <w:trPr>
          <w:trHeight w:val="20"/>
        </w:trPr>
        <w:tc>
          <w:tcPr>
            <w:tcW w:w="77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4"/>
        </w:trPr>
        <w:tc>
          <w:tcPr>
            <w:tcW w:w="7780" w:type="dxa"/>
            <w:vAlign w:val="bottom"/>
          </w:tcPr>
          <w:p>
            <w:pPr>
              <w:ind w:left="40"/>
              <w:spacing w:after="0"/>
              <w:rPr>
                <w:sz w:val="20"/>
                <w:szCs w:val="20"/>
                <w:color w:val="auto"/>
              </w:rPr>
            </w:pPr>
            <w:r>
              <w:rPr>
                <w:rFonts w:ascii="Arial" w:cs="Arial" w:eastAsia="Arial" w:hAnsi="Arial"/>
                <w:sz w:val="16"/>
                <w:szCs w:val="16"/>
                <w:color w:val="auto"/>
              </w:rPr>
              <w:t>Diluted income (loss) per common share from continuing operations</w:t>
            </w:r>
          </w:p>
        </w:tc>
        <w:tc>
          <w:tcPr>
            <w:tcW w:w="220" w:type="dxa"/>
            <w:vAlign w:val="bottom"/>
          </w:tcPr>
          <w:p>
            <w:pPr>
              <w:jc w:val="right"/>
              <w:ind w:right="19"/>
              <w:spacing w:after="0"/>
              <w:rPr>
                <w:sz w:val="20"/>
                <w:szCs w:val="20"/>
                <w:color w:val="auto"/>
              </w:rPr>
            </w:pPr>
            <w:r>
              <w:rPr>
                <w:rFonts w:ascii="Arial" w:cs="Arial" w:eastAsia="Arial" w:hAnsi="Arial"/>
                <w:sz w:val="16"/>
                <w:szCs w:val="16"/>
                <w:b w:val="1"/>
                <w:bCs w:val="1"/>
                <w:color w:val="auto"/>
              </w:rPr>
              <w:t>$</w:t>
            </w:r>
          </w:p>
        </w:tc>
        <w:tc>
          <w:tcPr>
            <w:tcW w:w="980" w:type="dxa"/>
            <w:vAlign w:val="bottom"/>
          </w:tcPr>
          <w:p>
            <w:pPr>
              <w:jc w:val="right"/>
              <w:ind w:right="79"/>
              <w:spacing w:after="0"/>
              <w:rPr>
                <w:sz w:val="20"/>
                <w:szCs w:val="20"/>
                <w:color w:val="auto"/>
              </w:rPr>
            </w:pPr>
            <w:r>
              <w:rPr>
                <w:rFonts w:ascii="Arial" w:cs="Arial" w:eastAsia="Arial" w:hAnsi="Arial"/>
                <w:sz w:val="16"/>
                <w:szCs w:val="16"/>
                <w:b w:val="1"/>
                <w:bCs w:val="1"/>
                <w:color w:val="auto"/>
              </w:rPr>
              <w:t>53.89</w:t>
            </w:r>
          </w:p>
        </w:tc>
        <w:tc>
          <w:tcPr>
            <w:tcW w:w="28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960" w:type="dxa"/>
            <w:vAlign w:val="bottom"/>
          </w:tcPr>
          <w:p>
            <w:pPr>
              <w:jc w:val="right"/>
              <w:ind w:right="79"/>
              <w:spacing w:after="0"/>
              <w:rPr>
                <w:sz w:val="20"/>
                <w:szCs w:val="20"/>
                <w:color w:val="auto"/>
              </w:rPr>
            </w:pPr>
            <w:r>
              <w:rPr>
                <w:rFonts w:ascii="Arial" w:cs="Arial" w:eastAsia="Arial" w:hAnsi="Arial"/>
                <w:sz w:val="16"/>
                <w:szCs w:val="16"/>
                <w:color w:val="auto"/>
              </w:rPr>
              <w:t>29.80</w:t>
            </w:r>
          </w:p>
        </w:tc>
        <w:tc>
          <w:tcPr>
            <w:tcW w:w="32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880" w:type="dxa"/>
            <w:vAlign w:val="bottom"/>
          </w:tcPr>
          <w:p>
            <w:pPr>
              <w:jc w:val="right"/>
              <w:spacing w:after="0"/>
              <w:rPr>
                <w:sz w:val="20"/>
                <w:szCs w:val="20"/>
                <w:color w:val="auto"/>
              </w:rPr>
            </w:pPr>
            <w:r>
              <w:rPr>
                <w:rFonts w:ascii="Arial" w:cs="Arial" w:eastAsia="Arial" w:hAnsi="Arial"/>
                <w:sz w:val="16"/>
                <w:szCs w:val="16"/>
                <w:color w:val="auto"/>
              </w:rPr>
              <w:t>(25.23)</w:t>
            </w:r>
          </w:p>
        </w:tc>
        <w:tc>
          <w:tcPr>
            <w:tcW w:w="0" w:type="dxa"/>
            <w:vAlign w:val="bottom"/>
          </w:tcPr>
          <w:p>
            <w:pPr>
              <w:spacing w:after="0"/>
              <w:rPr>
                <w:sz w:val="1"/>
                <w:szCs w:val="1"/>
                <w:color w:val="auto"/>
              </w:rPr>
            </w:pPr>
          </w:p>
        </w:tc>
      </w:tr>
      <w:tr>
        <w:trPr>
          <w:trHeight w:val="283"/>
        </w:trPr>
        <w:tc>
          <w:tcPr>
            <w:tcW w:w="7780" w:type="dxa"/>
            <w:vAlign w:val="bottom"/>
          </w:tcPr>
          <w:p>
            <w:pPr>
              <w:ind w:left="40"/>
              <w:spacing w:after="0"/>
              <w:rPr>
                <w:sz w:val="20"/>
                <w:szCs w:val="20"/>
                <w:color w:val="auto"/>
              </w:rPr>
            </w:pPr>
            <w:r>
              <w:rPr>
                <w:rFonts w:ascii="Arial" w:cs="Arial" w:eastAsia="Arial" w:hAnsi="Arial"/>
                <w:sz w:val="16"/>
                <w:szCs w:val="16"/>
                <w:color w:val="auto"/>
              </w:rPr>
              <w:t>Diluted income per common share from discontinued operations</w:t>
            </w:r>
          </w:p>
        </w:tc>
        <w:tc>
          <w:tcPr>
            <w:tcW w:w="22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b w:val="1"/>
                <w:bCs w:val="1"/>
                <w:color w:val="auto"/>
              </w:rPr>
              <w:t>—</w:t>
            </w:r>
          </w:p>
        </w:tc>
        <w:tc>
          <w:tcPr>
            <w:tcW w:w="28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w:t>
            </w:r>
          </w:p>
        </w:tc>
        <w:tc>
          <w:tcPr>
            <w:tcW w:w="32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7.36</w:t>
            </w:r>
          </w:p>
        </w:tc>
        <w:tc>
          <w:tcPr>
            <w:tcW w:w="0" w:type="dxa"/>
            <w:vAlign w:val="bottom"/>
          </w:tcPr>
          <w:p>
            <w:pPr>
              <w:spacing w:after="0"/>
              <w:rPr>
                <w:sz w:val="1"/>
                <w:szCs w:val="1"/>
                <w:color w:val="auto"/>
              </w:rPr>
            </w:pPr>
          </w:p>
        </w:tc>
      </w:tr>
      <w:tr>
        <w:trPr>
          <w:trHeight w:val="267"/>
        </w:trPr>
        <w:tc>
          <w:tcPr>
            <w:tcW w:w="7780" w:type="dxa"/>
            <w:vAlign w:val="bottom"/>
          </w:tcPr>
          <w:p>
            <w:pPr>
              <w:ind w:left="40"/>
              <w:spacing w:after="0"/>
              <w:rPr>
                <w:sz w:val="20"/>
                <w:szCs w:val="20"/>
                <w:color w:val="auto"/>
              </w:rPr>
            </w:pPr>
            <w:r>
              <w:rPr>
                <w:rFonts w:ascii="Arial" w:cs="Arial" w:eastAsia="Arial" w:hAnsi="Arial"/>
                <w:sz w:val="16"/>
                <w:szCs w:val="16"/>
                <w:color w:val="auto"/>
              </w:rPr>
              <w:t>Diluted net income (loss) per common share</w:t>
            </w:r>
          </w:p>
        </w:tc>
        <w:tc>
          <w:tcPr>
            <w:tcW w:w="2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b w:val="1"/>
                <w:bCs w:val="1"/>
                <w:color w:val="auto"/>
              </w:rPr>
              <w:t>$</w:t>
            </w:r>
          </w:p>
        </w:tc>
        <w:tc>
          <w:tcPr>
            <w:tcW w:w="98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b w:val="1"/>
                <w:bCs w:val="1"/>
                <w:color w:val="auto"/>
              </w:rPr>
              <w:t>53.89</w:t>
            </w:r>
          </w:p>
        </w:tc>
        <w:tc>
          <w:tcPr>
            <w:tcW w:w="28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w:t>
            </w:r>
          </w:p>
        </w:tc>
        <w:tc>
          <w:tcPr>
            <w:tcW w:w="96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29.80</w:t>
            </w:r>
          </w:p>
        </w:tc>
        <w:tc>
          <w:tcPr>
            <w:tcW w:w="32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(17.87)</w:t>
            </w:r>
          </w:p>
        </w:tc>
        <w:tc>
          <w:tcPr>
            <w:tcW w:w="0" w:type="dxa"/>
            <w:vAlign w:val="bottom"/>
          </w:tcPr>
          <w:p>
            <w:pPr>
              <w:spacing w:after="0"/>
              <w:rPr>
                <w:sz w:val="1"/>
                <w:szCs w:val="1"/>
                <w:color w:val="auto"/>
              </w:rPr>
            </w:pPr>
          </w:p>
        </w:tc>
      </w:tr>
      <w:tr>
        <w:trPr>
          <w:trHeight w:val="20"/>
        </w:trPr>
        <w:tc>
          <w:tcPr>
            <w:tcW w:w="77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1"/>
        </w:trPr>
        <w:tc>
          <w:tcPr>
            <w:tcW w:w="7780" w:type="dxa"/>
            <w:vAlign w:val="bottom"/>
          </w:tcPr>
          <w:p>
            <w:pPr>
              <w:ind w:left="40"/>
              <w:spacing w:after="0"/>
              <w:rPr>
                <w:sz w:val="20"/>
                <w:szCs w:val="20"/>
                <w:color w:val="auto"/>
              </w:rPr>
            </w:pPr>
            <w:r>
              <w:rPr>
                <w:rFonts w:ascii="Arial" w:cs="Arial" w:eastAsia="Arial" w:hAnsi="Arial"/>
                <w:sz w:val="16"/>
                <w:szCs w:val="16"/>
                <w:color w:val="auto"/>
              </w:rPr>
              <w:t>Diluted average number of common shares outstanding</w:t>
            </w:r>
          </w:p>
        </w:tc>
        <w:tc>
          <w:tcPr>
            <w:tcW w:w="220" w:type="dxa"/>
            <w:vAlign w:val="bottom"/>
            <w:tcBorders>
              <w:bottom w:val="single" w:sz="8" w:color="auto"/>
            </w:tcBorders>
          </w:tcPr>
          <w:p>
            <w:pPr>
              <w:spacing w:after="0"/>
              <w:rPr>
                <w:sz w:val="21"/>
                <w:szCs w:val="21"/>
                <w:color w:val="auto"/>
              </w:rPr>
            </w:pPr>
          </w:p>
        </w:tc>
        <w:tc>
          <w:tcPr>
            <w:tcW w:w="98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b w:val="1"/>
                <w:bCs w:val="1"/>
                <w:color w:val="auto"/>
              </w:rPr>
              <w:t>5,552</w:t>
            </w:r>
          </w:p>
        </w:tc>
        <w:tc>
          <w:tcPr>
            <w:tcW w:w="280" w:type="dxa"/>
            <w:vAlign w:val="bottom"/>
            <w:tcBorders>
              <w:bottom w:val="single" w:sz="8" w:color="auto"/>
            </w:tcBorders>
          </w:tcPr>
          <w:p>
            <w:pPr>
              <w:spacing w:after="0"/>
              <w:rPr>
                <w:sz w:val="21"/>
                <w:szCs w:val="21"/>
                <w:color w:val="auto"/>
              </w:rPr>
            </w:pPr>
          </w:p>
        </w:tc>
        <w:tc>
          <w:tcPr>
            <w:tcW w:w="96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5,589</w:t>
            </w:r>
          </w:p>
        </w:tc>
        <w:tc>
          <w:tcPr>
            <w:tcW w:w="32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5,727</w:t>
            </w:r>
          </w:p>
        </w:tc>
        <w:tc>
          <w:tcPr>
            <w:tcW w:w="0" w:type="dxa"/>
            <w:vAlign w:val="bottom"/>
          </w:tcPr>
          <w:p>
            <w:pPr>
              <w:spacing w:after="0"/>
              <w:rPr>
                <w:sz w:val="1"/>
                <w:szCs w:val="1"/>
                <w:color w:val="auto"/>
              </w:rPr>
            </w:pPr>
          </w:p>
        </w:tc>
      </w:tr>
      <w:tr>
        <w:trPr>
          <w:trHeight w:val="20"/>
        </w:trPr>
        <w:tc>
          <w:tcPr>
            <w:tcW w:w="77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spacing w:after="0"/>
        <w:rPr>
          <w:sz w:val="20"/>
          <w:szCs w:val="20"/>
          <w:color w:val="auto"/>
        </w:rPr>
      </w:pPr>
      <w:r>
        <w:rPr>
          <w:rFonts w:ascii="Arial" w:cs="Arial" w:eastAsia="Arial" w:hAnsi="Arial"/>
          <w:sz w:val="14"/>
          <w:szCs w:val="14"/>
          <w:color w:val="auto"/>
        </w:rPr>
        <w:t>See accompanying Notes to Consolidated Financial Statements.</w:t>
      </w:r>
    </w:p>
    <w:p>
      <w:pPr>
        <w:sectPr>
          <w:pgSz w:w="11900" w:h="16838" w:orient="portrait"/>
          <w:cols w:equalWidth="0" w:num="1">
            <w:col w:w="11420"/>
          </w:cols>
          <w:pgMar w:left="240" w:top="738" w:right="239" w:bottom="1440" w:gutter="0" w:footer="0" w:header="0"/>
        </w:sectPr>
      </w:pPr>
    </w:p>
    <w:p>
      <w:pPr>
        <w:spacing w:after="0" w:line="347"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71</w:t>
      </w:r>
    </w:p>
    <w:p>
      <w:pPr>
        <w:sectPr>
          <w:pgSz w:w="11900" w:h="16838" w:orient="portrait"/>
          <w:cols w:equalWidth="0" w:num="1">
            <w:col w:w="11420"/>
          </w:cols>
          <w:pgMar w:left="240" w:top="738" w:right="239" w:bottom="1440" w:gutter="0" w:footer="0" w:header="0"/>
          <w:type w:val="continuous"/>
        </w:sectPr>
      </w:pPr>
    </w:p>
    <w:bookmarkStart w:id="73" w:name="page74"/>
    <w:bookmarkEnd w:id="73"/>
    <w:p>
      <w:pPr>
        <w:jc w:val="center"/>
        <w:spacing w:after="0"/>
        <w:rPr>
          <w:sz w:val="20"/>
          <w:szCs w:val="20"/>
          <w:color w:val="auto"/>
        </w:rPr>
      </w:pPr>
      <w:r>
        <w:rPr>
          <w:rFonts w:ascii="Arial" w:cs="Arial" w:eastAsia="Arial" w:hAnsi="Arial"/>
          <w:sz w:val="18"/>
          <w:szCs w:val="18"/>
          <w:b w:val="1"/>
          <w:bCs w:val="1"/>
          <w:color w:val="auto"/>
        </w:rPr>
        <w:t>GRAHAM HOLDINGS COMPANY</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COMPREHENSIVE INCOME (LOSS)</w:t>
      </w:r>
    </w:p>
    <w:p>
      <w:pPr>
        <w:spacing w:after="0" w:line="159" w:lineRule="exact"/>
        <w:rPr>
          <w:sz w:val="20"/>
          <w:szCs w:val="20"/>
          <w:color w:val="auto"/>
        </w:rPr>
      </w:pPr>
    </w:p>
    <w:p>
      <w:pPr>
        <w:ind w:left="8760"/>
        <w:spacing w:after="0"/>
        <w:rPr>
          <w:sz w:val="20"/>
          <w:szCs w:val="20"/>
          <w:color w:val="auto"/>
        </w:rPr>
      </w:pPr>
      <w:r>
        <w:rPr>
          <w:rFonts w:ascii="Arial" w:cs="Arial" w:eastAsia="Arial" w:hAnsi="Arial"/>
          <w:sz w:val="14"/>
          <w:szCs w:val="14"/>
          <w:b w:val="1"/>
          <w:bCs w:val="1"/>
          <w:color w:val="auto"/>
        </w:rPr>
        <w:t>Year Ended 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4936490</wp:posOffset>
            </wp:positionH>
            <wp:positionV relativeFrom="paragraph">
              <wp:posOffset>26035</wp:posOffset>
            </wp:positionV>
            <wp:extent cx="231521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30">
                      <a:extLst>
                        <a:ext uri="{28A0092B-C50C-407E-A947-70E740481C1C}"/>
                      </a:extLst>
                    </a:blip>
                    <a:srcRect/>
                    <a:stretch>
                      <a:fillRect/>
                    </a:stretch>
                  </pic:blipFill>
                  <pic:spPr bwMode="auto">
                    <a:xfrm>
                      <a:off x="0" y="0"/>
                      <a:ext cx="2315210" cy="8890"/>
                    </a:xfrm>
                    <a:prstGeom prst="rect">
                      <a:avLst/>
                    </a:prstGeom>
                    <a:noFill/>
                  </pic:spPr>
                </pic:pic>
              </a:graphicData>
            </a:graphic>
          </wp:anchor>
        </w:drawing>
      </w:r>
    </w:p>
    <w:p>
      <w:pPr>
        <w:spacing w:after="0" w:line="103"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458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(in thousands)</w:t>
            </w:r>
          </w:p>
        </w:tc>
        <w:tc>
          <w:tcPr>
            <w:tcW w:w="4400" w:type="dxa"/>
            <w:vAlign w:val="bottom"/>
            <w:tcBorders>
              <w:bottom w:val="single" w:sz="8" w:color="auto"/>
            </w:tcBorders>
          </w:tcPr>
          <w:p>
            <w:pPr>
              <w:jc w:val="right"/>
              <w:ind w:right="388"/>
              <w:spacing w:after="0"/>
              <w:rPr>
                <w:sz w:val="20"/>
                <w:szCs w:val="20"/>
                <w:color w:val="auto"/>
              </w:rPr>
            </w:pPr>
            <w:r>
              <w:rPr>
                <w:rFonts w:ascii="Arial" w:cs="Arial" w:eastAsia="Arial" w:hAnsi="Arial"/>
                <w:sz w:val="14"/>
                <w:szCs w:val="14"/>
                <w:b w:val="1"/>
                <w:bCs w:val="1"/>
                <w:color w:val="auto"/>
              </w:rPr>
              <w:t>2017</w:t>
            </w:r>
          </w:p>
        </w:tc>
        <w:tc>
          <w:tcPr>
            <w:tcW w:w="1260" w:type="dxa"/>
            <w:vAlign w:val="bottom"/>
            <w:tcBorders>
              <w:bottom w:val="single" w:sz="8" w:color="auto"/>
            </w:tcBorders>
          </w:tcPr>
          <w:p>
            <w:pPr>
              <w:jc w:val="right"/>
              <w:ind w:right="388"/>
              <w:spacing w:after="0"/>
              <w:rPr>
                <w:sz w:val="20"/>
                <w:szCs w:val="20"/>
                <w:color w:val="auto"/>
              </w:rPr>
            </w:pPr>
            <w:r>
              <w:rPr>
                <w:rFonts w:ascii="Arial" w:cs="Arial" w:eastAsia="Arial" w:hAnsi="Arial"/>
                <w:sz w:val="14"/>
                <w:szCs w:val="14"/>
                <w:color w:val="auto"/>
              </w:rPr>
              <w:t>2016</w:t>
            </w:r>
          </w:p>
        </w:tc>
        <w:tc>
          <w:tcPr>
            <w:tcW w:w="1180" w:type="dxa"/>
            <w:vAlign w:val="bottom"/>
            <w:tcBorders>
              <w:bottom w:val="single" w:sz="8" w:color="auto"/>
            </w:tcBorders>
          </w:tcPr>
          <w:p>
            <w:pPr>
              <w:jc w:val="right"/>
              <w:ind w:right="328"/>
              <w:spacing w:after="0"/>
              <w:rPr>
                <w:sz w:val="20"/>
                <w:szCs w:val="20"/>
                <w:color w:val="auto"/>
              </w:rPr>
            </w:pPr>
            <w:r>
              <w:rPr>
                <w:rFonts w:ascii="Arial" w:cs="Arial" w:eastAsia="Arial" w:hAnsi="Arial"/>
                <w:sz w:val="14"/>
                <w:szCs w:val="14"/>
                <w:color w:val="auto"/>
              </w:rPr>
              <w:t>2015</w:t>
            </w:r>
          </w:p>
        </w:tc>
      </w:tr>
    </w:tbl>
    <w:p>
      <w:pPr>
        <w:spacing w:after="0" w:line="36" w:lineRule="exact"/>
        <w:rPr>
          <w:sz w:val="20"/>
          <w:szCs w:val="20"/>
          <w:color w:val="auto"/>
        </w:rPr>
      </w:pPr>
    </w:p>
    <w:p>
      <w:pPr>
        <w:sectPr>
          <w:pgSz w:w="11900" w:h="16838" w:orient="portrait"/>
          <w:cols w:equalWidth="0" w:num="1">
            <w:col w:w="11420"/>
          </w:cols>
          <w:pgMar w:left="240" w:top="738" w:right="239" w:bottom="1440" w:gutter="0" w:footer="0" w:header="0"/>
        </w:sectPr>
      </w:pPr>
    </w:p>
    <w:p>
      <w:pPr>
        <w:ind w:left="40"/>
        <w:spacing w:after="0"/>
        <w:rPr>
          <w:sz w:val="20"/>
          <w:szCs w:val="20"/>
          <w:color w:val="auto"/>
        </w:rPr>
      </w:pPr>
      <w:r>
        <w:rPr>
          <w:rFonts w:ascii="Arial" w:cs="Arial" w:eastAsia="Arial" w:hAnsi="Arial"/>
          <w:sz w:val="16"/>
          <w:szCs w:val="16"/>
          <w:b w:val="1"/>
          <w:bCs w:val="1"/>
          <w:color w:val="auto"/>
        </w:rPr>
        <w:t>Net Income (Loss)</w:t>
      </w:r>
    </w:p>
    <w:p>
      <w:pPr>
        <w:spacing w:after="0" w:line="86" w:lineRule="exact"/>
        <w:rPr>
          <w:sz w:val="20"/>
          <w:szCs w:val="20"/>
          <w:color w:val="auto"/>
        </w:rPr>
      </w:pPr>
    </w:p>
    <w:p>
      <w:pPr>
        <w:ind w:left="40"/>
        <w:spacing w:after="0"/>
        <w:rPr>
          <w:sz w:val="20"/>
          <w:szCs w:val="20"/>
          <w:color w:val="auto"/>
        </w:rPr>
      </w:pPr>
      <w:r>
        <w:rPr>
          <w:rFonts w:ascii="Arial" w:cs="Arial" w:eastAsia="Arial" w:hAnsi="Arial"/>
          <w:sz w:val="16"/>
          <w:szCs w:val="16"/>
          <w:b w:val="1"/>
          <w:bCs w:val="1"/>
          <w:color w:val="auto"/>
        </w:rPr>
        <w:t>Other Comprehensive Income (Loss), Before Tax</w:t>
      </w:r>
    </w:p>
    <w:p>
      <w:pPr>
        <w:spacing w:after="0" w:line="106" w:lineRule="exact"/>
        <w:rPr>
          <w:sz w:val="20"/>
          <w:szCs w:val="20"/>
          <w:color w:val="auto"/>
        </w:rPr>
      </w:pPr>
    </w:p>
    <w:p>
      <w:pPr>
        <w:ind w:left="280"/>
        <w:spacing w:after="0"/>
        <w:rPr>
          <w:sz w:val="20"/>
          <w:szCs w:val="20"/>
          <w:color w:val="auto"/>
        </w:rPr>
      </w:pPr>
      <w:r>
        <w:rPr>
          <w:rFonts w:ascii="Arial" w:cs="Arial" w:eastAsia="Arial" w:hAnsi="Arial"/>
          <w:sz w:val="16"/>
          <w:szCs w:val="16"/>
          <w:color w:val="auto"/>
        </w:rPr>
        <w:t>Foreign currency translation adjustments:</w:t>
      </w:r>
    </w:p>
    <w:p>
      <w:pPr>
        <w:spacing w:after="0" w:line="86" w:lineRule="exact"/>
        <w:rPr>
          <w:sz w:val="20"/>
          <w:szCs w:val="20"/>
          <w:color w:val="auto"/>
        </w:rPr>
      </w:pPr>
    </w:p>
    <w:p>
      <w:pPr>
        <w:ind w:left="500" w:right="2520"/>
        <w:spacing w:after="0" w:line="366" w:lineRule="auto"/>
        <w:rPr>
          <w:sz w:val="20"/>
          <w:szCs w:val="20"/>
          <w:color w:val="auto"/>
        </w:rPr>
      </w:pPr>
      <w:r>
        <w:rPr>
          <w:rFonts w:ascii="Arial" w:cs="Arial" w:eastAsia="Arial" w:hAnsi="Arial"/>
          <w:sz w:val="16"/>
          <w:szCs w:val="16"/>
          <w:color w:val="auto"/>
        </w:rPr>
        <w:t>Translation adjustments arising during the year Adjustment for sales of businesses with foreign operations</w:t>
      </w:r>
    </w:p>
    <w:p>
      <w:pPr>
        <w:spacing w:after="0" w:line="263" w:lineRule="exact"/>
        <w:rPr>
          <w:sz w:val="20"/>
          <w:szCs w:val="20"/>
          <w:color w:val="auto"/>
        </w:rPr>
      </w:pPr>
    </w:p>
    <w:p>
      <w:pPr>
        <w:ind w:left="280"/>
        <w:spacing w:after="0"/>
        <w:rPr>
          <w:sz w:val="20"/>
          <w:szCs w:val="20"/>
          <w:color w:val="auto"/>
        </w:rPr>
      </w:pPr>
      <w:r>
        <w:rPr>
          <w:rFonts w:ascii="Arial" w:cs="Arial" w:eastAsia="Arial" w:hAnsi="Arial"/>
          <w:sz w:val="16"/>
          <w:szCs w:val="16"/>
          <w:color w:val="auto"/>
        </w:rPr>
        <w:t>Unrealized gains on available-for-sale securities:</w:t>
      </w:r>
    </w:p>
    <w:p>
      <w:pPr>
        <w:spacing w:after="0" w:line="86" w:lineRule="exact"/>
        <w:rPr>
          <w:sz w:val="20"/>
          <w:szCs w:val="20"/>
          <w:color w:val="auto"/>
        </w:rPr>
      </w:pPr>
    </w:p>
    <w:p>
      <w:pPr>
        <w:ind w:left="500"/>
        <w:spacing w:after="0"/>
        <w:rPr>
          <w:sz w:val="20"/>
          <w:szCs w:val="20"/>
          <w:color w:val="auto"/>
        </w:rPr>
      </w:pPr>
      <w:r>
        <w:rPr>
          <w:rFonts w:ascii="Arial" w:cs="Arial" w:eastAsia="Arial" w:hAnsi="Arial"/>
          <w:sz w:val="16"/>
          <w:szCs w:val="16"/>
          <w:color w:val="auto"/>
        </w:rPr>
        <w:t>Unrealized gains for the year</w:t>
      </w:r>
    </w:p>
    <w:p>
      <w:pPr>
        <w:spacing w:after="0" w:line="59" w:lineRule="exact"/>
        <w:rPr>
          <w:sz w:val="20"/>
          <w:szCs w:val="20"/>
          <w:color w:val="auto"/>
        </w:rPr>
      </w:pPr>
    </w:p>
    <w:p>
      <w:pPr>
        <w:ind w:left="660" w:hanging="161"/>
        <w:spacing w:after="0" w:line="260" w:lineRule="auto"/>
        <w:rPr>
          <w:sz w:val="20"/>
          <w:szCs w:val="20"/>
          <w:color w:val="auto"/>
        </w:rPr>
      </w:pPr>
      <w:r>
        <w:rPr>
          <w:rFonts w:ascii="Arial" w:cs="Arial" w:eastAsia="Arial" w:hAnsi="Arial"/>
          <w:sz w:val="16"/>
          <w:szCs w:val="16"/>
          <w:color w:val="auto"/>
        </w:rPr>
        <w:t>Reclassification adjustment for realization of loss (gain) on sale of available-for-sale securities included in net income</w:t>
      </w:r>
    </w:p>
    <w:p>
      <w:pPr>
        <w:spacing w:after="0" w:line="344" w:lineRule="exact"/>
        <w:rPr>
          <w:sz w:val="20"/>
          <w:szCs w:val="20"/>
          <w:color w:val="auto"/>
        </w:rPr>
      </w:pPr>
    </w:p>
    <w:p>
      <w:pPr>
        <w:ind w:left="280"/>
        <w:spacing w:after="0"/>
        <w:rPr>
          <w:sz w:val="20"/>
          <w:szCs w:val="20"/>
          <w:color w:val="auto"/>
        </w:rPr>
      </w:pPr>
      <w:r>
        <w:rPr>
          <w:rFonts w:ascii="Arial" w:cs="Arial" w:eastAsia="Arial" w:hAnsi="Arial"/>
          <w:sz w:val="16"/>
          <w:szCs w:val="16"/>
          <w:color w:val="auto"/>
        </w:rPr>
        <w:t>Pension and other postretirement plans:</w:t>
      </w:r>
    </w:p>
    <w:p>
      <w:pPr>
        <w:spacing w:after="0" w:line="86" w:lineRule="exact"/>
        <w:rPr>
          <w:sz w:val="20"/>
          <w:szCs w:val="20"/>
          <w:color w:val="auto"/>
        </w:rPr>
      </w:pPr>
    </w:p>
    <w:p>
      <w:pPr>
        <w:ind w:left="500"/>
        <w:spacing w:after="0"/>
        <w:rPr>
          <w:sz w:val="20"/>
          <w:szCs w:val="20"/>
          <w:color w:val="auto"/>
        </w:rPr>
      </w:pPr>
      <w:r>
        <w:rPr>
          <w:rFonts w:ascii="Arial" w:cs="Arial" w:eastAsia="Arial" w:hAnsi="Arial"/>
          <w:sz w:val="16"/>
          <w:szCs w:val="16"/>
          <w:color w:val="auto"/>
        </w:rPr>
        <w:t>Actuarial gain (loss)</w:t>
      </w:r>
    </w:p>
    <w:p>
      <w:pPr>
        <w:spacing w:after="0" w:line="86" w:lineRule="exact"/>
        <w:rPr>
          <w:sz w:val="20"/>
          <w:szCs w:val="20"/>
          <w:color w:val="auto"/>
        </w:rPr>
      </w:pPr>
    </w:p>
    <w:p>
      <w:pPr>
        <w:ind w:left="500"/>
        <w:spacing w:after="0"/>
        <w:rPr>
          <w:sz w:val="20"/>
          <w:szCs w:val="20"/>
          <w:color w:val="auto"/>
        </w:rPr>
      </w:pPr>
      <w:r>
        <w:rPr>
          <w:rFonts w:ascii="Arial" w:cs="Arial" w:eastAsia="Arial" w:hAnsi="Arial"/>
          <w:sz w:val="16"/>
          <w:szCs w:val="16"/>
          <w:color w:val="auto"/>
        </w:rPr>
        <w:t>Prior service cost</w:t>
      </w:r>
    </w:p>
    <w:p>
      <w:pPr>
        <w:spacing w:after="0" w:line="86" w:lineRule="exact"/>
        <w:rPr>
          <w:sz w:val="20"/>
          <w:szCs w:val="20"/>
          <w:color w:val="auto"/>
        </w:rPr>
      </w:pPr>
    </w:p>
    <w:p>
      <w:pPr>
        <w:ind w:left="500"/>
        <w:spacing w:after="0"/>
        <w:rPr>
          <w:sz w:val="20"/>
          <w:szCs w:val="20"/>
          <w:color w:val="auto"/>
        </w:rPr>
      </w:pPr>
      <w:r>
        <w:rPr>
          <w:rFonts w:ascii="Arial" w:cs="Arial" w:eastAsia="Arial" w:hAnsi="Arial"/>
          <w:sz w:val="16"/>
          <w:szCs w:val="16"/>
          <w:color w:val="auto"/>
        </w:rPr>
        <w:t>Amortization of net actuarial (gain) loss included in net income</w:t>
      </w:r>
    </w:p>
    <w:p>
      <w:pPr>
        <w:spacing w:after="0" w:line="86" w:lineRule="exact"/>
        <w:rPr>
          <w:sz w:val="20"/>
          <w:szCs w:val="20"/>
          <w:color w:val="auto"/>
        </w:rPr>
      </w:pPr>
    </w:p>
    <w:p>
      <w:pPr>
        <w:ind w:left="500"/>
        <w:spacing w:after="0"/>
        <w:rPr>
          <w:sz w:val="20"/>
          <w:szCs w:val="20"/>
          <w:color w:val="auto"/>
        </w:rPr>
      </w:pPr>
      <w:r>
        <w:rPr>
          <w:rFonts w:ascii="Arial" w:cs="Arial" w:eastAsia="Arial" w:hAnsi="Arial"/>
          <w:sz w:val="16"/>
          <w:szCs w:val="16"/>
          <w:color w:val="auto"/>
        </w:rPr>
        <w:t>Amortization of net prior service cost included in net income</w:t>
      </w:r>
    </w:p>
    <w:p>
      <w:pPr>
        <w:spacing w:after="0" w:line="86" w:lineRule="exact"/>
        <w:rPr>
          <w:sz w:val="20"/>
          <w:szCs w:val="20"/>
          <w:color w:val="auto"/>
        </w:rPr>
      </w:pPr>
    </w:p>
    <w:p>
      <w:pPr>
        <w:ind w:left="500"/>
        <w:spacing w:after="0"/>
        <w:rPr>
          <w:sz w:val="20"/>
          <w:szCs w:val="20"/>
          <w:color w:val="auto"/>
        </w:rPr>
      </w:pPr>
      <w:r>
        <w:rPr>
          <w:rFonts w:ascii="Arial" w:cs="Arial" w:eastAsia="Arial" w:hAnsi="Arial"/>
          <w:sz w:val="16"/>
          <w:szCs w:val="16"/>
          <w:color w:val="auto"/>
        </w:rPr>
        <w:t>Curtailments and settlements included in net income</w:t>
      </w:r>
    </w:p>
    <w:p>
      <w:pPr>
        <w:spacing w:after="0" w:line="86" w:lineRule="exact"/>
        <w:rPr>
          <w:sz w:val="20"/>
          <w:szCs w:val="20"/>
          <w:color w:val="auto"/>
        </w:rPr>
      </w:pPr>
    </w:p>
    <w:p>
      <w:pPr>
        <w:ind w:left="500"/>
        <w:spacing w:after="0"/>
        <w:rPr>
          <w:sz w:val="20"/>
          <w:szCs w:val="20"/>
          <w:color w:val="auto"/>
        </w:rPr>
      </w:pPr>
      <w:r>
        <w:rPr>
          <w:rFonts w:ascii="Arial" w:cs="Arial" w:eastAsia="Arial" w:hAnsi="Arial"/>
          <w:sz w:val="16"/>
          <w:szCs w:val="16"/>
          <w:color w:val="auto"/>
        </w:rPr>
        <w:t>Curtailments and settlements included in distribution to Cable ONE</w:t>
      </w:r>
    </w:p>
    <w:p>
      <w:pPr>
        <w:spacing w:after="0" w:line="370" w:lineRule="exact"/>
        <w:rPr>
          <w:sz w:val="20"/>
          <w:szCs w:val="20"/>
          <w:color w:val="auto"/>
        </w:rPr>
      </w:pPr>
    </w:p>
    <w:p>
      <w:pPr>
        <w:ind w:left="280"/>
        <w:spacing w:after="0"/>
        <w:rPr>
          <w:sz w:val="20"/>
          <w:szCs w:val="20"/>
          <w:color w:val="auto"/>
        </w:rPr>
      </w:pPr>
      <w:r>
        <w:rPr>
          <w:rFonts w:ascii="Arial" w:cs="Arial" w:eastAsia="Arial" w:hAnsi="Arial"/>
          <w:sz w:val="16"/>
          <w:szCs w:val="16"/>
          <w:color w:val="auto"/>
        </w:rPr>
        <w:t>Cash flow hedge gain (loss)</w:t>
      </w:r>
    </w:p>
    <w:p>
      <w:pPr>
        <w:spacing w:after="0" w:line="80" w:lineRule="exact"/>
        <w:rPr>
          <w:sz w:val="20"/>
          <w:szCs w:val="20"/>
          <w:color w:val="auto"/>
        </w:rPr>
      </w:pPr>
    </w:p>
    <w:p>
      <w:pPr>
        <w:ind w:left="40"/>
        <w:spacing w:after="0"/>
        <w:rPr>
          <w:sz w:val="20"/>
          <w:szCs w:val="20"/>
          <w:color w:val="auto"/>
        </w:rPr>
      </w:pPr>
      <w:r>
        <w:rPr>
          <w:rFonts w:ascii="Arial" w:cs="Arial" w:eastAsia="Arial" w:hAnsi="Arial"/>
          <w:sz w:val="16"/>
          <w:szCs w:val="16"/>
          <w:b w:val="1"/>
          <w:bCs w:val="1"/>
          <w:color w:val="auto"/>
        </w:rPr>
        <w:t>Other Comprehensive Income (Loss), Before Tax</w:t>
      </w:r>
    </w:p>
    <w:p>
      <w:pPr>
        <w:spacing w:after="0" w:line="106" w:lineRule="exact"/>
        <w:rPr>
          <w:sz w:val="20"/>
          <w:szCs w:val="20"/>
          <w:color w:val="auto"/>
        </w:rPr>
      </w:pPr>
    </w:p>
    <w:p>
      <w:pPr>
        <w:ind w:left="280"/>
        <w:spacing w:after="0"/>
        <w:rPr>
          <w:sz w:val="20"/>
          <w:szCs w:val="20"/>
          <w:color w:val="auto"/>
        </w:rPr>
      </w:pPr>
      <w:r>
        <w:rPr>
          <w:rFonts w:ascii="Arial" w:cs="Arial" w:eastAsia="Arial" w:hAnsi="Arial"/>
          <w:sz w:val="16"/>
          <w:szCs w:val="16"/>
          <w:color w:val="auto"/>
        </w:rPr>
        <w:t>Income tax (expense) benefit related to items of other comprehensive income (loss)</w:t>
      </w:r>
    </w:p>
    <w:p>
      <w:pPr>
        <w:spacing w:after="0" w:line="80" w:lineRule="exact"/>
        <w:rPr>
          <w:sz w:val="20"/>
          <w:szCs w:val="20"/>
          <w:color w:val="auto"/>
        </w:rPr>
      </w:pPr>
    </w:p>
    <w:p>
      <w:pPr>
        <w:ind w:left="40"/>
        <w:spacing w:after="0"/>
        <w:rPr>
          <w:sz w:val="20"/>
          <w:szCs w:val="20"/>
          <w:color w:val="auto"/>
        </w:rPr>
      </w:pPr>
      <w:r>
        <w:rPr>
          <w:rFonts w:ascii="Arial" w:cs="Arial" w:eastAsia="Arial" w:hAnsi="Arial"/>
          <w:sz w:val="16"/>
          <w:szCs w:val="16"/>
          <w:b w:val="1"/>
          <w:bCs w:val="1"/>
          <w:color w:val="auto"/>
        </w:rPr>
        <w:t>Other Comprehensive Income (Loss), Net of Tax</w:t>
      </w:r>
    </w:p>
    <w:p>
      <w:pPr>
        <w:spacing w:after="0" w:line="100" w:lineRule="exact"/>
        <w:rPr>
          <w:sz w:val="20"/>
          <w:szCs w:val="20"/>
          <w:color w:val="auto"/>
        </w:rPr>
      </w:pPr>
    </w:p>
    <w:p>
      <w:pPr>
        <w:ind w:left="40"/>
        <w:spacing w:after="0"/>
        <w:rPr>
          <w:sz w:val="20"/>
          <w:szCs w:val="20"/>
          <w:color w:val="auto"/>
        </w:rPr>
      </w:pPr>
      <w:r>
        <w:rPr>
          <w:rFonts w:ascii="Arial" w:cs="Arial" w:eastAsia="Arial" w:hAnsi="Arial"/>
          <w:sz w:val="16"/>
          <w:szCs w:val="16"/>
          <w:b w:val="1"/>
          <w:bCs w:val="1"/>
          <w:color w:val="auto"/>
        </w:rPr>
        <w:t>Comprehensive Income (Loss)</w:t>
      </w:r>
    </w:p>
    <w:p>
      <w:pPr>
        <w:spacing w:after="0" w:line="106" w:lineRule="exact"/>
        <w:rPr>
          <w:sz w:val="20"/>
          <w:szCs w:val="20"/>
          <w:color w:val="auto"/>
        </w:rPr>
      </w:pPr>
    </w:p>
    <w:p>
      <w:pPr>
        <w:ind w:left="280"/>
        <w:spacing w:after="0"/>
        <w:rPr>
          <w:sz w:val="20"/>
          <w:szCs w:val="20"/>
          <w:color w:val="auto"/>
        </w:rPr>
      </w:pPr>
      <w:r>
        <w:rPr>
          <w:rFonts w:ascii="Arial" w:cs="Arial" w:eastAsia="Arial" w:hAnsi="Arial"/>
          <w:sz w:val="16"/>
          <w:szCs w:val="16"/>
          <w:color w:val="auto"/>
        </w:rPr>
        <w:t>Comprehensive income attributable to noncontrolling interests</w:t>
      </w:r>
    </w:p>
    <w:p>
      <w:pPr>
        <w:spacing w:after="0" w:line="93" w:lineRule="exact"/>
        <w:rPr>
          <w:sz w:val="20"/>
          <w:szCs w:val="20"/>
          <w:color w:val="auto"/>
        </w:rPr>
      </w:pPr>
    </w:p>
    <w:p>
      <w:pPr>
        <w:ind w:left="40"/>
        <w:spacing w:after="0"/>
        <w:rPr>
          <w:sz w:val="20"/>
          <w:szCs w:val="20"/>
          <w:color w:val="auto"/>
        </w:rPr>
      </w:pPr>
      <w:r>
        <w:rPr>
          <w:rFonts w:ascii="Arial" w:cs="Arial" w:eastAsia="Arial" w:hAnsi="Arial"/>
          <w:sz w:val="16"/>
          <w:szCs w:val="16"/>
          <w:b w:val="1"/>
          <w:bCs w:val="1"/>
          <w:color w:val="auto"/>
        </w:rPr>
        <w:t>Total Comprehensive Income (Loss) Attributable to Graham Holdings Company</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5"/>
        </w:trPr>
        <w:tc>
          <w:tcPr>
            <w:tcW w:w="280" w:type="dxa"/>
            <w:vAlign w:val="bottom"/>
          </w:tcPr>
          <w:p>
            <w:pPr>
              <w:jc w:val="right"/>
              <w:ind w:right="79"/>
              <w:spacing w:after="0"/>
              <w:rPr>
                <w:sz w:val="20"/>
                <w:szCs w:val="20"/>
                <w:color w:val="auto"/>
              </w:rPr>
            </w:pPr>
            <w:r>
              <w:rPr>
                <w:rFonts w:ascii="Arial" w:cs="Arial" w:eastAsia="Arial" w:hAnsi="Arial"/>
                <w:sz w:val="16"/>
                <w:szCs w:val="16"/>
                <w:b w:val="1"/>
                <w:bCs w:val="1"/>
                <w:color w:val="auto"/>
              </w:rPr>
              <w:t>$</w:t>
            </w:r>
          </w:p>
        </w:tc>
        <w:tc>
          <w:tcPr>
            <w:tcW w:w="920" w:type="dxa"/>
            <w:vAlign w:val="bottom"/>
          </w:tcPr>
          <w:p>
            <w:pPr>
              <w:jc w:val="right"/>
              <w:ind w:right="79"/>
              <w:spacing w:after="0"/>
              <w:rPr>
                <w:sz w:val="20"/>
                <w:szCs w:val="20"/>
                <w:color w:val="auto"/>
              </w:rPr>
            </w:pPr>
            <w:r>
              <w:rPr>
                <w:rFonts w:ascii="Arial" w:cs="Arial" w:eastAsia="Arial" w:hAnsi="Arial"/>
                <w:sz w:val="16"/>
                <w:szCs w:val="16"/>
                <w:b w:val="1"/>
                <w:bCs w:val="1"/>
                <w:color w:val="auto"/>
              </w:rPr>
              <w:t>302,489</w:t>
            </w:r>
          </w:p>
        </w:tc>
        <w:tc>
          <w:tcPr>
            <w:tcW w:w="32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920" w:type="dxa"/>
            <w:vAlign w:val="bottom"/>
          </w:tcPr>
          <w:p>
            <w:pPr>
              <w:jc w:val="right"/>
              <w:ind w:right="79"/>
              <w:spacing w:after="0"/>
              <w:rPr>
                <w:sz w:val="20"/>
                <w:szCs w:val="20"/>
                <w:color w:val="auto"/>
              </w:rPr>
            </w:pPr>
            <w:r>
              <w:rPr>
                <w:rFonts w:ascii="Arial" w:cs="Arial" w:eastAsia="Arial" w:hAnsi="Arial"/>
                <w:sz w:val="16"/>
                <w:szCs w:val="16"/>
                <w:color w:val="auto"/>
              </w:rPr>
              <w:t>169,458</w:t>
            </w:r>
          </w:p>
        </w:tc>
        <w:tc>
          <w:tcPr>
            <w:tcW w:w="32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880" w:type="dxa"/>
            <w:vAlign w:val="bottom"/>
          </w:tcPr>
          <w:p>
            <w:pPr>
              <w:jc w:val="right"/>
              <w:spacing w:after="0"/>
              <w:rPr>
                <w:sz w:val="20"/>
                <w:szCs w:val="20"/>
                <w:color w:val="auto"/>
              </w:rPr>
            </w:pPr>
            <w:r>
              <w:rPr>
                <w:rFonts w:ascii="Arial" w:cs="Arial" w:eastAsia="Arial" w:hAnsi="Arial"/>
                <w:sz w:val="16"/>
                <w:szCs w:val="16"/>
                <w:color w:val="auto"/>
              </w:rPr>
              <w:t>(99,220)</w:t>
            </w:r>
          </w:p>
        </w:tc>
      </w:tr>
      <w:tr>
        <w:trPr>
          <w:trHeight w:val="810"/>
        </w:trPr>
        <w:tc>
          <w:tcPr>
            <w:tcW w:w="280" w:type="dxa"/>
            <w:vAlign w:val="bottom"/>
          </w:tcPr>
          <w:p>
            <w:pPr>
              <w:spacing w:after="0"/>
              <w:rPr>
                <w:sz w:val="24"/>
                <w:szCs w:val="24"/>
                <w:color w:val="auto"/>
              </w:rPr>
            </w:pPr>
          </w:p>
        </w:tc>
        <w:tc>
          <w:tcPr>
            <w:tcW w:w="920" w:type="dxa"/>
            <w:vAlign w:val="bottom"/>
          </w:tcPr>
          <w:p>
            <w:pPr>
              <w:jc w:val="right"/>
              <w:ind w:right="79"/>
              <w:spacing w:after="0"/>
              <w:rPr>
                <w:sz w:val="20"/>
                <w:szCs w:val="20"/>
                <w:color w:val="auto"/>
              </w:rPr>
            </w:pPr>
            <w:r>
              <w:rPr>
                <w:rFonts w:ascii="Arial" w:cs="Arial" w:eastAsia="Arial" w:hAnsi="Arial"/>
                <w:sz w:val="16"/>
                <w:szCs w:val="16"/>
                <w:b w:val="1"/>
                <w:bCs w:val="1"/>
                <w:color w:val="auto"/>
              </w:rPr>
              <w:t>33,175</w:t>
            </w:r>
          </w:p>
        </w:tc>
        <w:tc>
          <w:tcPr>
            <w:tcW w:w="320" w:type="dxa"/>
            <w:vAlign w:val="bottom"/>
          </w:tcPr>
          <w:p>
            <w:pPr>
              <w:spacing w:after="0"/>
              <w:rPr>
                <w:sz w:val="24"/>
                <w:szCs w:val="24"/>
                <w:color w:val="auto"/>
              </w:rPr>
            </w:pPr>
          </w:p>
        </w:tc>
        <w:tc>
          <w:tcPr>
            <w:tcW w:w="920" w:type="dxa"/>
            <w:vAlign w:val="bottom"/>
          </w:tcPr>
          <w:p>
            <w:pPr>
              <w:jc w:val="right"/>
              <w:ind w:right="19"/>
              <w:spacing w:after="0"/>
              <w:rPr>
                <w:sz w:val="20"/>
                <w:szCs w:val="20"/>
                <w:color w:val="auto"/>
              </w:rPr>
            </w:pPr>
            <w:r>
              <w:rPr>
                <w:rFonts w:ascii="Arial" w:cs="Arial" w:eastAsia="Arial" w:hAnsi="Arial"/>
                <w:sz w:val="16"/>
                <w:szCs w:val="16"/>
                <w:color w:val="auto"/>
              </w:rPr>
              <w:t>(22,149)</w:t>
            </w:r>
          </w:p>
        </w:tc>
        <w:tc>
          <w:tcPr>
            <w:tcW w:w="32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(18,898)</w:t>
            </w:r>
          </w:p>
        </w:tc>
      </w:tr>
      <w:tr>
        <w:trPr>
          <w:trHeight w:val="283"/>
        </w:trPr>
        <w:tc>
          <w:tcPr>
            <w:tcW w:w="28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b w:val="1"/>
                <w:bCs w:val="1"/>
                <w:color w:val="auto"/>
              </w:rPr>
              <w:t>137</w:t>
            </w:r>
          </w:p>
        </w:tc>
        <w:tc>
          <w:tcPr>
            <w:tcW w:w="32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w:t>
            </w:r>
          </w:p>
        </w:tc>
        <w:tc>
          <w:tcPr>
            <w:tcW w:w="32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5,501</w:t>
            </w:r>
          </w:p>
        </w:tc>
      </w:tr>
      <w:tr>
        <w:trPr>
          <w:trHeight w:val="251"/>
        </w:trPr>
        <w:tc>
          <w:tcPr>
            <w:tcW w:w="280" w:type="dxa"/>
            <w:vAlign w:val="bottom"/>
          </w:tcPr>
          <w:p>
            <w:pPr>
              <w:spacing w:after="0"/>
              <w:rPr>
                <w:sz w:val="21"/>
                <w:szCs w:val="21"/>
                <w:color w:val="auto"/>
              </w:rPr>
            </w:pPr>
          </w:p>
        </w:tc>
        <w:tc>
          <w:tcPr>
            <w:tcW w:w="920" w:type="dxa"/>
            <w:vAlign w:val="bottom"/>
          </w:tcPr>
          <w:p>
            <w:pPr>
              <w:jc w:val="right"/>
              <w:ind w:right="79"/>
              <w:spacing w:after="0"/>
              <w:rPr>
                <w:sz w:val="20"/>
                <w:szCs w:val="20"/>
                <w:color w:val="auto"/>
              </w:rPr>
            </w:pPr>
            <w:r>
              <w:rPr>
                <w:rFonts w:ascii="Arial" w:cs="Arial" w:eastAsia="Arial" w:hAnsi="Arial"/>
                <w:sz w:val="16"/>
                <w:szCs w:val="16"/>
                <w:b w:val="1"/>
                <w:bCs w:val="1"/>
                <w:color w:val="auto"/>
              </w:rPr>
              <w:t>33,312</w:t>
            </w:r>
          </w:p>
        </w:tc>
        <w:tc>
          <w:tcPr>
            <w:tcW w:w="320" w:type="dxa"/>
            <w:vAlign w:val="bottom"/>
          </w:tcPr>
          <w:p>
            <w:pPr>
              <w:spacing w:after="0"/>
              <w:rPr>
                <w:sz w:val="21"/>
                <w:szCs w:val="21"/>
                <w:color w:val="auto"/>
              </w:rPr>
            </w:pPr>
          </w:p>
        </w:tc>
        <w:tc>
          <w:tcPr>
            <w:tcW w:w="920" w:type="dxa"/>
            <w:vAlign w:val="bottom"/>
          </w:tcPr>
          <w:p>
            <w:pPr>
              <w:jc w:val="right"/>
              <w:ind w:right="19"/>
              <w:spacing w:after="0"/>
              <w:rPr>
                <w:sz w:val="20"/>
                <w:szCs w:val="20"/>
                <w:color w:val="auto"/>
              </w:rPr>
            </w:pPr>
            <w:r>
              <w:rPr>
                <w:rFonts w:ascii="Arial" w:cs="Arial" w:eastAsia="Arial" w:hAnsi="Arial"/>
                <w:sz w:val="16"/>
                <w:szCs w:val="16"/>
                <w:color w:val="auto"/>
              </w:rPr>
              <w:t>(22,149)</w:t>
            </w:r>
          </w:p>
        </w:tc>
        <w:tc>
          <w:tcPr>
            <w:tcW w:w="32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(13,397)</w:t>
            </w:r>
          </w:p>
        </w:tc>
      </w:tr>
      <w:tr>
        <w:trPr>
          <w:trHeight w:val="540"/>
        </w:trPr>
        <w:tc>
          <w:tcPr>
            <w:tcW w:w="280" w:type="dxa"/>
            <w:vAlign w:val="bottom"/>
          </w:tcPr>
          <w:p>
            <w:pPr>
              <w:spacing w:after="0"/>
              <w:rPr>
                <w:sz w:val="24"/>
                <w:szCs w:val="24"/>
                <w:color w:val="auto"/>
              </w:rPr>
            </w:pPr>
          </w:p>
        </w:tc>
        <w:tc>
          <w:tcPr>
            <w:tcW w:w="920" w:type="dxa"/>
            <w:vAlign w:val="bottom"/>
          </w:tcPr>
          <w:p>
            <w:pPr>
              <w:jc w:val="right"/>
              <w:ind w:right="79"/>
              <w:spacing w:after="0"/>
              <w:rPr>
                <w:sz w:val="20"/>
                <w:szCs w:val="20"/>
                <w:color w:val="auto"/>
              </w:rPr>
            </w:pPr>
            <w:r>
              <w:rPr>
                <w:rFonts w:ascii="Arial" w:cs="Arial" w:eastAsia="Arial" w:hAnsi="Arial"/>
                <w:sz w:val="16"/>
                <w:szCs w:val="16"/>
                <w:b w:val="1"/>
                <w:bCs w:val="1"/>
                <w:color w:val="auto"/>
              </w:rPr>
              <w:t>112,086</w:t>
            </w:r>
          </w:p>
        </w:tc>
        <w:tc>
          <w:tcPr>
            <w:tcW w:w="320" w:type="dxa"/>
            <w:vAlign w:val="bottom"/>
          </w:tcPr>
          <w:p>
            <w:pPr>
              <w:spacing w:after="0"/>
              <w:rPr>
                <w:sz w:val="24"/>
                <w:szCs w:val="24"/>
                <w:color w:val="auto"/>
              </w:rPr>
            </w:pPr>
          </w:p>
        </w:tc>
        <w:tc>
          <w:tcPr>
            <w:tcW w:w="920" w:type="dxa"/>
            <w:vAlign w:val="bottom"/>
          </w:tcPr>
          <w:p>
            <w:pPr>
              <w:jc w:val="right"/>
              <w:ind w:right="79"/>
              <w:spacing w:after="0"/>
              <w:rPr>
                <w:sz w:val="20"/>
                <w:szCs w:val="20"/>
                <w:color w:val="auto"/>
              </w:rPr>
            </w:pPr>
            <w:r>
              <w:rPr>
                <w:rFonts w:ascii="Arial" w:cs="Arial" w:eastAsia="Arial" w:hAnsi="Arial"/>
                <w:sz w:val="16"/>
                <w:szCs w:val="16"/>
                <w:color w:val="auto"/>
              </w:rPr>
              <w:t>55,507</w:t>
            </w:r>
          </w:p>
        </w:tc>
        <w:tc>
          <w:tcPr>
            <w:tcW w:w="320" w:type="dxa"/>
            <w:vAlign w:val="bottom"/>
          </w:tcPr>
          <w:p>
            <w:pPr>
              <w:spacing w:after="0"/>
              <w:rPr>
                <w:sz w:val="24"/>
                <w:szCs w:val="24"/>
                <w:color w:val="auto"/>
              </w:rPr>
            </w:pPr>
          </w:p>
        </w:tc>
        <w:tc>
          <w:tcPr>
            <w:tcW w:w="880" w:type="dxa"/>
            <w:vAlign w:val="bottom"/>
          </w:tcPr>
          <w:p>
            <w:pPr>
              <w:jc w:val="right"/>
              <w:ind w:right="19"/>
              <w:spacing w:after="0"/>
              <w:rPr>
                <w:sz w:val="20"/>
                <w:szCs w:val="20"/>
                <w:color w:val="auto"/>
              </w:rPr>
            </w:pPr>
            <w:r>
              <w:rPr>
                <w:rFonts w:ascii="Arial" w:cs="Arial" w:eastAsia="Arial" w:hAnsi="Arial"/>
                <w:sz w:val="16"/>
                <w:szCs w:val="16"/>
                <w:color w:val="auto"/>
              </w:rPr>
              <w:t>10,620</w:t>
            </w:r>
          </w:p>
        </w:tc>
      </w:tr>
      <w:tr>
        <w:trPr>
          <w:trHeight w:val="445"/>
        </w:trPr>
        <w:tc>
          <w:tcPr>
            <w:tcW w:w="28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b w:val="1"/>
                <w:bCs w:val="1"/>
                <w:color w:val="auto"/>
              </w:rPr>
              <w:t>—</w:t>
            </w:r>
          </w:p>
        </w:tc>
        <w:tc>
          <w:tcPr>
            <w:tcW w:w="32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1,879</w:t>
            </w:r>
          </w:p>
        </w:tc>
        <w:tc>
          <w:tcPr>
            <w:tcW w:w="32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w:t>
            </w:r>
          </w:p>
        </w:tc>
      </w:tr>
      <w:tr>
        <w:trPr>
          <w:trHeight w:val="251"/>
        </w:trPr>
        <w:tc>
          <w:tcPr>
            <w:tcW w:w="280" w:type="dxa"/>
            <w:vAlign w:val="bottom"/>
          </w:tcPr>
          <w:p>
            <w:pPr>
              <w:spacing w:after="0"/>
              <w:rPr>
                <w:sz w:val="21"/>
                <w:szCs w:val="21"/>
                <w:color w:val="auto"/>
              </w:rPr>
            </w:pPr>
          </w:p>
        </w:tc>
        <w:tc>
          <w:tcPr>
            <w:tcW w:w="920" w:type="dxa"/>
            <w:vAlign w:val="bottom"/>
          </w:tcPr>
          <w:p>
            <w:pPr>
              <w:jc w:val="right"/>
              <w:ind w:right="79"/>
              <w:spacing w:after="0"/>
              <w:rPr>
                <w:sz w:val="20"/>
                <w:szCs w:val="20"/>
                <w:color w:val="auto"/>
              </w:rPr>
            </w:pPr>
            <w:r>
              <w:rPr>
                <w:rFonts w:ascii="Arial" w:cs="Arial" w:eastAsia="Arial" w:hAnsi="Arial"/>
                <w:sz w:val="16"/>
                <w:szCs w:val="16"/>
                <w:b w:val="1"/>
                <w:bCs w:val="1"/>
                <w:color w:val="auto"/>
              </w:rPr>
              <w:t>112,086</w:t>
            </w:r>
          </w:p>
        </w:tc>
        <w:tc>
          <w:tcPr>
            <w:tcW w:w="320" w:type="dxa"/>
            <w:vAlign w:val="bottom"/>
          </w:tcPr>
          <w:p>
            <w:pPr>
              <w:spacing w:after="0"/>
              <w:rPr>
                <w:sz w:val="21"/>
                <w:szCs w:val="21"/>
                <w:color w:val="auto"/>
              </w:rPr>
            </w:pPr>
          </w:p>
        </w:tc>
        <w:tc>
          <w:tcPr>
            <w:tcW w:w="920" w:type="dxa"/>
            <w:vAlign w:val="bottom"/>
          </w:tcPr>
          <w:p>
            <w:pPr>
              <w:jc w:val="right"/>
              <w:ind w:right="79"/>
              <w:spacing w:after="0"/>
              <w:rPr>
                <w:sz w:val="20"/>
                <w:szCs w:val="20"/>
                <w:color w:val="auto"/>
              </w:rPr>
            </w:pPr>
            <w:r>
              <w:rPr>
                <w:rFonts w:ascii="Arial" w:cs="Arial" w:eastAsia="Arial" w:hAnsi="Arial"/>
                <w:sz w:val="16"/>
                <w:szCs w:val="16"/>
                <w:color w:val="auto"/>
              </w:rPr>
              <w:t>57,386</w:t>
            </w:r>
          </w:p>
        </w:tc>
        <w:tc>
          <w:tcPr>
            <w:tcW w:w="320" w:type="dxa"/>
            <w:vAlign w:val="bottom"/>
          </w:tcPr>
          <w:p>
            <w:pPr>
              <w:spacing w:after="0"/>
              <w:rPr>
                <w:sz w:val="21"/>
                <w:szCs w:val="21"/>
                <w:color w:val="auto"/>
              </w:rPr>
            </w:pPr>
          </w:p>
        </w:tc>
        <w:tc>
          <w:tcPr>
            <w:tcW w:w="880" w:type="dxa"/>
            <w:vAlign w:val="bottom"/>
          </w:tcPr>
          <w:p>
            <w:pPr>
              <w:jc w:val="right"/>
              <w:ind w:right="19"/>
              <w:spacing w:after="0"/>
              <w:rPr>
                <w:sz w:val="20"/>
                <w:szCs w:val="20"/>
                <w:color w:val="auto"/>
              </w:rPr>
            </w:pPr>
            <w:r>
              <w:rPr>
                <w:rFonts w:ascii="Arial" w:cs="Arial" w:eastAsia="Arial" w:hAnsi="Arial"/>
                <w:sz w:val="16"/>
                <w:szCs w:val="16"/>
                <w:color w:val="auto"/>
              </w:rPr>
              <w:t>10,616</w:t>
            </w:r>
          </w:p>
        </w:tc>
      </w:tr>
      <w:tr>
        <w:trPr>
          <w:trHeight w:val="540"/>
        </w:trPr>
        <w:tc>
          <w:tcPr>
            <w:tcW w:w="280" w:type="dxa"/>
            <w:vAlign w:val="bottom"/>
          </w:tcPr>
          <w:p>
            <w:pPr>
              <w:spacing w:after="0"/>
              <w:rPr>
                <w:sz w:val="24"/>
                <w:szCs w:val="24"/>
                <w:color w:val="auto"/>
              </w:rPr>
            </w:pPr>
          </w:p>
        </w:tc>
        <w:tc>
          <w:tcPr>
            <w:tcW w:w="920" w:type="dxa"/>
            <w:vAlign w:val="bottom"/>
          </w:tcPr>
          <w:p>
            <w:pPr>
              <w:jc w:val="right"/>
              <w:ind w:right="79"/>
              <w:spacing w:after="0"/>
              <w:rPr>
                <w:sz w:val="20"/>
                <w:szCs w:val="20"/>
                <w:color w:val="auto"/>
              </w:rPr>
            </w:pPr>
            <w:r>
              <w:rPr>
                <w:rFonts w:ascii="Arial" w:cs="Arial" w:eastAsia="Arial" w:hAnsi="Arial"/>
                <w:sz w:val="16"/>
                <w:szCs w:val="16"/>
                <w:b w:val="1"/>
                <w:bCs w:val="1"/>
                <w:color w:val="auto"/>
              </w:rPr>
              <w:t>179,674</w:t>
            </w:r>
          </w:p>
        </w:tc>
        <w:tc>
          <w:tcPr>
            <w:tcW w:w="320" w:type="dxa"/>
            <w:vAlign w:val="bottom"/>
          </w:tcPr>
          <w:p>
            <w:pPr>
              <w:spacing w:after="0"/>
              <w:rPr>
                <w:sz w:val="24"/>
                <w:szCs w:val="24"/>
                <w:color w:val="auto"/>
              </w:rPr>
            </w:pPr>
          </w:p>
        </w:tc>
        <w:tc>
          <w:tcPr>
            <w:tcW w:w="920" w:type="dxa"/>
            <w:vAlign w:val="bottom"/>
          </w:tcPr>
          <w:p>
            <w:pPr>
              <w:jc w:val="right"/>
              <w:ind w:right="19"/>
              <w:spacing w:after="0"/>
              <w:rPr>
                <w:sz w:val="20"/>
                <w:szCs w:val="20"/>
                <w:color w:val="auto"/>
              </w:rPr>
            </w:pPr>
            <w:r>
              <w:rPr>
                <w:rFonts w:ascii="Arial" w:cs="Arial" w:eastAsia="Arial" w:hAnsi="Arial"/>
                <w:sz w:val="16"/>
                <w:szCs w:val="16"/>
                <w:color w:val="auto"/>
              </w:rPr>
              <w:t>(133,915)</w:t>
            </w:r>
          </w:p>
        </w:tc>
        <w:tc>
          <w:tcPr>
            <w:tcW w:w="32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(211,054)</w:t>
            </w:r>
          </w:p>
        </w:tc>
      </w:tr>
      <w:tr>
        <w:trPr>
          <w:trHeight w:val="270"/>
        </w:trPr>
        <w:tc>
          <w:tcPr>
            <w:tcW w:w="280" w:type="dxa"/>
            <w:vAlign w:val="bottom"/>
          </w:tcPr>
          <w:p>
            <w:pPr>
              <w:spacing w:after="0"/>
              <w:rPr>
                <w:sz w:val="23"/>
                <w:szCs w:val="23"/>
                <w:color w:val="auto"/>
              </w:rPr>
            </w:pPr>
          </w:p>
        </w:tc>
        <w:tc>
          <w:tcPr>
            <w:tcW w:w="920" w:type="dxa"/>
            <w:vAlign w:val="bottom"/>
          </w:tcPr>
          <w:p>
            <w:pPr>
              <w:jc w:val="right"/>
              <w:ind w:right="19"/>
              <w:spacing w:after="0"/>
              <w:rPr>
                <w:sz w:val="20"/>
                <w:szCs w:val="20"/>
                <w:color w:val="auto"/>
              </w:rPr>
            </w:pPr>
            <w:r>
              <w:rPr>
                <w:rFonts w:ascii="Arial" w:cs="Arial" w:eastAsia="Arial" w:hAnsi="Arial"/>
                <w:sz w:val="16"/>
                <w:szCs w:val="16"/>
                <w:b w:val="1"/>
                <w:bCs w:val="1"/>
                <w:color w:val="auto"/>
              </w:rPr>
              <w:t>(75)</w:t>
            </w:r>
          </w:p>
        </w:tc>
        <w:tc>
          <w:tcPr>
            <w:tcW w:w="320" w:type="dxa"/>
            <w:vAlign w:val="bottom"/>
          </w:tcPr>
          <w:p>
            <w:pPr>
              <w:spacing w:after="0"/>
              <w:rPr>
                <w:sz w:val="23"/>
                <w:szCs w:val="23"/>
                <w:color w:val="auto"/>
              </w:rPr>
            </w:pPr>
          </w:p>
        </w:tc>
        <w:tc>
          <w:tcPr>
            <w:tcW w:w="92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320" w:type="dxa"/>
            <w:vAlign w:val="bottom"/>
          </w:tcPr>
          <w:p>
            <w:pPr>
              <w:spacing w:after="0"/>
              <w:rPr>
                <w:sz w:val="23"/>
                <w:szCs w:val="23"/>
                <w:color w:val="auto"/>
              </w:rPr>
            </w:pPr>
          </w:p>
        </w:tc>
        <w:tc>
          <w:tcPr>
            <w:tcW w:w="880" w:type="dxa"/>
            <w:vAlign w:val="bottom"/>
          </w:tcPr>
          <w:p>
            <w:pPr>
              <w:jc w:val="right"/>
              <w:ind w:right="19"/>
              <w:spacing w:after="0"/>
              <w:rPr>
                <w:sz w:val="20"/>
                <w:szCs w:val="20"/>
                <w:color w:val="auto"/>
              </w:rPr>
            </w:pPr>
            <w:r>
              <w:rPr>
                <w:rFonts w:ascii="Arial" w:cs="Arial" w:eastAsia="Arial" w:hAnsi="Arial"/>
                <w:sz w:val="16"/>
                <w:szCs w:val="16"/>
                <w:color w:val="auto"/>
              </w:rPr>
              <w:t>—</w:t>
            </w:r>
          </w:p>
        </w:tc>
      </w:tr>
      <w:tr>
        <w:trPr>
          <w:trHeight w:val="270"/>
        </w:trPr>
        <w:tc>
          <w:tcPr>
            <w:tcW w:w="280" w:type="dxa"/>
            <w:vAlign w:val="bottom"/>
          </w:tcPr>
          <w:p>
            <w:pPr>
              <w:spacing w:after="0"/>
              <w:rPr>
                <w:sz w:val="23"/>
                <w:szCs w:val="23"/>
                <w:color w:val="auto"/>
              </w:rPr>
            </w:pPr>
          </w:p>
        </w:tc>
        <w:tc>
          <w:tcPr>
            <w:tcW w:w="920" w:type="dxa"/>
            <w:vAlign w:val="bottom"/>
          </w:tcPr>
          <w:p>
            <w:pPr>
              <w:jc w:val="right"/>
              <w:ind w:right="19"/>
              <w:spacing w:after="0"/>
              <w:rPr>
                <w:sz w:val="20"/>
                <w:szCs w:val="20"/>
                <w:color w:val="auto"/>
              </w:rPr>
            </w:pPr>
            <w:r>
              <w:rPr>
                <w:rFonts w:ascii="Arial" w:cs="Arial" w:eastAsia="Arial" w:hAnsi="Arial"/>
                <w:sz w:val="16"/>
                <w:szCs w:val="16"/>
                <w:b w:val="1"/>
                <w:bCs w:val="1"/>
                <w:color w:val="auto"/>
              </w:rPr>
              <w:t>(6,527)</w:t>
            </w:r>
          </w:p>
        </w:tc>
        <w:tc>
          <w:tcPr>
            <w:tcW w:w="320" w:type="dxa"/>
            <w:vAlign w:val="bottom"/>
          </w:tcPr>
          <w:p>
            <w:pPr>
              <w:spacing w:after="0"/>
              <w:rPr>
                <w:sz w:val="23"/>
                <w:szCs w:val="23"/>
                <w:color w:val="auto"/>
              </w:rPr>
            </w:pPr>
          </w:p>
        </w:tc>
        <w:tc>
          <w:tcPr>
            <w:tcW w:w="920" w:type="dxa"/>
            <w:vAlign w:val="bottom"/>
          </w:tcPr>
          <w:p>
            <w:pPr>
              <w:jc w:val="right"/>
              <w:ind w:right="79"/>
              <w:spacing w:after="0"/>
              <w:rPr>
                <w:sz w:val="20"/>
                <w:szCs w:val="20"/>
                <w:color w:val="auto"/>
              </w:rPr>
            </w:pPr>
            <w:r>
              <w:rPr>
                <w:rFonts w:ascii="Arial" w:cs="Arial" w:eastAsia="Arial" w:hAnsi="Arial"/>
                <w:sz w:val="16"/>
                <w:szCs w:val="16"/>
                <w:color w:val="auto"/>
              </w:rPr>
              <w:t>1,157</w:t>
            </w:r>
          </w:p>
        </w:tc>
        <w:tc>
          <w:tcPr>
            <w:tcW w:w="320" w:type="dxa"/>
            <w:vAlign w:val="bottom"/>
          </w:tcPr>
          <w:p>
            <w:pPr>
              <w:spacing w:after="0"/>
              <w:rPr>
                <w:sz w:val="23"/>
                <w:szCs w:val="23"/>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(9,906)</w:t>
            </w:r>
          </w:p>
        </w:tc>
      </w:tr>
      <w:tr>
        <w:trPr>
          <w:trHeight w:val="270"/>
        </w:trPr>
        <w:tc>
          <w:tcPr>
            <w:tcW w:w="280" w:type="dxa"/>
            <w:vAlign w:val="bottom"/>
          </w:tcPr>
          <w:p>
            <w:pPr>
              <w:spacing w:after="0"/>
              <w:rPr>
                <w:sz w:val="23"/>
                <w:szCs w:val="23"/>
                <w:color w:val="auto"/>
              </w:rPr>
            </w:pPr>
          </w:p>
        </w:tc>
        <w:tc>
          <w:tcPr>
            <w:tcW w:w="920" w:type="dxa"/>
            <w:vAlign w:val="bottom"/>
          </w:tcPr>
          <w:p>
            <w:pPr>
              <w:jc w:val="right"/>
              <w:ind w:right="79"/>
              <w:spacing w:after="0"/>
              <w:rPr>
                <w:sz w:val="20"/>
                <w:szCs w:val="20"/>
                <w:color w:val="auto"/>
              </w:rPr>
            </w:pPr>
            <w:r>
              <w:rPr>
                <w:rFonts w:ascii="Arial" w:cs="Arial" w:eastAsia="Arial" w:hAnsi="Arial"/>
                <w:sz w:val="16"/>
                <w:szCs w:val="16"/>
                <w:b w:val="1"/>
                <w:bCs w:val="1"/>
                <w:color w:val="auto"/>
              </w:rPr>
              <w:t>477</w:t>
            </w:r>
          </w:p>
        </w:tc>
        <w:tc>
          <w:tcPr>
            <w:tcW w:w="320" w:type="dxa"/>
            <w:vAlign w:val="bottom"/>
          </w:tcPr>
          <w:p>
            <w:pPr>
              <w:spacing w:after="0"/>
              <w:rPr>
                <w:sz w:val="23"/>
                <w:szCs w:val="23"/>
                <w:color w:val="auto"/>
              </w:rPr>
            </w:pPr>
          </w:p>
        </w:tc>
        <w:tc>
          <w:tcPr>
            <w:tcW w:w="920" w:type="dxa"/>
            <w:vAlign w:val="bottom"/>
          </w:tcPr>
          <w:p>
            <w:pPr>
              <w:jc w:val="right"/>
              <w:ind w:right="79"/>
              <w:spacing w:after="0"/>
              <w:rPr>
                <w:sz w:val="20"/>
                <w:szCs w:val="20"/>
                <w:color w:val="auto"/>
              </w:rPr>
            </w:pPr>
            <w:r>
              <w:rPr>
                <w:rFonts w:ascii="Arial" w:cs="Arial" w:eastAsia="Arial" w:hAnsi="Arial"/>
                <w:sz w:val="16"/>
                <w:szCs w:val="16"/>
                <w:color w:val="auto"/>
              </w:rPr>
              <w:t>419</w:t>
            </w:r>
          </w:p>
        </w:tc>
        <w:tc>
          <w:tcPr>
            <w:tcW w:w="320" w:type="dxa"/>
            <w:vAlign w:val="bottom"/>
          </w:tcPr>
          <w:p>
            <w:pPr>
              <w:spacing w:after="0"/>
              <w:rPr>
                <w:sz w:val="23"/>
                <w:szCs w:val="23"/>
                <w:color w:val="auto"/>
              </w:rPr>
            </w:pPr>
          </w:p>
        </w:tc>
        <w:tc>
          <w:tcPr>
            <w:tcW w:w="880" w:type="dxa"/>
            <w:vAlign w:val="bottom"/>
          </w:tcPr>
          <w:p>
            <w:pPr>
              <w:jc w:val="right"/>
              <w:ind w:right="19"/>
              <w:spacing w:after="0"/>
              <w:rPr>
                <w:sz w:val="20"/>
                <w:szCs w:val="20"/>
                <w:color w:val="auto"/>
              </w:rPr>
            </w:pPr>
            <w:r>
              <w:rPr>
                <w:rFonts w:ascii="Arial" w:cs="Arial" w:eastAsia="Arial" w:hAnsi="Arial"/>
                <w:sz w:val="16"/>
                <w:szCs w:val="16"/>
                <w:color w:val="auto"/>
              </w:rPr>
              <w:t>275</w:t>
            </w:r>
          </w:p>
        </w:tc>
      </w:tr>
      <w:tr>
        <w:trPr>
          <w:trHeight w:val="270"/>
        </w:trPr>
        <w:tc>
          <w:tcPr>
            <w:tcW w:w="280" w:type="dxa"/>
            <w:vAlign w:val="bottom"/>
          </w:tcPr>
          <w:p>
            <w:pPr>
              <w:spacing w:after="0"/>
              <w:rPr>
                <w:sz w:val="23"/>
                <w:szCs w:val="23"/>
                <w:color w:val="auto"/>
              </w:rPr>
            </w:pPr>
          </w:p>
        </w:tc>
        <w:tc>
          <w:tcPr>
            <w:tcW w:w="920" w:type="dxa"/>
            <w:vAlign w:val="bottom"/>
          </w:tcPr>
          <w:p>
            <w:pPr>
              <w:jc w:val="right"/>
              <w:ind w:right="79"/>
              <w:spacing w:after="0"/>
              <w:rPr>
                <w:sz w:val="20"/>
                <w:szCs w:val="20"/>
                <w:color w:val="auto"/>
              </w:rPr>
            </w:pPr>
            <w:r>
              <w:rPr>
                <w:rFonts w:ascii="Arial" w:cs="Arial" w:eastAsia="Arial" w:hAnsi="Arial"/>
                <w:sz w:val="16"/>
                <w:szCs w:val="16"/>
                <w:b w:val="1"/>
                <w:bCs w:val="1"/>
                <w:color w:val="auto"/>
              </w:rPr>
              <w:t>—</w:t>
            </w:r>
          </w:p>
        </w:tc>
        <w:tc>
          <w:tcPr>
            <w:tcW w:w="320" w:type="dxa"/>
            <w:vAlign w:val="bottom"/>
          </w:tcPr>
          <w:p>
            <w:pPr>
              <w:spacing w:after="0"/>
              <w:rPr>
                <w:sz w:val="23"/>
                <w:szCs w:val="23"/>
                <w:color w:val="auto"/>
              </w:rPr>
            </w:pPr>
          </w:p>
        </w:tc>
        <w:tc>
          <w:tcPr>
            <w:tcW w:w="920" w:type="dxa"/>
            <w:vAlign w:val="bottom"/>
          </w:tcPr>
          <w:p>
            <w:pPr>
              <w:jc w:val="right"/>
              <w:ind w:right="19"/>
              <w:spacing w:after="0"/>
              <w:rPr>
                <w:sz w:val="20"/>
                <w:szCs w:val="20"/>
                <w:color w:val="auto"/>
              </w:rPr>
            </w:pPr>
            <w:r>
              <w:rPr>
                <w:rFonts w:ascii="Arial" w:cs="Arial" w:eastAsia="Arial" w:hAnsi="Arial"/>
                <w:sz w:val="16"/>
                <w:szCs w:val="16"/>
                <w:color w:val="auto"/>
              </w:rPr>
              <w:t>(17,993)</w:t>
            </w:r>
          </w:p>
        </w:tc>
        <w:tc>
          <w:tcPr>
            <w:tcW w:w="320" w:type="dxa"/>
            <w:vAlign w:val="bottom"/>
          </w:tcPr>
          <w:p>
            <w:pPr>
              <w:spacing w:after="0"/>
              <w:rPr>
                <w:sz w:val="23"/>
                <w:szCs w:val="23"/>
                <w:color w:val="auto"/>
              </w:rPr>
            </w:pPr>
          </w:p>
        </w:tc>
        <w:tc>
          <w:tcPr>
            <w:tcW w:w="880" w:type="dxa"/>
            <w:vAlign w:val="bottom"/>
          </w:tcPr>
          <w:p>
            <w:pPr>
              <w:jc w:val="right"/>
              <w:ind w:right="19"/>
              <w:spacing w:after="0"/>
              <w:rPr>
                <w:sz w:val="20"/>
                <w:szCs w:val="20"/>
                <w:color w:val="auto"/>
              </w:rPr>
            </w:pPr>
            <w:r>
              <w:rPr>
                <w:rFonts w:ascii="Arial" w:cs="Arial" w:eastAsia="Arial" w:hAnsi="Arial"/>
                <w:sz w:val="16"/>
                <w:szCs w:val="16"/>
                <w:color w:val="auto"/>
              </w:rPr>
              <w:t>51</w:t>
            </w:r>
          </w:p>
        </w:tc>
      </w:tr>
      <w:tr>
        <w:trPr>
          <w:trHeight w:val="283"/>
        </w:trPr>
        <w:tc>
          <w:tcPr>
            <w:tcW w:w="28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b w:val="1"/>
                <w:bCs w:val="1"/>
                <w:color w:val="auto"/>
              </w:rPr>
              <w:t>—</w:t>
            </w:r>
          </w:p>
        </w:tc>
        <w:tc>
          <w:tcPr>
            <w:tcW w:w="32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w:t>
            </w:r>
          </w:p>
        </w:tc>
        <w:tc>
          <w:tcPr>
            <w:tcW w:w="32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834</w:t>
            </w:r>
          </w:p>
        </w:tc>
      </w:tr>
      <w:tr>
        <w:trPr>
          <w:trHeight w:val="251"/>
        </w:trPr>
        <w:tc>
          <w:tcPr>
            <w:tcW w:w="280" w:type="dxa"/>
            <w:vAlign w:val="bottom"/>
          </w:tcPr>
          <w:p>
            <w:pPr>
              <w:spacing w:after="0"/>
              <w:rPr>
                <w:sz w:val="21"/>
                <w:szCs w:val="21"/>
                <w:color w:val="auto"/>
              </w:rPr>
            </w:pPr>
          </w:p>
        </w:tc>
        <w:tc>
          <w:tcPr>
            <w:tcW w:w="920" w:type="dxa"/>
            <w:vAlign w:val="bottom"/>
          </w:tcPr>
          <w:p>
            <w:pPr>
              <w:jc w:val="right"/>
              <w:ind w:right="79"/>
              <w:spacing w:after="0"/>
              <w:rPr>
                <w:sz w:val="20"/>
                <w:szCs w:val="20"/>
                <w:color w:val="auto"/>
              </w:rPr>
            </w:pPr>
            <w:r>
              <w:rPr>
                <w:rFonts w:ascii="Arial" w:cs="Arial" w:eastAsia="Arial" w:hAnsi="Arial"/>
                <w:sz w:val="16"/>
                <w:szCs w:val="16"/>
                <w:b w:val="1"/>
                <w:bCs w:val="1"/>
                <w:color w:val="auto"/>
              </w:rPr>
              <w:t>173,549</w:t>
            </w:r>
          </w:p>
        </w:tc>
        <w:tc>
          <w:tcPr>
            <w:tcW w:w="320" w:type="dxa"/>
            <w:vAlign w:val="bottom"/>
          </w:tcPr>
          <w:p>
            <w:pPr>
              <w:spacing w:after="0"/>
              <w:rPr>
                <w:sz w:val="21"/>
                <w:szCs w:val="21"/>
                <w:color w:val="auto"/>
              </w:rPr>
            </w:pPr>
          </w:p>
        </w:tc>
        <w:tc>
          <w:tcPr>
            <w:tcW w:w="920" w:type="dxa"/>
            <w:vAlign w:val="bottom"/>
          </w:tcPr>
          <w:p>
            <w:pPr>
              <w:jc w:val="right"/>
              <w:ind w:right="19"/>
              <w:spacing w:after="0"/>
              <w:rPr>
                <w:sz w:val="20"/>
                <w:szCs w:val="20"/>
                <w:color w:val="auto"/>
              </w:rPr>
            </w:pPr>
            <w:r>
              <w:rPr>
                <w:rFonts w:ascii="Arial" w:cs="Arial" w:eastAsia="Arial" w:hAnsi="Arial"/>
                <w:sz w:val="16"/>
                <w:szCs w:val="16"/>
                <w:color w:val="auto"/>
              </w:rPr>
              <w:t>(150,332)</w:t>
            </w:r>
          </w:p>
        </w:tc>
        <w:tc>
          <w:tcPr>
            <w:tcW w:w="32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(219,800)</w:t>
            </w:r>
          </w:p>
        </w:tc>
      </w:tr>
      <w:tr>
        <w:trPr>
          <w:trHeight w:val="283"/>
        </w:trPr>
        <w:tc>
          <w:tcPr>
            <w:tcW w:w="28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b w:val="1"/>
                <w:bCs w:val="1"/>
                <w:color w:val="auto"/>
              </w:rPr>
              <w:t>112</w:t>
            </w:r>
          </w:p>
        </w:tc>
        <w:tc>
          <w:tcPr>
            <w:tcW w:w="32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(334)</w:t>
            </w:r>
          </w:p>
        </w:tc>
        <w:tc>
          <w:tcPr>
            <w:tcW w:w="32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179</w:t>
            </w:r>
          </w:p>
        </w:tc>
      </w:tr>
      <w:tr>
        <w:trPr>
          <w:trHeight w:val="251"/>
        </w:trPr>
        <w:tc>
          <w:tcPr>
            <w:tcW w:w="280" w:type="dxa"/>
            <w:vAlign w:val="bottom"/>
          </w:tcPr>
          <w:p>
            <w:pPr>
              <w:spacing w:after="0"/>
              <w:rPr>
                <w:sz w:val="21"/>
                <w:szCs w:val="21"/>
                <w:color w:val="auto"/>
              </w:rPr>
            </w:pPr>
          </w:p>
        </w:tc>
        <w:tc>
          <w:tcPr>
            <w:tcW w:w="920" w:type="dxa"/>
            <w:vAlign w:val="bottom"/>
          </w:tcPr>
          <w:p>
            <w:pPr>
              <w:jc w:val="right"/>
              <w:ind w:right="79"/>
              <w:spacing w:after="0"/>
              <w:rPr>
                <w:sz w:val="20"/>
                <w:szCs w:val="20"/>
                <w:color w:val="auto"/>
              </w:rPr>
            </w:pPr>
            <w:r>
              <w:rPr>
                <w:rFonts w:ascii="Arial" w:cs="Arial" w:eastAsia="Arial" w:hAnsi="Arial"/>
                <w:sz w:val="16"/>
                <w:szCs w:val="16"/>
                <w:b w:val="1"/>
                <w:bCs w:val="1"/>
                <w:color w:val="auto"/>
              </w:rPr>
              <w:t>319,059</w:t>
            </w:r>
          </w:p>
        </w:tc>
        <w:tc>
          <w:tcPr>
            <w:tcW w:w="320" w:type="dxa"/>
            <w:vAlign w:val="bottom"/>
          </w:tcPr>
          <w:p>
            <w:pPr>
              <w:spacing w:after="0"/>
              <w:rPr>
                <w:sz w:val="21"/>
                <w:szCs w:val="21"/>
                <w:color w:val="auto"/>
              </w:rPr>
            </w:pPr>
          </w:p>
        </w:tc>
        <w:tc>
          <w:tcPr>
            <w:tcW w:w="920" w:type="dxa"/>
            <w:vAlign w:val="bottom"/>
          </w:tcPr>
          <w:p>
            <w:pPr>
              <w:jc w:val="right"/>
              <w:ind w:right="19"/>
              <w:spacing w:after="0"/>
              <w:rPr>
                <w:sz w:val="20"/>
                <w:szCs w:val="20"/>
                <w:color w:val="auto"/>
              </w:rPr>
            </w:pPr>
            <w:r>
              <w:rPr>
                <w:rFonts w:ascii="Arial" w:cs="Arial" w:eastAsia="Arial" w:hAnsi="Arial"/>
                <w:sz w:val="16"/>
                <w:szCs w:val="16"/>
                <w:color w:val="auto"/>
              </w:rPr>
              <w:t>(115,429)</w:t>
            </w:r>
          </w:p>
        </w:tc>
        <w:tc>
          <w:tcPr>
            <w:tcW w:w="32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(222,402)</w:t>
            </w:r>
          </w:p>
        </w:tc>
      </w:tr>
      <w:tr>
        <w:trPr>
          <w:trHeight w:val="283"/>
        </w:trPr>
        <w:tc>
          <w:tcPr>
            <w:tcW w:w="28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b w:val="1"/>
                <w:bCs w:val="1"/>
                <w:color w:val="auto"/>
              </w:rPr>
              <w:t>(90,923)</w:t>
            </w:r>
          </w:p>
        </w:tc>
        <w:tc>
          <w:tcPr>
            <w:tcW w:w="32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37,235</w:t>
            </w:r>
          </w:p>
        </w:tc>
        <w:tc>
          <w:tcPr>
            <w:tcW w:w="32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83,602</w:t>
            </w:r>
          </w:p>
        </w:tc>
      </w:tr>
      <w:tr>
        <w:trPr>
          <w:trHeight w:val="264"/>
        </w:trPr>
        <w:tc>
          <w:tcPr>
            <w:tcW w:w="28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b w:val="1"/>
                <w:bCs w:val="1"/>
                <w:color w:val="auto"/>
              </w:rPr>
              <w:t>228,136</w:t>
            </w:r>
          </w:p>
        </w:tc>
        <w:tc>
          <w:tcPr>
            <w:tcW w:w="32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(78,194)</w:t>
            </w:r>
          </w:p>
        </w:tc>
        <w:tc>
          <w:tcPr>
            <w:tcW w:w="32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(138,800)</w:t>
            </w:r>
          </w:p>
        </w:tc>
      </w:tr>
      <w:tr>
        <w:trPr>
          <w:trHeight w:val="251"/>
        </w:trPr>
        <w:tc>
          <w:tcPr>
            <w:tcW w:w="280" w:type="dxa"/>
            <w:vAlign w:val="bottom"/>
          </w:tcPr>
          <w:p>
            <w:pPr>
              <w:spacing w:after="0"/>
              <w:rPr>
                <w:sz w:val="21"/>
                <w:szCs w:val="21"/>
                <w:color w:val="auto"/>
              </w:rPr>
            </w:pPr>
          </w:p>
        </w:tc>
        <w:tc>
          <w:tcPr>
            <w:tcW w:w="920" w:type="dxa"/>
            <w:vAlign w:val="bottom"/>
          </w:tcPr>
          <w:p>
            <w:pPr>
              <w:jc w:val="right"/>
              <w:ind w:right="79"/>
              <w:spacing w:after="0"/>
              <w:rPr>
                <w:sz w:val="20"/>
                <w:szCs w:val="20"/>
                <w:color w:val="auto"/>
              </w:rPr>
            </w:pPr>
            <w:r>
              <w:rPr>
                <w:rFonts w:ascii="Arial" w:cs="Arial" w:eastAsia="Arial" w:hAnsi="Arial"/>
                <w:sz w:val="16"/>
                <w:szCs w:val="16"/>
                <w:b w:val="1"/>
                <w:bCs w:val="1"/>
                <w:color w:val="auto"/>
              </w:rPr>
              <w:t>530,625</w:t>
            </w:r>
          </w:p>
        </w:tc>
        <w:tc>
          <w:tcPr>
            <w:tcW w:w="320" w:type="dxa"/>
            <w:vAlign w:val="bottom"/>
          </w:tcPr>
          <w:p>
            <w:pPr>
              <w:spacing w:after="0"/>
              <w:rPr>
                <w:sz w:val="21"/>
                <w:szCs w:val="21"/>
                <w:color w:val="auto"/>
              </w:rPr>
            </w:pPr>
          </w:p>
        </w:tc>
        <w:tc>
          <w:tcPr>
            <w:tcW w:w="920" w:type="dxa"/>
            <w:vAlign w:val="bottom"/>
          </w:tcPr>
          <w:p>
            <w:pPr>
              <w:jc w:val="right"/>
              <w:ind w:right="79"/>
              <w:spacing w:after="0"/>
              <w:rPr>
                <w:sz w:val="20"/>
                <w:szCs w:val="20"/>
                <w:color w:val="auto"/>
              </w:rPr>
            </w:pPr>
            <w:r>
              <w:rPr>
                <w:rFonts w:ascii="Arial" w:cs="Arial" w:eastAsia="Arial" w:hAnsi="Arial"/>
                <w:sz w:val="16"/>
                <w:szCs w:val="16"/>
                <w:color w:val="auto"/>
              </w:rPr>
              <w:t>91,264</w:t>
            </w:r>
          </w:p>
        </w:tc>
        <w:tc>
          <w:tcPr>
            <w:tcW w:w="32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(238,020)</w:t>
            </w:r>
          </w:p>
        </w:tc>
      </w:tr>
      <w:tr>
        <w:trPr>
          <w:trHeight w:val="283"/>
        </w:trPr>
        <w:tc>
          <w:tcPr>
            <w:tcW w:w="28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b w:val="1"/>
                <w:bCs w:val="1"/>
                <w:color w:val="auto"/>
              </w:rPr>
              <w:t>(445)</w:t>
            </w:r>
          </w:p>
        </w:tc>
        <w:tc>
          <w:tcPr>
            <w:tcW w:w="32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(868)</w:t>
            </w:r>
          </w:p>
        </w:tc>
        <w:tc>
          <w:tcPr>
            <w:tcW w:w="32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(1,435)</w:t>
            </w:r>
          </w:p>
        </w:tc>
      </w:tr>
      <w:tr>
        <w:trPr>
          <w:trHeight w:val="264"/>
        </w:trPr>
        <w:tc>
          <w:tcPr>
            <w:tcW w:w="28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b w:val="1"/>
                <w:bCs w:val="1"/>
                <w:color w:val="auto"/>
              </w:rPr>
              <w:t>$</w:t>
            </w:r>
          </w:p>
        </w:tc>
        <w:tc>
          <w:tcPr>
            <w:tcW w:w="92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b w:val="1"/>
                <w:bCs w:val="1"/>
                <w:color w:val="auto"/>
              </w:rPr>
              <w:t>530,180</w:t>
            </w:r>
          </w:p>
        </w:tc>
        <w:tc>
          <w:tcPr>
            <w:tcW w:w="32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w:t>
            </w:r>
          </w:p>
        </w:tc>
        <w:tc>
          <w:tcPr>
            <w:tcW w:w="92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90,396</w:t>
            </w:r>
          </w:p>
        </w:tc>
        <w:tc>
          <w:tcPr>
            <w:tcW w:w="32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(239,455)</w:t>
            </w:r>
          </w:p>
        </w:tc>
      </w:tr>
      <w:tr>
        <w:trPr>
          <w:trHeight w:val="20"/>
        </w:trPr>
        <w:tc>
          <w:tcPr>
            <w:tcW w:w="2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r>
    </w:tbl>
    <w:p>
      <w:pPr>
        <w:spacing w:after="0" w:line="167" w:lineRule="exact"/>
        <w:rPr>
          <w:sz w:val="20"/>
          <w:szCs w:val="20"/>
          <w:color w:val="auto"/>
        </w:rPr>
      </w:pPr>
    </w:p>
    <w:p>
      <w:pPr>
        <w:sectPr>
          <w:pgSz w:w="11900" w:h="16838" w:orient="portrait"/>
          <w:cols w:equalWidth="0" w:num="2">
            <w:col w:w="7200" w:space="580"/>
            <w:col w:w="3640"/>
          </w:cols>
          <w:pgMar w:left="240" w:top="738" w:right="239" w:bottom="1440" w:gutter="0" w:footer="0" w:header="0"/>
          <w:type w:val="continuous"/>
        </w:sectPr>
      </w:pPr>
    </w:p>
    <w:p>
      <w:pPr>
        <w:spacing w:after="0"/>
        <w:rPr>
          <w:sz w:val="20"/>
          <w:szCs w:val="20"/>
          <w:color w:val="auto"/>
        </w:rPr>
      </w:pPr>
      <w:r>
        <w:rPr>
          <w:rFonts w:ascii="Arial" w:cs="Arial" w:eastAsia="Arial" w:hAnsi="Arial"/>
          <w:sz w:val="14"/>
          <w:szCs w:val="14"/>
          <w:color w:val="auto"/>
        </w:rPr>
        <w:t>See accompanying Notes to Consolidated Financial Statements.</w:t>
      </w:r>
    </w:p>
    <w:p>
      <w:pPr>
        <w:spacing w:after="0" w:line="347"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72</w:t>
      </w:r>
    </w:p>
    <w:p>
      <w:pPr>
        <w:sectPr>
          <w:pgSz w:w="11900" w:h="16838" w:orient="portrait"/>
          <w:cols w:equalWidth="0" w:num="1">
            <w:col w:w="11420"/>
          </w:cols>
          <w:pgMar w:left="240" w:top="738" w:right="239" w:bottom="1440" w:gutter="0" w:footer="0" w:header="0"/>
          <w:type w:val="continuous"/>
        </w:sectPr>
      </w:pPr>
    </w:p>
    <w:bookmarkStart w:id="74" w:name="page75"/>
    <w:bookmarkEnd w:id="74"/>
    <w:p>
      <w:pPr>
        <w:jc w:val="center"/>
        <w:spacing w:after="0"/>
        <w:rPr>
          <w:sz w:val="20"/>
          <w:szCs w:val="20"/>
          <w:color w:val="auto"/>
        </w:rPr>
      </w:pPr>
      <w:r>
        <w:rPr>
          <w:rFonts w:ascii="Arial" w:cs="Arial" w:eastAsia="Arial" w:hAnsi="Arial"/>
          <w:sz w:val="18"/>
          <w:szCs w:val="18"/>
          <w:b w:val="1"/>
          <w:bCs w:val="1"/>
          <w:color w:val="auto"/>
        </w:rPr>
        <w:t>GRAHAM HOLDINGS COMPANY</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BALANCE SHEETS</w:t>
      </w:r>
    </w:p>
    <w:p>
      <w:pPr>
        <w:spacing w:after="0" w:line="145"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902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2180" w:type="dxa"/>
            <w:vAlign w:val="bottom"/>
            <w:tcBorders>
              <w:bottom w:val="single" w:sz="8" w:color="auto"/>
            </w:tcBorders>
            <w:gridSpan w:val="3"/>
          </w:tcPr>
          <w:p>
            <w:pPr>
              <w:jc w:val="right"/>
              <w:ind w:right="464"/>
              <w:spacing w:after="0"/>
              <w:rPr>
                <w:sz w:val="20"/>
                <w:szCs w:val="20"/>
                <w:color w:val="auto"/>
              </w:rPr>
            </w:pPr>
            <w:r>
              <w:rPr>
                <w:rFonts w:ascii="Arial" w:cs="Arial" w:eastAsia="Arial" w:hAnsi="Arial"/>
                <w:sz w:val="14"/>
                <w:szCs w:val="14"/>
                <w:b w:val="1"/>
                <w:bCs w:val="1"/>
                <w:color w:val="auto"/>
              </w:rPr>
              <w:t>As of December 31</w:t>
            </w:r>
          </w:p>
        </w:tc>
        <w:tc>
          <w:tcPr>
            <w:tcW w:w="0" w:type="dxa"/>
            <w:vAlign w:val="bottom"/>
          </w:tcPr>
          <w:p>
            <w:pPr>
              <w:spacing w:after="0"/>
              <w:rPr>
                <w:sz w:val="1"/>
                <w:szCs w:val="1"/>
                <w:color w:val="auto"/>
              </w:rPr>
            </w:pPr>
          </w:p>
        </w:tc>
      </w:tr>
      <w:tr>
        <w:trPr>
          <w:trHeight w:val="264"/>
        </w:trPr>
        <w:tc>
          <w:tcPr>
            <w:tcW w:w="902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(In thousands, except share amounts)</w:t>
            </w:r>
          </w:p>
        </w:tc>
        <w:tc>
          <w:tcPr>
            <w:tcW w:w="22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ind w:right="384"/>
              <w:spacing w:after="0"/>
              <w:rPr>
                <w:sz w:val="20"/>
                <w:szCs w:val="20"/>
                <w:color w:val="auto"/>
              </w:rPr>
            </w:pPr>
            <w:r>
              <w:rPr>
                <w:rFonts w:ascii="Arial" w:cs="Arial" w:eastAsia="Arial" w:hAnsi="Arial"/>
                <w:sz w:val="14"/>
                <w:szCs w:val="14"/>
                <w:b w:val="1"/>
                <w:bCs w:val="1"/>
                <w:color w:val="auto"/>
              </w:rPr>
              <w:t>2017</w:t>
            </w:r>
          </w:p>
        </w:tc>
        <w:tc>
          <w:tcPr>
            <w:tcW w:w="26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right"/>
              <w:ind w:right="324"/>
              <w:spacing w:after="0"/>
              <w:rPr>
                <w:sz w:val="20"/>
                <w:szCs w:val="20"/>
                <w:color w:val="auto"/>
              </w:rPr>
            </w:pPr>
            <w:r>
              <w:rPr>
                <w:rFonts w:ascii="Arial" w:cs="Arial" w:eastAsia="Arial" w:hAnsi="Arial"/>
                <w:sz w:val="14"/>
                <w:szCs w:val="14"/>
                <w:color w:val="auto"/>
              </w:rPr>
              <w:t>2016</w:t>
            </w:r>
          </w:p>
        </w:tc>
        <w:tc>
          <w:tcPr>
            <w:tcW w:w="0" w:type="dxa"/>
            <w:vAlign w:val="bottom"/>
          </w:tcPr>
          <w:p>
            <w:pPr>
              <w:spacing w:after="0"/>
              <w:rPr>
                <w:sz w:val="1"/>
                <w:szCs w:val="1"/>
                <w:color w:val="auto"/>
              </w:rPr>
            </w:pPr>
          </w:p>
        </w:tc>
      </w:tr>
      <w:tr>
        <w:trPr>
          <w:trHeight w:val="262"/>
        </w:trPr>
        <w:tc>
          <w:tcPr>
            <w:tcW w:w="9020" w:type="dxa"/>
            <w:vAlign w:val="bottom"/>
          </w:tcPr>
          <w:p>
            <w:pPr>
              <w:ind w:left="40"/>
              <w:spacing w:after="0"/>
              <w:rPr>
                <w:sz w:val="20"/>
                <w:szCs w:val="20"/>
                <w:color w:val="auto"/>
              </w:rPr>
            </w:pPr>
            <w:r>
              <w:rPr>
                <w:rFonts w:ascii="Arial" w:cs="Arial" w:eastAsia="Arial" w:hAnsi="Arial"/>
                <w:sz w:val="15"/>
                <w:szCs w:val="15"/>
                <w:b w:val="1"/>
                <w:bCs w:val="1"/>
                <w:color w:val="auto"/>
              </w:rPr>
              <w:t>Assets</w:t>
            </w:r>
          </w:p>
        </w:tc>
        <w:tc>
          <w:tcPr>
            <w:tcW w:w="22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0"/>
        </w:trPr>
        <w:tc>
          <w:tcPr>
            <w:tcW w:w="9020" w:type="dxa"/>
            <w:vAlign w:val="bottom"/>
          </w:tcPr>
          <w:p>
            <w:pPr>
              <w:ind w:left="40"/>
              <w:spacing w:after="0"/>
              <w:rPr>
                <w:sz w:val="20"/>
                <w:szCs w:val="20"/>
                <w:color w:val="auto"/>
              </w:rPr>
            </w:pPr>
            <w:r>
              <w:rPr>
                <w:rFonts w:ascii="Arial" w:cs="Arial" w:eastAsia="Arial" w:hAnsi="Arial"/>
                <w:sz w:val="15"/>
                <w:szCs w:val="15"/>
                <w:b w:val="1"/>
                <w:bCs w:val="1"/>
                <w:color w:val="auto"/>
              </w:rPr>
              <w:t>Current Assets</w:t>
            </w:r>
          </w:p>
        </w:tc>
        <w:tc>
          <w:tcPr>
            <w:tcW w:w="22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9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9020" w:type="dxa"/>
            <w:vAlign w:val="bottom"/>
          </w:tcPr>
          <w:p>
            <w:pPr>
              <w:ind w:left="280"/>
              <w:spacing w:after="0"/>
              <w:rPr>
                <w:sz w:val="20"/>
                <w:szCs w:val="20"/>
                <w:color w:val="auto"/>
              </w:rPr>
            </w:pPr>
            <w:r>
              <w:rPr>
                <w:rFonts w:ascii="Arial" w:cs="Arial" w:eastAsia="Arial" w:hAnsi="Arial"/>
                <w:sz w:val="15"/>
                <w:szCs w:val="15"/>
                <w:color w:val="auto"/>
              </w:rPr>
              <w:t>Cash and cash equivalents</w:t>
            </w:r>
          </w:p>
        </w:tc>
        <w:tc>
          <w:tcPr>
            <w:tcW w:w="220" w:type="dxa"/>
            <w:vAlign w:val="bottom"/>
          </w:tcPr>
          <w:p>
            <w:pPr>
              <w:jc w:val="right"/>
              <w:ind w:right="23"/>
              <w:spacing w:after="0"/>
              <w:rPr>
                <w:sz w:val="20"/>
                <w:szCs w:val="20"/>
                <w:color w:val="auto"/>
              </w:rPr>
            </w:pPr>
            <w:r>
              <w:rPr>
                <w:rFonts w:ascii="Arial" w:cs="Arial" w:eastAsia="Arial" w:hAnsi="Arial"/>
                <w:sz w:val="15"/>
                <w:szCs w:val="15"/>
                <w:b w:val="1"/>
                <w:bCs w:val="1"/>
                <w:color w:val="auto"/>
              </w:rPr>
              <w:t>$</w:t>
            </w:r>
          </w:p>
        </w:tc>
        <w:tc>
          <w:tcPr>
            <w:tcW w:w="980" w:type="dxa"/>
            <w:vAlign w:val="bottom"/>
          </w:tcPr>
          <w:p>
            <w:pPr>
              <w:jc w:val="right"/>
              <w:ind w:right="84"/>
              <w:spacing w:after="0"/>
              <w:rPr>
                <w:sz w:val="20"/>
                <w:szCs w:val="20"/>
                <w:color w:val="auto"/>
              </w:rPr>
            </w:pPr>
            <w:r>
              <w:rPr>
                <w:rFonts w:ascii="Arial" w:cs="Arial" w:eastAsia="Arial" w:hAnsi="Arial"/>
                <w:sz w:val="15"/>
                <w:szCs w:val="15"/>
                <w:b w:val="1"/>
                <w:bCs w:val="1"/>
                <w:color w:val="auto"/>
              </w:rPr>
              <w:t>390,014</w:t>
            </w:r>
          </w:p>
        </w:tc>
        <w:tc>
          <w:tcPr>
            <w:tcW w:w="260" w:type="dxa"/>
            <w:vAlign w:val="bottom"/>
          </w:tcPr>
          <w:p>
            <w:pPr>
              <w:jc w:val="right"/>
              <w:ind w:right="3"/>
              <w:spacing w:after="0"/>
              <w:rPr>
                <w:sz w:val="20"/>
                <w:szCs w:val="20"/>
                <w:color w:val="auto"/>
              </w:rPr>
            </w:pPr>
            <w:r>
              <w:rPr>
                <w:rFonts w:ascii="Arial" w:cs="Arial" w:eastAsia="Arial" w:hAnsi="Arial"/>
                <w:sz w:val="15"/>
                <w:szCs w:val="15"/>
                <w:color w:val="auto"/>
              </w:rPr>
              <w:t>$</w:t>
            </w:r>
          </w:p>
        </w:tc>
        <w:tc>
          <w:tcPr>
            <w:tcW w:w="940" w:type="dxa"/>
            <w:vAlign w:val="bottom"/>
          </w:tcPr>
          <w:p>
            <w:pPr>
              <w:jc w:val="right"/>
              <w:ind w:right="24"/>
              <w:spacing w:after="0"/>
              <w:rPr>
                <w:sz w:val="20"/>
                <w:szCs w:val="20"/>
                <w:color w:val="auto"/>
              </w:rPr>
            </w:pPr>
            <w:r>
              <w:rPr>
                <w:rFonts w:ascii="Arial" w:cs="Arial" w:eastAsia="Arial" w:hAnsi="Arial"/>
                <w:sz w:val="15"/>
                <w:szCs w:val="15"/>
                <w:color w:val="auto"/>
              </w:rPr>
              <w:t>648,885</w:t>
            </w:r>
          </w:p>
        </w:tc>
        <w:tc>
          <w:tcPr>
            <w:tcW w:w="0" w:type="dxa"/>
            <w:vAlign w:val="bottom"/>
          </w:tcPr>
          <w:p>
            <w:pPr>
              <w:spacing w:after="0"/>
              <w:rPr>
                <w:sz w:val="1"/>
                <w:szCs w:val="1"/>
                <w:color w:val="auto"/>
              </w:rPr>
            </w:pPr>
          </w:p>
        </w:tc>
      </w:tr>
      <w:tr>
        <w:trPr>
          <w:trHeight w:val="270"/>
        </w:trPr>
        <w:tc>
          <w:tcPr>
            <w:tcW w:w="9020" w:type="dxa"/>
            <w:vAlign w:val="bottom"/>
          </w:tcPr>
          <w:p>
            <w:pPr>
              <w:ind w:left="280"/>
              <w:spacing w:after="0"/>
              <w:rPr>
                <w:sz w:val="20"/>
                <w:szCs w:val="20"/>
                <w:color w:val="auto"/>
              </w:rPr>
            </w:pPr>
            <w:r>
              <w:rPr>
                <w:rFonts w:ascii="Arial" w:cs="Arial" w:eastAsia="Arial" w:hAnsi="Arial"/>
                <w:sz w:val="15"/>
                <w:szCs w:val="15"/>
                <w:color w:val="auto"/>
              </w:rPr>
              <w:t>Restricted cash</w:t>
            </w:r>
          </w:p>
        </w:tc>
        <w:tc>
          <w:tcPr>
            <w:tcW w:w="220" w:type="dxa"/>
            <w:vAlign w:val="bottom"/>
          </w:tcPr>
          <w:p>
            <w:pPr>
              <w:spacing w:after="0"/>
              <w:rPr>
                <w:sz w:val="23"/>
                <w:szCs w:val="23"/>
                <w:color w:val="auto"/>
              </w:rPr>
            </w:pPr>
          </w:p>
        </w:tc>
        <w:tc>
          <w:tcPr>
            <w:tcW w:w="980" w:type="dxa"/>
            <w:vAlign w:val="bottom"/>
          </w:tcPr>
          <w:p>
            <w:pPr>
              <w:jc w:val="right"/>
              <w:ind w:right="84"/>
              <w:spacing w:after="0"/>
              <w:rPr>
                <w:sz w:val="20"/>
                <w:szCs w:val="20"/>
                <w:color w:val="auto"/>
              </w:rPr>
            </w:pPr>
            <w:r>
              <w:rPr>
                <w:rFonts w:ascii="Arial" w:cs="Arial" w:eastAsia="Arial" w:hAnsi="Arial"/>
                <w:sz w:val="15"/>
                <w:szCs w:val="15"/>
                <w:b w:val="1"/>
                <w:bCs w:val="1"/>
                <w:color w:val="auto"/>
              </w:rPr>
              <w:t>17,552</w:t>
            </w:r>
          </w:p>
        </w:tc>
        <w:tc>
          <w:tcPr>
            <w:tcW w:w="260" w:type="dxa"/>
            <w:vAlign w:val="bottom"/>
          </w:tcPr>
          <w:p>
            <w:pPr>
              <w:spacing w:after="0"/>
              <w:rPr>
                <w:sz w:val="23"/>
                <w:szCs w:val="23"/>
                <w:color w:val="auto"/>
              </w:rPr>
            </w:pPr>
          </w:p>
        </w:tc>
        <w:tc>
          <w:tcPr>
            <w:tcW w:w="940" w:type="dxa"/>
            <w:vAlign w:val="bottom"/>
          </w:tcPr>
          <w:p>
            <w:pPr>
              <w:jc w:val="right"/>
              <w:ind w:right="24"/>
              <w:spacing w:after="0"/>
              <w:rPr>
                <w:sz w:val="20"/>
                <w:szCs w:val="20"/>
                <w:color w:val="auto"/>
              </w:rPr>
            </w:pPr>
            <w:r>
              <w:rPr>
                <w:rFonts w:ascii="Arial" w:cs="Arial" w:eastAsia="Arial" w:hAnsi="Arial"/>
                <w:sz w:val="15"/>
                <w:szCs w:val="15"/>
                <w:color w:val="auto"/>
              </w:rPr>
              <w:t>21,931</w:t>
            </w:r>
          </w:p>
        </w:tc>
        <w:tc>
          <w:tcPr>
            <w:tcW w:w="0" w:type="dxa"/>
            <w:vAlign w:val="bottom"/>
          </w:tcPr>
          <w:p>
            <w:pPr>
              <w:spacing w:after="0"/>
              <w:rPr>
                <w:sz w:val="1"/>
                <w:szCs w:val="1"/>
                <w:color w:val="auto"/>
              </w:rPr>
            </w:pPr>
          </w:p>
        </w:tc>
      </w:tr>
      <w:tr>
        <w:trPr>
          <w:trHeight w:val="270"/>
        </w:trPr>
        <w:tc>
          <w:tcPr>
            <w:tcW w:w="9020" w:type="dxa"/>
            <w:vAlign w:val="bottom"/>
          </w:tcPr>
          <w:p>
            <w:pPr>
              <w:ind w:left="280"/>
              <w:spacing w:after="0"/>
              <w:rPr>
                <w:sz w:val="20"/>
                <w:szCs w:val="20"/>
                <w:color w:val="auto"/>
              </w:rPr>
            </w:pPr>
            <w:r>
              <w:rPr>
                <w:rFonts w:ascii="Arial" w:cs="Arial" w:eastAsia="Arial" w:hAnsi="Arial"/>
                <w:sz w:val="15"/>
                <w:szCs w:val="15"/>
                <w:color w:val="auto"/>
              </w:rPr>
              <w:t>Investments in marketable equity securities and other investments</w:t>
            </w:r>
          </w:p>
        </w:tc>
        <w:tc>
          <w:tcPr>
            <w:tcW w:w="220" w:type="dxa"/>
            <w:vAlign w:val="bottom"/>
          </w:tcPr>
          <w:p>
            <w:pPr>
              <w:spacing w:after="0"/>
              <w:rPr>
                <w:sz w:val="23"/>
                <w:szCs w:val="23"/>
                <w:color w:val="auto"/>
              </w:rPr>
            </w:pPr>
          </w:p>
        </w:tc>
        <w:tc>
          <w:tcPr>
            <w:tcW w:w="980" w:type="dxa"/>
            <w:vAlign w:val="bottom"/>
          </w:tcPr>
          <w:p>
            <w:pPr>
              <w:jc w:val="right"/>
              <w:ind w:right="84"/>
              <w:spacing w:after="0"/>
              <w:rPr>
                <w:sz w:val="20"/>
                <w:szCs w:val="20"/>
                <w:color w:val="auto"/>
              </w:rPr>
            </w:pPr>
            <w:r>
              <w:rPr>
                <w:rFonts w:ascii="Arial" w:cs="Arial" w:eastAsia="Arial" w:hAnsi="Arial"/>
                <w:sz w:val="15"/>
                <w:szCs w:val="15"/>
                <w:b w:val="1"/>
                <w:bCs w:val="1"/>
                <w:color w:val="auto"/>
              </w:rPr>
              <w:t>557,153</w:t>
            </w:r>
          </w:p>
        </w:tc>
        <w:tc>
          <w:tcPr>
            <w:tcW w:w="260" w:type="dxa"/>
            <w:vAlign w:val="bottom"/>
          </w:tcPr>
          <w:p>
            <w:pPr>
              <w:spacing w:after="0"/>
              <w:rPr>
                <w:sz w:val="23"/>
                <w:szCs w:val="23"/>
                <w:color w:val="auto"/>
              </w:rPr>
            </w:pPr>
          </w:p>
        </w:tc>
        <w:tc>
          <w:tcPr>
            <w:tcW w:w="940" w:type="dxa"/>
            <w:vAlign w:val="bottom"/>
          </w:tcPr>
          <w:p>
            <w:pPr>
              <w:jc w:val="right"/>
              <w:ind w:right="24"/>
              <w:spacing w:after="0"/>
              <w:rPr>
                <w:sz w:val="20"/>
                <w:szCs w:val="20"/>
                <w:color w:val="auto"/>
              </w:rPr>
            </w:pPr>
            <w:r>
              <w:rPr>
                <w:rFonts w:ascii="Arial" w:cs="Arial" w:eastAsia="Arial" w:hAnsi="Arial"/>
                <w:sz w:val="15"/>
                <w:szCs w:val="15"/>
                <w:color w:val="auto"/>
              </w:rPr>
              <w:t>448,241</w:t>
            </w:r>
          </w:p>
        </w:tc>
        <w:tc>
          <w:tcPr>
            <w:tcW w:w="0" w:type="dxa"/>
            <w:vAlign w:val="bottom"/>
          </w:tcPr>
          <w:p>
            <w:pPr>
              <w:spacing w:after="0"/>
              <w:rPr>
                <w:sz w:val="1"/>
                <w:szCs w:val="1"/>
                <w:color w:val="auto"/>
              </w:rPr>
            </w:pPr>
          </w:p>
        </w:tc>
      </w:tr>
      <w:tr>
        <w:trPr>
          <w:trHeight w:val="270"/>
        </w:trPr>
        <w:tc>
          <w:tcPr>
            <w:tcW w:w="9020" w:type="dxa"/>
            <w:vAlign w:val="bottom"/>
          </w:tcPr>
          <w:p>
            <w:pPr>
              <w:ind w:left="280"/>
              <w:spacing w:after="0"/>
              <w:rPr>
                <w:sz w:val="20"/>
                <w:szCs w:val="20"/>
                <w:color w:val="auto"/>
              </w:rPr>
            </w:pPr>
            <w:r>
              <w:rPr>
                <w:rFonts w:ascii="Arial" w:cs="Arial" w:eastAsia="Arial" w:hAnsi="Arial"/>
                <w:sz w:val="15"/>
                <w:szCs w:val="15"/>
                <w:color w:val="auto"/>
              </w:rPr>
              <w:t>Accounts receivable, net</w:t>
            </w:r>
          </w:p>
        </w:tc>
        <w:tc>
          <w:tcPr>
            <w:tcW w:w="220" w:type="dxa"/>
            <w:vAlign w:val="bottom"/>
          </w:tcPr>
          <w:p>
            <w:pPr>
              <w:spacing w:after="0"/>
              <w:rPr>
                <w:sz w:val="23"/>
                <w:szCs w:val="23"/>
                <w:color w:val="auto"/>
              </w:rPr>
            </w:pPr>
          </w:p>
        </w:tc>
        <w:tc>
          <w:tcPr>
            <w:tcW w:w="980" w:type="dxa"/>
            <w:vAlign w:val="bottom"/>
          </w:tcPr>
          <w:p>
            <w:pPr>
              <w:jc w:val="right"/>
              <w:ind w:right="84"/>
              <w:spacing w:after="0"/>
              <w:rPr>
                <w:sz w:val="20"/>
                <w:szCs w:val="20"/>
                <w:color w:val="auto"/>
              </w:rPr>
            </w:pPr>
            <w:r>
              <w:rPr>
                <w:rFonts w:ascii="Arial" w:cs="Arial" w:eastAsia="Arial" w:hAnsi="Arial"/>
                <w:sz w:val="15"/>
                <w:szCs w:val="15"/>
                <w:b w:val="1"/>
                <w:bCs w:val="1"/>
                <w:color w:val="auto"/>
              </w:rPr>
              <w:t>620,319</w:t>
            </w:r>
          </w:p>
        </w:tc>
        <w:tc>
          <w:tcPr>
            <w:tcW w:w="260" w:type="dxa"/>
            <w:vAlign w:val="bottom"/>
          </w:tcPr>
          <w:p>
            <w:pPr>
              <w:spacing w:after="0"/>
              <w:rPr>
                <w:sz w:val="23"/>
                <w:szCs w:val="23"/>
                <w:color w:val="auto"/>
              </w:rPr>
            </w:pPr>
          </w:p>
        </w:tc>
        <w:tc>
          <w:tcPr>
            <w:tcW w:w="940" w:type="dxa"/>
            <w:vAlign w:val="bottom"/>
          </w:tcPr>
          <w:p>
            <w:pPr>
              <w:jc w:val="right"/>
              <w:ind w:right="24"/>
              <w:spacing w:after="0"/>
              <w:rPr>
                <w:sz w:val="20"/>
                <w:szCs w:val="20"/>
                <w:color w:val="auto"/>
              </w:rPr>
            </w:pPr>
            <w:r>
              <w:rPr>
                <w:rFonts w:ascii="Arial" w:cs="Arial" w:eastAsia="Arial" w:hAnsi="Arial"/>
                <w:sz w:val="15"/>
                <w:szCs w:val="15"/>
                <w:color w:val="auto"/>
              </w:rPr>
              <w:t>615,101</w:t>
            </w:r>
          </w:p>
        </w:tc>
        <w:tc>
          <w:tcPr>
            <w:tcW w:w="0" w:type="dxa"/>
            <w:vAlign w:val="bottom"/>
          </w:tcPr>
          <w:p>
            <w:pPr>
              <w:spacing w:after="0"/>
              <w:rPr>
                <w:sz w:val="1"/>
                <w:szCs w:val="1"/>
                <w:color w:val="auto"/>
              </w:rPr>
            </w:pPr>
          </w:p>
        </w:tc>
      </w:tr>
      <w:tr>
        <w:trPr>
          <w:trHeight w:val="270"/>
        </w:trPr>
        <w:tc>
          <w:tcPr>
            <w:tcW w:w="9020" w:type="dxa"/>
            <w:vAlign w:val="bottom"/>
          </w:tcPr>
          <w:p>
            <w:pPr>
              <w:ind w:left="280"/>
              <w:spacing w:after="0"/>
              <w:rPr>
                <w:sz w:val="20"/>
                <w:szCs w:val="20"/>
                <w:color w:val="auto"/>
              </w:rPr>
            </w:pPr>
            <w:r>
              <w:rPr>
                <w:rFonts w:ascii="Arial" w:cs="Arial" w:eastAsia="Arial" w:hAnsi="Arial"/>
                <w:sz w:val="15"/>
                <w:szCs w:val="15"/>
                <w:color w:val="auto"/>
              </w:rPr>
              <w:t>Income taxes receivable</w:t>
            </w:r>
          </w:p>
        </w:tc>
        <w:tc>
          <w:tcPr>
            <w:tcW w:w="220" w:type="dxa"/>
            <w:vAlign w:val="bottom"/>
          </w:tcPr>
          <w:p>
            <w:pPr>
              <w:spacing w:after="0"/>
              <w:rPr>
                <w:sz w:val="23"/>
                <w:szCs w:val="23"/>
                <w:color w:val="auto"/>
              </w:rPr>
            </w:pPr>
          </w:p>
        </w:tc>
        <w:tc>
          <w:tcPr>
            <w:tcW w:w="980" w:type="dxa"/>
            <w:vAlign w:val="bottom"/>
          </w:tcPr>
          <w:p>
            <w:pPr>
              <w:jc w:val="right"/>
              <w:ind w:right="84"/>
              <w:spacing w:after="0"/>
              <w:rPr>
                <w:sz w:val="20"/>
                <w:szCs w:val="20"/>
                <w:color w:val="auto"/>
              </w:rPr>
            </w:pPr>
            <w:r>
              <w:rPr>
                <w:rFonts w:ascii="Arial" w:cs="Arial" w:eastAsia="Arial" w:hAnsi="Arial"/>
                <w:sz w:val="15"/>
                <w:szCs w:val="15"/>
                <w:b w:val="1"/>
                <w:bCs w:val="1"/>
                <w:color w:val="auto"/>
              </w:rPr>
              <w:t>23,901</w:t>
            </w:r>
          </w:p>
        </w:tc>
        <w:tc>
          <w:tcPr>
            <w:tcW w:w="260" w:type="dxa"/>
            <w:vAlign w:val="bottom"/>
          </w:tcPr>
          <w:p>
            <w:pPr>
              <w:spacing w:after="0"/>
              <w:rPr>
                <w:sz w:val="23"/>
                <w:szCs w:val="23"/>
                <w:color w:val="auto"/>
              </w:rPr>
            </w:pPr>
          </w:p>
        </w:tc>
        <w:tc>
          <w:tcPr>
            <w:tcW w:w="940" w:type="dxa"/>
            <w:vAlign w:val="bottom"/>
          </w:tcPr>
          <w:p>
            <w:pPr>
              <w:jc w:val="right"/>
              <w:ind w:right="24"/>
              <w:spacing w:after="0"/>
              <w:rPr>
                <w:sz w:val="20"/>
                <w:szCs w:val="20"/>
                <w:color w:val="auto"/>
              </w:rPr>
            </w:pPr>
            <w:r>
              <w:rPr>
                <w:rFonts w:ascii="Arial" w:cs="Arial" w:eastAsia="Arial" w:hAnsi="Arial"/>
                <w:sz w:val="15"/>
                <w:szCs w:val="15"/>
                <w:color w:val="auto"/>
              </w:rPr>
              <w:t>41,635</w:t>
            </w:r>
          </w:p>
        </w:tc>
        <w:tc>
          <w:tcPr>
            <w:tcW w:w="0" w:type="dxa"/>
            <w:vAlign w:val="bottom"/>
          </w:tcPr>
          <w:p>
            <w:pPr>
              <w:spacing w:after="0"/>
              <w:rPr>
                <w:sz w:val="1"/>
                <w:szCs w:val="1"/>
                <w:color w:val="auto"/>
              </w:rPr>
            </w:pPr>
          </w:p>
        </w:tc>
      </w:tr>
      <w:tr>
        <w:trPr>
          <w:trHeight w:val="270"/>
        </w:trPr>
        <w:tc>
          <w:tcPr>
            <w:tcW w:w="9020" w:type="dxa"/>
            <w:vAlign w:val="bottom"/>
          </w:tcPr>
          <w:p>
            <w:pPr>
              <w:ind w:left="280"/>
              <w:spacing w:after="0"/>
              <w:rPr>
                <w:sz w:val="20"/>
                <w:szCs w:val="20"/>
                <w:color w:val="auto"/>
              </w:rPr>
            </w:pPr>
            <w:r>
              <w:rPr>
                <w:rFonts w:ascii="Arial" w:cs="Arial" w:eastAsia="Arial" w:hAnsi="Arial"/>
                <w:sz w:val="15"/>
                <w:szCs w:val="15"/>
                <w:color w:val="auto"/>
              </w:rPr>
              <w:t>Inventories and contracts in progress</w:t>
            </w:r>
          </w:p>
        </w:tc>
        <w:tc>
          <w:tcPr>
            <w:tcW w:w="220" w:type="dxa"/>
            <w:vAlign w:val="bottom"/>
          </w:tcPr>
          <w:p>
            <w:pPr>
              <w:spacing w:after="0"/>
              <w:rPr>
                <w:sz w:val="23"/>
                <w:szCs w:val="23"/>
                <w:color w:val="auto"/>
              </w:rPr>
            </w:pPr>
          </w:p>
        </w:tc>
        <w:tc>
          <w:tcPr>
            <w:tcW w:w="980" w:type="dxa"/>
            <w:vAlign w:val="bottom"/>
          </w:tcPr>
          <w:p>
            <w:pPr>
              <w:jc w:val="right"/>
              <w:ind w:right="84"/>
              <w:spacing w:after="0"/>
              <w:rPr>
                <w:sz w:val="20"/>
                <w:szCs w:val="20"/>
                <w:color w:val="auto"/>
              </w:rPr>
            </w:pPr>
            <w:r>
              <w:rPr>
                <w:rFonts w:ascii="Arial" w:cs="Arial" w:eastAsia="Arial" w:hAnsi="Arial"/>
                <w:sz w:val="15"/>
                <w:szCs w:val="15"/>
                <w:b w:val="1"/>
                <w:bCs w:val="1"/>
                <w:color w:val="auto"/>
              </w:rPr>
              <w:t>60,612</w:t>
            </w:r>
          </w:p>
        </w:tc>
        <w:tc>
          <w:tcPr>
            <w:tcW w:w="260" w:type="dxa"/>
            <w:vAlign w:val="bottom"/>
          </w:tcPr>
          <w:p>
            <w:pPr>
              <w:spacing w:after="0"/>
              <w:rPr>
                <w:sz w:val="23"/>
                <w:szCs w:val="23"/>
                <w:color w:val="auto"/>
              </w:rPr>
            </w:pPr>
          </w:p>
        </w:tc>
        <w:tc>
          <w:tcPr>
            <w:tcW w:w="940" w:type="dxa"/>
            <w:vAlign w:val="bottom"/>
          </w:tcPr>
          <w:p>
            <w:pPr>
              <w:jc w:val="right"/>
              <w:ind w:right="24"/>
              <w:spacing w:after="0"/>
              <w:rPr>
                <w:sz w:val="20"/>
                <w:szCs w:val="20"/>
                <w:color w:val="auto"/>
              </w:rPr>
            </w:pPr>
            <w:r>
              <w:rPr>
                <w:rFonts w:ascii="Arial" w:cs="Arial" w:eastAsia="Arial" w:hAnsi="Arial"/>
                <w:sz w:val="15"/>
                <w:szCs w:val="15"/>
                <w:color w:val="auto"/>
              </w:rPr>
              <w:t>34,818</w:t>
            </w:r>
          </w:p>
        </w:tc>
        <w:tc>
          <w:tcPr>
            <w:tcW w:w="0" w:type="dxa"/>
            <w:vAlign w:val="bottom"/>
          </w:tcPr>
          <w:p>
            <w:pPr>
              <w:spacing w:after="0"/>
              <w:rPr>
                <w:sz w:val="1"/>
                <w:szCs w:val="1"/>
                <w:color w:val="auto"/>
              </w:rPr>
            </w:pPr>
          </w:p>
        </w:tc>
      </w:tr>
      <w:tr>
        <w:trPr>
          <w:trHeight w:val="274"/>
        </w:trPr>
        <w:tc>
          <w:tcPr>
            <w:tcW w:w="9020" w:type="dxa"/>
            <w:vAlign w:val="bottom"/>
          </w:tcPr>
          <w:p>
            <w:pPr>
              <w:ind w:left="280"/>
              <w:spacing w:after="0"/>
              <w:rPr>
                <w:sz w:val="20"/>
                <w:szCs w:val="20"/>
                <w:color w:val="auto"/>
              </w:rPr>
            </w:pPr>
            <w:r>
              <w:rPr>
                <w:rFonts w:ascii="Arial" w:cs="Arial" w:eastAsia="Arial" w:hAnsi="Arial"/>
                <w:sz w:val="15"/>
                <w:szCs w:val="15"/>
                <w:color w:val="auto"/>
              </w:rPr>
              <w:t>Other current assets</w:t>
            </w:r>
          </w:p>
        </w:tc>
        <w:tc>
          <w:tcPr>
            <w:tcW w:w="220" w:type="dxa"/>
            <w:vAlign w:val="bottom"/>
            <w:tcBorders>
              <w:bottom w:val="single" w:sz="8" w:color="auto"/>
            </w:tcBorders>
          </w:tcPr>
          <w:p>
            <w:pPr>
              <w:spacing w:after="0"/>
              <w:rPr>
                <w:sz w:val="23"/>
                <w:szCs w:val="23"/>
                <w:color w:val="auto"/>
              </w:rPr>
            </w:pPr>
          </w:p>
        </w:tc>
        <w:tc>
          <w:tcPr>
            <w:tcW w:w="980" w:type="dxa"/>
            <w:vAlign w:val="bottom"/>
            <w:tcBorders>
              <w:bottom w:val="single" w:sz="8" w:color="auto"/>
            </w:tcBorders>
          </w:tcPr>
          <w:p>
            <w:pPr>
              <w:jc w:val="right"/>
              <w:ind w:right="84"/>
              <w:spacing w:after="0"/>
              <w:rPr>
                <w:sz w:val="20"/>
                <w:szCs w:val="20"/>
                <w:color w:val="auto"/>
              </w:rPr>
            </w:pPr>
            <w:r>
              <w:rPr>
                <w:rFonts w:ascii="Arial" w:cs="Arial" w:eastAsia="Arial" w:hAnsi="Arial"/>
                <w:sz w:val="15"/>
                <w:szCs w:val="15"/>
                <w:b w:val="1"/>
                <w:bCs w:val="1"/>
                <w:color w:val="auto"/>
              </w:rPr>
              <w:t>66,253</w:t>
            </w:r>
          </w:p>
        </w:tc>
        <w:tc>
          <w:tcPr>
            <w:tcW w:w="260" w:type="dxa"/>
            <w:vAlign w:val="bottom"/>
            <w:tcBorders>
              <w:bottom w:val="single" w:sz="8" w:color="auto"/>
            </w:tcBorders>
          </w:tcPr>
          <w:p>
            <w:pPr>
              <w:spacing w:after="0"/>
              <w:rPr>
                <w:sz w:val="23"/>
                <w:szCs w:val="23"/>
                <w:color w:val="auto"/>
              </w:rPr>
            </w:pPr>
          </w:p>
        </w:tc>
        <w:tc>
          <w:tcPr>
            <w:tcW w:w="940" w:type="dxa"/>
            <w:vAlign w:val="bottom"/>
            <w:tcBorders>
              <w:bottom w:val="single" w:sz="8" w:color="auto"/>
            </w:tcBorders>
          </w:tcPr>
          <w:p>
            <w:pPr>
              <w:jc w:val="right"/>
              <w:ind w:right="24"/>
              <w:spacing w:after="0"/>
              <w:rPr>
                <w:sz w:val="20"/>
                <w:szCs w:val="20"/>
                <w:color w:val="auto"/>
              </w:rPr>
            </w:pPr>
            <w:r>
              <w:rPr>
                <w:rFonts w:ascii="Arial" w:cs="Arial" w:eastAsia="Arial" w:hAnsi="Arial"/>
                <w:sz w:val="15"/>
                <w:szCs w:val="15"/>
                <w:color w:val="auto"/>
              </w:rPr>
              <w:t>60,735</w:t>
            </w:r>
          </w:p>
        </w:tc>
        <w:tc>
          <w:tcPr>
            <w:tcW w:w="0" w:type="dxa"/>
            <w:vAlign w:val="bottom"/>
          </w:tcPr>
          <w:p>
            <w:pPr>
              <w:spacing w:after="0"/>
              <w:rPr>
                <w:sz w:val="1"/>
                <w:szCs w:val="1"/>
                <w:color w:val="auto"/>
              </w:rPr>
            </w:pPr>
          </w:p>
        </w:tc>
      </w:tr>
      <w:tr>
        <w:trPr>
          <w:trHeight w:val="260"/>
        </w:trPr>
        <w:tc>
          <w:tcPr>
            <w:tcW w:w="9020" w:type="dxa"/>
            <w:vAlign w:val="bottom"/>
          </w:tcPr>
          <w:p>
            <w:pPr>
              <w:ind w:left="500"/>
              <w:spacing w:after="0"/>
              <w:rPr>
                <w:sz w:val="20"/>
                <w:szCs w:val="20"/>
                <w:color w:val="auto"/>
              </w:rPr>
            </w:pPr>
            <w:r>
              <w:rPr>
                <w:rFonts w:ascii="Arial" w:cs="Arial" w:eastAsia="Arial" w:hAnsi="Arial"/>
                <w:sz w:val="15"/>
                <w:szCs w:val="15"/>
                <w:b w:val="1"/>
                <w:bCs w:val="1"/>
                <w:color w:val="auto"/>
              </w:rPr>
              <w:t>Total Current Assets</w:t>
            </w:r>
          </w:p>
        </w:tc>
        <w:tc>
          <w:tcPr>
            <w:tcW w:w="220" w:type="dxa"/>
            <w:vAlign w:val="bottom"/>
          </w:tcPr>
          <w:p>
            <w:pPr>
              <w:spacing w:after="0"/>
              <w:rPr>
                <w:sz w:val="22"/>
                <w:szCs w:val="22"/>
                <w:color w:val="auto"/>
              </w:rPr>
            </w:pPr>
          </w:p>
        </w:tc>
        <w:tc>
          <w:tcPr>
            <w:tcW w:w="980" w:type="dxa"/>
            <w:vAlign w:val="bottom"/>
          </w:tcPr>
          <w:p>
            <w:pPr>
              <w:jc w:val="right"/>
              <w:ind w:right="84"/>
              <w:spacing w:after="0"/>
              <w:rPr>
                <w:sz w:val="20"/>
                <w:szCs w:val="20"/>
                <w:color w:val="auto"/>
              </w:rPr>
            </w:pPr>
            <w:r>
              <w:rPr>
                <w:rFonts w:ascii="Arial" w:cs="Arial" w:eastAsia="Arial" w:hAnsi="Arial"/>
                <w:sz w:val="15"/>
                <w:szCs w:val="15"/>
                <w:b w:val="1"/>
                <w:bCs w:val="1"/>
                <w:color w:val="auto"/>
              </w:rPr>
              <w:t>1,735,804</w:t>
            </w:r>
          </w:p>
        </w:tc>
        <w:tc>
          <w:tcPr>
            <w:tcW w:w="260" w:type="dxa"/>
            <w:vAlign w:val="bottom"/>
          </w:tcPr>
          <w:p>
            <w:pPr>
              <w:spacing w:after="0"/>
              <w:rPr>
                <w:sz w:val="22"/>
                <w:szCs w:val="22"/>
                <w:color w:val="auto"/>
              </w:rPr>
            </w:pPr>
          </w:p>
        </w:tc>
        <w:tc>
          <w:tcPr>
            <w:tcW w:w="940" w:type="dxa"/>
            <w:vAlign w:val="bottom"/>
          </w:tcPr>
          <w:p>
            <w:pPr>
              <w:jc w:val="right"/>
              <w:ind w:right="24"/>
              <w:spacing w:after="0"/>
              <w:rPr>
                <w:sz w:val="20"/>
                <w:szCs w:val="20"/>
                <w:color w:val="auto"/>
              </w:rPr>
            </w:pPr>
            <w:r>
              <w:rPr>
                <w:rFonts w:ascii="Arial" w:cs="Arial" w:eastAsia="Arial" w:hAnsi="Arial"/>
                <w:sz w:val="15"/>
                <w:szCs w:val="15"/>
                <w:color w:val="auto"/>
              </w:rPr>
              <w:t>1,871,346</w:t>
            </w:r>
          </w:p>
        </w:tc>
        <w:tc>
          <w:tcPr>
            <w:tcW w:w="0" w:type="dxa"/>
            <w:vAlign w:val="bottom"/>
          </w:tcPr>
          <w:p>
            <w:pPr>
              <w:spacing w:after="0"/>
              <w:rPr>
                <w:sz w:val="1"/>
                <w:szCs w:val="1"/>
                <w:color w:val="auto"/>
              </w:rPr>
            </w:pPr>
          </w:p>
        </w:tc>
      </w:tr>
      <w:tr>
        <w:trPr>
          <w:trHeight w:val="270"/>
        </w:trPr>
        <w:tc>
          <w:tcPr>
            <w:tcW w:w="9020" w:type="dxa"/>
            <w:vAlign w:val="bottom"/>
          </w:tcPr>
          <w:p>
            <w:pPr>
              <w:ind w:left="40"/>
              <w:spacing w:after="0"/>
              <w:rPr>
                <w:sz w:val="20"/>
                <w:szCs w:val="20"/>
                <w:color w:val="auto"/>
              </w:rPr>
            </w:pPr>
            <w:r>
              <w:rPr>
                <w:rFonts w:ascii="Arial" w:cs="Arial" w:eastAsia="Arial" w:hAnsi="Arial"/>
                <w:sz w:val="15"/>
                <w:szCs w:val="15"/>
                <w:b w:val="1"/>
                <w:bCs w:val="1"/>
                <w:color w:val="auto"/>
              </w:rPr>
              <w:t>Property, Plant and Equipment, Net</w:t>
            </w:r>
          </w:p>
        </w:tc>
        <w:tc>
          <w:tcPr>
            <w:tcW w:w="220" w:type="dxa"/>
            <w:vAlign w:val="bottom"/>
          </w:tcPr>
          <w:p>
            <w:pPr>
              <w:spacing w:after="0"/>
              <w:rPr>
                <w:sz w:val="23"/>
                <w:szCs w:val="23"/>
                <w:color w:val="auto"/>
              </w:rPr>
            </w:pPr>
          </w:p>
        </w:tc>
        <w:tc>
          <w:tcPr>
            <w:tcW w:w="980" w:type="dxa"/>
            <w:vAlign w:val="bottom"/>
          </w:tcPr>
          <w:p>
            <w:pPr>
              <w:jc w:val="right"/>
              <w:ind w:right="84"/>
              <w:spacing w:after="0"/>
              <w:rPr>
                <w:sz w:val="20"/>
                <w:szCs w:val="20"/>
                <w:color w:val="auto"/>
              </w:rPr>
            </w:pPr>
            <w:r>
              <w:rPr>
                <w:rFonts w:ascii="Arial" w:cs="Arial" w:eastAsia="Arial" w:hAnsi="Arial"/>
                <w:sz w:val="15"/>
                <w:szCs w:val="15"/>
                <w:b w:val="1"/>
                <w:bCs w:val="1"/>
                <w:color w:val="auto"/>
              </w:rPr>
              <w:t>259,358</w:t>
            </w:r>
          </w:p>
        </w:tc>
        <w:tc>
          <w:tcPr>
            <w:tcW w:w="260" w:type="dxa"/>
            <w:vAlign w:val="bottom"/>
          </w:tcPr>
          <w:p>
            <w:pPr>
              <w:spacing w:after="0"/>
              <w:rPr>
                <w:sz w:val="23"/>
                <w:szCs w:val="23"/>
                <w:color w:val="auto"/>
              </w:rPr>
            </w:pPr>
          </w:p>
        </w:tc>
        <w:tc>
          <w:tcPr>
            <w:tcW w:w="940" w:type="dxa"/>
            <w:vAlign w:val="bottom"/>
          </w:tcPr>
          <w:p>
            <w:pPr>
              <w:jc w:val="right"/>
              <w:ind w:right="24"/>
              <w:spacing w:after="0"/>
              <w:rPr>
                <w:sz w:val="20"/>
                <w:szCs w:val="20"/>
                <w:color w:val="auto"/>
              </w:rPr>
            </w:pPr>
            <w:r>
              <w:rPr>
                <w:rFonts w:ascii="Arial" w:cs="Arial" w:eastAsia="Arial" w:hAnsi="Arial"/>
                <w:sz w:val="15"/>
                <w:szCs w:val="15"/>
                <w:color w:val="auto"/>
              </w:rPr>
              <w:t>233,664</w:t>
            </w:r>
          </w:p>
        </w:tc>
        <w:tc>
          <w:tcPr>
            <w:tcW w:w="0" w:type="dxa"/>
            <w:vAlign w:val="bottom"/>
          </w:tcPr>
          <w:p>
            <w:pPr>
              <w:spacing w:after="0"/>
              <w:rPr>
                <w:sz w:val="1"/>
                <w:szCs w:val="1"/>
                <w:color w:val="auto"/>
              </w:rPr>
            </w:pPr>
          </w:p>
        </w:tc>
      </w:tr>
      <w:tr>
        <w:trPr>
          <w:trHeight w:val="270"/>
        </w:trPr>
        <w:tc>
          <w:tcPr>
            <w:tcW w:w="9020" w:type="dxa"/>
            <w:vAlign w:val="bottom"/>
          </w:tcPr>
          <w:p>
            <w:pPr>
              <w:ind w:left="40"/>
              <w:spacing w:after="0"/>
              <w:rPr>
                <w:sz w:val="20"/>
                <w:szCs w:val="20"/>
                <w:color w:val="auto"/>
              </w:rPr>
            </w:pPr>
            <w:r>
              <w:rPr>
                <w:rFonts w:ascii="Arial" w:cs="Arial" w:eastAsia="Arial" w:hAnsi="Arial"/>
                <w:sz w:val="15"/>
                <w:szCs w:val="15"/>
                <w:b w:val="1"/>
                <w:bCs w:val="1"/>
                <w:color w:val="auto"/>
              </w:rPr>
              <w:t>Investments in Affiliates</w:t>
            </w:r>
          </w:p>
        </w:tc>
        <w:tc>
          <w:tcPr>
            <w:tcW w:w="220" w:type="dxa"/>
            <w:vAlign w:val="bottom"/>
          </w:tcPr>
          <w:p>
            <w:pPr>
              <w:spacing w:after="0"/>
              <w:rPr>
                <w:sz w:val="23"/>
                <w:szCs w:val="23"/>
                <w:color w:val="auto"/>
              </w:rPr>
            </w:pPr>
          </w:p>
        </w:tc>
        <w:tc>
          <w:tcPr>
            <w:tcW w:w="980" w:type="dxa"/>
            <w:vAlign w:val="bottom"/>
          </w:tcPr>
          <w:p>
            <w:pPr>
              <w:jc w:val="right"/>
              <w:ind w:right="84"/>
              <w:spacing w:after="0"/>
              <w:rPr>
                <w:sz w:val="20"/>
                <w:szCs w:val="20"/>
                <w:color w:val="auto"/>
              </w:rPr>
            </w:pPr>
            <w:r>
              <w:rPr>
                <w:rFonts w:ascii="Arial" w:cs="Arial" w:eastAsia="Arial" w:hAnsi="Arial"/>
                <w:sz w:val="15"/>
                <w:szCs w:val="15"/>
                <w:b w:val="1"/>
                <w:bCs w:val="1"/>
                <w:color w:val="auto"/>
              </w:rPr>
              <w:t>128,590</w:t>
            </w:r>
          </w:p>
        </w:tc>
        <w:tc>
          <w:tcPr>
            <w:tcW w:w="260" w:type="dxa"/>
            <w:vAlign w:val="bottom"/>
          </w:tcPr>
          <w:p>
            <w:pPr>
              <w:spacing w:after="0"/>
              <w:rPr>
                <w:sz w:val="23"/>
                <w:szCs w:val="23"/>
                <w:color w:val="auto"/>
              </w:rPr>
            </w:pPr>
          </w:p>
        </w:tc>
        <w:tc>
          <w:tcPr>
            <w:tcW w:w="940" w:type="dxa"/>
            <w:vAlign w:val="bottom"/>
          </w:tcPr>
          <w:p>
            <w:pPr>
              <w:jc w:val="right"/>
              <w:ind w:right="24"/>
              <w:spacing w:after="0"/>
              <w:rPr>
                <w:sz w:val="20"/>
                <w:szCs w:val="20"/>
                <w:color w:val="auto"/>
              </w:rPr>
            </w:pPr>
            <w:r>
              <w:rPr>
                <w:rFonts w:ascii="Arial" w:cs="Arial" w:eastAsia="Arial" w:hAnsi="Arial"/>
                <w:sz w:val="15"/>
                <w:szCs w:val="15"/>
                <w:color w:val="auto"/>
              </w:rPr>
              <w:t>58,806</w:t>
            </w:r>
          </w:p>
        </w:tc>
        <w:tc>
          <w:tcPr>
            <w:tcW w:w="0" w:type="dxa"/>
            <w:vAlign w:val="bottom"/>
          </w:tcPr>
          <w:p>
            <w:pPr>
              <w:spacing w:after="0"/>
              <w:rPr>
                <w:sz w:val="1"/>
                <w:szCs w:val="1"/>
                <w:color w:val="auto"/>
              </w:rPr>
            </w:pPr>
          </w:p>
        </w:tc>
      </w:tr>
      <w:tr>
        <w:trPr>
          <w:trHeight w:val="270"/>
        </w:trPr>
        <w:tc>
          <w:tcPr>
            <w:tcW w:w="9020" w:type="dxa"/>
            <w:vAlign w:val="bottom"/>
          </w:tcPr>
          <w:p>
            <w:pPr>
              <w:ind w:left="40"/>
              <w:spacing w:after="0"/>
              <w:rPr>
                <w:sz w:val="20"/>
                <w:szCs w:val="20"/>
                <w:color w:val="auto"/>
              </w:rPr>
            </w:pPr>
            <w:r>
              <w:rPr>
                <w:rFonts w:ascii="Arial" w:cs="Arial" w:eastAsia="Arial" w:hAnsi="Arial"/>
                <w:sz w:val="15"/>
                <w:szCs w:val="15"/>
                <w:b w:val="1"/>
                <w:bCs w:val="1"/>
                <w:color w:val="auto"/>
              </w:rPr>
              <w:t>Goodwill, Net</w:t>
            </w:r>
          </w:p>
        </w:tc>
        <w:tc>
          <w:tcPr>
            <w:tcW w:w="220" w:type="dxa"/>
            <w:vAlign w:val="bottom"/>
          </w:tcPr>
          <w:p>
            <w:pPr>
              <w:spacing w:after="0"/>
              <w:rPr>
                <w:sz w:val="23"/>
                <w:szCs w:val="23"/>
                <w:color w:val="auto"/>
              </w:rPr>
            </w:pPr>
          </w:p>
        </w:tc>
        <w:tc>
          <w:tcPr>
            <w:tcW w:w="980" w:type="dxa"/>
            <w:vAlign w:val="bottom"/>
          </w:tcPr>
          <w:p>
            <w:pPr>
              <w:jc w:val="right"/>
              <w:ind w:right="84"/>
              <w:spacing w:after="0"/>
              <w:rPr>
                <w:sz w:val="20"/>
                <w:szCs w:val="20"/>
                <w:color w:val="auto"/>
              </w:rPr>
            </w:pPr>
            <w:r>
              <w:rPr>
                <w:rFonts w:ascii="Arial" w:cs="Arial" w:eastAsia="Arial" w:hAnsi="Arial"/>
                <w:sz w:val="15"/>
                <w:szCs w:val="15"/>
                <w:b w:val="1"/>
                <w:bCs w:val="1"/>
                <w:color w:val="auto"/>
              </w:rPr>
              <w:t>1,299,710</w:t>
            </w:r>
          </w:p>
        </w:tc>
        <w:tc>
          <w:tcPr>
            <w:tcW w:w="260" w:type="dxa"/>
            <w:vAlign w:val="bottom"/>
          </w:tcPr>
          <w:p>
            <w:pPr>
              <w:spacing w:after="0"/>
              <w:rPr>
                <w:sz w:val="23"/>
                <w:szCs w:val="23"/>
                <w:color w:val="auto"/>
              </w:rPr>
            </w:pPr>
          </w:p>
        </w:tc>
        <w:tc>
          <w:tcPr>
            <w:tcW w:w="940" w:type="dxa"/>
            <w:vAlign w:val="bottom"/>
          </w:tcPr>
          <w:p>
            <w:pPr>
              <w:jc w:val="right"/>
              <w:ind w:right="24"/>
              <w:spacing w:after="0"/>
              <w:rPr>
                <w:sz w:val="20"/>
                <w:szCs w:val="20"/>
                <w:color w:val="auto"/>
              </w:rPr>
            </w:pPr>
            <w:r>
              <w:rPr>
                <w:rFonts w:ascii="Arial" w:cs="Arial" w:eastAsia="Arial" w:hAnsi="Arial"/>
                <w:sz w:val="15"/>
                <w:szCs w:val="15"/>
                <w:color w:val="auto"/>
              </w:rPr>
              <w:t>1,122,954</w:t>
            </w:r>
          </w:p>
        </w:tc>
        <w:tc>
          <w:tcPr>
            <w:tcW w:w="0" w:type="dxa"/>
            <w:vAlign w:val="bottom"/>
          </w:tcPr>
          <w:p>
            <w:pPr>
              <w:spacing w:after="0"/>
              <w:rPr>
                <w:sz w:val="1"/>
                <w:szCs w:val="1"/>
                <w:color w:val="auto"/>
              </w:rPr>
            </w:pPr>
          </w:p>
        </w:tc>
      </w:tr>
      <w:tr>
        <w:trPr>
          <w:trHeight w:val="270"/>
        </w:trPr>
        <w:tc>
          <w:tcPr>
            <w:tcW w:w="9020" w:type="dxa"/>
            <w:vAlign w:val="bottom"/>
          </w:tcPr>
          <w:p>
            <w:pPr>
              <w:ind w:left="40"/>
              <w:spacing w:after="0"/>
              <w:rPr>
                <w:sz w:val="20"/>
                <w:szCs w:val="20"/>
                <w:color w:val="auto"/>
              </w:rPr>
            </w:pPr>
            <w:r>
              <w:rPr>
                <w:rFonts w:ascii="Arial" w:cs="Arial" w:eastAsia="Arial" w:hAnsi="Arial"/>
                <w:sz w:val="15"/>
                <w:szCs w:val="15"/>
                <w:b w:val="1"/>
                <w:bCs w:val="1"/>
                <w:color w:val="auto"/>
              </w:rPr>
              <w:t>Indefinite-Lived Intangible Assets</w:t>
            </w:r>
          </w:p>
        </w:tc>
        <w:tc>
          <w:tcPr>
            <w:tcW w:w="220" w:type="dxa"/>
            <w:vAlign w:val="bottom"/>
          </w:tcPr>
          <w:p>
            <w:pPr>
              <w:spacing w:after="0"/>
              <w:rPr>
                <w:sz w:val="23"/>
                <w:szCs w:val="23"/>
                <w:color w:val="auto"/>
              </w:rPr>
            </w:pPr>
          </w:p>
        </w:tc>
        <w:tc>
          <w:tcPr>
            <w:tcW w:w="980" w:type="dxa"/>
            <w:vAlign w:val="bottom"/>
          </w:tcPr>
          <w:p>
            <w:pPr>
              <w:jc w:val="right"/>
              <w:ind w:right="84"/>
              <w:spacing w:after="0"/>
              <w:rPr>
                <w:sz w:val="20"/>
                <w:szCs w:val="20"/>
                <w:color w:val="auto"/>
              </w:rPr>
            </w:pPr>
            <w:r>
              <w:rPr>
                <w:rFonts w:ascii="Arial" w:cs="Arial" w:eastAsia="Arial" w:hAnsi="Arial"/>
                <w:sz w:val="15"/>
                <w:szCs w:val="15"/>
                <w:b w:val="1"/>
                <w:bCs w:val="1"/>
                <w:color w:val="auto"/>
              </w:rPr>
              <w:t>102,195</w:t>
            </w:r>
          </w:p>
        </w:tc>
        <w:tc>
          <w:tcPr>
            <w:tcW w:w="260" w:type="dxa"/>
            <w:vAlign w:val="bottom"/>
          </w:tcPr>
          <w:p>
            <w:pPr>
              <w:spacing w:after="0"/>
              <w:rPr>
                <w:sz w:val="23"/>
                <w:szCs w:val="23"/>
                <w:color w:val="auto"/>
              </w:rPr>
            </w:pPr>
          </w:p>
        </w:tc>
        <w:tc>
          <w:tcPr>
            <w:tcW w:w="940" w:type="dxa"/>
            <w:vAlign w:val="bottom"/>
          </w:tcPr>
          <w:p>
            <w:pPr>
              <w:jc w:val="right"/>
              <w:ind w:right="24"/>
              <w:spacing w:after="0"/>
              <w:rPr>
                <w:sz w:val="20"/>
                <w:szCs w:val="20"/>
                <w:color w:val="auto"/>
              </w:rPr>
            </w:pPr>
            <w:r>
              <w:rPr>
                <w:rFonts w:ascii="Arial" w:cs="Arial" w:eastAsia="Arial" w:hAnsi="Arial"/>
                <w:sz w:val="15"/>
                <w:szCs w:val="15"/>
                <w:color w:val="auto"/>
              </w:rPr>
              <w:t>66,026</w:t>
            </w:r>
          </w:p>
        </w:tc>
        <w:tc>
          <w:tcPr>
            <w:tcW w:w="0" w:type="dxa"/>
            <w:vAlign w:val="bottom"/>
          </w:tcPr>
          <w:p>
            <w:pPr>
              <w:spacing w:after="0"/>
              <w:rPr>
                <w:sz w:val="1"/>
                <w:szCs w:val="1"/>
                <w:color w:val="auto"/>
              </w:rPr>
            </w:pPr>
          </w:p>
        </w:tc>
      </w:tr>
      <w:tr>
        <w:trPr>
          <w:trHeight w:val="270"/>
        </w:trPr>
        <w:tc>
          <w:tcPr>
            <w:tcW w:w="9020" w:type="dxa"/>
            <w:vAlign w:val="bottom"/>
          </w:tcPr>
          <w:p>
            <w:pPr>
              <w:ind w:left="40"/>
              <w:spacing w:after="0"/>
              <w:rPr>
                <w:sz w:val="20"/>
                <w:szCs w:val="20"/>
                <w:color w:val="auto"/>
              </w:rPr>
            </w:pPr>
            <w:r>
              <w:rPr>
                <w:rFonts w:ascii="Arial" w:cs="Arial" w:eastAsia="Arial" w:hAnsi="Arial"/>
                <w:sz w:val="15"/>
                <w:szCs w:val="15"/>
                <w:b w:val="1"/>
                <w:bCs w:val="1"/>
                <w:color w:val="auto"/>
              </w:rPr>
              <w:t>Amortized Intangible Assets, Net</w:t>
            </w:r>
          </w:p>
        </w:tc>
        <w:tc>
          <w:tcPr>
            <w:tcW w:w="220" w:type="dxa"/>
            <w:vAlign w:val="bottom"/>
          </w:tcPr>
          <w:p>
            <w:pPr>
              <w:spacing w:after="0"/>
              <w:rPr>
                <w:sz w:val="23"/>
                <w:szCs w:val="23"/>
                <w:color w:val="auto"/>
              </w:rPr>
            </w:pPr>
          </w:p>
        </w:tc>
        <w:tc>
          <w:tcPr>
            <w:tcW w:w="980" w:type="dxa"/>
            <w:vAlign w:val="bottom"/>
          </w:tcPr>
          <w:p>
            <w:pPr>
              <w:jc w:val="right"/>
              <w:ind w:right="84"/>
              <w:spacing w:after="0"/>
              <w:rPr>
                <w:sz w:val="20"/>
                <w:szCs w:val="20"/>
                <w:color w:val="auto"/>
              </w:rPr>
            </w:pPr>
            <w:r>
              <w:rPr>
                <w:rFonts w:ascii="Arial" w:cs="Arial" w:eastAsia="Arial" w:hAnsi="Arial"/>
                <w:sz w:val="15"/>
                <w:szCs w:val="15"/>
                <w:b w:val="1"/>
                <w:bCs w:val="1"/>
                <w:color w:val="auto"/>
              </w:rPr>
              <w:t>237,976</w:t>
            </w:r>
          </w:p>
        </w:tc>
        <w:tc>
          <w:tcPr>
            <w:tcW w:w="260" w:type="dxa"/>
            <w:vAlign w:val="bottom"/>
          </w:tcPr>
          <w:p>
            <w:pPr>
              <w:spacing w:after="0"/>
              <w:rPr>
                <w:sz w:val="23"/>
                <w:szCs w:val="23"/>
                <w:color w:val="auto"/>
              </w:rPr>
            </w:pPr>
          </w:p>
        </w:tc>
        <w:tc>
          <w:tcPr>
            <w:tcW w:w="940" w:type="dxa"/>
            <w:vAlign w:val="bottom"/>
          </w:tcPr>
          <w:p>
            <w:pPr>
              <w:jc w:val="right"/>
              <w:ind w:right="24"/>
              <w:spacing w:after="0"/>
              <w:rPr>
                <w:sz w:val="20"/>
                <w:szCs w:val="20"/>
                <w:color w:val="auto"/>
              </w:rPr>
            </w:pPr>
            <w:r>
              <w:rPr>
                <w:rFonts w:ascii="Arial" w:cs="Arial" w:eastAsia="Arial" w:hAnsi="Arial"/>
                <w:sz w:val="15"/>
                <w:szCs w:val="15"/>
                <w:color w:val="auto"/>
              </w:rPr>
              <w:t>107,939</w:t>
            </w:r>
          </w:p>
        </w:tc>
        <w:tc>
          <w:tcPr>
            <w:tcW w:w="0" w:type="dxa"/>
            <w:vAlign w:val="bottom"/>
          </w:tcPr>
          <w:p>
            <w:pPr>
              <w:spacing w:after="0"/>
              <w:rPr>
                <w:sz w:val="1"/>
                <w:szCs w:val="1"/>
                <w:color w:val="auto"/>
              </w:rPr>
            </w:pPr>
          </w:p>
        </w:tc>
      </w:tr>
      <w:tr>
        <w:trPr>
          <w:trHeight w:val="270"/>
        </w:trPr>
        <w:tc>
          <w:tcPr>
            <w:tcW w:w="9020" w:type="dxa"/>
            <w:vAlign w:val="bottom"/>
          </w:tcPr>
          <w:p>
            <w:pPr>
              <w:ind w:left="40"/>
              <w:spacing w:after="0"/>
              <w:rPr>
                <w:sz w:val="20"/>
                <w:szCs w:val="20"/>
                <w:color w:val="auto"/>
              </w:rPr>
            </w:pPr>
            <w:r>
              <w:rPr>
                <w:rFonts w:ascii="Arial" w:cs="Arial" w:eastAsia="Arial" w:hAnsi="Arial"/>
                <w:sz w:val="15"/>
                <w:szCs w:val="15"/>
                <w:b w:val="1"/>
                <w:bCs w:val="1"/>
                <w:color w:val="auto"/>
              </w:rPr>
              <w:t>Prepaid Pension Cost</w:t>
            </w:r>
          </w:p>
        </w:tc>
        <w:tc>
          <w:tcPr>
            <w:tcW w:w="220" w:type="dxa"/>
            <w:vAlign w:val="bottom"/>
          </w:tcPr>
          <w:p>
            <w:pPr>
              <w:spacing w:after="0"/>
              <w:rPr>
                <w:sz w:val="23"/>
                <w:szCs w:val="23"/>
                <w:color w:val="auto"/>
              </w:rPr>
            </w:pPr>
          </w:p>
        </w:tc>
        <w:tc>
          <w:tcPr>
            <w:tcW w:w="980" w:type="dxa"/>
            <w:vAlign w:val="bottom"/>
          </w:tcPr>
          <w:p>
            <w:pPr>
              <w:jc w:val="right"/>
              <w:ind w:right="84"/>
              <w:spacing w:after="0"/>
              <w:rPr>
                <w:sz w:val="20"/>
                <w:szCs w:val="20"/>
                <w:color w:val="auto"/>
              </w:rPr>
            </w:pPr>
            <w:r>
              <w:rPr>
                <w:rFonts w:ascii="Arial" w:cs="Arial" w:eastAsia="Arial" w:hAnsi="Arial"/>
                <w:sz w:val="15"/>
                <w:szCs w:val="15"/>
                <w:b w:val="1"/>
                <w:bCs w:val="1"/>
                <w:color w:val="auto"/>
              </w:rPr>
              <w:t>1,056,777</w:t>
            </w:r>
          </w:p>
        </w:tc>
        <w:tc>
          <w:tcPr>
            <w:tcW w:w="260" w:type="dxa"/>
            <w:vAlign w:val="bottom"/>
          </w:tcPr>
          <w:p>
            <w:pPr>
              <w:spacing w:after="0"/>
              <w:rPr>
                <w:sz w:val="23"/>
                <w:szCs w:val="23"/>
                <w:color w:val="auto"/>
              </w:rPr>
            </w:pPr>
          </w:p>
        </w:tc>
        <w:tc>
          <w:tcPr>
            <w:tcW w:w="940" w:type="dxa"/>
            <w:vAlign w:val="bottom"/>
          </w:tcPr>
          <w:p>
            <w:pPr>
              <w:jc w:val="right"/>
              <w:ind w:right="24"/>
              <w:spacing w:after="0"/>
              <w:rPr>
                <w:sz w:val="20"/>
                <w:szCs w:val="20"/>
                <w:color w:val="auto"/>
              </w:rPr>
            </w:pPr>
            <w:r>
              <w:rPr>
                <w:rFonts w:ascii="Arial" w:cs="Arial" w:eastAsia="Arial" w:hAnsi="Arial"/>
                <w:sz w:val="15"/>
                <w:szCs w:val="15"/>
                <w:color w:val="auto"/>
              </w:rPr>
              <w:t>881,593</w:t>
            </w:r>
          </w:p>
        </w:tc>
        <w:tc>
          <w:tcPr>
            <w:tcW w:w="0" w:type="dxa"/>
            <w:vAlign w:val="bottom"/>
          </w:tcPr>
          <w:p>
            <w:pPr>
              <w:spacing w:after="0"/>
              <w:rPr>
                <w:sz w:val="1"/>
                <w:szCs w:val="1"/>
                <w:color w:val="auto"/>
              </w:rPr>
            </w:pPr>
          </w:p>
        </w:tc>
      </w:tr>
      <w:tr>
        <w:trPr>
          <w:trHeight w:val="270"/>
        </w:trPr>
        <w:tc>
          <w:tcPr>
            <w:tcW w:w="9020" w:type="dxa"/>
            <w:vAlign w:val="bottom"/>
          </w:tcPr>
          <w:p>
            <w:pPr>
              <w:ind w:left="40"/>
              <w:spacing w:after="0"/>
              <w:rPr>
                <w:sz w:val="20"/>
                <w:szCs w:val="20"/>
                <w:color w:val="auto"/>
              </w:rPr>
            </w:pPr>
            <w:r>
              <w:rPr>
                <w:rFonts w:ascii="Arial" w:cs="Arial" w:eastAsia="Arial" w:hAnsi="Arial"/>
                <w:sz w:val="15"/>
                <w:szCs w:val="15"/>
                <w:b w:val="1"/>
                <w:bCs w:val="1"/>
                <w:color w:val="auto"/>
              </w:rPr>
              <w:t>Deferred Income Taxes</w:t>
            </w:r>
          </w:p>
        </w:tc>
        <w:tc>
          <w:tcPr>
            <w:tcW w:w="220" w:type="dxa"/>
            <w:vAlign w:val="bottom"/>
          </w:tcPr>
          <w:p>
            <w:pPr>
              <w:spacing w:after="0"/>
              <w:rPr>
                <w:sz w:val="23"/>
                <w:szCs w:val="23"/>
                <w:color w:val="auto"/>
              </w:rPr>
            </w:pPr>
          </w:p>
        </w:tc>
        <w:tc>
          <w:tcPr>
            <w:tcW w:w="980" w:type="dxa"/>
            <w:vAlign w:val="bottom"/>
          </w:tcPr>
          <w:p>
            <w:pPr>
              <w:jc w:val="right"/>
              <w:ind w:right="84"/>
              <w:spacing w:after="0"/>
              <w:rPr>
                <w:sz w:val="20"/>
                <w:szCs w:val="20"/>
                <w:color w:val="auto"/>
              </w:rPr>
            </w:pPr>
            <w:r>
              <w:rPr>
                <w:rFonts w:ascii="Arial" w:cs="Arial" w:eastAsia="Arial" w:hAnsi="Arial"/>
                <w:sz w:val="15"/>
                <w:szCs w:val="15"/>
                <w:b w:val="1"/>
                <w:bCs w:val="1"/>
                <w:color w:val="auto"/>
              </w:rPr>
              <w:t>15,367</w:t>
            </w:r>
          </w:p>
        </w:tc>
        <w:tc>
          <w:tcPr>
            <w:tcW w:w="260" w:type="dxa"/>
            <w:vAlign w:val="bottom"/>
          </w:tcPr>
          <w:p>
            <w:pPr>
              <w:spacing w:after="0"/>
              <w:rPr>
                <w:sz w:val="23"/>
                <w:szCs w:val="23"/>
                <w:color w:val="auto"/>
              </w:rPr>
            </w:pPr>
          </w:p>
        </w:tc>
        <w:tc>
          <w:tcPr>
            <w:tcW w:w="940" w:type="dxa"/>
            <w:vAlign w:val="bottom"/>
          </w:tcPr>
          <w:p>
            <w:pPr>
              <w:jc w:val="right"/>
              <w:ind w:right="24"/>
              <w:spacing w:after="0"/>
              <w:rPr>
                <w:sz w:val="20"/>
                <w:szCs w:val="20"/>
                <w:color w:val="auto"/>
              </w:rPr>
            </w:pPr>
            <w:r>
              <w:rPr>
                <w:rFonts w:ascii="Arial" w:cs="Arial" w:eastAsia="Arial" w:hAnsi="Arial"/>
                <w:sz w:val="15"/>
                <w:szCs w:val="15"/>
                <w:color w:val="auto"/>
              </w:rPr>
              <w:t>17,246</w:t>
            </w:r>
          </w:p>
        </w:tc>
        <w:tc>
          <w:tcPr>
            <w:tcW w:w="0" w:type="dxa"/>
            <w:vAlign w:val="bottom"/>
          </w:tcPr>
          <w:p>
            <w:pPr>
              <w:spacing w:after="0"/>
              <w:rPr>
                <w:sz w:val="1"/>
                <w:szCs w:val="1"/>
                <w:color w:val="auto"/>
              </w:rPr>
            </w:pPr>
          </w:p>
        </w:tc>
      </w:tr>
      <w:tr>
        <w:trPr>
          <w:trHeight w:val="274"/>
        </w:trPr>
        <w:tc>
          <w:tcPr>
            <w:tcW w:w="9020" w:type="dxa"/>
            <w:vAlign w:val="bottom"/>
          </w:tcPr>
          <w:p>
            <w:pPr>
              <w:ind w:left="40"/>
              <w:spacing w:after="0"/>
              <w:rPr>
                <w:sz w:val="20"/>
                <w:szCs w:val="20"/>
                <w:color w:val="auto"/>
              </w:rPr>
            </w:pPr>
            <w:r>
              <w:rPr>
                <w:rFonts w:ascii="Arial" w:cs="Arial" w:eastAsia="Arial" w:hAnsi="Arial"/>
                <w:sz w:val="15"/>
                <w:szCs w:val="15"/>
                <w:b w:val="1"/>
                <w:bCs w:val="1"/>
                <w:color w:val="auto"/>
              </w:rPr>
              <w:t>Deferred Charges and Other Assets</w:t>
            </w:r>
          </w:p>
        </w:tc>
        <w:tc>
          <w:tcPr>
            <w:tcW w:w="220" w:type="dxa"/>
            <w:vAlign w:val="bottom"/>
            <w:tcBorders>
              <w:bottom w:val="single" w:sz="8" w:color="auto"/>
            </w:tcBorders>
          </w:tcPr>
          <w:p>
            <w:pPr>
              <w:spacing w:after="0"/>
              <w:rPr>
                <w:sz w:val="23"/>
                <w:szCs w:val="23"/>
                <w:color w:val="auto"/>
              </w:rPr>
            </w:pPr>
          </w:p>
        </w:tc>
        <w:tc>
          <w:tcPr>
            <w:tcW w:w="980" w:type="dxa"/>
            <w:vAlign w:val="bottom"/>
            <w:tcBorders>
              <w:bottom w:val="single" w:sz="8" w:color="auto"/>
            </w:tcBorders>
          </w:tcPr>
          <w:p>
            <w:pPr>
              <w:jc w:val="right"/>
              <w:ind w:right="84"/>
              <w:spacing w:after="0"/>
              <w:rPr>
                <w:sz w:val="20"/>
                <w:szCs w:val="20"/>
                <w:color w:val="auto"/>
              </w:rPr>
            </w:pPr>
            <w:r>
              <w:rPr>
                <w:rFonts w:ascii="Arial" w:cs="Arial" w:eastAsia="Arial" w:hAnsi="Arial"/>
                <w:sz w:val="15"/>
                <w:szCs w:val="15"/>
                <w:b w:val="1"/>
                <w:bCs w:val="1"/>
                <w:color w:val="auto"/>
              </w:rPr>
              <w:t>102,046</w:t>
            </w:r>
          </w:p>
        </w:tc>
        <w:tc>
          <w:tcPr>
            <w:tcW w:w="260" w:type="dxa"/>
            <w:vAlign w:val="bottom"/>
            <w:tcBorders>
              <w:bottom w:val="single" w:sz="8" w:color="auto"/>
            </w:tcBorders>
          </w:tcPr>
          <w:p>
            <w:pPr>
              <w:spacing w:after="0"/>
              <w:rPr>
                <w:sz w:val="23"/>
                <w:szCs w:val="23"/>
                <w:color w:val="auto"/>
              </w:rPr>
            </w:pPr>
          </w:p>
        </w:tc>
        <w:tc>
          <w:tcPr>
            <w:tcW w:w="940" w:type="dxa"/>
            <w:vAlign w:val="bottom"/>
            <w:tcBorders>
              <w:bottom w:val="single" w:sz="8" w:color="auto"/>
            </w:tcBorders>
          </w:tcPr>
          <w:p>
            <w:pPr>
              <w:jc w:val="right"/>
              <w:ind w:right="24"/>
              <w:spacing w:after="0"/>
              <w:rPr>
                <w:sz w:val="20"/>
                <w:szCs w:val="20"/>
                <w:color w:val="auto"/>
              </w:rPr>
            </w:pPr>
            <w:r>
              <w:rPr>
                <w:rFonts w:ascii="Arial" w:cs="Arial" w:eastAsia="Arial" w:hAnsi="Arial"/>
                <w:sz w:val="15"/>
                <w:szCs w:val="15"/>
                <w:color w:val="auto"/>
              </w:rPr>
              <w:t>73,096</w:t>
            </w:r>
          </w:p>
        </w:tc>
        <w:tc>
          <w:tcPr>
            <w:tcW w:w="0" w:type="dxa"/>
            <w:vAlign w:val="bottom"/>
          </w:tcPr>
          <w:p>
            <w:pPr>
              <w:spacing w:after="0"/>
              <w:rPr>
                <w:sz w:val="1"/>
                <w:szCs w:val="1"/>
                <w:color w:val="auto"/>
              </w:rPr>
            </w:pPr>
          </w:p>
        </w:tc>
      </w:tr>
      <w:tr>
        <w:trPr>
          <w:trHeight w:val="268"/>
        </w:trPr>
        <w:tc>
          <w:tcPr>
            <w:tcW w:w="9020" w:type="dxa"/>
            <w:vAlign w:val="bottom"/>
          </w:tcPr>
          <w:p>
            <w:pPr>
              <w:ind w:left="500"/>
              <w:spacing w:after="0"/>
              <w:rPr>
                <w:sz w:val="20"/>
                <w:szCs w:val="20"/>
                <w:color w:val="auto"/>
              </w:rPr>
            </w:pPr>
            <w:r>
              <w:rPr>
                <w:rFonts w:ascii="Arial" w:cs="Arial" w:eastAsia="Arial" w:hAnsi="Arial"/>
                <w:sz w:val="15"/>
                <w:szCs w:val="15"/>
                <w:b w:val="1"/>
                <w:bCs w:val="1"/>
                <w:color w:val="auto"/>
              </w:rPr>
              <w:t>Total Assets</w:t>
            </w:r>
          </w:p>
        </w:tc>
        <w:tc>
          <w:tcPr>
            <w:tcW w:w="220" w:type="dxa"/>
            <w:vAlign w:val="bottom"/>
            <w:tcBorders>
              <w:bottom w:val="single" w:sz="8" w:color="auto"/>
            </w:tcBorders>
          </w:tcPr>
          <w:p>
            <w:pPr>
              <w:jc w:val="right"/>
              <w:ind w:right="23"/>
              <w:spacing w:after="0"/>
              <w:rPr>
                <w:sz w:val="20"/>
                <w:szCs w:val="20"/>
                <w:color w:val="auto"/>
              </w:rPr>
            </w:pPr>
            <w:r>
              <w:rPr>
                <w:rFonts w:ascii="Arial" w:cs="Arial" w:eastAsia="Arial" w:hAnsi="Arial"/>
                <w:sz w:val="15"/>
                <w:szCs w:val="15"/>
                <w:b w:val="1"/>
                <w:bCs w:val="1"/>
                <w:color w:val="auto"/>
              </w:rPr>
              <w:t>$</w:t>
            </w:r>
          </w:p>
        </w:tc>
        <w:tc>
          <w:tcPr>
            <w:tcW w:w="980" w:type="dxa"/>
            <w:vAlign w:val="bottom"/>
            <w:tcBorders>
              <w:bottom w:val="single" w:sz="8" w:color="auto"/>
            </w:tcBorders>
          </w:tcPr>
          <w:p>
            <w:pPr>
              <w:jc w:val="right"/>
              <w:ind w:right="84"/>
              <w:spacing w:after="0"/>
              <w:rPr>
                <w:sz w:val="20"/>
                <w:szCs w:val="20"/>
                <w:color w:val="auto"/>
              </w:rPr>
            </w:pPr>
            <w:r>
              <w:rPr>
                <w:rFonts w:ascii="Arial" w:cs="Arial" w:eastAsia="Arial" w:hAnsi="Arial"/>
                <w:sz w:val="15"/>
                <w:szCs w:val="15"/>
                <w:b w:val="1"/>
                <w:bCs w:val="1"/>
                <w:color w:val="auto"/>
              </w:rPr>
              <w:t>4,937,823</w:t>
            </w:r>
          </w:p>
        </w:tc>
        <w:tc>
          <w:tcPr>
            <w:tcW w:w="260" w:type="dxa"/>
            <w:vAlign w:val="bottom"/>
            <w:tcBorders>
              <w:bottom w:val="single" w:sz="8" w:color="auto"/>
            </w:tcBorders>
          </w:tcPr>
          <w:p>
            <w:pPr>
              <w:jc w:val="right"/>
              <w:ind w:right="3"/>
              <w:spacing w:after="0"/>
              <w:rPr>
                <w:sz w:val="20"/>
                <w:szCs w:val="20"/>
                <w:color w:val="auto"/>
              </w:rPr>
            </w:pPr>
            <w:r>
              <w:rPr>
                <w:rFonts w:ascii="Arial" w:cs="Arial" w:eastAsia="Arial" w:hAnsi="Arial"/>
                <w:sz w:val="15"/>
                <w:szCs w:val="15"/>
                <w:color w:val="auto"/>
              </w:rPr>
              <w:t>$</w:t>
            </w:r>
          </w:p>
        </w:tc>
        <w:tc>
          <w:tcPr>
            <w:tcW w:w="940" w:type="dxa"/>
            <w:vAlign w:val="bottom"/>
            <w:tcBorders>
              <w:bottom w:val="single" w:sz="8" w:color="auto"/>
            </w:tcBorders>
          </w:tcPr>
          <w:p>
            <w:pPr>
              <w:jc w:val="right"/>
              <w:ind w:right="24"/>
              <w:spacing w:after="0"/>
              <w:rPr>
                <w:sz w:val="20"/>
                <w:szCs w:val="20"/>
                <w:color w:val="auto"/>
              </w:rPr>
            </w:pPr>
            <w:r>
              <w:rPr>
                <w:rFonts w:ascii="Arial" w:cs="Arial" w:eastAsia="Arial" w:hAnsi="Arial"/>
                <w:sz w:val="15"/>
                <w:szCs w:val="15"/>
                <w:color w:val="auto"/>
              </w:rPr>
              <w:t>4,432,670</w:t>
            </w:r>
          </w:p>
        </w:tc>
        <w:tc>
          <w:tcPr>
            <w:tcW w:w="0" w:type="dxa"/>
            <w:vAlign w:val="bottom"/>
          </w:tcPr>
          <w:p>
            <w:pPr>
              <w:spacing w:after="0"/>
              <w:rPr>
                <w:sz w:val="1"/>
                <w:szCs w:val="1"/>
                <w:color w:val="auto"/>
              </w:rPr>
            </w:pPr>
          </w:p>
        </w:tc>
      </w:tr>
      <w:tr>
        <w:trPr>
          <w:trHeight w:val="20"/>
        </w:trPr>
        <w:tc>
          <w:tcPr>
            <w:tcW w:w="9020" w:type="dxa"/>
            <w:vAlign w:val="bottom"/>
            <w:vMerge w:val="restart"/>
          </w:tcPr>
          <w:p>
            <w:pPr>
              <w:ind w:left="40"/>
              <w:spacing w:after="0"/>
              <w:rPr>
                <w:sz w:val="20"/>
                <w:szCs w:val="20"/>
                <w:color w:val="auto"/>
              </w:rPr>
            </w:pPr>
            <w:r>
              <w:rPr>
                <w:rFonts w:ascii="Arial" w:cs="Arial" w:eastAsia="Arial" w:hAnsi="Arial"/>
                <w:sz w:val="15"/>
                <w:szCs w:val="15"/>
                <w:b w:val="1"/>
                <w:bCs w:val="1"/>
                <w:color w:val="auto"/>
              </w:rPr>
              <w:t>Liabilities and Equity</w:t>
            </w:r>
          </w:p>
        </w:tc>
        <w:tc>
          <w:tcPr>
            <w:tcW w:w="2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3"/>
        </w:trPr>
        <w:tc>
          <w:tcPr>
            <w:tcW w:w="9020" w:type="dxa"/>
            <w:vAlign w:val="bottom"/>
            <w:vMerge w:val="continue"/>
          </w:tcPr>
          <w:p>
            <w:pPr>
              <w:spacing w:after="0"/>
              <w:rPr>
                <w:sz w:val="21"/>
                <w:szCs w:val="21"/>
                <w:color w:val="auto"/>
              </w:rPr>
            </w:pPr>
          </w:p>
        </w:tc>
        <w:tc>
          <w:tcPr>
            <w:tcW w:w="22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0"/>
        </w:trPr>
        <w:tc>
          <w:tcPr>
            <w:tcW w:w="9020" w:type="dxa"/>
            <w:vAlign w:val="bottom"/>
          </w:tcPr>
          <w:p>
            <w:pPr>
              <w:ind w:left="40"/>
              <w:spacing w:after="0"/>
              <w:rPr>
                <w:sz w:val="20"/>
                <w:szCs w:val="20"/>
                <w:color w:val="auto"/>
              </w:rPr>
            </w:pPr>
            <w:r>
              <w:rPr>
                <w:rFonts w:ascii="Arial" w:cs="Arial" w:eastAsia="Arial" w:hAnsi="Arial"/>
                <w:sz w:val="15"/>
                <w:szCs w:val="15"/>
                <w:b w:val="1"/>
                <w:bCs w:val="1"/>
                <w:color w:val="auto"/>
              </w:rPr>
              <w:t>Current Liabilities</w:t>
            </w:r>
          </w:p>
        </w:tc>
        <w:tc>
          <w:tcPr>
            <w:tcW w:w="22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9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9020" w:type="dxa"/>
            <w:vAlign w:val="bottom"/>
          </w:tcPr>
          <w:p>
            <w:pPr>
              <w:ind w:left="280"/>
              <w:spacing w:after="0"/>
              <w:rPr>
                <w:sz w:val="20"/>
                <w:szCs w:val="20"/>
                <w:color w:val="auto"/>
              </w:rPr>
            </w:pPr>
            <w:r>
              <w:rPr>
                <w:rFonts w:ascii="Arial" w:cs="Arial" w:eastAsia="Arial" w:hAnsi="Arial"/>
                <w:sz w:val="15"/>
                <w:szCs w:val="15"/>
                <w:color w:val="auto"/>
              </w:rPr>
              <w:t>Accounts payable and accrued liabilities</w:t>
            </w:r>
          </w:p>
        </w:tc>
        <w:tc>
          <w:tcPr>
            <w:tcW w:w="220" w:type="dxa"/>
            <w:vAlign w:val="bottom"/>
          </w:tcPr>
          <w:p>
            <w:pPr>
              <w:jc w:val="right"/>
              <w:ind w:right="23"/>
              <w:spacing w:after="0"/>
              <w:rPr>
                <w:sz w:val="20"/>
                <w:szCs w:val="20"/>
                <w:color w:val="auto"/>
              </w:rPr>
            </w:pPr>
            <w:r>
              <w:rPr>
                <w:rFonts w:ascii="Arial" w:cs="Arial" w:eastAsia="Arial" w:hAnsi="Arial"/>
                <w:sz w:val="15"/>
                <w:szCs w:val="15"/>
                <w:b w:val="1"/>
                <w:bCs w:val="1"/>
                <w:color w:val="auto"/>
              </w:rPr>
              <w:t>$</w:t>
            </w:r>
          </w:p>
        </w:tc>
        <w:tc>
          <w:tcPr>
            <w:tcW w:w="980" w:type="dxa"/>
            <w:vAlign w:val="bottom"/>
          </w:tcPr>
          <w:p>
            <w:pPr>
              <w:jc w:val="right"/>
              <w:ind w:right="84"/>
              <w:spacing w:after="0"/>
              <w:rPr>
                <w:sz w:val="20"/>
                <w:szCs w:val="20"/>
                <w:color w:val="auto"/>
              </w:rPr>
            </w:pPr>
            <w:r>
              <w:rPr>
                <w:rFonts w:ascii="Arial" w:cs="Arial" w:eastAsia="Arial" w:hAnsi="Arial"/>
                <w:sz w:val="15"/>
                <w:szCs w:val="15"/>
                <w:b w:val="1"/>
                <w:bCs w:val="1"/>
                <w:color w:val="auto"/>
              </w:rPr>
              <w:t>526,323</w:t>
            </w:r>
          </w:p>
        </w:tc>
        <w:tc>
          <w:tcPr>
            <w:tcW w:w="260" w:type="dxa"/>
            <w:vAlign w:val="bottom"/>
          </w:tcPr>
          <w:p>
            <w:pPr>
              <w:jc w:val="right"/>
              <w:ind w:right="3"/>
              <w:spacing w:after="0"/>
              <w:rPr>
                <w:sz w:val="20"/>
                <w:szCs w:val="20"/>
                <w:color w:val="auto"/>
              </w:rPr>
            </w:pPr>
            <w:r>
              <w:rPr>
                <w:rFonts w:ascii="Arial" w:cs="Arial" w:eastAsia="Arial" w:hAnsi="Arial"/>
                <w:sz w:val="15"/>
                <w:szCs w:val="15"/>
                <w:color w:val="auto"/>
              </w:rPr>
              <w:t>$</w:t>
            </w:r>
          </w:p>
        </w:tc>
        <w:tc>
          <w:tcPr>
            <w:tcW w:w="940" w:type="dxa"/>
            <w:vAlign w:val="bottom"/>
          </w:tcPr>
          <w:p>
            <w:pPr>
              <w:jc w:val="right"/>
              <w:ind w:right="24"/>
              <w:spacing w:after="0"/>
              <w:rPr>
                <w:sz w:val="20"/>
                <w:szCs w:val="20"/>
                <w:color w:val="auto"/>
              </w:rPr>
            </w:pPr>
            <w:r>
              <w:rPr>
                <w:rFonts w:ascii="Arial" w:cs="Arial" w:eastAsia="Arial" w:hAnsi="Arial"/>
                <w:sz w:val="15"/>
                <w:szCs w:val="15"/>
                <w:color w:val="auto"/>
              </w:rPr>
              <w:t>500,726</w:t>
            </w:r>
          </w:p>
        </w:tc>
        <w:tc>
          <w:tcPr>
            <w:tcW w:w="0" w:type="dxa"/>
            <w:vAlign w:val="bottom"/>
          </w:tcPr>
          <w:p>
            <w:pPr>
              <w:spacing w:after="0"/>
              <w:rPr>
                <w:sz w:val="1"/>
                <w:szCs w:val="1"/>
                <w:color w:val="auto"/>
              </w:rPr>
            </w:pPr>
          </w:p>
        </w:tc>
      </w:tr>
      <w:tr>
        <w:trPr>
          <w:trHeight w:val="270"/>
        </w:trPr>
        <w:tc>
          <w:tcPr>
            <w:tcW w:w="9020" w:type="dxa"/>
            <w:vAlign w:val="bottom"/>
          </w:tcPr>
          <w:p>
            <w:pPr>
              <w:ind w:left="280"/>
              <w:spacing w:after="0"/>
              <w:rPr>
                <w:sz w:val="20"/>
                <w:szCs w:val="20"/>
                <w:color w:val="auto"/>
              </w:rPr>
            </w:pPr>
            <w:r>
              <w:rPr>
                <w:rFonts w:ascii="Arial" w:cs="Arial" w:eastAsia="Arial" w:hAnsi="Arial"/>
                <w:sz w:val="15"/>
                <w:szCs w:val="15"/>
                <w:color w:val="auto"/>
              </w:rPr>
              <w:t>Deferred revenue</w:t>
            </w:r>
          </w:p>
        </w:tc>
        <w:tc>
          <w:tcPr>
            <w:tcW w:w="220" w:type="dxa"/>
            <w:vAlign w:val="bottom"/>
          </w:tcPr>
          <w:p>
            <w:pPr>
              <w:spacing w:after="0"/>
              <w:rPr>
                <w:sz w:val="23"/>
                <w:szCs w:val="23"/>
                <w:color w:val="auto"/>
              </w:rPr>
            </w:pPr>
          </w:p>
        </w:tc>
        <w:tc>
          <w:tcPr>
            <w:tcW w:w="980" w:type="dxa"/>
            <w:vAlign w:val="bottom"/>
          </w:tcPr>
          <w:p>
            <w:pPr>
              <w:jc w:val="right"/>
              <w:ind w:right="84"/>
              <w:spacing w:after="0"/>
              <w:rPr>
                <w:sz w:val="20"/>
                <w:szCs w:val="20"/>
                <w:color w:val="auto"/>
              </w:rPr>
            </w:pPr>
            <w:r>
              <w:rPr>
                <w:rFonts w:ascii="Arial" w:cs="Arial" w:eastAsia="Arial" w:hAnsi="Arial"/>
                <w:sz w:val="15"/>
                <w:szCs w:val="15"/>
                <w:b w:val="1"/>
                <w:bCs w:val="1"/>
                <w:color w:val="auto"/>
              </w:rPr>
              <w:t>339,454</w:t>
            </w:r>
          </w:p>
        </w:tc>
        <w:tc>
          <w:tcPr>
            <w:tcW w:w="260" w:type="dxa"/>
            <w:vAlign w:val="bottom"/>
          </w:tcPr>
          <w:p>
            <w:pPr>
              <w:spacing w:after="0"/>
              <w:rPr>
                <w:sz w:val="23"/>
                <w:szCs w:val="23"/>
                <w:color w:val="auto"/>
              </w:rPr>
            </w:pPr>
          </w:p>
        </w:tc>
        <w:tc>
          <w:tcPr>
            <w:tcW w:w="940" w:type="dxa"/>
            <w:vAlign w:val="bottom"/>
          </w:tcPr>
          <w:p>
            <w:pPr>
              <w:jc w:val="right"/>
              <w:ind w:right="24"/>
              <w:spacing w:after="0"/>
              <w:rPr>
                <w:sz w:val="20"/>
                <w:szCs w:val="20"/>
                <w:color w:val="auto"/>
              </w:rPr>
            </w:pPr>
            <w:r>
              <w:rPr>
                <w:rFonts w:ascii="Arial" w:cs="Arial" w:eastAsia="Arial" w:hAnsi="Arial"/>
                <w:sz w:val="15"/>
                <w:szCs w:val="15"/>
                <w:color w:val="auto"/>
              </w:rPr>
              <w:t>312,107</w:t>
            </w:r>
          </w:p>
        </w:tc>
        <w:tc>
          <w:tcPr>
            <w:tcW w:w="0" w:type="dxa"/>
            <w:vAlign w:val="bottom"/>
          </w:tcPr>
          <w:p>
            <w:pPr>
              <w:spacing w:after="0"/>
              <w:rPr>
                <w:sz w:val="1"/>
                <w:szCs w:val="1"/>
                <w:color w:val="auto"/>
              </w:rPr>
            </w:pPr>
          </w:p>
        </w:tc>
      </w:tr>
      <w:tr>
        <w:trPr>
          <w:trHeight w:val="270"/>
        </w:trPr>
        <w:tc>
          <w:tcPr>
            <w:tcW w:w="9020" w:type="dxa"/>
            <w:vAlign w:val="bottom"/>
          </w:tcPr>
          <w:p>
            <w:pPr>
              <w:ind w:left="280"/>
              <w:spacing w:after="0"/>
              <w:rPr>
                <w:sz w:val="20"/>
                <w:szCs w:val="20"/>
                <w:color w:val="auto"/>
              </w:rPr>
            </w:pPr>
            <w:r>
              <w:rPr>
                <w:rFonts w:ascii="Arial" w:cs="Arial" w:eastAsia="Arial" w:hAnsi="Arial"/>
                <w:sz w:val="15"/>
                <w:szCs w:val="15"/>
                <w:color w:val="auto"/>
              </w:rPr>
              <w:t>Income taxes payable</w:t>
            </w:r>
          </w:p>
        </w:tc>
        <w:tc>
          <w:tcPr>
            <w:tcW w:w="220" w:type="dxa"/>
            <w:vAlign w:val="bottom"/>
          </w:tcPr>
          <w:p>
            <w:pPr>
              <w:spacing w:after="0"/>
              <w:rPr>
                <w:sz w:val="23"/>
                <w:szCs w:val="23"/>
                <w:color w:val="auto"/>
              </w:rPr>
            </w:pPr>
          </w:p>
        </w:tc>
        <w:tc>
          <w:tcPr>
            <w:tcW w:w="980" w:type="dxa"/>
            <w:vAlign w:val="bottom"/>
          </w:tcPr>
          <w:p>
            <w:pPr>
              <w:jc w:val="right"/>
              <w:ind w:right="84"/>
              <w:spacing w:after="0"/>
              <w:rPr>
                <w:sz w:val="20"/>
                <w:szCs w:val="20"/>
                <w:color w:val="auto"/>
              </w:rPr>
            </w:pPr>
            <w:r>
              <w:rPr>
                <w:rFonts w:ascii="Arial" w:cs="Arial" w:eastAsia="Arial" w:hAnsi="Arial"/>
                <w:sz w:val="15"/>
                <w:szCs w:val="15"/>
                <w:b w:val="1"/>
                <w:bCs w:val="1"/>
                <w:color w:val="auto"/>
              </w:rPr>
              <w:t>6,109</w:t>
            </w:r>
          </w:p>
        </w:tc>
        <w:tc>
          <w:tcPr>
            <w:tcW w:w="260" w:type="dxa"/>
            <w:vAlign w:val="bottom"/>
          </w:tcPr>
          <w:p>
            <w:pPr>
              <w:spacing w:after="0"/>
              <w:rPr>
                <w:sz w:val="23"/>
                <w:szCs w:val="23"/>
                <w:color w:val="auto"/>
              </w:rPr>
            </w:pPr>
          </w:p>
        </w:tc>
        <w:tc>
          <w:tcPr>
            <w:tcW w:w="940" w:type="dxa"/>
            <w:vAlign w:val="bottom"/>
          </w:tcPr>
          <w:p>
            <w:pPr>
              <w:jc w:val="right"/>
              <w:ind w:right="24"/>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274"/>
        </w:trPr>
        <w:tc>
          <w:tcPr>
            <w:tcW w:w="9020" w:type="dxa"/>
            <w:vAlign w:val="bottom"/>
          </w:tcPr>
          <w:p>
            <w:pPr>
              <w:ind w:left="280"/>
              <w:spacing w:after="0"/>
              <w:rPr>
                <w:sz w:val="20"/>
                <w:szCs w:val="20"/>
                <w:color w:val="auto"/>
              </w:rPr>
            </w:pPr>
            <w:r>
              <w:rPr>
                <w:rFonts w:ascii="Arial" w:cs="Arial" w:eastAsia="Arial" w:hAnsi="Arial"/>
                <w:sz w:val="15"/>
                <w:szCs w:val="15"/>
                <w:color w:val="auto"/>
              </w:rPr>
              <w:t>Current portion of long-term debt</w:t>
            </w:r>
          </w:p>
        </w:tc>
        <w:tc>
          <w:tcPr>
            <w:tcW w:w="220" w:type="dxa"/>
            <w:vAlign w:val="bottom"/>
            <w:tcBorders>
              <w:bottom w:val="single" w:sz="8" w:color="auto"/>
            </w:tcBorders>
          </w:tcPr>
          <w:p>
            <w:pPr>
              <w:spacing w:after="0"/>
              <w:rPr>
                <w:sz w:val="23"/>
                <w:szCs w:val="23"/>
                <w:color w:val="auto"/>
              </w:rPr>
            </w:pPr>
          </w:p>
        </w:tc>
        <w:tc>
          <w:tcPr>
            <w:tcW w:w="980" w:type="dxa"/>
            <w:vAlign w:val="bottom"/>
            <w:tcBorders>
              <w:bottom w:val="single" w:sz="8" w:color="auto"/>
            </w:tcBorders>
          </w:tcPr>
          <w:p>
            <w:pPr>
              <w:jc w:val="right"/>
              <w:ind w:right="84"/>
              <w:spacing w:after="0"/>
              <w:rPr>
                <w:sz w:val="20"/>
                <w:szCs w:val="20"/>
                <w:color w:val="auto"/>
              </w:rPr>
            </w:pPr>
            <w:r>
              <w:rPr>
                <w:rFonts w:ascii="Arial" w:cs="Arial" w:eastAsia="Arial" w:hAnsi="Arial"/>
                <w:sz w:val="15"/>
                <w:szCs w:val="15"/>
                <w:b w:val="1"/>
                <w:bCs w:val="1"/>
                <w:color w:val="auto"/>
              </w:rPr>
              <w:t>6,726</w:t>
            </w:r>
          </w:p>
        </w:tc>
        <w:tc>
          <w:tcPr>
            <w:tcW w:w="260" w:type="dxa"/>
            <w:vAlign w:val="bottom"/>
            <w:tcBorders>
              <w:bottom w:val="single" w:sz="8" w:color="auto"/>
            </w:tcBorders>
          </w:tcPr>
          <w:p>
            <w:pPr>
              <w:spacing w:after="0"/>
              <w:rPr>
                <w:sz w:val="23"/>
                <w:szCs w:val="23"/>
                <w:color w:val="auto"/>
              </w:rPr>
            </w:pPr>
          </w:p>
        </w:tc>
        <w:tc>
          <w:tcPr>
            <w:tcW w:w="940" w:type="dxa"/>
            <w:vAlign w:val="bottom"/>
            <w:tcBorders>
              <w:bottom w:val="single" w:sz="8" w:color="auto"/>
            </w:tcBorders>
          </w:tcPr>
          <w:p>
            <w:pPr>
              <w:jc w:val="right"/>
              <w:ind w:right="24"/>
              <w:spacing w:after="0"/>
              <w:rPr>
                <w:sz w:val="20"/>
                <w:szCs w:val="20"/>
                <w:color w:val="auto"/>
              </w:rPr>
            </w:pPr>
            <w:r>
              <w:rPr>
                <w:rFonts w:ascii="Arial" w:cs="Arial" w:eastAsia="Arial" w:hAnsi="Arial"/>
                <w:sz w:val="15"/>
                <w:szCs w:val="15"/>
                <w:color w:val="auto"/>
              </w:rPr>
              <w:t>6,128</w:t>
            </w:r>
          </w:p>
        </w:tc>
        <w:tc>
          <w:tcPr>
            <w:tcW w:w="0" w:type="dxa"/>
            <w:vAlign w:val="bottom"/>
          </w:tcPr>
          <w:p>
            <w:pPr>
              <w:spacing w:after="0"/>
              <w:rPr>
                <w:sz w:val="1"/>
                <w:szCs w:val="1"/>
                <w:color w:val="auto"/>
              </w:rPr>
            </w:pPr>
          </w:p>
        </w:tc>
      </w:tr>
      <w:tr>
        <w:trPr>
          <w:trHeight w:val="260"/>
        </w:trPr>
        <w:tc>
          <w:tcPr>
            <w:tcW w:w="9020" w:type="dxa"/>
            <w:vAlign w:val="bottom"/>
          </w:tcPr>
          <w:p>
            <w:pPr>
              <w:ind w:left="500"/>
              <w:spacing w:after="0"/>
              <w:rPr>
                <w:sz w:val="20"/>
                <w:szCs w:val="20"/>
                <w:color w:val="auto"/>
              </w:rPr>
            </w:pPr>
            <w:r>
              <w:rPr>
                <w:rFonts w:ascii="Arial" w:cs="Arial" w:eastAsia="Arial" w:hAnsi="Arial"/>
                <w:sz w:val="15"/>
                <w:szCs w:val="15"/>
                <w:b w:val="1"/>
                <w:bCs w:val="1"/>
                <w:color w:val="auto"/>
              </w:rPr>
              <w:t>Total Current Liabilities</w:t>
            </w:r>
          </w:p>
        </w:tc>
        <w:tc>
          <w:tcPr>
            <w:tcW w:w="220" w:type="dxa"/>
            <w:vAlign w:val="bottom"/>
          </w:tcPr>
          <w:p>
            <w:pPr>
              <w:spacing w:after="0"/>
              <w:rPr>
                <w:sz w:val="22"/>
                <w:szCs w:val="22"/>
                <w:color w:val="auto"/>
              </w:rPr>
            </w:pPr>
          </w:p>
        </w:tc>
        <w:tc>
          <w:tcPr>
            <w:tcW w:w="980" w:type="dxa"/>
            <w:vAlign w:val="bottom"/>
          </w:tcPr>
          <w:p>
            <w:pPr>
              <w:jc w:val="right"/>
              <w:ind w:right="84"/>
              <w:spacing w:after="0"/>
              <w:rPr>
                <w:sz w:val="20"/>
                <w:szCs w:val="20"/>
                <w:color w:val="auto"/>
              </w:rPr>
            </w:pPr>
            <w:r>
              <w:rPr>
                <w:rFonts w:ascii="Arial" w:cs="Arial" w:eastAsia="Arial" w:hAnsi="Arial"/>
                <w:sz w:val="15"/>
                <w:szCs w:val="15"/>
                <w:b w:val="1"/>
                <w:bCs w:val="1"/>
                <w:color w:val="auto"/>
              </w:rPr>
              <w:t>878,612</w:t>
            </w:r>
          </w:p>
        </w:tc>
        <w:tc>
          <w:tcPr>
            <w:tcW w:w="260" w:type="dxa"/>
            <w:vAlign w:val="bottom"/>
          </w:tcPr>
          <w:p>
            <w:pPr>
              <w:spacing w:after="0"/>
              <w:rPr>
                <w:sz w:val="22"/>
                <w:szCs w:val="22"/>
                <w:color w:val="auto"/>
              </w:rPr>
            </w:pPr>
          </w:p>
        </w:tc>
        <w:tc>
          <w:tcPr>
            <w:tcW w:w="940" w:type="dxa"/>
            <w:vAlign w:val="bottom"/>
          </w:tcPr>
          <w:p>
            <w:pPr>
              <w:jc w:val="right"/>
              <w:ind w:right="24"/>
              <w:spacing w:after="0"/>
              <w:rPr>
                <w:sz w:val="20"/>
                <w:szCs w:val="20"/>
                <w:color w:val="auto"/>
              </w:rPr>
            </w:pPr>
            <w:r>
              <w:rPr>
                <w:rFonts w:ascii="Arial" w:cs="Arial" w:eastAsia="Arial" w:hAnsi="Arial"/>
                <w:sz w:val="15"/>
                <w:szCs w:val="15"/>
                <w:color w:val="auto"/>
              </w:rPr>
              <w:t>818,961</w:t>
            </w:r>
          </w:p>
        </w:tc>
        <w:tc>
          <w:tcPr>
            <w:tcW w:w="0" w:type="dxa"/>
            <w:vAlign w:val="bottom"/>
          </w:tcPr>
          <w:p>
            <w:pPr>
              <w:spacing w:after="0"/>
              <w:rPr>
                <w:sz w:val="1"/>
                <w:szCs w:val="1"/>
                <w:color w:val="auto"/>
              </w:rPr>
            </w:pPr>
          </w:p>
        </w:tc>
      </w:tr>
      <w:tr>
        <w:trPr>
          <w:trHeight w:val="270"/>
        </w:trPr>
        <w:tc>
          <w:tcPr>
            <w:tcW w:w="9020" w:type="dxa"/>
            <w:vAlign w:val="bottom"/>
          </w:tcPr>
          <w:p>
            <w:pPr>
              <w:ind w:left="40"/>
              <w:spacing w:after="0"/>
              <w:rPr>
                <w:sz w:val="20"/>
                <w:szCs w:val="20"/>
                <w:color w:val="auto"/>
              </w:rPr>
            </w:pPr>
            <w:r>
              <w:rPr>
                <w:rFonts w:ascii="Arial" w:cs="Arial" w:eastAsia="Arial" w:hAnsi="Arial"/>
                <w:sz w:val="15"/>
                <w:szCs w:val="15"/>
                <w:b w:val="1"/>
                <w:bCs w:val="1"/>
                <w:color w:val="auto"/>
              </w:rPr>
              <w:t>Postretirement Benefits Other Than Pensions</w:t>
            </w:r>
          </w:p>
        </w:tc>
        <w:tc>
          <w:tcPr>
            <w:tcW w:w="220" w:type="dxa"/>
            <w:vAlign w:val="bottom"/>
          </w:tcPr>
          <w:p>
            <w:pPr>
              <w:spacing w:after="0"/>
              <w:rPr>
                <w:sz w:val="23"/>
                <w:szCs w:val="23"/>
                <w:color w:val="auto"/>
              </w:rPr>
            </w:pPr>
          </w:p>
        </w:tc>
        <w:tc>
          <w:tcPr>
            <w:tcW w:w="980" w:type="dxa"/>
            <w:vAlign w:val="bottom"/>
          </w:tcPr>
          <w:p>
            <w:pPr>
              <w:jc w:val="right"/>
              <w:ind w:right="84"/>
              <w:spacing w:after="0"/>
              <w:rPr>
                <w:sz w:val="20"/>
                <w:szCs w:val="20"/>
                <w:color w:val="auto"/>
              </w:rPr>
            </w:pPr>
            <w:r>
              <w:rPr>
                <w:rFonts w:ascii="Arial" w:cs="Arial" w:eastAsia="Arial" w:hAnsi="Arial"/>
                <w:sz w:val="15"/>
                <w:szCs w:val="15"/>
                <w:b w:val="1"/>
                <w:bCs w:val="1"/>
                <w:color w:val="auto"/>
              </w:rPr>
              <w:t>20,865</w:t>
            </w:r>
          </w:p>
        </w:tc>
        <w:tc>
          <w:tcPr>
            <w:tcW w:w="260" w:type="dxa"/>
            <w:vAlign w:val="bottom"/>
          </w:tcPr>
          <w:p>
            <w:pPr>
              <w:spacing w:after="0"/>
              <w:rPr>
                <w:sz w:val="23"/>
                <w:szCs w:val="23"/>
                <w:color w:val="auto"/>
              </w:rPr>
            </w:pPr>
          </w:p>
        </w:tc>
        <w:tc>
          <w:tcPr>
            <w:tcW w:w="940" w:type="dxa"/>
            <w:vAlign w:val="bottom"/>
          </w:tcPr>
          <w:p>
            <w:pPr>
              <w:jc w:val="right"/>
              <w:ind w:right="24"/>
              <w:spacing w:after="0"/>
              <w:rPr>
                <w:sz w:val="20"/>
                <w:szCs w:val="20"/>
                <w:color w:val="auto"/>
              </w:rPr>
            </w:pPr>
            <w:r>
              <w:rPr>
                <w:rFonts w:ascii="Arial" w:cs="Arial" w:eastAsia="Arial" w:hAnsi="Arial"/>
                <w:sz w:val="15"/>
                <w:szCs w:val="15"/>
                <w:color w:val="auto"/>
              </w:rPr>
              <w:t>21,859</w:t>
            </w:r>
          </w:p>
        </w:tc>
        <w:tc>
          <w:tcPr>
            <w:tcW w:w="0" w:type="dxa"/>
            <w:vAlign w:val="bottom"/>
          </w:tcPr>
          <w:p>
            <w:pPr>
              <w:spacing w:after="0"/>
              <w:rPr>
                <w:sz w:val="1"/>
                <w:szCs w:val="1"/>
                <w:color w:val="auto"/>
              </w:rPr>
            </w:pPr>
          </w:p>
        </w:tc>
      </w:tr>
      <w:tr>
        <w:trPr>
          <w:trHeight w:val="270"/>
        </w:trPr>
        <w:tc>
          <w:tcPr>
            <w:tcW w:w="9020" w:type="dxa"/>
            <w:vAlign w:val="bottom"/>
          </w:tcPr>
          <w:p>
            <w:pPr>
              <w:ind w:left="40"/>
              <w:spacing w:after="0"/>
              <w:rPr>
                <w:sz w:val="20"/>
                <w:szCs w:val="20"/>
                <w:color w:val="auto"/>
              </w:rPr>
            </w:pPr>
            <w:r>
              <w:rPr>
                <w:rFonts w:ascii="Arial" w:cs="Arial" w:eastAsia="Arial" w:hAnsi="Arial"/>
                <w:sz w:val="15"/>
                <w:szCs w:val="15"/>
                <w:b w:val="1"/>
                <w:bCs w:val="1"/>
                <w:color w:val="auto"/>
              </w:rPr>
              <w:t>Accrued Compensation and Related Benefits</w:t>
            </w:r>
          </w:p>
        </w:tc>
        <w:tc>
          <w:tcPr>
            <w:tcW w:w="220" w:type="dxa"/>
            <w:vAlign w:val="bottom"/>
          </w:tcPr>
          <w:p>
            <w:pPr>
              <w:spacing w:after="0"/>
              <w:rPr>
                <w:sz w:val="23"/>
                <w:szCs w:val="23"/>
                <w:color w:val="auto"/>
              </w:rPr>
            </w:pPr>
          </w:p>
        </w:tc>
        <w:tc>
          <w:tcPr>
            <w:tcW w:w="980" w:type="dxa"/>
            <w:vAlign w:val="bottom"/>
          </w:tcPr>
          <w:p>
            <w:pPr>
              <w:jc w:val="right"/>
              <w:ind w:right="84"/>
              <w:spacing w:after="0"/>
              <w:rPr>
                <w:sz w:val="20"/>
                <w:szCs w:val="20"/>
                <w:color w:val="auto"/>
              </w:rPr>
            </w:pPr>
            <w:r>
              <w:rPr>
                <w:rFonts w:ascii="Arial" w:cs="Arial" w:eastAsia="Arial" w:hAnsi="Arial"/>
                <w:sz w:val="15"/>
                <w:szCs w:val="15"/>
                <w:b w:val="1"/>
                <w:bCs w:val="1"/>
                <w:color w:val="auto"/>
              </w:rPr>
              <w:t>193,024</w:t>
            </w:r>
          </w:p>
        </w:tc>
        <w:tc>
          <w:tcPr>
            <w:tcW w:w="260" w:type="dxa"/>
            <w:vAlign w:val="bottom"/>
          </w:tcPr>
          <w:p>
            <w:pPr>
              <w:spacing w:after="0"/>
              <w:rPr>
                <w:sz w:val="23"/>
                <w:szCs w:val="23"/>
                <w:color w:val="auto"/>
              </w:rPr>
            </w:pPr>
          </w:p>
        </w:tc>
        <w:tc>
          <w:tcPr>
            <w:tcW w:w="940" w:type="dxa"/>
            <w:vAlign w:val="bottom"/>
          </w:tcPr>
          <w:p>
            <w:pPr>
              <w:jc w:val="right"/>
              <w:ind w:right="24"/>
              <w:spacing w:after="0"/>
              <w:rPr>
                <w:sz w:val="20"/>
                <w:szCs w:val="20"/>
                <w:color w:val="auto"/>
              </w:rPr>
            </w:pPr>
            <w:r>
              <w:rPr>
                <w:rFonts w:ascii="Arial" w:cs="Arial" w:eastAsia="Arial" w:hAnsi="Arial"/>
                <w:sz w:val="15"/>
                <w:szCs w:val="15"/>
                <w:color w:val="auto"/>
              </w:rPr>
              <w:t>195,910</w:t>
            </w:r>
          </w:p>
        </w:tc>
        <w:tc>
          <w:tcPr>
            <w:tcW w:w="0" w:type="dxa"/>
            <w:vAlign w:val="bottom"/>
          </w:tcPr>
          <w:p>
            <w:pPr>
              <w:spacing w:after="0"/>
              <w:rPr>
                <w:sz w:val="1"/>
                <w:szCs w:val="1"/>
                <w:color w:val="auto"/>
              </w:rPr>
            </w:pPr>
          </w:p>
        </w:tc>
      </w:tr>
      <w:tr>
        <w:trPr>
          <w:trHeight w:val="270"/>
        </w:trPr>
        <w:tc>
          <w:tcPr>
            <w:tcW w:w="9020" w:type="dxa"/>
            <w:vAlign w:val="bottom"/>
          </w:tcPr>
          <w:p>
            <w:pPr>
              <w:ind w:left="40"/>
              <w:spacing w:after="0"/>
              <w:rPr>
                <w:sz w:val="20"/>
                <w:szCs w:val="20"/>
                <w:color w:val="auto"/>
              </w:rPr>
            </w:pPr>
            <w:r>
              <w:rPr>
                <w:rFonts w:ascii="Arial" w:cs="Arial" w:eastAsia="Arial" w:hAnsi="Arial"/>
                <w:sz w:val="15"/>
                <w:szCs w:val="15"/>
                <w:b w:val="1"/>
                <w:bCs w:val="1"/>
                <w:color w:val="auto"/>
              </w:rPr>
              <w:t>Other Liabilities</w:t>
            </w:r>
          </w:p>
        </w:tc>
        <w:tc>
          <w:tcPr>
            <w:tcW w:w="220" w:type="dxa"/>
            <w:vAlign w:val="bottom"/>
          </w:tcPr>
          <w:p>
            <w:pPr>
              <w:spacing w:after="0"/>
              <w:rPr>
                <w:sz w:val="23"/>
                <w:szCs w:val="23"/>
                <w:color w:val="auto"/>
              </w:rPr>
            </w:pPr>
          </w:p>
        </w:tc>
        <w:tc>
          <w:tcPr>
            <w:tcW w:w="980" w:type="dxa"/>
            <w:vAlign w:val="bottom"/>
          </w:tcPr>
          <w:p>
            <w:pPr>
              <w:jc w:val="right"/>
              <w:ind w:right="84"/>
              <w:spacing w:after="0"/>
              <w:rPr>
                <w:sz w:val="20"/>
                <w:szCs w:val="20"/>
                <w:color w:val="auto"/>
              </w:rPr>
            </w:pPr>
            <w:r>
              <w:rPr>
                <w:rFonts w:ascii="Arial" w:cs="Arial" w:eastAsia="Arial" w:hAnsi="Arial"/>
                <w:sz w:val="15"/>
                <w:szCs w:val="15"/>
                <w:b w:val="1"/>
                <w:bCs w:val="1"/>
                <w:color w:val="auto"/>
              </w:rPr>
              <w:t>65,977</w:t>
            </w:r>
          </w:p>
        </w:tc>
        <w:tc>
          <w:tcPr>
            <w:tcW w:w="260" w:type="dxa"/>
            <w:vAlign w:val="bottom"/>
          </w:tcPr>
          <w:p>
            <w:pPr>
              <w:spacing w:after="0"/>
              <w:rPr>
                <w:sz w:val="23"/>
                <w:szCs w:val="23"/>
                <w:color w:val="auto"/>
              </w:rPr>
            </w:pPr>
          </w:p>
        </w:tc>
        <w:tc>
          <w:tcPr>
            <w:tcW w:w="940" w:type="dxa"/>
            <w:vAlign w:val="bottom"/>
          </w:tcPr>
          <w:p>
            <w:pPr>
              <w:jc w:val="right"/>
              <w:ind w:right="24"/>
              <w:spacing w:after="0"/>
              <w:rPr>
                <w:sz w:val="20"/>
                <w:szCs w:val="20"/>
                <w:color w:val="auto"/>
              </w:rPr>
            </w:pPr>
            <w:r>
              <w:rPr>
                <w:rFonts w:ascii="Arial" w:cs="Arial" w:eastAsia="Arial" w:hAnsi="Arial"/>
                <w:sz w:val="15"/>
                <w:szCs w:val="15"/>
                <w:color w:val="auto"/>
              </w:rPr>
              <w:t>65,554</w:t>
            </w:r>
          </w:p>
        </w:tc>
        <w:tc>
          <w:tcPr>
            <w:tcW w:w="0" w:type="dxa"/>
            <w:vAlign w:val="bottom"/>
          </w:tcPr>
          <w:p>
            <w:pPr>
              <w:spacing w:after="0"/>
              <w:rPr>
                <w:sz w:val="1"/>
                <w:szCs w:val="1"/>
                <w:color w:val="auto"/>
              </w:rPr>
            </w:pPr>
          </w:p>
        </w:tc>
      </w:tr>
      <w:tr>
        <w:trPr>
          <w:trHeight w:val="270"/>
        </w:trPr>
        <w:tc>
          <w:tcPr>
            <w:tcW w:w="9020" w:type="dxa"/>
            <w:vAlign w:val="bottom"/>
          </w:tcPr>
          <w:p>
            <w:pPr>
              <w:ind w:left="40"/>
              <w:spacing w:after="0"/>
              <w:rPr>
                <w:sz w:val="20"/>
                <w:szCs w:val="20"/>
                <w:color w:val="auto"/>
              </w:rPr>
            </w:pPr>
            <w:r>
              <w:rPr>
                <w:rFonts w:ascii="Arial" w:cs="Arial" w:eastAsia="Arial" w:hAnsi="Arial"/>
                <w:sz w:val="15"/>
                <w:szCs w:val="15"/>
                <w:b w:val="1"/>
                <w:bCs w:val="1"/>
                <w:color w:val="auto"/>
              </w:rPr>
              <w:t>Deferred Income Taxes</w:t>
            </w:r>
          </w:p>
        </w:tc>
        <w:tc>
          <w:tcPr>
            <w:tcW w:w="220" w:type="dxa"/>
            <w:vAlign w:val="bottom"/>
          </w:tcPr>
          <w:p>
            <w:pPr>
              <w:spacing w:after="0"/>
              <w:rPr>
                <w:sz w:val="23"/>
                <w:szCs w:val="23"/>
                <w:color w:val="auto"/>
              </w:rPr>
            </w:pPr>
          </w:p>
        </w:tc>
        <w:tc>
          <w:tcPr>
            <w:tcW w:w="980" w:type="dxa"/>
            <w:vAlign w:val="bottom"/>
          </w:tcPr>
          <w:p>
            <w:pPr>
              <w:jc w:val="right"/>
              <w:ind w:right="84"/>
              <w:spacing w:after="0"/>
              <w:rPr>
                <w:sz w:val="20"/>
                <w:szCs w:val="20"/>
                <w:color w:val="auto"/>
              </w:rPr>
            </w:pPr>
            <w:r>
              <w:rPr>
                <w:rFonts w:ascii="Arial" w:cs="Arial" w:eastAsia="Arial" w:hAnsi="Arial"/>
                <w:sz w:val="15"/>
                <w:szCs w:val="15"/>
                <w:b w:val="1"/>
                <w:bCs w:val="1"/>
                <w:color w:val="auto"/>
              </w:rPr>
              <w:t>362,701</w:t>
            </w:r>
          </w:p>
        </w:tc>
        <w:tc>
          <w:tcPr>
            <w:tcW w:w="260" w:type="dxa"/>
            <w:vAlign w:val="bottom"/>
          </w:tcPr>
          <w:p>
            <w:pPr>
              <w:spacing w:after="0"/>
              <w:rPr>
                <w:sz w:val="23"/>
                <w:szCs w:val="23"/>
                <w:color w:val="auto"/>
              </w:rPr>
            </w:pPr>
          </w:p>
        </w:tc>
        <w:tc>
          <w:tcPr>
            <w:tcW w:w="940" w:type="dxa"/>
            <w:vAlign w:val="bottom"/>
          </w:tcPr>
          <w:p>
            <w:pPr>
              <w:jc w:val="right"/>
              <w:ind w:right="24"/>
              <w:spacing w:after="0"/>
              <w:rPr>
                <w:sz w:val="20"/>
                <w:szCs w:val="20"/>
                <w:color w:val="auto"/>
              </w:rPr>
            </w:pPr>
            <w:r>
              <w:rPr>
                <w:rFonts w:ascii="Arial" w:cs="Arial" w:eastAsia="Arial" w:hAnsi="Arial"/>
                <w:sz w:val="15"/>
                <w:szCs w:val="15"/>
                <w:color w:val="auto"/>
              </w:rPr>
              <w:t>379,092</w:t>
            </w:r>
          </w:p>
        </w:tc>
        <w:tc>
          <w:tcPr>
            <w:tcW w:w="0" w:type="dxa"/>
            <w:vAlign w:val="bottom"/>
          </w:tcPr>
          <w:p>
            <w:pPr>
              <w:spacing w:after="0"/>
              <w:rPr>
                <w:sz w:val="1"/>
                <w:szCs w:val="1"/>
                <w:color w:val="auto"/>
              </w:rPr>
            </w:pPr>
          </w:p>
        </w:tc>
      </w:tr>
      <w:tr>
        <w:trPr>
          <w:trHeight w:val="270"/>
        </w:trPr>
        <w:tc>
          <w:tcPr>
            <w:tcW w:w="9020" w:type="dxa"/>
            <w:vAlign w:val="bottom"/>
          </w:tcPr>
          <w:p>
            <w:pPr>
              <w:ind w:left="40"/>
              <w:spacing w:after="0"/>
              <w:rPr>
                <w:sz w:val="20"/>
                <w:szCs w:val="20"/>
                <w:color w:val="auto"/>
              </w:rPr>
            </w:pPr>
            <w:r>
              <w:rPr>
                <w:rFonts w:ascii="Arial" w:cs="Arial" w:eastAsia="Arial" w:hAnsi="Arial"/>
                <w:sz w:val="15"/>
                <w:szCs w:val="15"/>
                <w:b w:val="1"/>
                <w:bCs w:val="1"/>
                <w:color w:val="auto"/>
              </w:rPr>
              <w:t>Mandatorily Redeemable Noncontrolling Interest</w:t>
            </w:r>
          </w:p>
        </w:tc>
        <w:tc>
          <w:tcPr>
            <w:tcW w:w="220" w:type="dxa"/>
            <w:vAlign w:val="bottom"/>
          </w:tcPr>
          <w:p>
            <w:pPr>
              <w:spacing w:after="0"/>
              <w:rPr>
                <w:sz w:val="23"/>
                <w:szCs w:val="23"/>
                <w:color w:val="auto"/>
              </w:rPr>
            </w:pPr>
          </w:p>
        </w:tc>
        <w:tc>
          <w:tcPr>
            <w:tcW w:w="980" w:type="dxa"/>
            <w:vAlign w:val="bottom"/>
          </w:tcPr>
          <w:p>
            <w:pPr>
              <w:jc w:val="right"/>
              <w:ind w:right="84"/>
              <w:spacing w:after="0"/>
              <w:rPr>
                <w:sz w:val="20"/>
                <w:szCs w:val="20"/>
                <w:color w:val="auto"/>
              </w:rPr>
            </w:pPr>
            <w:r>
              <w:rPr>
                <w:rFonts w:ascii="Arial" w:cs="Arial" w:eastAsia="Arial" w:hAnsi="Arial"/>
                <w:sz w:val="15"/>
                <w:szCs w:val="15"/>
                <w:b w:val="1"/>
                <w:bCs w:val="1"/>
                <w:color w:val="auto"/>
              </w:rPr>
              <w:t>10,331</w:t>
            </w:r>
          </w:p>
        </w:tc>
        <w:tc>
          <w:tcPr>
            <w:tcW w:w="260" w:type="dxa"/>
            <w:vAlign w:val="bottom"/>
          </w:tcPr>
          <w:p>
            <w:pPr>
              <w:spacing w:after="0"/>
              <w:rPr>
                <w:sz w:val="23"/>
                <w:szCs w:val="23"/>
                <w:color w:val="auto"/>
              </w:rPr>
            </w:pPr>
          </w:p>
        </w:tc>
        <w:tc>
          <w:tcPr>
            <w:tcW w:w="940" w:type="dxa"/>
            <w:vAlign w:val="bottom"/>
          </w:tcPr>
          <w:p>
            <w:pPr>
              <w:jc w:val="right"/>
              <w:ind w:right="24"/>
              <w:spacing w:after="0"/>
              <w:rPr>
                <w:sz w:val="20"/>
                <w:szCs w:val="20"/>
                <w:color w:val="auto"/>
              </w:rPr>
            </w:pPr>
            <w:r>
              <w:rPr>
                <w:rFonts w:ascii="Arial" w:cs="Arial" w:eastAsia="Arial" w:hAnsi="Arial"/>
                <w:sz w:val="15"/>
                <w:szCs w:val="15"/>
                <w:color w:val="auto"/>
              </w:rPr>
              <w:t>12,584</w:t>
            </w:r>
          </w:p>
        </w:tc>
        <w:tc>
          <w:tcPr>
            <w:tcW w:w="0" w:type="dxa"/>
            <w:vAlign w:val="bottom"/>
          </w:tcPr>
          <w:p>
            <w:pPr>
              <w:spacing w:after="0"/>
              <w:rPr>
                <w:sz w:val="1"/>
                <w:szCs w:val="1"/>
                <w:color w:val="auto"/>
              </w:rPr>
            </w:pPr>
          </w:p>
        </w:tc>
      </w:tr>
      <w:tr>
        <w:trPr>
          <w:trHeight w:val="274"/>
        </w:trPr>
        <w:tc>
          <w:tcPr>
            <w:tcW w:w="9020" w:type="dxa"/>
            <w:vAlign w:val="bottom"/>
          </w:tcPr>
          <w:p>
            <w:pPr>
              <w:ind w:left="40"/>
              <w:spacing w:after="0"/>
              <w:rPr>
                <w:sz w:val="20"/>
                <w:szCs w:val="20"/>
                <w:color w:val="auto"/>
              </w:rPr>
            </w:pPr>
            <w:r>
              <w:rPr>
                <w:rFonts w:ascii="Arial" w:cs="Arial" w:eastAsia="Arial" w:hAnsi="Arial"/>
                <w:sz w:val="15"/>
                <w:szCs w:val="15"/>
                <w:b w:val="1"/>
                <w:bCs w:val="1"/>
                <w:color w:val="auto"/>
              </w:rPr>
              <w:t>Long-Term Debt</w:t>
            </w:r>
          </w:p>
        </w:tc>
        <w:tc>
          <w:tcPr>
            <w:tcW w:w="220" w:type="dxa"/>
            <w:vAlign w:val="bottom"/>
            <w:tcBorders>
              <w:bottom w:val="single" w:sz="8" w:color="auto"/>
            </w:tcBorders>
          </w:tcPr>
          <w:p>
            <w:pPr>
              <w:spacing w:after="0"/>
              <w:rPr>
                <w:sz w:val="23"/>
                <w:szCs w:val="23"/>
                <w:color w:val="auto"/>
              </w:rPr>
            </w:pPr>
          </w:p>
        </w:tc>
        <w:tc>
          <w:tcPr>
            <w:tcW w:w="980" w:type="dxa"/>
            <w:vAlign w:val="bottom"/>
            <w:tcBorders>
              <w:bottom w:val="single" w:sz="8" w:color="auto"/>
            </w:tcBorders>
          </w:tcPr>
          <w:p>
            <w:pPr>
              <w:jc w:val="right"/>
              <w:ind w:right="84"/>
              <w:spacing w:after="0"/>
              <w:rPr>
                <w:sz w:val="20"/>
                <w:szCs w:val="20"/>
                <w:color w:val="auto"/>
              </w:rPr>
            </w:pPr>
            <w:r>
              <w:rPr>
                <w:rFonts w:ascii="Arial" w:cs="Arial" w:eastAsia="Arial" w:hAnsi="Arial"/>
                <w:sz w:val="15"/>
                <w:szCs w:val="15"/>
                <w:b w:val="1"/>
                <w:bCs w:val="1"/>
                <w:color w:val="auto"/>
              </w:rPr>
              <w:t>486,561</w:t>
            </w:r>
          </w:p>
        </w:tc>
        <w:tc>
          <w:tcPr>
            <w:tcW w:w="260" w:type="dxa"/>
            <w:vAlign w:val="bottom"/>
            <w:tcBorders>
              <w:bottom w:val="single" w:sz="8" w:color="auto"/>
            </w:tcBorders>
          </w:tcPr>
          <w:p>
            <w:pPr>
              <w:spacing w:after="0"/>
              <w:rPr>
                <w:sz w:val="23"/>
                <w:szCs w:val="23"/>
                <w:color w:val="auto"/>
              </w:rPr>
            </w:pPr>
          </w:p>
        </w:tc>
        <w:tc>
          <w:tcPr>
            <w:tcW w:w="940" w:type="dxa"/>
            <w:vAlign w:val="bottom"/>
            <w:tcBorders>
              <w:bottom w:val="single" w:sz="8" w:color="auto"/>
            </w:tcBorders>
          </w:tcPr>
          <w:p>
            <w:pPr>
              <w:jc w:val="right"/>
              <w:ind w:right="24"/>
              <w:spacing w:after="0"/>
              <w:rPr>
                <w:sz w:val="20"/>
                <w:szCs w:val="20"/>
                <w:color w:val="auto"/>
              </w:rPr>
            </w:pPr>
            <w:r>
              <w:rPr>
                <w:rFonts w:ascii="Arial" w:cs="Arial" w:eastAsia="Arial" w:hAnsi="Arial"/>
                <w:sz w:val="15"/>
                <w:szCs w:val="15"/>
                <w:color w:val="auto"/>
              </w:rPr>
              <w:t>485,719</w:t>
            </w:r>
          </w:p>
        </w:tc>
        <w:tc>
          <w:tcPr>
            <w:tcW w:w="0" w:type="dxa"/>
            <w:vAlign w:val="bottom"/>
          </w:tcPr>
          <w:p>
            <w:pPr>
              <w:spacing w:after="0"/>
              <w:rPr>
                <w:sz w:val="1"/>
                <w:szCs w:val="1"/>
                <w:color w:val="auto"/>
              </w:rPr>
            </w:pPr>
          </w:p>
        </w:tc>
      </w:tr>
      <w:tr>
        <w:trPr>
          <w:trHeight w:val="261"/>
        </w:trPr>
        <w:tc>
          <w:tcPr>
            <w:tcW w:w="9020" w:type="dxa"/>
            <w:vAlign w:val="bottom"/>
          </w:tcPr>
          <w:p>
            <w:pPr>
              <w:ind w:left="500"/>
              <w:spacing w:after="0"/>
              <w:rPr>
                <w:sz w:val="20"/>
                <w:szCs w:val="20"/>
                <w:color w:val="auto"/>
              </w:rPr>
            </w:pPr>
            <w:r>
              <w:rPr>
                <w:rFonts w:ascii="Arial" w:cs="Arial" w:eastAsia="Arial" w:hAnsi="Arial"/>
                <w:sz w:val="15"/>
                <w:szCs w:val="15"/>
                <w:b w:val="1"/>
                <w:bCs w:val="1"/>
                <w:color w:val="auto"/>
              </w:rPr>
              <w:t>Total Liabilities</w:t>
            </w:r>
          </w:p>
        </w:tc>
        <w:tc>
          <w:tcPr>
            <w:tcW w:w="22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ind w:right="84"/>
              <w:spacing w:after="0"/>
              <w:rPr>
                <w:sz w:val="20"/>
                <w:szCs w:val="20"/>
                <w:color w:val="auto"/>
              </w:rPr>
            </w:pPr>
            <w:r>
              <w:rPr>
                <w:rFonts w:ascii="Arial" w:cs="Arial" w:eastAsia="Arial" w:hAnsi="Arial"/>
                <w:sz w:val="15"/>
                <w:szCs w:val="15"/>
                <w:b w:val="1"/>
                <w:bCs w:val="1"/>
                <w:color w:val="auto"/>
              </w:rPr>
              <w:t>2,018,071</w:t>
            </w:r>
          </w:p>
        </w:tc>
        <w:tc>
          <w:tcPr>
            <w:tcW w:w="26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right"/>
              <w:ind w:right="24"/>
              <w:spacing w:after="0"/>
              <w:rPr>
                <w:sz w:val="20"/>
                <w:szCs w:val="20"/>
                <w:color w:val="auto"/>
              </w:rPr>
            </w:pPr>
            <w:r>
              <w:rPr>
                <w:rFonts w:ascii="Arial" w:cs="Arial" w:eastAsia="Arial" w:hAnsi="Arial"/>
                <w:sz w:val="15"/>
                <w:szCs w:val="15"/>
                <w:color w:val="auto"/>
              </w:rPr>
              <w:t>1,979,679</w:t>
            </w:r>
          </w:p>
        </w:tc>
        <w:tc>
          <w:tcPr>
            <w:tcW w:w="0" w:type="dxa"/>
            <w:vAlign w:val="bottom"/>
          </w:tcPr>
          <w:p>
            <w:pPr>
              <w:spacing w:after="0"/>
              <w:rPr>
                <w:sz w:val="1"/>
                <w:szCs w:val="1"/>
                <w:color w:val="auto"/>
              </w:rPr>
            </w:pPr>
          </w:p>
        </w:tc>
      </w:tr>
      <w:tr>
        <w:trPr>
          <w:trHeight w:val="262"/>
        </w:trPr>
        <w:tc>
          <w:tcPr>
            <w:tcW w:w="9020" w:type="dxa"/>
            <w:vAlign w:val="bottom"/>
          </w:tcPr>
          <w:p>
            <w:pPr>
              <w:ind w:left="40"/>
              <w:spacing w:after="0"/>
              <w:rPr>
                <w:sz w:val="20"/>
                <w:szCs w:val="20"/>
                <w:color w:val="auto"/>
              </w:rPr>
            </w:pPr>
            <w:r>
              <w:rPr>
                <w:rFonts w:ascii="Arial" w:cs="Arial" w:eastAsia="Arial" w:hAnsi="Arial"/>
                <w:sz w:val="15"/>
                <w:szCs w:val="15"/>
                <w:b w:val="1"/>
                <w:bCs w:val="1"/>
                <w:color w:val="auto"/>
              </w:rPr>
              <w:t xml:space="preserve">Commitments and Contingencies </w:t>
            </w:r>
            <w:r>
              <w:rPr>
                <w:rFonts w:ascii="Arial" w:cs="Arial" w:eastAsia="Arial" w:hAnsi="Arial"/>
                <w:sz w:val="15"/>
                <w:szCs w:val="15"/>
                <w:color w:val="auto"/>
              </w:rPr>
              <w:t>(Notes 18 and 19)</w:t>
            </w:r>
          </w:p>
        </w:tc>
        <w:tc>
          <w:tcPr>
            <w:tcW w:w="22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4"/>
        </w:trPr>
        <w:tc>
          <w:tcPr>
            <w:tcW w:w="9020" w:type="dxa"/>
            <w:vAlign w:val="bottom"/>
          </w:tcPr>
          <w:p>
            <w:pPr>
              <w:ind w:left="40"/>
              <w:spacing w:after="0"/>
              <w:rPr>
                <w:sz w:val="20"/>
                <w:szCs w:val="20"/>
                <w:color w:val="auto"/>
              </w:rPr>
            </w:pPr>
            <w:r>
              <w:rPr>
                <w:rFonts w:ascii="Arial" w:cs="Arial" w:eastAsia="Arial" w:hAnsi="Arial"/>
                <w:sz w:val="15"/>
                <w:szCs w:val="15"/>
                <w:b w:val="1"/>
                <w:bCs w:val="1"/>
                <w:color w:val="auto"/>
              </w:rPr>
              <w:t>Redeemable Noncontrolling Interests</w:t>
            </w:r>
          </w:p>
        </w:tc>
        <w:tc>
          <w:tcPr>
            <w:tcW w:w="220" w:type="dxa"/>
            <w:vAlign w:val="bottom"/>
            <w:tcBorders>
              <w:bottom w:val="single" w:sz="8" w:color="auto"/>
            </w:tcBorders>
          </w:tcPr>
          <w:p>
            <w:pPr>
              <w:spacing w:after="0"/>
              <w:rPr>
                <w:sz w:val="23"/>
                <w:szCs w:val="23"/>
                <w:color w:val="auto"/>
              </w:rPr>
            </w:pPr>
          </w:p>
        </w:tc>
        <w:tc>
          <w:tcPr>
            <w:tcW w:w="980" w:type="dxa"/>
            <w:vAlign w:val="bottom"/>
            <w:tcBorders>
              <w:bottom w:val="single" w:sz="8" w:color="auto"/>
            </w:tcBorders>
          </w:tcPr>
          <w:p>
            <w:pPr>
              <w:jc w:val="right"/>
              <w:ind w:right="84"/>
              <w:spacing w:after="0"/>
              <w:rPr>
                <w:sz w:val="20"/>
                <w:szCs w:val="20"/>
                <w:color w:val="auto"/>
              </w:rPr>
            </w:pPr>
            <w:r>
              <w:rPr>
                <w:rFonts w:ascii="Arial" w:cs="Arial" w:eastAsia="Arial" w:hAnsi="Arial"/>
                <w:sz w:val="15"/>
                <w:szCs w:val="15"/>
                <w:b w:val="1"/>
                <w:bCs w:val="1"/>
                <w:color w:val="auto"/>
              </w:rPr>
              <w:t>4,607</w:t>
            </w:r>
          </w:p>
        </w:tc>
        <w:tc>
          <w:tcPr>
            <w:tcW w:w="260" w:type="dxa"/>
            <w:vAlign w:val="bottom"/>
            <w:tcBorders>
              <w:bottom w:val="single" w:sz="8" w:color="auto"/>
            </w:tcBorders>
          </w:tcPr>
          <w:p>
            <w:pPr>
              <w:spacing w:after="0"/>
              <w:rPr>
                <w:sz w:val="23"/>
                <w:szCs w:val="23"/>
                <w:color w:val="auto"/>
              </w:rPr>
            </w:pPr>
          </w:p>
        </w:tc>
        <w:tc>
          <w:tcPr>
            <w:tcW w:w="940" w:type="dxa"/>
            <w:vAlign w:val="bottom"/>
            <w:tcBorders>
              <w:bottom w:val="single" w:sz="8" w:color="auto"/>
            </w:tcBorders>
          </w:tcPr>
          <w:p>
            <w:pPr>
              <w:jc w:val="right"/>
              <w:ind w:right="24"/>
              <w:spacing w:after="0"/>
              <w:rPr>
                <w:sz w:val="20"/>
                <w:szCs w:val="20"/>
                <w:color w:val="auto"/>
              </w:rPr>
            </w:pPr>
            <w:r>
              <w:rPr>
                <w:rFonts w:ascii="Arial" w:cs="Arial" w:eastAsia="Arial" w:hAnsi="Arial"/>
                <w:sz w:val="15"/>
                <w:szCs w:val="15"/>
                <w:color w:val="auto"/>
              </w:rPr>
              <w:t>50</w:t>
            </w:r>
          </w:p>
        </w:tc>
        <w:tc>
          <w:tcPr>
            <w:tcW w:w="0" w:type="dxa"/>
            <w:vAlign w:val="bottom"/>
          </w:tcPr>
          <w:p>
            <w:pPr>
              <w:spacing w:after="0"/>
              <w:rPr>
                <w:sz w:val="1"/>
                <w:szCs w:val="1"/>
                <w:color w:val="auto"/>
              </w:rPr>
            </w:pPr>
          </w:p>
        </w:tc>
      </w:tr>
      <w:tr>
        <w:trPr>
          <w:trHeight w:val="261"/>
        </w:trPr>
        <w:tc>
          <w:tcPr>
            <w:tcW w:w="9020" w:type="dxa"/>
            <w:vAlign w:val="bottom"/>
          </w:tcPr>
          <w:p>
            <w:pPr>
              <w:ind w:left="40"/>
              <w:spacing w:after="0"/>
              <w:rPr>
                <w:sz w:val="20"/>
                <w:szCs w:val="20"/>
                <w:color w:val="auto"/>
              </w:rPr>
            </w:pPr>
            <w:r>
              <w:rPr>
                <w:rFonts w:ascii="Arial" w:cs="Arial" w:eastAsia="Arial" w:hAnsi="Arial"/>
                <w:sz w:val="15"/>
                <w:szCs w:val="15"/>
                <w:b w:val="1"/>
                <w:bCs w:val="1"/>
                <w:color w:val="auto"/>
              </w:rPr>
              <w:t xml:space="preserve">Preferred Stock, </w:t>
            </w:r>
            <w:r>
              <w:rPr>
                <w:rFonts w:ascii="Arial" w:cs="Arial" w:eastAsia="Arial" w:hAnsi="Arial"/>
                <w:sz w:val="15"/>
                <w:szCs w:val="15"/>
                <w:color w:val="auto"/>
              </w:rPr>
              <w:t>$1 par value; 977,000 shares authorized, none issued</w:t>
            </w:r>
          </w:p>
        </w:tc>
        <w:tc>
          <w:tcPr>
            <w:tcW w:w="22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ind w:right="84"/>
              <w:spacing w:after="0"/>
              <w:rPr>
                <w:sz w:val="20"/>
                <w:szCs w:val="20"/>
                <w:color w:val="auto"/>
              </w:rPr>
            </w:pPr>
            <w:r>
              <w:rPr>
                <w:rFonts w:ascii="Arial" w:cs="Arial" w:eastAsia="Arial" w:hAnsi="Arial"/>
                <w:sz w:val="15"/>
                <w:szCs w:val="15"/>
                <w:b w:val="1"/>
                <w:bCs w:val="1"/>
                <w:color w:val="auto"/>
              </w:rPr>
              <w:t>—</w:t>
            </w:r>
          </w:p>
        </w:tc>
        <w:tc>
          <w:tcPr>
            <w:tcW w:w="26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right"/>
              <w:ind w:right="24"/>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262"/>
        </w:trPr>
        <w:tc>
          <w:tcPr>
            <w:tcW w:w="9020" w:type="dxa"/>
            <w:vAlign w:val="bottom"/>
          </w:tcPr>
          <w:p>
            <w:pPr>
              <w:ind w:left="40"/>
              <w:spacing w:after="0"/>
              <w:rPr>
                <w:sz w:val="20"/>
                <w:szCs w:val="20"/>
                <w:color w:val="auto"/>
              </w:rPr>
            </w:pPr>
            <w:r>
              <w:rPr>
                <w:rFonts w:ascii="Arial" w:cs="Arial" w:eastAsia="Arial" w:hAnsi="Arial"/>
                <w:sz w:val="15"/>
                <w:szCs w:val="15"/>
                <w:b w:val="1"/>
                <w:bCs w:val="1"/>
                <w:color w:val="auto"/>
              </w:rPr>
              <w:t>Common Stockholders’ Equity</w:t>
            </w:r>
          </w:p>
        </w:tc>
        <w:tc>
          <w:tcPr>
            <w:tcW w:w="22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0"/>
        </w:trPr>
        <w:tc>
          <w:tcPr>
            <w:tcW w:w="9020" w:type="dxa"/>
            <w:vAlign w:val="bottom"/>
          </w:tcPr>
          <w:p>
            <w:pPr>
              <w:ind w:left="280"/>
              <w:spacing w:after="0"/>
              <w:rPr>
                <w:sz w:val="20"/>
                <w:szCs w:val="20"/>
                <w:color w:val="auto"/>
              </w:rPr>
            </w:pPr>
            <w:r>
              <w:rPr>
                <w:rFonts w:ascii="Arial" w:cs="Arial" w:eastAsia="Arial" w:hAnsi="Arial"/>
                <w:sz w:val="15"/>
                <w:szCs w:val="15"/>
                <w:color w:val="auto"/>
              </w:rPr>
              <w:t>Common stock</w:t>
            </w:r>
          </w:p>
        </w:tc>
        <w:tc>
          <w:tcPr>
            <w:tcW w:w="22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9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9020" w:type="dxa"/>
            <w:vAlign w:val="bottom"/>
          </w:tcPr>
          <w:p>
            <w:pPr>
              <w:ind w:left="500"/>
              <w:spacing w:after="0"/>
              <w:rPr>
                <w:sz w:val="20"/>
                <w:szCs w:val="20"/>
                <w:color w:val="auto"/>
              </w:rPr>
            </w:pPr>
            <w:r>
              <w:rPr>
                <w:rFonts w:ascii="Arial" w:cs="Arial" w:eastAsia="Arial" w:hAnsi="Arial"/>
                <w:sz w:val="15"/>
                <w:szCs w:val="15"/>
                <w:color w:val="auto"/>
              </w:rPr>
              <w:t xml:space="preserve">Class A Common stock, $1 par value; </w:t>
            </w:r>
            <w:r>
              <w:rPr>
                <w:rFonts w:ascii="Arial" w:cs="Arial" w:eastAsia="Arial" w:hAnsi="Arial"/>
                <w:sz w:val="15"/>
                <w:szCs w:val="15"/>
                <w:color w:val="2C2C2C"/>
              </w:rPr>
              <w:t>7,000,000</w:t>
            </w:r>
            <w:r>
              <w:rPr>
                <w:rFonts w:ascii="Arial" w:cs="Arial" w:eastAsia="Arial" w:hAnsi="Arial"/>
                <w:sz w:val="15"/>
                <w:szCs w:val="15"/>
                <w:color w:val="auto"/>
              </w:rPr>
              <w:t xml:space="preserve"> shares authorized; 964,001 shares issued and outstanding</w:t>
            </w:r>
          </w:p>
        </w:tc>
        <w:tc>
          <w:tcPr>
            <w:tcW w:w="220" w:type="dxa"/>
            <w:vAlign w:val="bottom"/>
          </w:tcPr>
          <w:p>
            <w:pPr>
              <w:spacing w:after="0"/>
              <w:rPr>
                <w:sz w:val="23"/>
                <w:szCs w:val="23"/>
                <w:color w:val="auto"/>
              </w:rPr>
            </w:pPr>
          </w:p>
        </w:tc>
        <w:tc>
          <w:tcPr>
            <w:tcW w:w="980" w:type="dxa"/>
            <w:vAlign w:val="bottom"/>
          </w:tcPr>
          <w:p>
            <w:pPr>
              <w:jc w:val="right"/>
              <w:ind w:right="84"/>
              <w:spacing w:after="0"/>
              <w:rPr>
                <w:sz w:val="20"/>
                <w:szCs w:val="20"/>
                <w:color w:val="auto"/>
              </w:rPr>
            </w:pPr>
            <w:r>
              <w:rPr>
                <w:rFonts w:ascii="Arial" w:cs="Arial" w:eastAsia="Arial" w:hAnsi="Arial"/>
                <w:sz w:val="15"/>
                <w:szCs w:val="15"/>
                <w:b w:val="1"/>
                <w:bCs w:val="1"/>
                <w:color w:val="auto"/>
              </w:rPr>
              <w:t>964</w:t>
            </w:r>
          </w:p>
        </w:tc>
        <w:tc>
          <w:tcPr>
            <w:tcW w:w="260" w:type="dxa"/>
            <w:vAlign w:val="bottom"/>
          </w:tcPr>
          <w:p>
            <w:pPr>
              <w:spacing w:after="0"/>
              <w:rPr>
                <w:sz w:val="23"/>
                <w:szCs w:val="23"/>
                <w:color w:val="auto"/>
              </w:rPr>
            </w:pPr>
          </w:p>
        </w:tc>
        <w:tc>
          <w:tcPr>
            <w:tcW w:w="940" w:type="dxa"/>
            <w:vAlign w:val="bottom"/>
          </w:tcPr>
          <w:p>
            <w:pPr>
              <w:jc w:val="right"/>
              <w:ind w:right="24"/>
              <w:spacing w:after="0"/>
              <w:rPr>
                <w:sz w:val="20"/>
                <w:szCs w:val="20"/>
                <w:color w:val="auto"/>
              </w:rPr>
            </w:pPr>
            <w:r>
              <w:rPr>
                <w:rFonts w:ascii="Arial" w:cs="Arial" w:eastAsia="Arial" w:hAnsi="Arial"/>
                <w:sz w:val="15"/>
                <w:szCs w:val="15"/>
                <w:color w:val="auto"/>
              </w:rPr>
              <w:t>964</w:t>
            </w:r>
          </w:p>
        </w:tc>
        <w:tc>
          <w:tcPr>
            <w:tcW w:w="0" w:type="dxa"/>
            <w:vAlign w:val="bottom"/>
          </w:tcPr>
          <w:p>
            <w:pPr>
              <w:spacing w:after="0"/>
              <w:rPr>
                <w:sz w:val="1"/>
                <w:szCs w:val="1"/>
                <w:color w:val="auto"/>
              </w:rPr>
            </w:pPr>
          </w:p>
        </w:tc>
      </w:tr>
      <w:tr>
        <w:trPr>
          <w:trHeight w:val="194"/>
        </w:trPr>
        <w:tc>
          <w:tcPr>
            <w:tcW w:w="9020" w:type="dxa"/>
            <w:vAlign w:val="bottom"/>
          </w:tcPr>
          <w:p>
            <w:pPr>
              <w:ind w:left="500"/>
              <w:spacing w:after="0"/>
              <w:rPr>
                <w:sz w:val="20"/>
                <w:szCs w:val="20"/>
                <w:color w:val="auto"/>
              </w:rPr>
            </w:pPr>
            <w:r>
              <w:rPr>
                <w:rFonts w:ascii="Arial" w:cs="Arial" w:eastAsia="Arial" w:hAnsi="Arial"/>
                <w:sz w:val="15"/>
                <w:szCs w:val="15"/>
                <w:color w:val="auto"/>
              </w:rPr>
              <w:t>Class B Common stock, $1 par value; 40,000,000 shares authorized; 19,035,999 shares issued; 4,540,493 and 4,612,435</w:t>
            </w:r>
          </w:p>
        </w:tc>
        <w:tc>
          <w:tcPr>
            <w:tcW w:w="220" w:type="dxa"/>
            <w:vAlign w:val="bottom"/>
          </w:tcPr>
          <w:p>
            <w:pPr>
              <w:spacing w:after="0"/>
              <w:rPr>
                <w:sz w:val="16"/>
                <w:szCs w:val="16"/>
                <w:color w:val="auto"/>
              </w:rPr>
            </w:pPr>
          </w:p>
        </w:tc>
        <w:tc>
          <w:tcPr>
            <w:tcW w:w="980" w:type="dxa"/>
            <w:vAlign w:val="bottom"/>
            <w:vMerge w:val="restart"/>
          </w:tcPr>
          <w:p>
            <w:pPr>
              <w:jc w:val="right"/>
              <w:ind w:right="84"/>
              <w:spacing w:after="0"/>
              <w:rPr>
                <w:sz w:val="20"/>
                <w:szCs w:val="20"/>
                <w:color w:val="auto"/>
              </w:rPr>
            </w:pPr>
            <w:r>
              <w:rPr>
                <w:rFonts w:ascii="Arial" w:cs="Arial" w:eastAsia="Arial" w:hAnsi="Arial"/>
                <w:sz w:val="15"/>
                <w:szCs w:val="15"/>
                <w:b w:val="1"/>
                <w:bCs w:val="1"/>
                <w:color w:val="auto"/>
              </w:rPr>
              <w:t>19,036</w:t>
            </w:r>
          </w:p>
        </w:tc>
        <w:tc>
          <w:tcPr>
            <w:tcW w:w="26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4"/>
        </w:trPr>
        <w:tc>
          <w:tcPr>
            <w:tcW w:w="9020" w:type="dxa"/>
            <w:vAlign w:val="bottom"/>
          </w:tcPr>
          <w:p>
            <w:pPr>
              <w:ind w:left="660"/>
              <w:spacing w:after="0"/>
              <w:rPr>
                <w:sz w:val="20"/>
                <w:szCs w:val="20"/>
                <w:color w:val="auto"/>
              </w:rPr>
            </w:pPr>
            <w:r>
              <w:rPr>
                <w:rFonts w:ascii="Arial" w:cs="Arial" w:eastAsia="Arial" w:hAnsi="Arial"/>
                <w:sz w:val="15"/>
                <w:szCs w:val="15"/>
                <w:color w:val="auto"/>
              </w:rPr>
              <w:t>shares outstanding</w:t>
            </w:r>
          </w:p>
        </w:tc>
        <w:tc>
          <w:tcPr>
            <w:tcW w:w="220" w:type="dxa"/>
            <w:vAlign w:val="bottom"/>
          </w:tcPr>
          <w:p>
            <w:pPr>
              <w:spacing w:after="0"/>
              <w:rPr>
                <w:sz w:val="16"/>
                <w:szCs w:val="16"/>
                <w:color w:val="auto"/>
              </w:rPr>
            </w:pPr>
          </w:p>
        </w:tc>
        <w:tc>
          <w:tcPr>
            <w:tcW w:w="980" w:type="dxa"/>
            <w:vAlign w:val="bottom"/>
            <w:vMerge w:val="continue"/>
          </w:tcPr>
          <w:p>
            <w:pPr>
              <w:spacing w:after="0"/>
              <w:rPr>
                <w:sz w:val="16"/>
                <w:szCs w:val="16"/>
                <w:color w:val="auto"/>
              </w:rPr>
            </w:pPr>
          </w:p>
        </w:tc>
        <w:tc>
          <w:tcPr>
            <w:tcW w:w="260" w:type="dxa"/>
            <w:vAlign w:val="bottom"/>
          </w:tcPr>
          <w:p>
            <w:pPr>
              <w:spacing w:after="0"/>
              <w:rPr>
                <w:sz w:val="16"/>
                <w:szCs w:val="16"/>
                <w:color w:val="auto"/>
              </w:rPr>
            </w:pPr>
          </w:p>
        </w:tc>
        <w:tc>
          <w:tcPr>
            <w:tcW w:w="940" w:type="dxa"/>
            <w:vAlign w:val="bottom"/>
          </w:tcPr>
          <w:p>
            <w:pPr>
              <w:jc w:val="right"/>
              <w:ind w:right="24"/>
              <w:spacing w:after="0"/>
              <w:rPr>
                <w:sz w:val="20"/>
                <w:szCs w:val="20"/>
                <w:color w:val="auto"/>
              </w:rPr>
            </w:pPr>
            <w:r>
              <w:rPr>
                <w:rFonts w:ascii="Arial" w:cs="Arial" w:eastAsia="Arial" w:hAnsi="Arial"/>
                <w:sz w:val="15"/>
                <w:szCs w:val="15"/>
                <w:color w:val="auto"/>
              </w:rPr>
              <w:t>19,036</w:t>
            </w:r>
          </w:p>
        </w:tc>
        <w:tc>
          <w:tcPr>
            <w:tcW w:w="0" w:type="dxa"/>
            <w:vAlign w:val="bottom"/>
          </w:tcPr>
          <w:p>
            <w:pPr>
              <w:spacing w:after="0"/>
              <w:rPr>
                <w:sz w:val="1"/>
                <w:szCs w:val="1"/>
                <w:color w:val="auto"/>
              </w:rPr>
            </w:pPr>
          </w:p>
        </w:tc>
      </w:tr>
      <w:tr>
        <w:trPr>
          <w:trHeight w:val="270"/>
        </w:trPr>
        <w:tc>
          <w:tcPr>
            <w:tcW w:w="9020" w:type="dxa"/>
            <w:vAlign w:val="bottom"/>
          </w:tcPr>
          <w:p>
            <w:pPr>
              <w:ind w:left="280"/>
              <w:spacing w:after="0"/>
              <w:rPr>
                <w:sz w:val="20"/>
                <w:szCs w:val="20"/>
                <w:color w:val="auto"/>
              </w:rPr>
            </w:pPr>
            <w:r>
              <w:rPr>
                <w:rFonts w:ascii="Arial" w:cs="Arial" w:eastAsia="Arial" w:hAnsi="Arial"/>
                <w:sz w:val="15"/>
                <w:szCs w:val="15"/>
                <w:color w:val="auto"/>
              </w:rPr>
              <w:t>Capital in excess of par value</w:t>
            </w:r>
          </w:p>
        </w:tc>
        <w:tc>
          <w:tcPr>
            <w:tcW w:w="220" w:type="dxa"/>
            <w:vAlign w:val="bottom"/>
          </w:tcPr>
          <w:p>
            <w:pPr>
              <w:spacing w:after="0"/>
              <w:rPr>
                <w:sz w:val="23"/>
                <w:szCs w:val="23"/>
                <w:color w:val="auto"/>
              </w:rPr>
            </w:pPr>
          </w:p>
        </w:tc>
        <w:tc>
          <w:tcPr>
            <w:tcW w:w="980" w:type="dxa"/>
            <w:vAlign w:val="bottom"/>
          </w:tcPr>
          <w:p>
            <w:pPr>
              <w:jc w:val="right"/>
              <w:ind w:right="84"/>
              <w:spacing w:after="0"/>
              <w:rPr>
                <w:sz w:val="20"/>
                <w:szCs w:val="20"/>
                <w:color w:val="auto"/>
              </w:rPr>
            </w:pPr>
            <w:r>
              <w:rPr>
                <w:rFonts w:ascii="Arial" w:cs="Arial" w:eastAsia="Arial" w:hAnsi="Arial"/>
                <w:sz w:val="15"/>
                <w:szCs w:val="15"/>
                <w:b w:val="1"/>
                <w:bCs w:val="1"/>
                <w:color w:val="auto"/>
              </w:rPr>
              <w:t>370,700</w:t>
            </w:r>
          </w:p>
        </w:tc>
        <w:tc>
          <w:tcPr>
            <w:tcW w:w="260" w:type="dxa"/>
            <w:vAlign w:val="bottom"/>
          </w:tcPr>
          <w:p>
            <w:pPr>
              <w:spacing w:after="0"/>
              <w:rPr>
                <w:sz w:val="23"/>
                <w:szCs w:val="23"/>
                <w:color w:val="auto"/>
              </w:rPr>
            </w:pPr>
          </w:p>
        </w:tc>
        <w:tc>
          <w:tcPr>
            <w:tcW w:w="940" w:type="dxa"/>
            <w:vAlign w:val="bottom"/>
          </w:tcPr>
          <w:p>
            <w:pPr>
              <w:jc w:val="right"/>
              <w:ind w:right="24"/>
              <w:spacing w:after="0"/>
              <w:rPr>
                <w:sz w:val="20"/>
                <w:szCs w:val="20"/>
                <w:color w:val="auto"/>
              </w:rPr>
            </w:pPr>
            <w:r>
              <w:rPr>
                <w:rFonts w:ascii="Arial" w:cs="Arial" w:eastAsia="Arial" w:hAnsi="Arial"/>
                <w:sz w:val="15"/>
                <w:szCs w:val="15"/>
                <w:color w:val="auto"/>
              </w:rPr>
              <w:t>364,363</w:t>
            </w:r>
          </w:p>
        </w:tc>
        <w:tc>
          <w:tcPr>
            <w:tcW w:w="0" w:type="dxa"/>
            <w:vAlign w:val="bottom"/>
          </w:tcPr>
          <w:p>
            <w:pPr>
              <w:spacing w:after="0"/>
              <w:rPr>
                <w:sz w:val="1"/>
                <w:szCs w:val="1"/>
                <w:color w:val="auto"/>
              </w:rPr>
            </w:pPr>
          </w:p>
        </w:tc>
      </w:tr>
      <w:tr>
        <w:trPr>
          <w:trHeight w:val="270"/>
        </w:trPr>
        <w:tc>
          <w:tcPr>
            <w:tcW w:w="9020" w:type="dxa"/>
            <w:vAlign w:val="bottom"/>
          </w:tcPr>
          <w:p>
            <w:pPr>
              <w:ind w:left="280"/>
              <w:spacing w:after="0"/>
              <w:rPr>
                <w:sz w:val="20"/>
                <w:szCs w:val="20"/>
                <w:color w:val="auto"/>
              </w:rPr>
            </w:pPr>
            <w:r>
              <w:rPr>
                <w:rFonts w:ascii="Arial" w:cs="Arial" w:eastAsia="Arial" w:hAnsi="Arial"/>
                <w:sz w:val="15"/>
                <w:szCs w:val="15"/>
                <w:color w:val="auto"/>
              </w:rPr>
              <w:t>Retained earnings</w:t>
            </w:r>
          </w:p>
        </w:tc>
        <w:tc>
          <w:tcPr>
            <w:tcW w:w="220" w:type="dxa"/>
            <w:vAlign w:val="bottom"/>
          </w:tcPr>
          <w:p>
            <w:pPr>
              <w:spacing w:after="0"/>
              <w:rPr>
                <w:sz w:val="23"/>
                <w:szCs w:val="23"/>
                <w:color w:val="auto"/>
              </w:rPr>
            </w:pPr>
          </w:p>
        </w:tc>
        <w:tc>
          <w:tcPr>
            <w:tcW w:w="980" w:type="dxa"/>
            <w:vAlign w:val="bottom"/>
          </w:tcPr>
          <w:p>
            <w:pPr>
              <w:jc w:val="right"/>
              <w:ind w:right="84"/>
              <w:spacing w:after="0"/>
              <w:rPr>
                <w:sz w:val="20"/>
                <w:szCs w:val="20"/>
                <w:color w:val="auto"/>
              </w:rPr>
            </w:pPr>
            <w:r>
              <w:rPr>
                <w:rFonts w:ascii="Arial" w:cs="Arial" w:eastAsia="Arial" w:hAnsi="Arial"/>
                <w:sz w:val="15"/>
                <w:szCs w:val="15"/>
                <w:b w:val="1"/>
                <w:bCs w:val="1"/>
                <w:color w:val="auto"/>
              </w:rPr>
              <w:t>5,791,724</w:t>
            </w:r>
          </w:p>
        </w:tc>
        <w:tc>
          <w:tcPr>
            <w:tcW w:w="260" w:type="dxa"/>
            <w:vAlign w:val="bottom"/>
          </w:tcPr>
          <w:p>
            <w:pPr>
              <w:spacing w:after="0"/>
              <w:rPr>
                <w:sz w:val="23"/>
                <w:szCs w:val="23"/>
                <w:color w:val="auto"/>
              </w:rPr>
            </w:pPr>
          </w:p>
        </w:tc>
        <w:tc>
          <w:tcPr>
            <w:tcW w:w="940" w:type="dxa"/>
            <w:vAlign w:val="bottom"/>
          </w:tcPr>
          <w:p>
            <w:pPr>
              <w:jc w:val="right"/>
              <w:ind w:right="24"/>
              <w:spacing w:after="0"/>
              <w:rPr>
                <w:sz w:val="20"/>
                <w:szCs w:val="20"/>
                <w:color w:val="auto"/>
              </w:rPr>
            </w:pPr>
            <w:r>
              <w:rPr>
                <w:rFonts w:ascii="Arial" w:cs="Arial" w:eastAsia="Arial" w:hAnsi="Arial"/>
                <w:sz w:val="15"/>
                <w:szCs w:val="15"/>
                <w:color w:val="auto"/>
              </w:rPr>
              <w:t>5,588,942</w:t>
            </w:r>
          </w:p>
        </w:tc>
        <w:tc>
          <w:tcPr>
            <w:tcW w:w="0" w:type="dxa"/>
            <w:vAlign w:val="bottom"/>
          </w:tcPr>
          <w:p>
            <w:pPr>
              <w:spacing w:after="0"/>
              <w:rPr>
                <w:sz w:val="1"/>
                <w:szCs w:val="1"/>
                <w:color w:val="auto"/>
              </w:rPr>
            </w:pPr>
          </w:p>
        </w:tc>
      </w:tr>
      <w:tr>
        <w:trPr>
          <w:trHeight w:val="270"/>
        </w:trPr>
        <w:tc>
          <w:tcPr>
            <w:tcW w:w="9020" w:type="dxa"/>
            <w:vAlign w:val="bottom"/>
          </w:tcPr>
          <w:p>
            <w:pPr>
              <w:ind w:left="280"/>
              <w:spacing w:after="0"/>
              <w:rPr>
                <w:sz w:val="20"/>
                <w:szCs w:val="20"/>
                <w:color w:val="auto"/>
              </w:rPr>
            </w:pPr>
            <w:r>
              <w:rPr>
                <w:rFonts w:ascii="Arial" w:cs="Arial" w:eastAsia="Arial" w:hAnsi="Arial"/>
                <w:sz w:val="15"/>
                <w:szCs w:val="15"/>
                <w:color w:val="auto"/>
              </w:rPr>
              <w:t>Accumulated other comprehensive income, net of taxes</w:t>
            </w:r>
          </w:p>
        </w:tc>
        <w:tc>
          <w:tcPr>
            <w:tcW w:w="22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9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9020" w:type="dxa"/>
            <w:vAlign w:val="bottom"/>
          </w:tcPr>
          <w:p>
            <w:pPr>
              <w:ind w:left="500"/>
              <w:spacing w:after="0"/>
              <w:rPr>
                <w:sz w:val="20"/>
                <w:szCs w:val="20"/>
                <w:color w:val="auto"/>
              </w:rPr>
            </w:pPr>
            <w:r>
              <w:rPr>
                <w:rFonts w:ascii="Arial" w:cs="Arial" w:eastAsia="Arial" w:hAnsi="Arial"/>
                <w:sz w:val="15"/>
                <w:szCs w:val="15"/>
                <w:color w:val="auto"/>
              </w:rPr>
              <w:t>Cumulative foreign currency translation adjustment</w:t>
            </w:r>
          </w:p>
        </w:tc>
        <w:tc>
          <w:tcPr>
            <w:tcW w:w="220" w:type="dxa"/>
            <w:vAlign w:val="bottom"/>
          </w:tcPr>
          <w:p>
            <w:pPr>
              <w:spacing w:after="0"/>
              <w:rPr>
                <w:sz w:val="23"/>
                <w:szCs w:val="23"/>
                <w:color w:val="auto"/>
              </w:rPr>
            </w:pPr>
          </w:p>
        </w:tc>
        <w:tc>
          <w:tcPr>
            <w:tcW w:w="980" w:type="dxa"/>
            <w:vAlign w:val="bottom"/>
          </w:tcPr>
          <w:p>
            <w:pPr>
              <w:jc w:val="right"/>
              <w:ind w:right="84"/>
              <w:spacing w:after="0"/>
              <w:rPr>
                <w:sz w:val="20"/>
                <w:szCs w:val="20"/>
                <w:color w:val="auto"/>
              </w:rPr>
            </w:pPr>
            <w:r>
              <w:rPr>
                <w:rFonts w:ascii="Arial" w:cs="Arial" w:eastAsia="Arial" w:hAnsi="Arial"/>
                <w:sz w:val="15"/>
                <w:szCs w:val="15"/>
                <w:b w:val="1"/>
                <w:bCs w:val="1"/>
                <w:color w:val="auto"/>
              </w:rPr>
              <w:t>6,314</w:t>
            </w:r>
          </w:p>
        </w:tc>
        <w:tc>
          <w:tcPr>
            <w:tcW w:w="260" w:type="dxa"/>
            <w:vAlign w:val="bottom"/>
          </w:tcPr>
          <w:p>
            <w:pPr>
              <w:spacing w:after="0"/>
              <w:rPr>
                <w:sz w:val="23"/>
                <w:szCs w:val="23"/>
                <w:color w:val="auto"/>
              </w:rPr>
            </w:pPr>
          </w:p>
        </w:tc>
        <w:tc>
          <w:tcPr>
            <w:tcW w:w="940" w:type="dxa"/>
            <w:vAlign w:val="bottom"/>
          </w:tcPr>
          <w:p>
            <w:pPr>
              <w:jc w:val="right"/>
              <w:spacing w:after="0"/>
              <w:rPr>
                <w:sz w:val="20"/>
                <w:szCs w:val="20"/>
                <w:color w:val="auto"/>
              </w:rPr>
            </w:pPr>
            <w:r>
              <w:rPr>
                <w:rFonts w:ascii="Arial" w:cs="Arial" w:eastAsia="Arial" w:hAnsi="Arial"/>
                <w:sz w:val="15"/>
                <w:szCs w:val="15"/>
                <w:color w:val="auto"/>
              </w:rPr>
              <w:t>(26,998)</w:t>
            </w:r>
          </w:p>
        </w:tc>
        <w:tc>
          <w:tcPr>
            <w:tcW w:w="0" w:type="dxa"/>
            <w:vAlign w:val="bottom"/>
          </w:tcPr>
          <w:p>
            <w:pPr>
              <w:spacing w:after="0"/>
              <w:rPr>
                <w:sz w:val="1"/>
                <w:szCs w:val="1"/>
                <w:color w:val="auto"/>
              </w:rPr>
            </w:pPr>
          </w:p>
        </w:tc>
      </w:tr>
      <w:tr>
        <w:trPr>
          <w:trHeight w:val="270"/>
        </w:trPr>
        <w:tc>
          <w:tcPr>
            <w:tcW w:w="9020" w:type="dxa"/>
            <w:vAlign w:val="bottom"/>
          </w:tcPr>
          <w:p>
            <w:pPr>
              <w:ind w:left="500"/>
              <w:spacing w:after="0"/>
              <w:rPr>
                <w:sz w:val="20"/>
                <w:szCs w:val="20"/>
                <w:color w:val="auto"/>
              </w:rPr>
            </w:pPr>
            <w:r>
              <w:rPr>
                <w:rFonts w:ascii="Arial" w:cs="Arial" w:eastAsia="Arial" w:hAnsi="Arial"/>
                <w:sz w:val="15"/>
                <w:szCs w:val="15"/>
                <w:color w:val="auto"/>
              </w:rPr>
              <w:t>Unrealized gain on available-for-sale securities</w:t>
            </w:r>
          </w:p>
        </w:tc>
        <w:tc>
          <w:tcPr>
            <w:tcW w:w="220" w:type="dxa"/>
            <w:vAlign w:val="bottom"/>
          </w:tcPr>
          <w:p>
            <w:pPr>
              <w:spacing w:after="0"/>
              <w:rPr>
                <w:sz w:val="23"/>
                <w:szCs w:val="23"/>
                <w:color w:val="auto"/>
              </w:rPr>
            </w:pPr>
          </w:p>
        </w:tc>
        <w:tc>
          <w:tcPr>
            <w:tcW w:w="980" w:type="dxa"/>
            <w:vAlign w:val="bottom"/>
          </w:tcPr>
          <w:p>
            <w:pPr>
              <w:jc w:val="right"/>
              <w:ind w:right="84"/>
              <w:spacing w:after="0"/>
              <w:rPr>
                <w:sz w:val="20"/>
                <w:szCs w:val="20"/>
                <w:color w:val="auto"/>
              </w:rPr>
            </w:pPr>
            <w:r>
              <w:rPr>
                <w:rFonts w:ascii="Arial" w:cs="Arial" w:eastAsia="Arial" w:hAnsi="Arial"/>
                <w:sz w:val="15"/>
                <w:szCs w:val="15"/>
                <w:b w:val="1"/>
                <w:bCs w:val="1"/>
                <w:color w:val="auto"/>
              </w:rPr>
              <w:t>194,889</w:t>
            </w:r>
          </w:p>
        </w:tc>
        <w:tc>
          <w:tcPr>
            <w:tcW w:w="260" w:type="dxa"/>
            <w:vAlign w:val="bottom"/>
          </w:tcPr>
          <w:p>
            <w:pPr>
              <w:spacing w:after="0"/>
              <w:rPr>
                <w:sz w:val="23"/>
                <w:szCs w:val="23"/>
                <w:color w:val="auto"/>
              </w:rPr>
            </w:pPr>
          </w:p>
        </w:tc>
        <w:tc>
          <w:tcPr>
            <w:tcW w:w="940" w:type="dxa"/>
            <w:vAlign w:val="bottom"/>
          </w:tcPr>
          <w:p>
            <w:pPr>
              <w:jc w:val="right"/>
              <w:ind w:right="24"/>
              <w:spacing w:after="0"/>
              <w:rPr>
                <w:sz w:val="20"/>
                <w:szCs w:val="20"/>
                <w:color w:val="auto"/>
              </w:rPr>
            </w:pPr>
            <w:r>
              <w:rPr>
                <w:rFonts w:ascii="Arial" w:cs="Arial" w:eastAsia="Arial" w:hAnsi="Arial"/>
                <w:sz w:val="15"/>
                <w:szCs w:val="15"/>
                <w:color w:val="auto"/>
              </w:rPr>
              <w:t>92,931</w:t>
            </w:r>
          </w:p>
        </w:tc>
        <w:tc>
          <w:tcPr>
            <w:tcW w:w="0" w:type="dxa"/>
            <w:vAlign w:val="bottom"/>
          </w:tcPr>
          <w:p>
            <w:pPr>
              <w:spacing w:after="0"/>
              <w:rPr>
                <w:sz w:val="1"/>
                <w:szCs w:val="1"/>
                <w:color w:val="auto"/>
              </w:rPr>
            </w:pPr>
          </w:p>
        </w:tc>
      </w:tr>
      <w:tr>
        <w:trPr>
          <w:trHeight w:val="270"/>
        </w:trPr>
        <w:tc>
          <w:tcPr>
            <w:tcW w:w="9020" w:type="dxa"/>
            <w:vAlign w:val="bottom"/>
          </w:tcPr>
          <w:p>
            <w:pPr>
              <w:ind w:left="500"/>
              <w:spacing w:after="0"/>
              <w:rPr>
                <w:sz w:val="20"/>
                <w:szCs w:val="20"/>
                <w:color w:val="auto"/>
              </w:rPr>
            </w:pPr>
            <w:r>
              <w:rPr>
                <w:rFonts w:ascii="Arial" w:cs="Arial" w:eastAsia="Arial" w:hAnsi="Arial"/>
                <w:sz w:val="15"/>
                <w:szCs w:val="15"/>
                <w:color w:val="auto"/>
              </w:rPr>
              <w:t>Unrealized gain on pensions and other postretirement plans</w:t>
            </w:r>
          </w:p>
        </w:tc>
        <w:tc>
          <w:tcPr>
            <w:tcW w:w="220" w:type="dxa"/>
            <w:vAlign w:val="bottom"/>
          </w:tcPr>
          <w:p>
            <w:pPr>
              <w:spacing w:after="0"/>
              <w:rPr>
                <w:sz w:val="23"/>
                <w:szCs w:val="23"/>
                <w:color w:val="auto"/>
              </w:rPr>
            </w:pPr>
          </w:p>
        </w:tc>
        <w:tc>
          <w:tcPr>
            <w:tcW w:w="980" w:type="dxa"/>
            <w:vAlign w:val="bottom"/>
          </w:tcPr>
          <w:p>
            <w:pPr>
              <w:jc w:val="right"/>
              <w:ind w:right="84"/>
              <w:spacing w:after="0"/>
              <w:rPr>
                <w:sz w:val="20"/>
                <w:szCs w:val="20"/>
                <w:color w:val="auto"/>
              </w:rPr>
            </w:pPr>
            <w:r>
              <w:rPr>
                <w:rFonts w:ascii="Arial" w:cs="Arial" w:eastAsia="Arial" w:hAnsi="Arial"/>
                <w:sz w:val="15"/>
                <w:szCs w:val="15"/>
                <w:b w:val="1"/>
                <w:bCs w:val="1"/>
                <w:color w:val="auto"/>
              </w:rPr>
              <w:t>334,536</w:t>
            </w:r>
          </w:p>
        </w:tc>
        <w:tc>
          <w:tcPr>
            <w:tcW w:w="260" w:type="dxa"/>
            <w:vAlign w:val="bottom"/>
          </w:tcPr>
          <w:p>
            <w:pPr>
              <w:spacing w:after="0"/>
              <w:rPr>
                <w:sz w:val="23"/>
                <w:szCs w:val="23"/>
                <w:color w:val="auto"/>
              </w:rPr>
            </w:pPr>
          </w:p>
        </w:tc>
        <w:tc>
          <w:tcPr>
            <w:tcW w:w="940" w:type="dxa"/>
            <w:vAlign w:val="bottom"/>
          </w:tcPr>
          <w:p>
            <w:pPr>
              <w:jc w:val="right"/>
              <w:ind w:right="24"/>
              <w:spacing w:after="0"/>
              <w:rPr>
                <w:sz w:val="20"/>
                <w:szCs w:val="20"/>
                <w:color w:val="auto"/>
              </w:rPr>
            </w:pPr>
            <w:r>
              <w:rPr>
                <w:rFonts w:ascii="Arial" w:cs="Arial" w:eastAsia="Arial" w:hAnsi="Arial"/>
                <w:sz w:val="15"/>
                <w:szCs w:val="15"/>
                <w:color w:val="auto"/>
              </w:rPr>
              <w:t>170,830</w:t>
            </w:r>
          </w:p>
        </w:tc>
        <w:tc>
          <w:tcPr>
            <w:tcW w:w="0" w:type="dxa"/>
            <w:vAlign w:val="bottom"/>
          </w:tcPr>
          <w:p>
            <w:pPr>
              <w:spacing w:after="0"/>
              <w:rPr>
                <w:sz w:val="1"/>
                <w:szCs w:val="1"/>
                <w:color w:val="auto"/>
              </w:rPr>
            </w:pPr>
          </w:p>
        </w:tc>
      </w:tr>
      <w:tr>
        <w:trPr>
          <w:trHeight w:val="270"/>
        </w:trPr>
        <w:tc>
          <w:tcPr>
            <w:tcW w:w="9020" w:type="dxa"/>
            <w:vAlign w:val="bottom"/>
          </w:tcPr>
          <w:p>
            <w:pPr>
              <w:ind w:left="500"/>
              <w:spacing w:after="0"/>
              <w:rPr>
                <w:sz w:val="20"/>
                <w:szCs w:val="20"/>
                <w:color w:val="auto"/>
              </w:rPr>
            </w:pPr>
            <w:r>
              <w:rPr>
                <w:rFonts w:ascii="Arial" w:cs="Arial" w:eastAsia="Arial" w:hAnsi="Arial"/>
                <w:sz w:val="15"/>
                <w:szCs w:val="15"/>
                <w:color w:val="auto"/>
              </w:rPr>
              <w:t>Cash flow hedge</w:t>
            </w:r>
          </w:p>
        </w:tc>
        <w:tc>
          <w:tcPr>
            <w:tcW w:w="220" w:type="dxa"/>
            <w:vAlign w:val="bottom"/>
          </w:tcPr>
          <w:p>
            <w:pPr>
              <w:spacing w:after="0"/>
              <w:rPr>
                <w:sz w:val="23"/>
                <w:szCs w:val="23"/>
                <w:color w:val="auto"/>
              </w:rPr>
            </w:pPr>
          </w:p>
        </w:tc>
        <w:tc>
          <w:tcPr>
            <w:tcW w:w="980" w:type="dxa"/>
            <w:vAlign w:val="bottom"/>
          </w:tcPr>
          <w:p>
            <w:pPr>
              <w:jc w:val="right"/>
              <w:ind w:right="24"/>
              <w:spacing w:after="0"/>
              <w:rPr>
                <w:sz w:val="20"/>
                <w:szCs w:val="20"/>
                <w:color w:val="auto"/>
              </w:rPr>
            </w:pPr>
            <w:r>
              <w:rPr>
                <w:rFonts w:ascii="Arial" w:cs="Arial" w:eastAsia="Arial" w:hAnsi="Arial"/>
                <w:sz w:val="15"/>
                <w:szCs w:val="15"/>
                <w:b w:val="1"/>
                <w:bCs w:val="1"/>
                <w:color w:val="auto"/>
              </w:rPr>
              <w:t>(184)</w:t>
            </w:r>
          </w:p>
        </w:tc>
        <w:tc>
          <w:tcPr>
            <w:tcW w:w="260" w:type="dxa"/>
            <w:vAlign w:val="bottom"/>
          </w:tcPr>
          <w:p>
            <w:pPr>
              <w:spacing w:after="0"/>
              <w:rPr>
                <w:sz w:val="23"/>
                <w:szCs w:val="23"/>
                <w:color w:val="auto"/>
              </w:rPr>
            </w:pPr>
          </w:p>
        </w:tc>
        <w:tc>
          <w:tcPr>
            <w:tcW w:w="940" w:type="dxa"/>
            <w:vAlign w:val="bottom"/>
          </w:tcPr>
          <w:p>
            <w:pPr>
              <w:jc w:val="right"/>
              <w:spacing w:after="0"/>
              <w:rPr>
                <w:sz w:val="20"/>
                <w:szCs w:val="20"/>
                <w:color w:val="auto"/>
              </w:rPr>
            </w:pPr>
            <w:r>
              <w:rPr>
                <w:rFonts w:ascii="Arial" w:cs="Arial" w:eastAsia="Arial" w:hAnsi="Arial"/>
                <w:sz w:val="15"/>
                <w:szCs w:val="15"/>
                <w:color w:val="auto"/>
              </w:rPr>
              <w:t>(277)</w:t>
            </w:r>
          </w:p>
        </w:tc>
        <w:tc>
          <w:tcPr>
            <w:tcW w:w="0" w:type="dxa"/>
            <w:vAlign w:val="bottom"/>
          </w:tcPr>
          <w:p>
            <w:pPr>
              <w:spacing w:after="0"/>
              <w:rPr>
                <w:sz w:val="1"/>
                <w:szCs w:val="1"/>
                <w:color w:val="auto"/>
              </w:rPr>
            </w:pPr>
          </w:p>
        </w:tc>
      </w:tr>
      <w:tr>
        <w:trPr>
          <w:trHeight w:val="274"/>
        </w:trPr>
        <w:tc>
          <w:tcPr>
            <w:tcW w:w="9020" w:type="dxa"/>
            <w:vAlign w:val="bottom"/>
          </w:tcPr>
          <w:p>
            <w:pPr>
              <w:ind w:left="280"/>
              <w:spacing w:after="0"/>
              <w:rPr>
                <w:sz w:val="20"/>
                <w:szCs w:val="20"/>
                <w:color w:val="auto"/>
              </w:rPr>
            </w:pPr>
            <w:r>
              <w:rPr>
                <w:rFonts w:ascii="Arial" w:cs="Arial" w:eastAsia="Arial" w:hAnsi="Arial"/>
                <w:sz w:val="15"/>
                <w:szCs w:val="15"/>
                <w:color w:val="auto"/>
              </w:rPr>
              <w:t>Cost of 14,495,506 and 14,423,564 shares of Class B common stock held in treasury</w:t>
            </w:r>
          </w:p>
        </w:tc>
        <w:tc>
          <w:tcPr>
            <w:tcW w:w="220" w:type="dxa"/>
            <w:vAlign w:val="bottom"/>
            <w:tcBorders>
              <w:bottom w:val="single" w:sz="8" w:color="auto"/>
            </w:tcBorders>
          </w:tcPr>
          <w:p>
            <w:pPr>
              <w:spacing w:after="0"/>
              <w:rPr>
                <w:sz w:val="23"/>
                <w:szCs w:val="23"/>
                <w:color w:val="auto"/>
              </w:rPr>
            </w:pPr>
          </w:p>
        </w:tc>
        <w:tc>
          <w:tcPr>
            <w:tcW w:w="980" w:type="dxa"/>
            <w:vAlign w:val="bottom"/>
            <w:tcBorders>
              <w:bottom w:val="single" w:sz="8" w:color="auto"/>
            </w:tcBorders>
          </w:tcPr>
          <w:p>
            <w:pPr>
              <w:jc w:val="right"/>
              <w:ind w:right="24"/>
              <w:spacing w:after="0"/>
              <w:rPr>
                <w:sz w:val="20"/>
                <w:szCs w:val="20"/>
                <w:color w:val="auto"/>
              </w:rPr>
            </w:pPr>
            <w:r>
              <w:rPr>
                <w:rFonts w:ascii="Arial" w:cs="Arial" w:eastAsia="Arial" w:hAnsi="Arial"/>
                <w:sz w:val="15"/>
                <w:szCs w:val="15"/>
                <w:b w:val="1"/>
                <w:bCs w:val="1"/>
                <w:color w:val="auto"/>
              </w:rPr>
              <w:t>(3,802,834)</w:t>
            </w:r>
          </w:p>
        </w:tc>
        <w:tc>
          <w:tcPr>
            <w:tcW w:w="260" w:type="dxa"/>
            <w:vAlign w:val="bottom"/>
            <w:tcBorders>
              <w:bottom w:val="single" w:sz="8" w:color="auto"/>
            </w:tcBorders>
          </w:tcPr>
          <w:p>
            <w:pPr>
              <w:spacing w:after="0"/>
              <w:rPr>
                <w:sz w:val="23"/>
                <w:szCs w:val="23"/>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(3,756,850)</w:t>
            </w:r>
          </w:p>
        </w:tc>
        <w:tc>
          <w:tcPr>
            <w:tcW w:w="0" w:type="dxa"/>
            <w:vAlign w:val="bottom"/>
          </w:tcPr>
          <w:p>
            <w:pPr>
              <w:spacing w:after="0"/>
              <w:rPr>
                <w:sz w:val="1"/>
                <w:szCs w:val="1"/>
                <w:color w:val="auto"/>
              </w:rPr>
            </w:pPr>
          </w:p>
        </w:tc>
      </w:tr>
      <w:tr>
        <w:trPr>
          <w:trHeight w:val="264"/>
        </w:trPr>
        <w:tc>
          <w:tcPr>
            <w:tcW w:w="9020" w:type="dxa"/>
            <w:vAlign w:val="bottom"/>
          </w:tcPr>
          <w:p>
            <w:pPr>
              <w:ind w:left="500"/>
              <w:spacing w:after="0"/>
              <w:rPr>
                <w:sz w:val="20"/>
                <w:szCs w:val="20"/>
                <w:color w:val="auto"/>
              </w:rPr>
            </w:pPr>
            <w:r>
              <w:rPr>
                <w:rFonts w:ascii="Arial" w:cs="Arial" w:eastAsia="Arial" w:hAnsi="Arial"/>
                <w:sz w:val="15"/>
                <w:szCs w:val="15"/>
                <w:b w:val="1"/>
                <w:bCs w:val="1"/>
                <w:color w:val="auto"/>
              </w:rPr>
              <w:t>Total Equity</w:t>
            </w:r>
          </w:p>
        </w:tc>
        <w:tc>
          <w:tcPr>
            <w:tcW w:w="22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ind w:right="84"/>
              <w:spacing w:after="0"/>
              <w:rPr>
                <w:sz w:val="20"/>
                <w:szCs w:val="20"/>
                <w:color w:val="auto"/>
              </w:rPr>
            </w:pPr>
            <w:r>
              <w:rPr>
                <w:rFonts w:ascii="Arial" w:cs="Arial" w:eastAsia="Arial" w:hAnsi="Arial"/>
                <w:sz w:val="15"/>
                <w:szCs w:val="15"/>
                <w:b w:val="1"/>
                <w:bCs w:val="1"/>
                <w:color w:val="auto"/>
              </w:rPr>
              <w:t>2,915,145</w:t>
            </w:r>
          </w:p>
        </w:tc>
        <w:tc>
          <w:tcPr>
            <w:tcW w:w="26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right"/>
              <w:ind w:right="24"/>
              <w:spacing w:after="0"/>
              <w:rPr>
                <w:sz w:val="20"/>
                <w:szCs w:val="20"/>
                <w:color w:val="auto"/>
              </w:rPr>
            </w:pPr>
            <w:r>
              <w:rPr>
                <w:rFonts w:ascii="Arial" w:cs="Arial" w:eastAsia="Arial" w:hAnsi="Arial"/>
                <w:sz w:val="15"/>
                <w:szCs w:val="15"/>
                <w:color w:val="auto"/>
              </w:rPr>
              <w:t>2,452,941</w:t>
            </w:r>
          </w:p>
        </w:tc>
        <w:tc>
          <w:tcPr>
            <w:tcW w:w="0" w:type="dxa"/>
            <w:vAlign w:val="bottom"/>
          </w:tcPr>
          <w:p>
            <w:pPr>
              <w:spacing w:after="0"/>
              <w:rPr>
                <w:sz w:val="1"/>
                <w:szCs w:val="1"/>
                <w:color w:val="auto"/>
              </w:rPr>
            </w:pPr>
          </w:p>
        </w:tc>
      </w:tr>
      <w:tr>
        <w:trPr>
          <w:trHeight w:val="268"/>
        </w:trPr>
        <w:tc>
          <w:tcPr>
            <w:tcW w:w="9020" w:type="dxa"/>
            <w:vAlign w:val="bottom"/>
          </w:tcPr>
          <w:p>
            <w:pPr>
              <w:ind w:left="720"/>
              <w:spacing w:after="0"/>
              <w:rPr>
                <w:sz w:val="20"/>
                <w:szCs w:val="20"/>
                <w:color w:val="auto"/>
              </w:rPr>
            </w:pPr>
            <w:r>
              <w:rPr>
                <w:rFonts w:ascii="Arial" w:cs="Arial" w:eastAsia="Arial" w:hAnsi="Arial"/>
                <w:sz w:val="15"/>
                <w:szCs w:val="15"/>
                <w:b w:val="1"/>
                <w:bCs w:val="1"/>
                <w:color w:val="auto"/>
              </w:rPr>
              <w:t>Total Liabilities and Equity</w:t>
            </w:r>
          </w:p>
        </w:tc>
        <w:tc>
          <w:tcPr>
            <w:tcW w:w="220" w:type="dxa"/>
            <w:vAlign w:val="bottom"/>
            <w:tcBorders>
              <w:bottom w:val="single" w:sz="8" w:color="auto"/>
            </w:tcBorders>
          </w:tcPr>
          <w:p>
            <w:pPr>
              <w:jc w:val="right"/>
              <w:ind w:right="23"/>
              <w:spacing w:after="0"/>
              <w:rPr>
                <w:sz w:val="20"/>
                <w:szCs w:val="20"/>
                <w:color w:val="auto"/>
              </w:rPr>
            </w:pPr>
            <w:r>
              <w:rPr>
                <w:rFonts w:ascii="Arial" w:cs="Arial" w:eastAsia="Arial" w:hAnsi="Arial"/>
                <w:sz w:val="15"/>
                <w:szCs w:val="15"/>
                <w:b w:val="1"/>
                <w:bCs w:val="1"/>
                <w:color w:val="auto"/>
              </w:rPr>
              <w:t>$</w:t>
            </w:r>
          </w:p>
        </w:tc>
        <w:tc>
          <w:tcPr>
            <w:tcW w:w="980" w:type="dxa"/>
            <w:vAlign w:val="bottom"/>
            <w:tcBorders>
              <w:bottom w:val="single" w:sz="8" w:color="auto"/>
            </w:tcBorders>
          </w:tcPr>
          <w:p>
            <w:pPr>
              <w:jc w:val="right"/>
              <w:ind w:right="84"/>
              <w:spacing w:after="0"/>
              <w:rPr>
                <w:sz w:val="20"/>
                <w:szCs w:val="20"/>
                <w:color w:val="auto"/>
              </w:rPr>
            </w:pPr>
            <w:r>
              <w:rPr>
                <w:rFonts w:ascii="Arial" w:cs="Arial" w:eastAsia="Arial" w:hAnsi="Arial"/>
                <w:sz w:val="15"/>
                <w:szCs w:val="15"/>
                <w:b w:val="1"/>
                <w:bCs w:val="1"/>
                <w:color w:val="auto"/>
              </w:rPr>
              <w:t>4,937,823</w:t>
            </w:r>
          </w:p>
        </w:tc>
        <w:tc>
          <w:tcPr>
            <w:tcW w:w="260" w:type="dxa"/>
            <w:vAlign w:val="bottom"/>
            <w:tcBorders>
              <w:bottom w:val="single" w:sz="8" w:color="auto"/>
            </w:tcBorders>
          </w:tcPr>
          <w:p>
            <w:pPr>
              <w:jc w:val="right"/>
              <w:ind w:right="3"/>
              <w:spacing w:after="0"/>
              <w:rPr>
                <w:sz w:val="20"/>
                <w:szCs w:val="20"/>
                <w:color w:val="auto"/>
              </w:rPr>
            </w:pPr>
            <w:r>
              <w:rPr>
                <w:rFonts w:ascii="Arial" w:cs="Arial" w:eastAsia="Arial" w:hAnsi="Arial"/>
                <w:sz w:val="15"/>
                <w:szCs w:val="15"/>
                <w:color w:val="auto"/>
              </w:rPr>
              <w:t>$</w:t>
            </w:r>
          </w:p>
        </w:tc>
        <w:tc>
          <w:tcPr>
            <w:tcW w:w="940" w:type="dxa"/>
            <w:vAlign w:val="bottom"/>
            <w:tcBorders>
              <w:bottom w:val="single" w:sz="8" w:color="auto"/>
            </w:tcBorders>
          </w:tcPr>
          <w:p>
            <w:pPr>
              <w:jc w:val="right"/>
              <w:ind w:right="24"/>
              <w:spacing w:after="0"/>
              <w:rPr>
                <w:sz w:val="20"/>
                <w:szCs w:val="20"/>
                <w:color w:val="auto"/>
              </w:rPr>
            </w:pPr>
            <w:r>
              <w:rPr>
                <w:rFonts w:ascii="Arial" w:cs="Arial" w:eastAsia="Arial" w:hAnsi="Arial"/>
                <w:sz w:val="15"/>
                <w:szCs w:val="15"/>
                <w:color w:val="auto"/>
              </w:rPr>
              <w:t>4,432,670</w:t>
            </w:r>
          </w:p>
        </w:tc>
        <w:tc>
          <w:tcPr>
            <w:tcW w:w="0" w:type="dxa"/>
            <w:vAlign w:val="bottom"/>
          </w:tcPr>
          <w:p>
            <w:pPr>
              <w:spacing w:after="0"/>
              <w:rPr>
                <w:sz w:val="1"/>
                <w:szCs w:val="1"/>
                <w:color w:val="auto"/>
              </w:rPr>
            </w:pPr>
          </w:p>
        </w:tc>
      </w:tr>
      <w:tr>
        <w:trPr>
          <w:trHeight w:val="20"/>
        </w:trPr>
        <w:tc>
          <w:tcPr>
            <w:tcW w:w="90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53" w:lineRule="exact"/>
        <w:rPr>
          <w:sz w:val="20"/>
          <w:szCs w:val="20"/>
          <w:color w:val="auto"/>
        </w:rPr>
      </w:pPr>
    </w:p>
    <w:p>
      <w:pPr>
        <w:spacing w:after="0"/>
        <w:rPr>
          <w:sz w:val="20"/>
          <w:szCs w:val="20"/>
          <w:color w:val="auto"/>
        </w:rPr>
      </w:pPr>
      <w:r>
        <w:rPr>
          <w:rFonts w:ascii="Arial" w:cs="Arial" w:eastAsia="Arial" w:hAnsi="Arial"/>
          <w:sz w:val="14"/>
          <w:szCs w:val="14"/>
          <w:color w:val="auto"/>
        </w:rPr>
        <w:t>See accompanying Notes to Consolidated Financial Statements.</w:t>
      </w:r>
    </w:p>
    <w:p>
      <w:pPr>
        <w:sectPr>
          <w:pgSz w:w="11900" w:h="16838" w:orient="portrait"/>
          <w:cols w:equalWidth="0" w:num="1">
            <w:col w:w="11420"/>
          </w:cols>
          <w:pgMar w:left="240" w:top="724" w:right="239" w:bottom="0" w:gutter="0" w:footer="0" w:header="0"/>
        </w:sectPr>
      </w:pPr>
    </w:p>
    <w:p>
      <w:pPr>
        <w:spacing w:after="0" w:line="347"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73</w:t>
      </w:r>
    </w:p>
    <w:p>
      <w:pPr>
        <w:sectPr>
          <w:pgSz w:w="11900" w:h="16838" w:orient="portrait"/>
          <w:cols w:equalWidth="0" w:num="1">
            <w:col w:w="11420"/>
          </w:cols>
          <w:pgMar w:left="240" w:top="724" w:right="239" w:bottom="0" w:gutter="0" w:footer="0" w:header="0"/>
          <w:type w:val="continuous"/>
        </w:sectPr>
      </w:pPr>
    </w:p>
    <w:bookmarkStart w:id="75" w:name="page76"/>
    <w:bookmarkEnd w:id="75"/>
    <w:p>
      <w:pPr>
        <w:jc w:val="center"/>
        <w:spacing w:after="0"/>
        <w:rPr>
          <w:sz w:val="20"/>
          <w:szCs w:val="20"/>
          <w:color w:val="auto"/>
        </w:rPr>
      </w:pPr>
      <w:r>
        <w:rPr>
          <w:rFonts w:ascii="Arial" w:cs="Arial" w:eastAsia="Arial" w:hAnsi="Arial"/>
          <w:sz w:val="18"/>
          <w:szCs w:val="18"/>
          <w:b w:val="1"/>
          <w:bCs w:val="1"/>
          <w:color w:val="auto"/>
        </w:rPr>
        <w:t>GRAHAM HOLDINGS COMPANY</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159"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778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2540" w:type="dxa"/>
            <w:vAlign w:val="bottom"/>
            <w:tcBorders>
              <w:bottom w:val="single" w:sz="8" w:color="auto"/>
            </w:tcBorders>
            <w:gridSpan w:val="4"/>
          </w:tcPr>
          <w:p>
            <w:pPr>
              <w:jc w:val="right"/>
              <w:ind w:right="23"/>
              <w:spacing w:after="0"/>
              <w:rPr>
                <w:sz w:val="20"/>
                <w:szCs w:val="20"/>
                <w:color w:val="auto"/>
              </w:rPr>
            </w:pPr>
            <w:r>
              <w:rPr>
                <w:rFonts w:ascii="Arial" w:cs="Arial" w:eastAsia="Arial" w:hAnsi="Arial"/>
                <w:sz w:val="14"/>
                <w:szCs w:val="14"/>
                <w:b w:val="1"/>
                <w:bCs w:val="1"/>
                <w:color w:val="auto"/>
              </w:rPr>
              <w:t>Year Ended December 31</w:t>
            </w:r>
          </w:p>
        </w:tc>
        <w:tc>
          <w:tcPr>
            <w:tcW w:w="84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64"/>
        </w:trPr>
        <w:tc>
          <w:tcPr>
            <w:tcW w:w="778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(In thousands)</w:t>
            </w:r>
          </w:p>
        </w:tc>
        <w:tc>
          <w:tcPr>
            <w:tcW w:w="26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right"/>
              <w:ind w:right="384"/>
              <w:spacing w:after="0"/>
              <w:rPr>
                <w:sz w:val="20"/>
                <w:szCs w:val="20"/>
                <w:color w:val="auto"/>
              </w:rPr>
            </w:pPr>
            <w:r>
              <w:rPr>
                <w:rFonts w:ascii="Arial" w:cs="Arial" w:eastAsia="Arial" w:hAnsi="Arial"/>
                <w:sz w:val="14"/>
                <w:szCs w:val="14"/>
                <w:b w:val="1"/>
                <w:bCs w:val="1"/>
                <w:color w:val="auto"/>
              </w:rPr>
              <w:t>2017</w:t>
            </w:r>
          </w:p>
        </w:tc>
        <w:tc>
          <w:tcPr>
            <w:tcW w:w="32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jc w:val="right"/>
              <w:ind w:right="364"/>
              <w:spacing w:after="0"/>
              <w:rPr>
                <w:sz w:val="20"/>
                <w:szCs w:val="20"/>
                <w:color w:val="auto"/>
              </w:rPr>
            </w:pPr>
            <w:r>
              <w:rPr>
                <w:rFonts w:ascii="Arial" w:cs="Arial" w:eastAsia="Arial" w:hAnsi="Arial"/>
                <w:sz w:val="14"/>
                <w:szCs w:val="14"/>
                <w:color w:val="auto"/>
              </w:rPr>
              <w:t>2016</w:t>
            </w:r>
          </w:p>
        </w:tc>
        <w:tc>
          <w:tcPr>
            <w:tcW w:w="360" w:type="dxa"/>
            <w:vAlign w:val="bottom"/>
            <w:tcBorders>
              <w:bottom w:val="single" w:sz="8" w:color="auto"/>
            </w:tcBorders>
          </w:tcPr>
          <w:p>
            <w:pPr>
              <w:spacing w:after="0"/>
              <w:rPr>
                <w:sz w:val="22"/>
                <w:szCs w:val="22"/>
                <w:color w:val="auto"/>
              </w:rPr>
            </w:pPr>
          </w:p>
        </w:tc>
        <w:tc>
          <w:tcPr>
            <w:tcW w:w="840" w:type="dxa"/>
            <w:vAlign w:val="bottom"/>
            <w:tcBorders>
              <w:bottom w:val="single" w:sz="8" w:color="auto"/>
            </w:tcBorders>
          </w:tcPr>
          <w:p>
            <w:pPr>
              <w:jc w:val="right"/>
              <w:ind w:right="324"/>
              <w:spacing w:after="0"/>
              <w:rPr>
                <w:sz w:val="20"/>
                <w:szCs w:val="20"/>
                <w:color w:val="auto"/>
              </w:rPr>
            </w:pPr>
            <w:r>
              <w:rPr>
                <w:rFonts w:ascii="Arial" w:cs="Arial" w:eastAsia="Arial" w:hAnsi="Arial"/>
                <w:sz w:val="14"/>
                <w:szCs w:val="14"/>
                <w:color w:val="auto"/>
              </w:rPr>
              <w:t>2015</w:t>
            </w:r>
          </w:p>
        </w:tc>
        <w:tc>
          <w:tcPr>
            <w:tcW w:w="0" w:type="dxa"/>
            <w:vAlign w:val="bottom"/>
          </w:tcPr>
          <w:p>
            <w:pPr>
              <w:spacing w:after="0"/>
              <w:rPr>
                <w:sz w:val="1"/>
                <w:szCs w:val="1"/>
                <w:color w:val="auto"/>
              </w:rPr>
            </w:pPr>
          </w:p>
        </w:tc>
      </w:tr>
      <w:tr>
        <w:trPr>
          <w:trHeight w:val="262"/>
        </w:trPr>
        <w:tc>
          <w:tcPr>
            <w:tcW w:w="7780" w:type="dxa"/>
            <w:vAlign w:val="bottom"/>
          </w:tcPr>
          <w:p>
            <w:pPr>
              <w:ind w:left="40"/>
              <w:spacing w:after="0"/>
              <w:rPr>
                <w:sz w:val="20"/>
                <w:szCs w:val="20"/>
                <w:color w:val="auto"/>
              </w:rPr>
            </w:pPr>
            <w:r>
              <w:rPr>
                <w:rFonts w:ascii="Arial" w:cs="Arial" w:eastAsia="Arial" w:hAnsi="Arial"/>
                <w:sz w:val="15"/>
                <w:szCs w:val="15"/>
                <w:b w:val="1"/>
                <w:bCs w:val="1"/>
                <w:color w:val="auto"/>
              </w:rPr>
              <w:t>Cash Flows from Operating Activities</w:t>
            </w:r>
          </w:p>
        </w:tc>
        <w:tc>
          <w:tcPr>
            <w:tcW w:w="26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0"/>
        </w:trPr>
        <w:tc>
          <w:tcPr>
            <w:tcW w:w="7780" w:type="dxa"/>
            <w:vAlign w:val="bottom"/>
          </w:tcPr>
          <w:p>
            <w:pPr>
              <w:ind w:left="40"/>
              <w:spacing w:after="0"/>
              <w:rPr>
                <w:sz w:val="20"/>
                <w:szCs w:val="20"/>
                <w:color w:val="auto"/>
              </w:rPr>
            </w:pPr>
            <w:r>
              <w:rPr>
                <w:rFonts w:ascii="Arial" w:cs="Arial" w:eastAsia="Arial" w:hAnsi="Arial"/>
                <w:sz w:val="15"/>
                <w:szCs w:val="15"/>
                <w:b w:val="1"/>
                <w:bCs w:val="1"/>
                <w:color w:val="auto"/>
              </w:rPr>
              <w:t>Net Income (Loss)</w:t>
            </w:r>
          </w:p>
        </w:tc>
        <w:tc>
          <w:tcPr>
            <w:tcW w:w="260" w:type="dxa"/>
            <w:vAlign w:val="bottom"/>
          </w:tcPr>
          <w:p>
            <w:pPr>
              <w:jc w:val="right"/>
              <w:ind w:right="83"/>
              <w:spacing w:after="0"/>
              <w:rPr>
                <w:sz w:val="20"/>
                <w:szCs w:val="20"/>
                <w:color w:val="auto"/>
              </w:rPr>
            </w:pPr>
            <w:r>
              <w:rPr>
                <w:rFonts w:ascii="Arial" w:cs="Arial" w:eastAsia="Arial" w:hAnsi="Arial"/>
                <w:sz w:val="15"/>
                <w:szCs w:val="15"/>
                <w:b w:val="1"/>
                <w:bCs w:val="1"/>
                <w:color w:val="auto"/>
                <w:w w:val="95"/>
              </w:rPr>
              <w:t>$</w:t>
            </w:r>
          </w:p>
        </w:tc>
        <w:tc>
          <w:tcPr>
            <w:tcW w:w="940" w:type="dxa"/>
            <w:vAlign w:val="bottom"/>
          </w:tcPr>
          <w:p>
            <w:pPr>
              <w:jc w:val="right"/>
              <w:ind w:right="84"/>
              <w:spacing w:after="0"/>
              <w:rPr>
                <w:sz w:val="20"/>
                <w:szCs w:val="20"/>
                <w:color w:val="auto"/>
              </w:rPr>
            </w:pPr>
            <w:r>
              <w:rPr>
                <w:rFonts w:ascii="Arial" w:cs="Arial" w:eastAsia="Arial" w:hAnsi="Arial"/>
                <w:sz w:val="15"/>
                <w:szCs w:val="15"/>
                <w:b w:val="1"/>
                <w:bCs w:val="1"/>
                <w:color w:val="auto"/>
              </w:rPr>
              <w:t>302,489</w:t>
            </w:r>
          </w:p>
        </w:tc>
        <w:tc>
          <w:tcPr>
            <w:tcW w:w="320" w:type="dxa"/>
            <w:vAlign w:val="bottom"/>
          </w:tcPr>
          <w:p>
            <w:pPr>
              <w:jc w:val="right"/>
              <w:ind w:right="63"/>
              <w:spacing w:after="0"/>
              <w:rPr>
                <w:sz w:val="20"/>
                <w:szCs w:val="20"/>
                <w:color w:val="auto"/>
              </w:rPr>
            </w:pPr>
            <w:r>
              <w:rPr>
                <w:rFonts w:ascii="Arial" w:cs="Arial" w:eastAsia="Arial" w:hAnsi="Arial"/>
                <w:sz w:val="15"/>
                <w:szCs w:val="15"/>
                <w:color w:val="auto"/>
              </w:rPr>
              <w:t>$</w:t>
            </w:r>
          </w:p>
        </w:tc>
        <w:tc>
          <w:tcPr>
            <w:tcW w:w="920" w:type="dxa"/>
            <w:vAlign w:val="bottom"/>
          </w:tcPr>
          <w:p>
            <w:pPr>
              <w:jc w:val="right"/>
              <w:ind w:right="84"/>
              <w:spacing w:after="0"/>
              <w:rPr>
                <w:sz w:val="20"/>
                <w:szCs w:val="20"/>
                <w:color w:val="auto"/>
              </w:rPr>
            </w:pPr>
            <w:r>
              <w:rPr>
                <w:rFonts w:ascii="Arial" w:cs="Arial" w:eastAsia="Arial" w:hAnsi="Arial"/>
                <w:sz w:val="15"/>
                <w:szCs w:val="15"/>
                <w:color w:val="auto"/>
              </w:rPr>
              <w:t>169,458</w:t>
            </w:r>
          </w:p>
        </w:tc>
        <w:tc>
          <w:tcPr>
            <w:tcW w:w="360" w:type="dxa"/>
            <w:vAlign w:val="bottom"/>
          </w:tcPr>
          <w:p>
            <w:pPr>
              <w:jc w:val="right"/>
              <w:ind w:right="103"/>
              <w:spacing w:after="0"/>
              <w:rPr>
                <w:sz w:val="20"/>
                <w:szCs w:val="20"/>
                <w:color w:val="auto"/>
              </w:rPr>
            </w:pPr>
            <w:r>
              <w:rPr>
                <w:rFonts w:ascii="Arial" w:cs="Arial" w:eastAsia="Arial" w:hAnsi="Arial"/>
                <w:sz w:val="15"/>
                <w:szCs w:val="15"/>
                <w:color w:val="auto"/>
              </w:rPr>
              <w:t>$</w:t>
            </w:r>
          </w:p>
        </w:tc>
        <w:tc>
          <w:tcPr>
            <w:tcW w:w="840" w:type="dxa"/>
            <w:vAlign w:val="bottom"/>
          </w:tcPr>
          <w:p>
            <w:pPr>
              <w:jc w:val="right"/>
              <w:spacing w:after="0"/>
              <w:rPr>
                <w:sz w:val="20"/>
                <w:szCs w:val="20"/>
                <w:color w:val="auto"/>
              </w:rPr>
            </w:pPr>
            <w:r>
              <w:rPr>
                <w:rFonts w:ascii="Arial" w:cs="Arial" w:eastAsia="Arial" w:hAnsi="Arial"/>
                <w:sz w:val="15"/>
                <w:szCs w:val="15"/>
                <w:color w:val="auto"/>
              </w:rPr>
              <w:t>(99,220)</w:t>
            </w:r>
          </w:p>
        </w:tc>
        <w:tc>
          <w:tcPr>
            <w:tcW w:w="0" w:type="dxa"/>
            <w:vAlign w:val="bottom"/>
          </w:tcPr>
          <w:p>
            <w:pPr>
              <w:spacing w:after="0"/>
              <w:rPr>
                <w:sz w:val="1"/>
                <w:szCs w:val="1"/>
                <w:color w:val="auto"/>
              </w:rPr>
            </w:pPr>
          </w:p>
        </w:tc>
      </w:tr>
      <w:tr>
        <w:trPr>
          <w:trHeight w:val="270"/>
        </w:trPr>
        <w:tc>
          <w:tcPr>
            <w:tcW w:w="7780" w:type="dxa"/>
            <w:vAlign w:val="bottom"/>
          </w:tcPr>
          <w:p>
            <w:pPr>
              <w:ind w:left="40"/>
              <w:spacing w:after="0"/>
              <w:rPr>
                <w:sz w:val="20"/>
                <w:szCs w:val="20"/>
                <w:color w:val="auto"/>
              </w:rPr>
            </w:pPr>
            <w:r>
              <w:rPr>
                <w:rFonts w:ascii="Arial" w:cs="Arial" w:eastAsia="Arial" w:hAnsi="Arial"/>
                <w:sz w:val="15"/>
                <w:szCs w:val="15"/>
                <w:color w:val="auto"/>
              </w:rPr>
              <w:t>Adjustments to reconcile net income to net cash provided by operating activities:</w:t>
            </w:r>
          </w:p>
        </w:tc>
        <w:tc>
          <w:tcPr>
            <w:tcW w:w="260" w:type="dxa"/>
            <w:vAlign w:val="bottom"/>
          </w:tcPr>
          <w:p>
            <w:pPr>
              <w:spacing w:after="0"/>
              <w:rPr>
                <w:sz w:val="23"/>
                <w:szCs w:val="23"/>
                <w:color w:val="auto"/>
              </w:rPr>
            </w:pPr>
          </w:p>
        </w:tc>
        <w:tc>
          <w:tcPr>
            <w:tcW w:w="94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7780" w:type="dxa"/>
            <w:vAlign w:val="bottom"/>
          </w:tcPr>
          <w:p>
            <w:pPr>
              <w:ind w:left="280"/>
              <w:spacing w:after="0"/>
              <w:rPr>
                <w:sz w:val="20"/>
                <w:szCs w:val="20"/>
                <w:color w:val="auto"/>
              </w:rPr>
            </w:pPr>
            <w:r>
              <w:rPr>
                <w:rFonts w:ascii="Arial" w:cs="Arial" w:eastAsia="Arial" w:hAnsi="Arial"/>
                <w:sz w:val="15"/>
                <w:szCs w:val="15"/>
                <w:color w:val="auto"/>
              </w:rPr>
              <w:t>Depreciation, amortization and goodwill and other long-lived asset impairment</w:t>
            </w:r>
          </w:p>
        </w:tc>
        <w:tc>
          <w:tcPr>
            <w:tcW w:w="260" w:type="dxa"/>
            <w:vAlign w:val="bottom"/>
          </w:tcPr>
          <w:p>
            <w:pPr>
              <w:spacing w:after="0"/>
              <w:rPr>
                <w:sz w:val="23"/>
                <w:szCs w:val="23"/>
                <w:color w:val="auto"/>
              </w:rPr>
            </w:pPr>
          </w:p>
        </w:tc>
        <w:tc>
          <w:tcPr>
            <w:tcW w:w="940" w:type="dxa"/>
            <w:vAlign w:val="bottom"/>
          </w:tcPr>
          <w:p>
            <w:pPr>
              <w:jc w:val="right"/>
              <w:ind w:right="84"/>
              <w:spacing w:after="0"/>
              <w:rPr>
                <w:sz w:val="20"/>
                <w:szCs w:val="20"/>
                <w:color w:val="auto"/>
              </w:rPr>
            </w:pPr>
            <w:r>
              <w:rPr>
                <w:rFonts w:ascii="Arial" w:cs="Arial" w:eastAsia="Arial" w:hAnsi="Arial"/>
                <w:sz w:val="15"/>
                <w:szCs w:val="15"/>
                <w:b w:val="1"/>
                <w:bCs w:val="1"/>
                <w:color w:val="auto"/>
              </w:rPr>
              <w:t>113,310</w:t>
            </w:r>
          </w:p>
        </w:tc>
        <w:tc>
          <w:tcPr>
            <w:tcW w:w="320" w:type="dxa"/>
            <w:vAlign w:val="bottom"/>
          </w:tcPr>
          <w:p>
            <w:pPr>
              <w:spacing w:after="0"/>
              <w:rPr>
                <w:sz w:val="23"/>
                <w:szCs w:val="23"/>
                <w:color w:val="auto"/>
              </w:rPr>
            </w:pPr>
          </w:p>
        </w:tc>
        <w:tc>
          <w:tcPr>
            <w:tcW w:w="920" w:type="dxa"/>
            <w:vAlign w:val="bottom"/>
          </w:tcPr>
          <w:p>
            <w:pPr>
              <w:jc w:val="right"/>
              <w:ind w:right="84"/>
              <w:spacing w:after="0"/>
              <w:rPr>
                <w:sz w:val="20"/>
                <w:szCs w:val="20"/>
                <w:color w:val="auto"/>
              </w:rPr>
            </w:pPr>
            <w:r>
              <w:rPr>
                <w:rFonts w:ascii="Arial" w:cs="Arial" w:eastAsia="Arial" w:hAnsi="Arial"/>
                <w:sz w:val="15"/>
                <w:szCs w:val="15"/>
                <w:color w:val="auto"/>
              </w:rPr>
              <w:t>92,894</w:t>
            </w:r>
          </w:p>
        </w:tc>
        <w:tc>
          <w:tcPr>
            <w:tcW w:w="360" w:type="dxa"/>
            <w:vAlign w:val="bottom"/>
          </w:tcPr>
          <w:p>
            <w:pPr>
              <w:spacing w:after="0"/>
              <w:rPr>
                <w:sz w:val="23"/>
                <w:szCs w:val="23"/>
                <w:color w:val="auto"/>
              </w:rPr>
            </w:pPr>
          </w:p>
        </w:tc>
        <w:tc>
          <w:tcPr>
            <w:tcW w:w="840" w:type="dxa"/>
            <w:vAlign w:val="bottom"/>
          </w:tcPr>
          <w:p>
            <w:pPr>
              <w:jc w:val="right"/>
              <w:ind w:right="24"/>
              <w:spacing w:after="0"/>
              <w:rPr>
                <w:sz w:val="20"/>
                <w:szCs w:val="20"/>
                <w:color w:val="auto"/>
              </w:rPr>
            </w:pPr>
            <w:r>
              <w:rPr>
                <w:rFonts w:ascii="Arial" w:cs="Arial" w:eastAsia="Arial" w:hAnsi="Arial"/>
                <w:sz w:val="15"/>
                <w:szCs w:val="15"/>
                <w:color w:val="auto"/>
              </w:rPr>
              <w:t>428,437</w:t>
            </w:r>
          </w:p>
        </w:tc>
        <w:tc>
          <w:tcPr>
            <w:tcW w:w="0" w:type="dxa"/>
            <w:vAlign w:val="bottom"/>
          </w:tcPr>
          <w:p>
            <w:pPr>
              <w:spacing w:after="0"/>
              <w:rPr>
                <w:sz w:val="1"/>
                <w:szCs w:val="1"/>
                <w:color w:val="auto"/>
              </w:rPr>
            </w:pPr>
          </w:p>
        </w:tc>
      </w:tr>
      <w:tr>
        <w:trPr>
          <w:trHeight w:val="270"/>
        </w:trPr>
        <w:tc>
          <w:tcPr>
            <w:tcW w:w="7780" w:type="dxa"/>
            <w:vAlign w:val="bottom"/>
          </w:tcPr>
          <w:p>
            <w:pPr>
              <w:ind w:left="280"/>
              <w:spacing w:after="0"/>
              <w:rPr>
                <w:sz w:val="20"/>
                <w:szCs w:val="20"/>
                <w:color w:val="auto"/>
              </w:rPr>
            </w:pPr>
            <w:r>
              <w:rPr>
                <w:rFonts w:ascii="Arial" w:cs="Arial" w:eastAsia="Arial" w:hAnsi="Arial"/>
                <w:sz w:val="15"/>
                <w:szCs w:val="15"/>
                <w:color w:val="auto"/>
              </w:rPr>
              <w:t>Net pension benefit</w:t>
            </w:r>
          </w:p>
        </w:tc>
        <w:tc>
          <w:tcPr>
            <w:tcW w:w="260" w:type="dxa"/>
            <w:vAlign w:val="bottom"/>
          </w:tcPr>
          <w:p>
            <w:pPr>
              <w:spacing w:after="0"/>
              <w:rPr>
                <w:sz w:val="23"/>
                <w:szCs w:val="23"/>
                <w:color w:val="auto"/>
              </w:rPr>
            </w:pPr>
          </w:p>
        </w:tc>
        <w:tc>
          <w:tcPr>
            <w:tcW w:w="940" w:type="dxa"/>
            <w:vAlign w:val="bottom"/>
          </w:tcPr>
          <w:p>
            <w:pPr>
              <w:jc w:val="right"/>
              <w:ind w:right="24"/>
              <w:spacing w:after="0"/>
              <w:rPr>
                <w:sz w:val="20"/>
                <w:szCs w:val="20"/>
                <w:color w:val="auto"/>
              </w:rPr>
            </w:pPr>
            <w:r>
              <w:rPr>
                <w:rFonts w:ascii="Arial" w:cs="Arial" w:eastAsia="Arial" w:hAnsi="Arial"/>
                <w:sz w:val="15"/>
                <w:szCs w:val="15"/>
                <w:b w:val="1"/>
                <w:bCs w:val="1"/>
                <w:color w:val="auto"/>
              </w:rPr>
              <w:t>(59,039)</w:t>
            </w:r>
          </w:p>
        </w:tc>
        <w:tc>
          <w:tcPr>
            <w:tcW w:w="320" w:type="dxa"/>
            <w:vAlign w:val="bottom"/>
          </w:tcPr>
          <w:p>
            <w:pPr>
              <w:spacing w:after="0"/>
              <w:rPr>
                <w:sz w:val="23"/>
                <w:szCs w:val="23"/>
                <w:color w:val="auto"/>
              </w:rPr>
            </w:pPr>
          </w:p>
        </w:tc>
        <w:tc>
          <w:tcPr>
            <w:tcW w:w="920" w:type="dxa"/>
            <w:vAlign w:val="bottom"/>
          </w:tcPr>
          <w:p>
            <w:pPr>
              <w:jc w:val="right"/>
              <w:ind w:right="24"/>
              <w:spacing w:after="0"/>
              <w:rPr>
                <w:sz w:val="20"/>
                <w:szCs w:val="20"/>
                <w:color w:val="auto"/>
              </w:rPr>
            </w:pPr>
            <w:r>
              <w:rPr>
                <w:rFonts w:ascii="Arial" w:cs="Arial" w:eastAsia="Arial" w:hAnsi="Arial"/>
                <w:sz w:val="15"/>
                <w:szCs w:val="15"/>
                <w:color w:val="auto"/>
              </w:rPr>
              <w:t>(67,097)</w:t>
            </w:r>
          </w:p>
        </w:tc>
        <w:tc>
          <w:tcPr>
            <w:tcW w:w="360" w:type="dxa"/>
            <w:vAlign w:val="bottom"/>
          </w:tcPr>
          <w:p>
            <w:pPr>
              <w:spacing w:after="0"/>
              <w:rPr>
                <w:sz w:val="23"/>
                <w:szCs w:val="23"/>
                <w:color w:val="auto"/>
              </w:rPr>
            </w:pPr>
          </w:p>
        </w:tc>
        <w:tc>
          <w:tcPr>
            <w:tcW w:w="840" w:type="dxa"/>
            <w:vAlign w:val="bottom"/>
          </w:tcPr>
          <w:p>
            <w:pPr>
              <w:jc w:val="right"/>
              <w:spacing w:after="0"/>
              <w:rPr>
                <w:sz w:val="20"/>
                <w:szCs w:val="20"/>
                <w:color w:val="auto"/>
              </w:rPr>
            </w:pPr>
            <w:r>
              <w:rPr>
                <w:rFonts w:ascii="Arial" w:cs="Arial" w:eastAsia="Arial" w:hAnsi="Arial"/>
                <w:sz w:val="15"/>
                <w:szCs w:val="15"/>
                <w:color w:val="auto"/>
              </w:rPr>
              <w:t>(65,433)</w:t>
            </w:r>
          </w:p>
        </w:tc>
        <w:tc>
          <w:tcPr>
            <w:tcW w:w="0" w:type="dxa"/>
            <w:vAlign w:val="bottom"/>
          </w:tcPr>
          <w:p>
            <w:pPr>
              <w:spacing w:after="0"/>
              <w:rPr>
                <w:sz w:val="1"/>
                <w:szCs w:val="1"/>
                <w:color w:val="auto"/>
              </w:rPr>
            </w:pPr>
          </w:p>
        </w:tc>
      </w:tr>
      <w:tr>
        <w:trPr>
          <w:trHeight w:val="270"/>
        </w:trPr>
        <w:tc>
          <w:tcPr>
            <w:tcW w:w="7780" w:type="dxa"/>
            <w:vAlign w:val="bottom"/>
          </w:tcPr>
          <w:p>
            <w:pPr>
              <w:ind w:left="280"/>
              <w:spacing w:after="0"/>
              <w:rPr>
                <w:sz w:val="20"/>
                <w:szCs w:val="20"/>
                <w:color w:val="auto"/>
              </w:rPr>
            </w:pPr>
            <w:r>
              <w:rPr>
                <w:rFonts w:ascii="Arial" w:cs="Arial" w:eastAsia="Arial" w:hAnsi="Arial"/>
                <w:sz w:val="15"/>
                <w:szCs w:val="15"/>
                <w:color w:val="auto"/>
              </w:rPr>
              <w:t>Early retirement and special separation benefit program expense</w:t>
            </w:r>
          </w:p>
        </w:tc>
        <w:tc>
          <w:tcPr>
            <w:tcW w:w="260" w:type="dxa"/>
            <w:vAlign w:val="bottom"/>
          </w:tcPr>
          <w:p>
            <w:pPr>
              <w:spacing w:after="0"/>
              <w:rPr>
                <w:sz w:val="23"/>
                <w:szCs w:val="23"/>
                <w:color w:val="auto"/>
              </w:rPr>
            </w:pPr>
          </w:p>
        </w:tc>
        <w:tc>
          <w:tcPr>
            <w:tcW w:w="940" w:type="dxa"/>
            <w:vAlign w:val="bottom"/>
          </w:tcPr>
          <w:p>
            <w:pPr>
              <w:jc w:val="right"/>
              <w:ind w:right="84"/>
              <w:spacing w:after="0"/>
              <w:rPr>
                <w:sz w:val="20"/>
                <w:szCs w:val="20"/>
                <w:color w:val="auto"/>
              </w:rPr>
            </w:pPr>
            <w:r>
              <w:rPr>
                <w:rFonts w:ascii="Arial" w:cs="Arial" w:eastAsia="Arial" w:hAnsi="Arial"/>
                <w:sz w:val="15"/>
                <w:szCs w:val="15"/>
                <w:b w:val="1"/>
                <w:bCs w:val="1"/>
                <w:color w:val="auto"/>
              </w:rPr>
              <w:t>1,825</w:t>
            </w:r>
          </w:p>
        </w:tc>
        <w:tc>
          <w:tcPr>
            <w:tcW w:w="320" w:type="dxa"/>
            <w:vAlign w:val="bottom"/>
          </w:tcPr>
          <w:p>
            <w:pPr>
              <w:spacing w:after="0"/>
              <w:rPr>
                <w:sz w:val="23"/>
                <w:szCs w:val="23"/>
                <w:color w:val="auto"/>
              </w:rPr>
            </w:pPr>
          </w:p>
        </w:tc>
        <w:tc>
          <w:tcPr>
            <w:tcW w:w="920" w:type="dxa"/>
            <w:vAlign w:val="bottom"/>
          </w:tcPr>
          <w:p>
            <w:pPr>
              <w:jc w:val="right"/>
              <w:ind w:right="84"/>
              <w:spacing w:after="0"/>
              <w:rPr>
                <w:sz w:val="20"/>
                <w:szCs w:val="20"/>
                <w:color w:val="auto"/>
              </w:rPr>
            </w:pPr>
            <w:r>
              <w:rPr>
                <w:rFonts w:ascii="Arial" w:cs="Arial" w:eastAsia="Arial" w:hAnsi="Arial"/>
                <w:sz w:val="15"/>
                <w:szCs w:val="15"/>
                <w:color w:val="auto"/>
              </w:rPr>
              <w:t>—</w:t>
            </w:r>
          </w:p>
        </w:tc>
        <w:tc>
          <w:tcPr>
            <w:tcW w:w="360" w:type="dxa"/>
            <w:vAlign w:val="bottom"/>
          </w:tcPr>
          <w:p>
            <w:pPr>
              <w:spacing w:after="0"/>
              <w:rPr>
                <w:sz w:val="23"/>
                <w:szCs w:val="23"/>
                <w:color w:val="auto"/>
              </w:rPr>
            </w:pPr>
          </w:p>
        </w:tc>
        <w:tc>
          <w:tcPr>
            <w:tcW w:w="840" w:type="dxa"/>
            <w:vAlign w:val="bottom"/>
          </w:tcPr>
          <w:p>
            <w:pPr>
              <w:jc w:val="right"/>
              <w:ind w:right="24"/>
              <w:spacing w:after="0"/>
              <w:rPr>
                <w:sz w:val="20"/>
                <w:szCs w:val="20"/>
                <w:color w:val="auto"/>
              </w:rPr>
            </w:pPr>
            <w:r>
              <w:rPr>
                <w:rFonts w:ascii="Arial" w:cs="Arial" w:eastAsia="Arial" w:hAnsi="Arial"/>
                <w:sz w:val="15"/>
                <w:szCs w:val="15"/>
                <w:color w:val="auto"/>
              </w:rPr>
              <w:t>4,606</w:t>
            </w:r>
          </w:p>
        </w:tc>
        <w:tc>
          <w:tcPr>
            <w:tcW w:w="0" w:type="dxa"/>
            <w:vAlign w:val="bottom"/>
          </w:tcPr>
          <w:p>
            <w:pPr>
              <w:spacing w:after="0"/>
              <w:rPr>
                <w:sz w:val="1"/>
                <w:szCs w:val="1"/>
                <w:color w:val="auto"/>
              </w:rPr>
            </w:pPr>
          </w:p>
        </w:tc>
      </w:tr>
      <w:tr>
        <w:trPr>
          <w:trHeight w:val="270"/>
        </w:trPr>
        <w:tc>
          <w:tcPr>
            <w:tcW w:w="7780" w:type="dxa"/>
            <w:vAlign w:val="bottom"/>
          </w:tcPr>
          <w:p>
            <w:pPr>
              <w:ind w:left="280"/>
              <w:spacing w:after="0"/>
              <w:rPr>
                <w:sz w:val="20"/>
                <w:szCs w:val="20"/>
                <w:color w:val="auto"/>
              </w:rPr>
            </w:pPr>
            <w:r>
              <w:rPr>
                <w:rFonts w:ascii="Arial" w:cs="Arial" w:eastAsia="Arial" w:hAnsi="Arial"/>
                <w:sz w:val="15"/>
                <w:szCs w:val="15"/>
                <w:color w:val="auto"/>
              </w:rPr>
              <w:t>Stock-based compensation expense, net</w:t>
            </w:r>
          </w:p>
        </w:tc>
        <w:tc>
          <w:tcPr>
            <w:tcW w:w="260" w:type="dxa"/>
            <w:vAlign w:val="bottom"/>
          </w:tcPr>
          <w:p>
            <w:pPr>
              <w:spacing w:after="0"/>
              <w:rPr>
                <w:sz w:val="23"/>
                <w:szCs w:val="23"/>
                <w:color w:val="auto"/>
              </w:rPr>
            </w:pPr>
          </w:p>
        </w:tc>
        <w:tc>
          <w:tcPr>
            <w:tcW w:w="940" w:type="dxa"/>
            <w:vAlign w:val="bottom"/>
          </w:tcPr>
          <w:p>
            <w:pPr>
              <w:jc w:val="right"/>
              <w:ind w:right="84"/>
              <w:spacing w:after="0"/>
              <w:rPr>
                <w:sz w:val="20"/>
                <w:szCs w:val="20"/>
                <w:color w:val="auto"/>
              </w:rPr>
            </w:pPr>
            <w:r>
              <w:rPr>
                <w:rFonts w:ascii="Arial" w:cs="Arial" w:eastAsia="Arial" w:hAnsi="Arial"/>
                <w:sz w:val="15"/>
                <w:szCs w:val="15"/>
                <w:b w:val="1"/>
                <w:bCs w:val="1"/>
                <w:color w:val="auto"/>
              </w:rPr>
              <w:t>10,169</w:t>
            </w:r>
          </w:p>
        </w:tc>
        <w:tc>
          <w:tcPr>
            <w:tcW w:w="320" w:type="dxa"/>
            <w:vAlign w:val="bottom"/>
          </w:tcPr>
          <w:p>
            <w:pPr>
              <w:spacing w:after="0"/>
              <w:rPr>
                <w:sz w:val="23"/>
                <w:szCs w:val="23"/>
                <w:color w:val="auto"/>
              </w:rPr>
            </w:pPr>
          </w:p>
        </w:tc>
        <w:tc>
          <w:tcPr>
            <w:tcW w:w="920" w:type="dxa"/>
            <w:vAlign w:val="bottom"/>
          </w:tcPr>
          <w:p>
            <w:pPr>
              <w:jc w:val="right"/>
              <w:ind w:right="84"/>
              <w:spacing w:after="0"/>
              <w:rPr>
                <w:sz w:val="20"/>
                <w:szCs w:val="20"/>
                <w:color w:val="auto"/>
              </w:rPr>
            </w:pPr>
            <w:r>
              <w:rPr>
                <w:rFonts w:ascii="Arial" w:cs="Arial" w:eastAsia="Arial" w:hAnsi="Arial"/>
                <w:sz w:val="15"/>
                <w:szCs w:val="15"/>
                <w:color w:val="auto"/>
              </w:rPr>
              <w:t>13,418</w:t>
            </w:r>
          </w:p>
        </w:tc>
        <w:tc>
          <w:tcPr>
            <w:tcW w:w="360" w:type="dxa"/>
            <w:vAlign w:val="bottom"/>
          </w:tcPr>
          <w:p>
            <w:pPr>
              <w:spacing w:after="0"/>
              <w:rPr>
                <w:sz w:val="23"/>
                <w:szCs w:val="23"/>
                <w:color w:val="auto"/>
              </w:rPr>
            </w:pPr>
          </w:p>
        </w:tc>
        <w:tc>
          <w:tcPr>
            <w:tcW w:w="840" w:type="dxa"/>
            <w:vAlign w:val="bottom"/>
          </w:tcPr>
          <w:p>
            <w:pPr>
              <w:jc w:val="right"/>
              <w:ind w:right="24"/>
              <w:spacing w:after="0"/>
              <w:rPr>
                <w:sz w:val="20"/>
                <w:szCs w:val="20"/>
                <w:color w:val="auto"/>
              </w:rPr>
            </w:pPr>
            <w:r>
              <w:rPr>
                <w:rFonts w:ascii="Arial" w:cs="Arial" w:eastAsia="Arial" w:hAnsi="Arial"/>
                <w:sz w:val="15"/>
                <w:szCs w:val="15"/>
                <w:color w:val="auto"/>
              </w:rPr>
              <w:t>48,033</w:t>
            </w:r>
          </w:p>
        </w:tc>
        <w:tc>
          <w:tcPr>
            <w:tcW w:w="0" w:type="dxa"/>
            <w:vAlign w:val="bottom"/>
          </w:tcPr>
          <w:p>
            <w:pPr>
              <w:spacing w:after="0"/>
              <w:rPr>
                <w:sz w:val="1"/>
                <w:szCs w:val="1"/>
                <w:color w:val="auto"/>
              </w:rPr>
            </w:pPr>
          </w:p>
        </w:tc>
      </w:tr>
      <w:tr>
        <w:trPr>
          <w:trHeight w:val="270"/>
        </w:trPr>
        <w:tc>
          <w:tcPr>
            <w:tcW w:w="7780" w:type="dxa"/>
            <w:vAlign w:val="bottom"/>
          </w:tcPr>
          <w:p>
            <w:pPr>
              <w:ind w:left="280"/>
              <w:spacing w:after="0"/>
              <w:rPr>
                <w:sz w:val="20"/>
                <w:szCs w:val="20"/>
                <w:color w:val="auto"/>
              </w:rPr>
            </w:pPr>
            <w:r>
              <w:rPr>
                <w:rFonts w:ascii="Arial" w:cs="Arial" w:eastAsia="Arial" w:hAnsi="Arial"/>
                <w:sz w:val="15"/>
                <w:szCs w:val="15"/>
                <w:color w:val="auto"/>
              </w:rPr>
              <w:t>Foreign exchange (gain) loss</w:t>
            </w:r>
          </w:p>
        </w:tc>
        <w:tc>
          <w:tcPr>
            <w:tcW w:w="260" w:type="dxa"/>
            <w:vAlign w:val="bottom"/>
          </w:tcPr>
          <w:p>
            <w:pPr>
              <w:spacing w:after="0"/>
              <w:rPr>
                <w:sz w:val="23"/>
                <w:szCs w:val="23"/>
                <w:color w:val="auto"/>
              </w:rPr>
            </w:pPr>
          </w:p>
        </w:tc>
        <w:tc>
          <w:tcPr>
            <w:tcW w:w="940" w:type="dxa"/>
            <w:vAlign w:val="bottom"/>
          </w:tcPr>
          <w:p>
            <w:pPr>
              <w:jc w:val="right"/>
              <w:ind w:right="24"/>
              <w:spacing w:after="0"/>
              <w:rPr>
                <w:sz w:val="20"/>
                <w:szCs w:val="20"/>
                <w:color w:val="auto"/>
              </w:rPr>
            </w:pPr>
            <w:r>
              <w:rPr>
                <w:rFonts w:ascii="Arial" w:cs="Arial" w:eastAsia="Arial" w:hAnsi="Arial"/>
                <w:sz w:val="15"/>
                <w:szCs w:val="15"/>
                <w:b w:val="1"/>
                <w:bCs w:val="1"/>
                <w:color w:val="auto"/>
              </w:rPr>
              <w:t>(3,310)</w:t>
            </w:r>
          </w:p>
        </w:tc>
        <w:tc>
          <w:tcPr>
            <w:tcW w:w="320" w:type="dxa"/>
            <w:vAlign w:val="bottom"/>
          </w:tcPr>
          <w:p>
            <w:pPr>
              <w:spacing w:after="0"/>
              <w:rPr>
                <w:sz w:val="23"/>
                <w:szCs w:val="23"/>
                <w:color w:val="auto"/>
              </w:rPr>
            </w:pPr>
          </w:p>
        </w:tc>
        <w:tc>
          <w:tcPr>
            <w:tcW w:w="920" w:type="dxa"/>
            <w:vAlign w:val="bottom"/>
          </w:tcPr>
          <w:p>
            <w:pPr>
              <w:jc w:val="right"/>
              <w:ind w:right="84"/>
              <w:spacing w:after="0"/>
              <w:rPr>
                <w:sz w:val="20"/>
                <w:szCs w:val="20"/>
                <w:color w:val="auto"/>
              </w:rPr>
            </w:pPr>
            <w:r>
              <w:rPr>
                <w:rFonts w:ascii="Arial" w:cs="Arial" w:eastAsia="Arial" w:hAnsi="Arial"/>
                <w:sz w:val="15"/>
                <w:szCs w:val="15"/>
                <w:color w:val="auto"/>
              </w:rPr>
              <w:t>39,890</w:t>
            </w:r>
          </w:p>
        </w:tc>
        <w:tc>
          <w:tcPr>
            <w:tcW w:w="360" w:type="dxa"/>
            <w:vAlign w:val="bottom"/>
          </w:tcPr>
          <w:p>
            <w:pPr>
              <w:spacing w:after="0"/>
              <w:rPr>
                <w:sz w:val="23"/>
                <w:szCs w:val="23"/>
                <w:color w:val="auto"/>
              </w:rPr>
            </w:pPr>
          </w:p>
        </w:tc>
        <w:tc>
          <w:tcPr>
            <w:tcW w:w="840" w:type="dxa"/>
            <w:vAlign w:val="bottom"/>
          </w:tcPr>
          <w:p>
            <w:pPr>
              <w:jc w:val="right"/>
              <w:ind w:right="24"/>
              <w:spacing w:after="0"/>
              <w:rPr>
                <w:sz w:val="20"/>
                <w:szCs w:val="20"/>
                <w:color w:val="auto"/>
              </w:rPr>
            </w:pPr>
            <w:r>
              <w:rPr>
                <w:rFonts w:ascii="Arial" w:cs="Arial" w:eastAsia="Arial" w:hAnsi="Arial"/>
                <w:sz w:val="15"/>
                <w:szCs w:val="15"/>
                <w:color w:val="auto"/>
              </w:rPr>
              <w:t>15,564</w:t>
            </w:r>
          </w:p>
        </w:tc>
        <w:tc>
          <w:tcPr>
            <w:tcW w:w="0" w:type="dxa"/>
            <w:vAlign w:val="bottom"/>
          </w:tcPr>
          <w:p>
            <w:pPr>
              <w:spacing w:after="0"/>
              <w:rPr>
                <w:sz w:val="1"/>
                <w:szCs w:val="1"/>
                <w:color w:val="auto"/>
              </w:rPr>
            </w:pPr>
          </w:p>
        </w:tc>
      </w:tr>
      <w:tr>
        <w:trPr>
          <w:trHeight w:val="270"/>
        </w:trPr>
        <w:tc>
          <w:tcPr>
            <w:tcW w:w="7780" w:type="dxa"/>
            <w:vAlign w:val="bottom"/>
          </w:tcPr>
          <w:p>
            <w:pPr>
              <w:ind w:left="280"/>
              <w:spacing w:after="0"/>
              <w:rPr>
                <w:sz w:val="20"/>
                <w:szCs w:val="20"/>
                <w:color w:val="auto"/>
              </w:rPr>
            </w:pPr>
            <w:r>
              <w:rPr>
                <w:rFonts w:ascii="Arial" w:cs="Arial" w:eastAsia="Arial" w:hAnsi="Arial"/>
                <w:sz w:val="15"/>
                <w:szCs w:val="15"/>
                <w:color w:val="auto"/>
              </w:rPr>
              <w:t>Net loss (gain) on sales and disposition of businesses</w:t>
            </w:r>
          </w:p>
        </w:tc>
        <w:tc>
          <w:tcPr>
            <w:tcW w:w="260" w:type="dxa"/>
            <w:vAlign w:val="bottom"/>
          </w:tcPr>
          <w:p>
            <w:pPr>
              <w:spacing w:after="0"/>
              <w:rPr>
                <w:sz w:val="23"/>
                <w:szCs w:val="23"/>
                <w:color w:val="auto"/>
              </w:rPr>
            </w:pPr>
          </w:p>
        </w:tc>
        <w:tc>
          <w:tcPr>
            <w:tcW w:w="940" w:type="dxa"/>
            <w:vAlign w:val="bottom"/>
          </w:tcPr>
          <w:p>
            <w:pPr>
              <w:jc w:val="right"/>
              <w:ind w:right="84"/>
              <w:spacing w:after="0"/>
              <w:rPr>
                <w:sz w:val="20"/>
                <w:szCs w:val="20"/>
                <w:color w:val="auto"/>
              </w:rPr>
            </w:pPr>
            <w:r>
              <w:rPr>
                <w:rFonts w:ascii="Arial" w:cs="Arial" w:eastAsia="Arial" w:hAnsi="Arial"/>
                <w:sz w:val="15"/>
                <w:szCs w:val="15"/>
                <w:b w:val="1"/>
                <w:bCs w:val="1"/>
                <w:color w:val="auto"/>
              </w:rPr>
              <w:t>569</w:t>
            </w:r>
          </w:p>
        </w:tc>
        <w:tc>
          <w:tcPr>
            <w:tcW w:w="320" w:type="dxa"/>
            <w:vAlign w:val="bottom"/>
          </w:tcPr>
          <w:p>
            <w:pPr>
              <w:spacing w:after="0"/>
              <w:rPr>
                <w:sz w:val="23"/>
                <w:szCs w:val="23"/>
                <w:color w:val="auto"/>
              </w:rPr>
            </w:pPr>
          </w:p>
        </w:tc>
        <w:tc>
          <w:tcPr>
            <w:tcW w:w="920" w:type="dxa"/>
            <w:vAlign w:val="bottom"/>
          </w:tcPr>
          <w:p>
            <w:pPr>
              <w:jc w:val="right"/>
              <w:ind w:right="24"/>
              <w:spacing w:after="0"/>
              <w:rPr>
                <w:sz w:val="20"/>
                <w:szCs w:val="20"/>
                <w:color w:val="auto"/>
              </w:rPr>
            </w:pPr>
            <w:r>
              <w:rPr>
                <w:rFonts w:ascii="Arial" w:cs="Arial" w:eastAsia="Arial" w:hAnsi="Arial"/>
                <w:sz w:val="15"/>
                <w:szCs w:val="15"/>
                <w:color w:val="auto"/>
              </w:rPr>
              <w:t>(22,163)</w:t>
            </w:r>
          </w:p>
        </w:tc>
        <w:tc>
          <w:tcPr>
            <w:tcW w:w="360" w:type="dxa"/>
            <w:vAlign w:val="bottom"/>
          </w:tcPr>
          <w:p>
            <w:pPr>
              <w:spacing w:after="0"/>
              <w:rPr>
                <w:sz w:val="23"/>
                <w:szCs w:val="23"/>
                <w:color w:val="auto"/>
              </w:rPr>
            </w:pPr>
          </w:p>
        </w:tc>
        <w:tc>
          <w:tcPr>
            <w:tcW w:w="840" w:type="dxa"/>
            <w:vAlign w:val="bottom"/>
          </w:tcPr>
          <w:p>
            <w:pPr>
              <w:jc w:val="right"/>
              <w:ind w:right="24"/>
              <w:spacing w:after="0"/>
              <w:rPr>
                <w:sz w:val="20"/>
                <w:szCs w:val="20"/>
                <w:color w:val="auto"/>
              </w:rPr>
            </w:pPr>
            <w:r>
              <w:rPr>
                <w:rFonts w:ascii="Arial" w:cs="Arial" w:eastAsia="Arial" w:hAnsi="Arial"/>
                <w:sz w:val="15"/>
                <w:szCs w:val="15"/>
                <w:color w:val="auto"/>
              </w:rPr>
              <w:t>18,095</w:t>
            </w:r>
          </w:p>
        </w:tc>
        <w:tc>
          <w:tcPr>
            <w:tcW w:w="0" w:type="dxa"/>
            <w:vAlign w:val="bottom"/>
          </w:tcPr>
          <w:p>
            <w:pPr>
              <w:spacing w:after="0"/>
              <w:rPr>
                <w:sz w:val="1"/>
                <w:szCs w:val="1"/>
                <w:color w:val="auto"/>
              </w:rPr>
            </w:pPr>
          </w:p>
        </w:tc>
      </w:tr>
      <w:tr>
        <w:trPr>
          <w:trHeight w:val="270"/>
        </w:trPr>
        <w:tc>
          <w:tcPr>
            <w:tcW w:w="7780" w:type="dxa"/>
            <w:vAlign w:val="bottom"/>
          </w:tcPr>
          <w:p>
            <w:pPr>
              <w:ind w:left="280"/>
              <w:spacing w:after="0"/>
              <w:rPr>
                <w:sz w:val="20"/>
                <w:szCs w:val="20"/>
                <w:color w:val="auto"/>
              </w:rPr>
            </w:pPr>
            <w:r>
              <w:rPr>
                <w:rFonts w:ascii="Arial" w:cs="Arial" w:eastAsia="Arial" w:hAnsi="Arial"/>
                <w:sz w:val="15"/>
                <w:szCs w:val="15"/>
                <w:color w:val="auto"/>
              </w:rPr>
              <w:t>Net loss on dispositions, sales or write-downs of marketable equity securities and cost method investments</w:t>
            </w:r>
          </w:p>
        </w:tc>
        <w:tc>
          <w:tcPr>
            <w:tcW w:w="260" w:type="dxa"/>
            <w:vAlign w:val="bottom"/>
          </w:tcPr>
          <w:p>
            <w:pPr>
              <w:spacing w:after="0"/>
              <w:rPr>
                <w:sz w:val="23"/>
                <w:szCs w:val="23"/>
                <w:color w:val="auto"/>
              </w:rPr>
            </w:pPr>
          </w:p>
        </w:tc>
        <w:tc>
          <w:tcPr>
            <w:tcW w:w="940" w:type="dxa"/>
            <w:vAlign w:val="bottom"/>
          </w:tcPr>
          <w:p>
            <w:pPr>
              <w:jc w:val="right"/>
              <w:ind w:right="84"/>
              <w:spacing w:after="0"/>
              <w:rPr>
                <w:sz w:val="20"/>
                <w:szCs w:val="20"/>
                <w:color w:val="auto"/>
              </w:rPr>
            </w:pPr>
            <w:r>
              <w:rPr>
                <w:rFonts w:ascii="Arial" w:cs="Arial" w:eastAsia="Arial" w:hAnsi="Arial"/>
                <w:sz w:val="15"/>
                <w:szCs w:val="15"/>
                <w:b w:val="1"/>
                <w:bCs w:val="1"/>
                <w:color w:val="auto"/>
              </w:rPr>
              <w:t>200</w:t>
            </w:r>
          </w:p>
        </w:tc>
        <w:tc>
          <w:tcPr>
            <w:tcW w:w="320" w:type="dxa"/>
            <w:vAlign w:val="bottom"/>
          </w:tcPr>
          <w:p>
            <w:pPr>
              <w:spacing w:after="0"/>
              <w:rPr>
                <w:sz w:val="23"/>
                <w:szCs w:val="23"/>
                <w:color w:val="auto"/>
              </w:rPr>
            </w:pPr>
          </w:p>
        </w:tc>
        <w:tc>
          <w:tcPr>
            <w:tcW w:w="920" w:type="dxa"/>
            <w:vAlign w:val="bottom"/>
          </w:tcPr>
          <w:p>
            <w:pPr>
              <w:jc w:val="right"/>
              <w:ind w:right="84"/>
              <w:spacing w:after="0"/>
              <w:rPr>
                <w:sz w:val="20"/>
                <w:szCs w:val="20"/>
                <w:color w:val="auto"/>
              </w:rPr>
            </w:pPr>
            <w:r>
              <w:rPr>
                <w:rFonts w:ascii="Arial" w:cs="Arial" w:eastAsia="Arial" w:hAnsi="Arial"/>
                <w:sz w:val="15"/>
                <w:szCs w:val="15"/>
                <w:color w:val="auto"/>
              </w:rPr>
              <w:t>30,449</w:t>
            </w:r>
          </w:p>
        </w:tc>
        <w:tc>
          <w:tcPr>
            <w:tcW w:w="360" w:type="dxa"/>
            <w:vAlign w:val="bottom"/>
          </w:tcPr>
          <w:p>
            <w:pPr>
              <w:spacing w:after="0"/>
              <w:rPr>
                <w:sz w:val="23"/>
                <w:szCs w:val="23"/>
                <w:color w:val="auto"/>
              </w:rPr>
            </w:pPr>
          </w:p>
        </w:tc>
        <w:tc>
          <w:tcPr>
            <w:tcW w:w="840" w:type="dxa"/>
            <w:vAlign w:val="bottom"/>
          </w:tcPr>
          <w:p>
            <w:pPr>
              <w:jc w:val="right"/>
              <w:ind w:right="24"/>
              <w:spacing w:after="0"/>
              <w:rPr>
                <w:sz w:val="20"/>
                <w:szCs w:val="20"/>
                <w:color w:val="auto"/>
              </w:rPr>
            </w:pPr>
            <w:r>
              <w:rPr>
                <w:rFonts w:ascii="Arial" w:cs="Arial" w:eastAsia="Arial" w:hAnsi="Arial"/>
                <w:sz w:val="15"/>
                <w:szCs w:val="15"/>
                <w:color w:val="auto"/>
              </w:rPr>
              <w:t>1,378</w:t>
            </w:r>
          </w:p>
        </w:tc>
        <w:tc>
          <w:tcPr>
            <w:tcW w:w="0" w:type="dxa"/>
            <w:vAlign w:val="bottom"/>
          </w:tcPr>
          <w:p>
            <w:pPr>
              <w:spacing w:after="0"/>
              <w:rPr>
                <w:sz w:val="1"/>
                <w:szCs w:val="1"/>
                <w:color w:val="auto"/>
              </w:rPr>
            </w:pPr>
          </w:p>
        </w:tc>
      </w:tr>
      <w:tr>
        <w:trPr>
          <w:trHeight w:val="270"/>
        </w:trPr>
        <w:tc>
          <w:tcPr>
            <w:tcW w:w="7780" w:type="dxa"/>
            <w:vAlign w:val="bottom"/>
          </w:tcPr>
          <w:p>
            <w:pPr>
              <w:ind w:left="280"/>
              <w:spacing w:after="0"/>
              <w:rPr>
                <w:sz w:val="20"/>
                <w:szCs w:val="20"/>
                <w:color w:val="auto"/>
              </w:rPr>
            </w:pPr>
            <w:r>
              <w:rPr>
                <w:rFonts w:ascii="Arial" w:cs="Arial" w:eastAsia="Arial" w:hAnsi="Arial"/>
                <w:sz w:val="15"/>
                <w:szCs w:val="15"/>
                <w:color w:val="auto"/>
              </w:rPr>
              <w:t>Gain on sale of an equity affiliate</w:t>
            </w:r>
          </w:p>
        </w:tc>
        <w:tc>
          <w:tcPr>
            <w:tcW w:w="260" w:type="dxa"/>
            <w:vAlign w:val="bottom"/>
          </w:tcPr>
          <w:p>
            <w:pPr>
              <w:spacing w:after="0"/>
              <w:rPr>
                <w:sz w:val="23"/>
                <w:szCs w:val="23"/>
                <w:color w:val="auto"/>
              </w:rPr>
            </w:pPr>
          </w:p>
        </w:tc>
        <w:tc>
          <w:tcPr>
            <w:tcW w:w="940" w:type="dxa"/>
            <w:vAlign w:val="bottom"/>
          </w:tcPr>
          <w:p>
            <w:pPr>
              <w:jc w:val="right"/>
              <w:ind w:right="84"/>
              <w:spacing w:after="0"/>
              <w:rPr>
                <w:sz w:val="20"/>
                <w:szCs w:val="20"/>
                <w:color w:val="auto"/>
              </w:rPr>
            </w:pPr>
            <w:r>
              <w:rPr>
                <w:rFonts w:ascii="Arial" w:cs="Arial" w:eastAsia="Arial" w:hAnsi="Arial"/>
                <w:sz w:val="15"/>
                <w:szCs w:val="15"/>
                <w:b w:val="1"/>
                <w:bCs w:val="1"/>
                <w:color w:val="auto"/>
              </w:rPr>
              <w:t>—</w:t>
            </w:r>
          </w:p>
        </w:tc>
        <w:tc>
          <w:tcPr>
            <w:tcW w:w="320" w:type="dxa"/>
            <w:vAlign w:val="bottom"/>
          </w:tcPr>
          <w:p>
            <w:pPr>
              <w:spacing w:after="0"/>
              <w:rPr>
                <w:sz w:val="23"/>
                <w:szCs w:val="23"/>
                <w:color w:val="auto"/>
              </w:rPr>
            </w:pPr>
          </w:p>
        </w:tc>
        <w:tc>
          <w:tcPr>
            <w:tcW w:w="920" w:type="dxa"/>
            <w:vAlign w:val="bottom"/>
          </w:tcPr>
          <w:p>
            <w:pPr>
              <w:jc w:val="right"/>
              <w:ind w:right="84"/>
              <w:spacing w:after="0"/>
              <w:rPr>
                <w:sz w:val="20"/>
                <w:szCs w:val="20"/>
                <w:color w:val="auto"/>
              </w:rPr>
            </w:pPr>
            <w:r>
              <w:rPr>
                <w:rFonts w:ascii="Arial" w:cs="Arial" w:eastAsia="Arial" w:hAnsi="Arial"/>
                <w:sz w:val="15"/>
                <w:szCs w:val="15"/>
                <w:color w:val="auto"/>
              </w:rPr>
              <w:t>—</w:t>
            </w:r>
          </w:p>
        </w:tc>
        <w:tc>
          <w:tcPr>
            <w:tcW w:w="360" w:type="dxa"/>
            <w:vAlign w:val="bottom"/>
          </w:tcPr>
          <w:p>
            <w:pPr>
              <w:spacing w:after="0"/>
              <w:rPr>
                <w:sz w:val="23"/>
                <w:szCs w:val="23"/>
                <w:color w:val="auto"/>
              </w:rPr>
            </w:pPr>
          </w:p>
        </w:tc>
        <w:tc>
          <w:tcPr>
            <w:tcW w:w="840" w:type="dxa"/>
            <w:vAlign w:val="bottom"/>
          </w:tcPr>
          <w:p>
            <w:pPr>
              <w:jc w:val="right"/>
              <w:spacing w:after="0"/>
              <w:rPr>
                <w:sz w:val="20"/>
                <w:szCs w:val="20"/>
                <w:color w:val="auto"/>
              </w:rPr>
            </w:pPr>
            <w:r>
              <w:rPr>
                <w:rFonts w:ascii="Arial" w:cs="Arial" w:eastAsia="Arial" w:hAnsi="Arial"/>
                <w:sz w:val="15"/>
                <w:szCs w:val="15"/>
                <w:color w:val="auto"/>
              </w:rPr>
              <w:t>(4,827)</w:t>
            </w:r>
          </w:p>
        </w:tc>
        <w:tc>
          <w:tcPr>
            <w:tcW w:w="0" w:type="dxa"/>
            <w:vAlign w:val="bottom"/>
          </w:tcPr>
          <w:p>
            <w:pPr>
              <w:spacing w:after="0"/>
              <w:rPr>
                <w:sz w:val="1"/>
                <w:szCs w:val="1"/>
                <w:color w:val="auto"/>
              </w:rPr>
            </w:pPr>
          </w:p>
        </w:tc>
      </w:tr>
      <w:tr>
        <w:trPr>
          <w:trHeight w:val="270"/>
        </w:trPr>
        <w:tc>
          <w:tcPr>
            <w:tcW w:w="7780" w:type="dxa"/>
            <w:vAlign w:val="bottom"/>
          </w:tcPr>
          <w:p>
            <w:pPr>
              <w:ind w:left="280"/>
              <w:spacing w:after="0"/>
              <w:rPr>
                <w:sz w:val="20"/>
                <w:szCs w:val="20"/>
                <w:color w:val="auto"/>
              </w:rPr>
            </w:pPr>
            <w:r>
              <w:rPr>
                <w:rFonts w:ascii="Arial" w:cs="Arial" w:eastAsia="Arial" w:hAnsi="Arial"/>
                <w:sz w:val="15"/>
                <w:szCs w:val="15"/>
                <w:color w:val="auto"/>
              </w:rPr>
              <w:t>Equity in losses of affiliates, net of distributions</w:t>
            </w:r>
          </w:p>
        </w:tc>
        <w:tc>
          <w:tcPr>
            <w:tcW w:w="260" w:type="dxa"/>
            <w:vAlign w:val="bottom"/>
          </w:tcPr>
          <w:p>
            <w:pPr>
              <w:spacing w:after="0"/>
              <w:rPr>
                <w:sz w:val="23"/>
                <w:szCs w:val="23"/>
                <w:color w:val="auto"/>
              </w:rPr>
            </w:pPr>
          </w:p>
        </w:tc>
        <w:tc>
          <w:tcPr>
            <w:tcW w:w="940" w:type="dxa"/>
            <w:vAlign w:val="bottom"/>
          </w:tcPr>
          <w:p>
            <w:pPr>
              <w:jc w:val="right"/>
              <w:ind w:right="84"/>
              <w:spacing w:after="0"/>
              <w:rPr>
                <w:sz w:val="20"/>
                <w:szCs w:val="20"/>
                <w:color w:val="auto"/>
              </w:rPr>
            </w:pPr>
            <w:r>
              <w:rPr>
                <w:rFonts w:ascii="Arial" w:cs="Arial" w:eastAsia="Arial" w:hAnsi="Arial"/>
                <w:sz w:val="15"/>
                <w:szCs w:val="15"/>
                <w:b w:val="1"/>
                <w:bCs w:val="1"/>
                <w:color w:val="auto"/>
              </w:rPr>
              <w:t>3,646</w:t>
            </w:r>
          </w:p>
        </w:tc>
        <w:tc>
          <w:tcPr>
            <w:tcW w:w="320" w:type="dxa"/>
            <w:vAlign w:val="bottom"/>
          </w:tcPr>
          <w:p>
            <w:pPr>
              <w:spacing w:after="0"/>
              <w:rPr>
                <w:sz w:val="23"/>
                <w:szCs w:val="23"/>
                <w:color w:val="auto"/>
              </w:rPr>
            </w:pPr>
          </w:p>
        </w:tc>
        <w:tc>
          <w:tcPr>
            <w:tcW w:w="920" w:type="dxa"/>
            <w:vAlign w:val="bottom"/>
          </w:tcPr>
          <w:p>
            <w:pPr>
              <w:jc w:val="right"/>
              <w:ind w:right="84"/>
              <w:spacing w:after="0"/>
              <w:rPr>
                <w:sz w:val="20"/>
                <w:szCs w:val="20"/>
                <w:color w:val="auto"/>
              </w:rPr>
            </w:pPr>
            <w:r>
              <w:rPr>
                <w:rFonts w:ascii="Arial" w:cs="Arial" w:eastAsia="Arial" w:hAnsi="Arial"/>
                <w:sz w:val="15"/>
                <w:szCs w:val="15"/>
                <w:color w:val="auto"/>
              </w:rPr>
              <w:t>8,859</w:t>
            </w:r>
          </w:p>
        </w:tc>
        <w:tc>
          <w:tcPr>
            <w:tcW w:w="360" w:type="dxa"/>
            <w:vAlign w:val="bottom"/>
          </w:tcPr>
          <w:p>
            <w:pPr>
              <w:spacing w:after="0"/>
              <w:rPr>
                <w:sz w:val="23"/>
                <w:szCs w:val="23"/>
                <w:color w:val="auto"/>
              </w:rPr>
            </w:pPr>
          </w:p>
        </w:tc>
        <w:tc>
          <w:tcPr>
            <w:tcW w:w="840" w:type="dxa"/>
            <w:vAlign w:val="bottom"/>
          </w:tcPr>
          <w:p>
            <w:pPr>
              <w:jc w:val="right"/>
              <w:ind w:right="24"/>
              <w:spacing w:after="0"/>
              <w:rPr>
                <w:sz w:val="20"/>
                <w:szCs w:val="20"/>
                <w:color w:val="auto"/>
              </w:rPr>
            </w:pPr>
            <w:r>
              <w:rPr>
                <w:rFonts w:ascii="Arial" w:cs="Arial" w:eastAsia="Arial" w:hAnsi="Arial"/>
                <w:sz w:val="15"/>
                <w:szCs w:val="15"/>
                <w:color w:val="auto"/>
              </w:rPr>
              <w:t>1,118</w:t>
            </w:r>
          </w:p>
        </w:tc>
        <w:tc>
          <w:tcPr>
            <w:tcW w:w="0" w:type="dxa"/>
            <w:vAlign w:val="bottom"/>
          </w:tcPr>
          <w:p>
            <w:pPr>
              <w:spacing w:after="0"/>
              <w:rPr>
                <w:sz w:val="1"/>
                <w:szCs w:val="1"/>
                <w:color w:val="auto"/>
              </w:rPr>
            </w:pPr>
          </w:p>
        </w:tc>
      </w:tr>
      <w:tr>
        <w:trPr>
          <w:trHeight w:val="270"/>
        </w:trPr>
        <w:tc>
          <w:tcPr>
            <w:tcW w:w="7780" w:type="dxa"/>
            <w:vAlign w:val="bottom"/>
          </w:tcPr>
          <w:p>
            <w:pPr>
              <w:ind w:left="280"/>
              <w:spacing w:after="0"/>
              <w:rPr>
                <w:sz w:val="20"/>
                <w:szCs w:val="20"/>
                <w:color w:val="auto"/>
              </w:rPr>
            </w:pPr>
            <w:r>
              <w:rPr>
                <w:rFonts w:ascii="Arial" w:cs="Arial" w:eastAsia="Arial" w:hAnsi="Arial"/>
                <w:sz w:val="15"/>
                <w:szCs w:val="15"/>
                <w:color w:val="auto"/>
              </w:rPr>
              <w:t>(Benefit from) provision for deferred income taxes</w:t>
            </w:r>
          </w:p>
        </w:tc>
        <w:tc>
          <w:tcPr>
            <w:tcW w:w="260" w:type="dxa"/>
            <w:vAlign w:val="bottom"/>
          </w:tcPr>
          <w:p>
            <w:pPr>
              <w:spacing w:after="0"/>
              <w:rPr>
                <w:sz w:val="23"/>
                <w:szCs w:val="23"/>
                <w:color w:val="auto"/>
              </w:rPr>
            </w:pPr>
          </w:p>
        </w:tc>
        <w:tc>
          <w:tcPr>
            <w:tcW w:w="940" w:type="dxa"/>
            <w:vAlign w:val="bottom"/>
          </w:tcPr>
          <w:p>
            <w:pPr>
              <w:jc w:val="right"/>
              <w:ind w:right="24"/>
              <w:spacing w:after="0"/>
              <w:rPr>
                <w:sz w:val="20"/>
                <w:szCs w:val="20"/>
                <w:color w:val="auto"/>
              </w:rPr>
            </w:pPr>
            <w:r>
              <w:rPr>
                <w:rFonts w:ascii="Arial" w:cs="Arial" w:eastAsia="Arial" w:hAnsi="Arial"/>
                <w:sz w:val="15"/>
                <w:szCs w:val="15"/>
                <w:b w:val="1"/>
                <w:bCs w:val="1"/>
                <w:color w:val="auto"/>
              </w:rPr>
              <w:t>(146,452)</w:t>
            </w:r>
          </w:p>
        </w:tc>
        <w:tc>
          <w:tcPr>
            <w:tcW w:w="320" w:type="dxa"/>
            <w:vAlign w:val="bottom"/>
          </w:tcPr>
          <w:p>
            <w:pPr>
              <w:spacing w:after="0"/>
              <w:rPr>
                <w:sz w:val="23"/>
                <w:szCs w:val="23"/>
                <w:color w:val="auto"/>
              </w:rPr>
            </w:pPr>
          </w:p>
        </w:tc>
        <w:tc>
          <w:tcPr>
            <w:tcW w:w="920" w:type="dxa"/>
            <w:vAlign w:val="bottom"/>
          </w:tcPr>
          <w:p>
            <w:pPr>
              <w:jc w:val="right"/>
              <w:ind w:right="84"/>
              <w:spacing w:after="0"/>
              <w:rPr>
                <w:sz w:val="20"/>
                <w:szCs w:val="20"/>
                <w:color w:val="auto"/>
              </w:rPr>
            </w:pPr>
            <w:r>
              <w:rPr>
                <w:rFonts w:ascii="Arial" w:cs="Arial" w:eastAsia="Arial" w:hAnsi="Arial"/>
                <w:sz w:val="15"/>
                <w:szCs w:val="15"/>
                <w:color w:val="auto"/>
              </w:rPr>
              <w:t>10,070</w:t>
            </w:r>
          </w:p>
        </w:tc>
        <w:tc>
          <w:tcPr>
            <w:tcW w:w="360" w:type="dxa"/>
            <w:vAlign w:val="bottom"/>
          </w:tcPr>
          <w:p>
            <w:pPr>
              <w:spacing w:after="0"/>
              <w:rPr>
                <w:sz w:val="23"/>
                <w:szCs w:val="23"/>
                <w:color w:val="auto"/>
              </w:rPr>
            </w:pPr>
          </w:p>
        </w:tc>
        <w:tc>
          <w:tcPr>
            <w:tcW w:w="840" w:type="dxa"/>
            <w:vAlign w:val="bottom"/>
          </w:tcPr>
          <w:p>
            <w:pPr>
              <w:jc w:val="right"/>
              <w:ind w:right="24"/>
              <w:spacing w:after="0"/>
              <w:rPr>
                <w:sz w:val="20"/>
                <w:szCs w:val="20"/>
                <w:color w:val="auto"/>
              </w:rPr>
            </w:pPr>
            <w:r>
              <w:rPr>
                <w:rFonts w:ascii="Arial" w:cs="Arial" w:eastAsia="Arial" w:hAnsi="Arial"/>
                <w:sz w:val="15"/>
                <w:szCs w:val="15"/>
                <w:color w:val="auto"/>
              </w:rPr>
              <w:t>4,060</w:t>
            </w:r>
          </w:p>
        </w:tc>
        <w:tc>
          <w:tcPr>
            <w:tcW w:w="0" w:type="dxa"/>
            <w:vAlign w:val="bottom"/>
          </w:tcPr>
          <w:p>
            <w:pPr>
              <w:spacing w:after="0"/>
              <w:rPr>
                <w:sz w:val="1"/>
                <w:szCs w:val="1"/>
                <w:color w:val="auto"/>
              </w:rPr>
            </w:pPr>
          </w:p>
        </w:tc>
      </w:tr>
      <w:tr>
        <w:trPr>
          <w:trHeight w:val="270"/>
        </w:trPr>
        <w:tc>
          <w:tcPr>
            <w:tcW w:w="7780" w:type="dxa"/>
            <w:vAlign w:val="bottom"/>
          </w:tcPr>
          <w:p>
            <w:pPr>
              <w:ind w:left="280"/>
              <w:spacing w:after="0"/>
              <w:rPr>
                <w:sz w:val="20"/>
                <w:szCs w:val="20"/>
                <w:color w:val="auto"/>
              </w:rPr>
            </w:pPr>
            <w:r>
              <w:rPr>
                <w:rFonts w:ascii="Arial" w:cs="Arial" w:eastAsia="Arial" w:hAnsi="Arial"/>
                <w:sz w:val="15"/>
                <w:szCs w:val="15"/>
                <w:color w:val="auto"/>
              </w:rPr>
              <w:t>Net loss (gain) on sales or write-downs of property, plant and equipment</w:t>
            </w:r>
          </w:p>
        </w:tc>
        <w:tc>
          <w:tcPr>
            <w:tcW w:w="260" w:type="dxa"/>
            <w:vAlign w:val="bottom"/>
          </w:tcPr>
          <w:p>
            <w:pPr>
              <w:spacing w:after="0"/>
              <w:rPr>
                <w:sz w:val="23"/>
                <w:szCs w:val="23"/>
                <w:color w:val="auto"/>
              </w:rPr>
            </w:pPr>
          </w:p>
        </w:tc>
        <w:tc>
          <w:tcPr>
            <w:tcW w:w="940" w:type="dxa"/>
            <w:vAlign w:val="bottom"/>
          </w:tcPr>
          <w:p>
            <w:pPr>
              <w:jc w:val="right"/>
              <w:ind w:right="84"/>
              <w:spacing w:after="0"/>
              <w:rPr>
                <w:sz w:val="20"/>
                <w:szCs w:val="20"/>
                <w:color w:val="auto"/>
              </w:rPr>
            </w:pPr>
            <w:r>
              <w:rPr>
                <w:rFonts w:ascii="Arial" w:cs="Arial" w:eastAsia="Arial" w:hAnsi="Arial"/>
                <w:sz w:val="15"/>
                <w:szCs w:val="15"/>
                <w:b w:val="1"/>
                <w:bCs w:val="1"/>
                <w:color w:val="auto"/>
              </w:rPr>
              <w:t>413</w:t>
            </w:r>
          </w:p>
        </w:tc>
        <w:tc>
          <w:tcPr>
            <w:tcW w:w="320" w:type="dxa"/>
            <w:vAlign w:val="bottom"/>
          </w:tcPr>
          <w:p>
            <w:pPr>
              <w:spacing w:after="0"/>
              <w:rPr>
                <w:sz w:val="23"/>
                <w:szCs w:val="23"/>
                <w:color w:val="auto"/>
              </w:rPr>
            </w:pPr>
          </w:p>
        </w:tc>
        <w:tc>
          <w:tcPr>
            <w:tcW w:w="920" w:type="dxa"/>
            <w:vAlign w:val="bottom"/>
          </w:tcPr>
          <w:p>
            <w:pPr>
              <w:jc w:val="right"/>
              <w:ind w:right="24"/>
              <w:spacing w:after="0"/>
              <w:rPr>
                <w:sz w:val="20"/>
                <w:szCs w:val="20"/>
                <w:color w:val="auto"/>
              </w:rPr>
            </w:pPr>
            <w:r>
              <w:rPr>
                <w:rFonts w:ascii="Arial" w:cs="Arial" w:eastAsia="Arial" w:hAnsi="Arial"/>
                <w:sz w:val="15"/>
                <w:szCs w:val="15"/>
                <w:color w:val="auto"/>
              </w:rPr>
              <w:t>(32,362)</w:t>
            </w:r>
          </w:p>
        </w:tc>
        <w:tc>
          <w:tcPr>
            <w:tcW w:w="360" w:type="dxa"/>
            <w:vAlign w:val="bottom"/>
          </w:tcPr>
          <w:p>
            <w:pPr>
              <w:spacing w:after="0"/>
              <w:rPr>
                <w:sz w:val="23"/>
                <w:szCs w:val="23"/>
                <w:color w:val="auto"/>
              </w:rPr>
            </w:pPr>
          </w:p>
        </w:tc>
        <w:tc>
          <w:tcPr>
            <w:tcW w:w="840" w:type="dxa"/>
            <w:vAlign w:val="bottom"/>
          </w:tcPr>
          <w:p>
            <w:pPr>
              <w:jc w:val="right"/>
              <w:spacing w:after="0"/>
              <w:rPr>
                <w:sz w:val="20"/>
                <w:szCs w:val="20"/>
                <w:color w:val="auto"/>
              </w:rPr>
            </w:pPr>
            <w:r>
              <w:rPr>
                <w:rFonts w:ascii="Arial" w:cs="Arial" w:eastAsia="Arial" w:hAnsi="Arial"/>
                <w:sz w:val="15"/>
                <w:szCs w:val="15"/>
                <w:color w:val="auto"/>
              </w:rPr>
              <w:t>(18,265)</w:t>
            </w:r>
          </w:p>
        </w:tc>
        <w:tc>
          <w:tcPr>
            <w:tcW w:w="0" w:type="dxa"/>
            <w:vAlign w:val="bottom"/>
          </w:tcPr>
          <w:p>
            <w:pPr>
              <w:spacing w:after="0"/>
              <w:rPr>
                <w:sz w:val="1"/>
                <w:szCs w:val="1"/>
                <w:color w:val="auto"/>
              </w:rPr>
            </w:pPr>
          </w:p>
        </w:tc>
      </w:tr>
      <w:tr>
        <w:trPr>
          <w:trHeight w:val="270"/>
        </w:trPr>
        <w:tc>
          <w:tcPr>
            <w:tcW w:w="7780" w:type="dxa"/>
            <w:vAlign w:val="bottom"/>
          </w:tcPr>
          <w:p>
            <w:pPr>
              <w:ind w:left="280"/>
              <w:spacing w:after="0"/>
              <w:rPr>
                <w:sz w:val="20"/>
                <w:szCs w:val="20"/>
                <w:color w:val="auto"/>
              </w:rPr>
            </w:pPr>
            <w:r>
              <w:rPr>
                <w:rFonts w:ascii="Arial" w:cs="Arial" w:eastAsia="Arial" w:hAnsi="Arial"/>
                <w:sz w:val="15"/>
                <w:szCs w:val="15"/>
                <w:color w:val="auto"/>
              </w:rPr>
              <w:t>Change in operating assets and liabilities:</w:t>
            </w:r>
          </w:p>
        </w:tc>
        <w:tc>
          <w:tcPr>
            <w:tcW w:w="260" w:type="dxa"/>
            <w:vAlign w:val="bottom"/>
          </w:tcPr>
          <w:p>
            <w:pPr>
              <w:spacing w:after="0"/>
              <w:rPr>
                <w:sz w:val="23"/>
                <w:szCs w:val="23"/>
                <w:color w:val="auto"/>
              </w:rPr>
            </w:pPr>
          </w:p>
        </w:tc>
        <w:tc>
          <w:tcPr>
            <w:tcW w:w="94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7780" w:type="dxa"/>
            <w:vAlign w:val="bottom"/>
          </w:tcPr>
          <w:p>
            <w:pPr>
              <w:ind w:left="500"/>
              <w:spacing w:after="0"/>
              <w:rPr>
                <w:sz w:val="20"/>
                <w:szCs w:val="20"/>
                <w:color w:val="auto"/>
              </w:rPr>
            </w:pPr>
            <w:r>
              <w:rPr>
                <w:rFonts w:ascii="Arial" w:cs="Arial" w:eastAsia="Arial" w:hAnsi="Arial"/>
                <w:sz w:val="15"/>
                <w:szCs w:val="15"/>
                <w:color w:val="auto"/>
              </w:rPr>
              <w:t>Accounts receivable, net</w:t>
            </w:r>
          </w:p>
        </w:tc>
        <w:tc>
          <w:tcPr>
            <w:tcW w:w="260" w:type="dxa"/>
            <w:vAlign w:val="bottom"/>
          </w:tcPr>
          <w:p>
            <w:pPr>
              <w:spacing w:after="0"/>
              <w:rPr>
                <w:sz w:val="23"/>
                <w:szCs w:val="23"/>
                <w:color w:val="auto"/>
              </w:rPr>
            </w:pPr>
          </w:p>
        </w:tc>
        <w:tc>
          <w:tcPr>
            <w:tcW w:w="940" w:type="dxa"/>
            <w:vAlign w:val="bottom"/>
          </w:tcPr>
          <w:p>
            <w:pPr>
              <w:jc w:val="right"/>
              <w:ind w:right="84"/>
              <w:spacing w:after="0"/>
              <w:rPr>
                <w:sz w:val="20"/>
                <w:szCs w:val="20"/>
                <w:color w:val="auto"/>
              </w:rPr>
            </w:pPr>
            <w:r>
              <w:rPr>
                <w:rFonts w:ascii="Arial" w:cs="Arial" w:eastAsia="Arial" w:hAnsi="Arial"/>
                <w:sz w:val="15"/>
                <w:szCs w:val="15"/>
                <w:b w:val="1"/>
                <w:bCs w:val="1"/>
                <w:color w:val="auto"/>
              </w:rPr>
              <w:t>11,086</w:t>
            </w:r>
          </w:p>
        </w:tc>
        <w:tc>
          <w:tcPr>
            <w:tcW w:w="320" w:type="dxa"/>
            <w:vAlign w:val="bottom"/>
          </w:tcPr>
          <w:p>
            <w:pPr>
              <w:spacing w:after="0"/>
              <w:rPr>
                <w:sz w:val="23"/>
                <w:szCs w:val="23"/>
                <w:color w:val="auto"/>
              </w:rPr>
            </w:pPr>
          </w:p>
        </w:tc>
        <w:tc>
          <w:tcPr>
            <w:tcW w:w="920" w:type="dxa"/>
            <w:vAlign w:val="bottom"/>
          </w:tcPr>
          <w:p>
            <w:pPr>
              <w:jc w:val="right"/>
              <w:ind w:right="24"/>
              <w:spacing w:after="0"/>
              <w:rPr>
                <w:sz w:val="20"/>
                <w:szCs w:val="20"/>
                <w:color w:val="auto"/>
              </w:rPr>
            </w:pPr>
            <w:r>
              <w:rPr>
                <w:rFonts w:ascii="Arial" w:cs="Arial" w:eastAsia="Arial" w:hAnsi="Arial"/>
                <w:sz w:val="15"/>
                <w:szCs w:val="15"/>
                <w:color w:val="auto"/>
              </w:rPr>
              <w:t>(47,892)</w:t>
            </w:r>
          </w:p>
        </w:tc>
        <w:tc>
          <w:tcPr>
            <w:tcW w:w="360" w:type="dxa"/>
            <w:vAlign w:val="bottom"/>
          </w:tcPr>
          <w:p>
            <w:pPr>
              <w:spacing w:after="0"/>
              <w:rPr>
                <w:sz w:val="23"/>
                <w:szCs w:val="23"/>
                <w:color w:val="auto"/>
              </w:rPr>
            </w:pPr>
          </w:p>
        </w:tc>
        <w:tc>
          <w:tcPr>
            <w:tcW w:w="840" w:type="dxa"/>
            <w:vAlign w:val="bottom"/>
          </w:tcPr>
          <w:p>
            <w:pPr>
              <w:jc w:val="right"/>
              <w:spacing w:after="0"/>
              <w:rPr>
                <w:sz w:val="20"/>
                <w:szCs w:val="20"/>
                <w:color w:val="auto"/>
              </w:rPr>
            </w:pPr>
            <w:r>
              <w:rPr>
                <w:rFonts w:ascii="Arial" w:cs="Arial" w:eastAsia="Arial" w:hAnsi="Arial"/>
                <w:sz w:val="15"/>
                <w:szCs w:val="15"/>
                <w:color w:val="auto"/>
              </w:rPr>
              <w:t>(87,165)</w:t>
            </w:r>
          </w:p>
        </w:tc>
        <w:tc>
          <w:tcPr>
            <w:tcW w:w="0" w:type="dxa"/>
            <w:vAlign w:val="bottom"/>
          </w:tcPr>
          <w:p>
            <w:pPr>
              <w:spacing w:after="0"/>
              <w:rPr>
                <w:sz w:val="1"/>
                <w:szCs w:val="1"/>
                <w:color w:val="auto"/>
              </w:rPr>
            </w:pPr>
          </w:p>
        </w:tc>
      </w:tr>
      <w:tr>
        <w:trPr>
          <w:trHeight w:val="270"/>
        </w:trPr>
        <w:tc>
          <w:tcPr>
            <w:tcW w:w="7780" w:type="dxa"/>
            <w:vAlign w:val="bottom"/>
          </w:tcPr>
          <w:p>
            <w:pPr>
              <w:ind w:left="500"/>
              <w:spacing w:after="0"/>
              <w:rPr>
                <w:sz w:val="20"/>
                <w:szCs w:val="20"/>
                <w:color w:val="auto"/>
              </w:rPr>
            </w:pPr>
            <w:r>
              <w:rPr>
                <w:rFonts w:ascii="Arial" w:cs="Arial" w:eastAsia="Arial" w:hAnsi="Arial"/>
                <w:sz w:val="15"/>
                <w:szCs w:val="15"/>
                <w:color w:val="auto"/>
              </w:rPr>
              <w:t>Inventories</w:t>
            </w:r>
          </w:p>
        </w:tc>
        <w:tc>
          <w:tcPr>
            <w:tcW w:w="260" w:type="dxa"/>
            <w:vAlign w:val="bottom"/>
          </w:tcPr>
          <w:p>
            <w:pPr>
              <w:spacing w:after="0"/>
              <w:rPr>
                <w:sz w:val="23"/>
                <w:szCs w:val="23"/>
                <w:color w:val="auto"/>
              </w:rPr>
            </w:pPr>
          </w:p>
        </w:tc>
        <w:tc>
          <w:tcPr>
            <w:tcW w:w="940" w:type="dxa"/>
            <w:vAlign w:val="bottom"/>
          </w:tcPr>
          <w:p>
            <w:pPr>
              <w:jc w:val="right"/>
              <w:ind w:right="24"/>
              <w:spacing w:after="0"/>
              <w:rPr>
                <w:sz w:val="20"/>
                <w:szCs w:val="20"/>
                <w:color w:val="auto"/>
              </w:rPr>
            </w:pPr>
            <w:r>
              <w:rPr>
                <w:rFonts w:ascii="Arial" w:cs="Arial" w:eastAsia="Arial" w:hAnsi="Arial"/>
                <w:sz w:val="15"/>
                <w:szCs w:val="15"/>
                <w:b w:val="1"/>
                <w:bCs w:val="1"/>
                <w:color w:val="auto"/>
              </w:rPr>
              <w:t>(541)</w:t>
            </w:r>
          </w:p>
        </w:tc>
        <w:tc>
          <w:tcPr>
            <w:tcW w:w="320" w:type="dxa"/>
            <w:vAlign w:val="bottom"/>
          </w:tcPr>
          <w:p>
            <w:pPr>
              <w:spacing w:after="0"/>
              <w:rPr>
                <w:sz w:val="23"/>
                <w:szCs w:val="23"/>
                <w:color w:val="auto"/>
              </w:rPr>
            </w:pPr>
          </w:p>
        </w:tc>
        <w:tc>
          <w:tcPr>
            <w:tcW w:w="920" w:type="dxa"/>
            <w:vAlign w:val="bottom"/>
          </w:tcPr>
          <w:p>
            <w:pPr>
              <w:jc w:val="right"/>
              <w:ind w:right="24"/>
              <w:spacing w:after="0"/>
              <w:rPr>
                <w:sz w:val="20"/>
                <w:szCs w:val="20"/>
                <w:color w:val="auto"/>
              </w:rPr>
            </w:pPr>
            <w:r>
              <w:rPr>
                <w:rFonts w:ascii="Arial" w:cs="Arial" w:eastAsia="Arial" w:hAnsi="Arial"/>
                <w:sz w:val="15"/>
                <w:szCs w:val="15"/>
                <w:color w:val="auto"/>
              </w:rPr>
              <w:t>(2,422)</w:t>
            </w:r>
          </w:p>
        </w:tc>
        <w:tc>
          <w:tcPr>
            <w:tcW w:w="360" w:type="dxa"/>
            <w:vAlign w:val="bottom"/>
          </w:tcPr>
          <w:p>
            <w:pPr>
              <w:spacing w:after="0"/>
              <w:rPr>
                <w:sz w:val="23"/>
                <w:szCs w:val="23"/>
                <w:color w:val="auto"/>
              </w:rPr>
            </w:pPr>
          </w:p>
        </w:tc>
        <w:tc>
          <w:tcPr>
            <w:tcW w:w="840" w:type="dxa"/>
            <w:vAlign w:val="bottom"/>
          </w:tcPr>
          <w:p>
            <w:pPr>
              <w:jc w:val="right"/>
              <w:spacing w:after="0"/>
              <w:rPr>
                <w:sz w:val="20"/>
                <w:szCs w:val="20"/>
                <w:color w:val="auto"/>
              </w:rPr>
            </w:pPr>
            <w:r>
              <w:rPr>
                <w:rFonts w:ascii="Arial" w:cs="Arial" w:eastAsia="Arial" w:hAnsi="Arial"/>
                <w:sz w:val="15"/>
                <w:szCs w:val="15"/>
                <w:color w:val="auto"/>
              </w:rPr>
              <w:t>(1,778)</w:t>
            </w:r>
          </w:p>
        </w:tc>
        <w:tc>
          <w:tcPr>
            <w:tcW w:w="0" w:type="dxa"/>
            <w:vAlign w:val="bottom"/>
          </w:tcPr>
          <w:p>
            <w:pPr>
              <w:spacing w:after="0"/>
              <w:rPr>
                <w:sz w:val="1"/>
                <w:szCs w:val="1"/>
                <w:color w:val="auto"/>
              </w:rPr>
            </w:pPr>
          </w:p>
        </w:tc>
      </w:tr>
      <w:tr>
        <w:trPr>
          <w:trHeight w:val="270"/>
        </w:trPr>
        <w:tc>
          <w:tcPr>
            <w:tcW w:w="7780" w:type="dxa"/>
            <w:vAlign w:val="bottom"/>
          </w:tcPr>
          <w:p>
            <w:pPr>
              <w:ind w:left="500"/>
              <w:spacing w:after="0"/>
              <w:rPr>
                <w:sz w:val="20"/>
                <w:szCs w:val="20"/>
                <w:color w:val="auto"/>
              </w:rPr>
            </w:pPr>
            <w:r>
              <w:rPr>
                <w:rFonts w:ascii="Arial" w:cs="Arial" w:eastAsia="Arial" w:hAnsi="Arial"/>
                <w:sz w:val="15"/>
                <w:szCs w:val="15"/>
                <w:color w:val="auto"/>
              </w:rPr>
              <w:t>Accounts payable and accrued liabilities</w:t>
            </w:r>
          </w:p>
        </w:tc>
        <w:tc>
          <w:tcPr>
            <w:tcW w:w="260" w:type="dxa"/>
            <w:vAlign w:val="bottom"/>
          </w:tcPr>
          <w:p>
            <w:pPr>
              <w:spacing w:after="0"/>
              <w:rPr>
                <w:sz w:val="23"/>
                <w:szCs w:val="23"/>
                <w:color w:val="auto"/>
              </w:rPr>
            </w:pPr>
          </w:p>
        </w:tc>
        <w:tc>
          <w:tcPr>
            <w:tcW w:w="940" w:type="dxa"/>
            <w:vAlign w:val="bottom"/>
          </w:tcPr>
          <w:p>
            <w:pPr>
              <w:jc w:val="right"/>
              <w:ind w:right="84"/>
              <w:spacing w:after="0"/>
              <w:rPr>
                <w:sz w:val="20"/>
                <w:szCs w:val="20"/>
                <w:color w:val="auto"/>
              </w:rPr>
            </w:pPr>
            <w:r>
              <w:rPr>
                <w:rFonts w:ascii="Arial" w:cs="Arial" w:eastAsia="Arial" w:hAnsi="Arial"/>
                <w:sz w:val="15"/>
                <w:szCs w:val="15"/>
                <w:b w:val="1"/>
                <w:bCs w:val="1"/>
                <w:color w:val="auto"/>
              </w:rPr>
              <w:t>19,380</w:t>
            </w:r>
          </w:p>
        </w:tc>
        <w:tc>
          <w:tcPr>
            <w:tcW w:w="320" w:type="dxa"/>
            <w:vAlign w:val="bottom"/>
          </w:tcPr>
          <w:p>
            <w:pPr>
              <w:spacing w:after="0"/>
              <w:rPr>
                <w:sz w:val="23"/>
                <w:szCs w:val="23"/>
                <w:color w:val="auto"/>
              </w:rPr>
            </w:pPr>
          </w:p>
        </w:tc>
        <w:tc>
          <w:tcPr>
            <w:tcW w:w="920" w:type="dxa"/>
            <w:vAlign w:val="bottom"/>
          </w:tcPr>
          <w:p>
            <w:pPr>
              <w:jc w:val="right"/>
              <w:ind w:right="84"/>
              <w:spacing w:after="0"/>
              <w:rPr>
                <w:sz w:val="20"/>
                <w:szCs w:val="20"/>
                <w:color w:val="auto"/>
              </w:rPr>
            </w:pPr>
            <w:r>
              <w:rPr>
                <w:rFonts w:ascii="Arial" w:cs="Arial" w:eastAsia="Arial" w:hAnsi="Arial"/>
                <w:sz w:val="15"/>
                <w:szCs w:val="15"/>
                <w:color w:val="auto"/>
              </w:rPr>
              <w:t>58,147</w:t>
            </w:r>
          </w:p>
        </w:tc>
        <w:tc>
          <w:tcPr>
            <w:tcW w:w="360" w:type="dxa"/>
            <w:vAlign w:val="bottom"/>
          </w:tcPr>
          <w:p>
            <w:pPr>
              <w:spacing w:after="0"/>
              <w:rPr>
                <w:sz w:val="23"/>
                <w:szCs w:val="23"/>
                <w:color w:val="auto"/>
              </w:rPr>
            </w:pPr>
          </w:p>
        </w:tc>
        <w:tc>
          <w:tcPr>
            <w:tcW w:w="840" w:type="dxa"/>
            <w:vAlign w:val="bottom"/>
          </w:tcPr>
          <w:p>
            <w:pPr>
              <w:jc w:val="right"/>
              <w:ind w:right="24"/>
              <w:spacing w:after="0"/>
              <w:rPr>
                <w:sz w:val="20"/>
                <w:szCs w:val="20"/>
                <w:color w:val="auto"/>
              </w:rPr>
            </w:pPr>
            <w:r>
              <w:rPr>
                <w:rFonts w:ascii="Arial" w:cs="Arial" w:eastAsia="Arial" w:hAnsi="Arial"/>
                <w:sz w:val="15"/>
                <w:szCs w:val="15"/>
                <w:color w:val="auto"/>
              </w:rPr>
              <w:t>62,901</w:t>
            </w:r>
          </w:p>
        </w:tc>
        <w:tc>
          <w:tcPr>
            <w:tcW w:w="0" w:type="dxa"/>
            <w:vAlign w:val="bottom"/>
          </w:tcPr>
          <w:p>
            <w:pPr>
              <w:spacing w:after="0"/>
              <w:rPr>
                <w:sz w:val="1"/>
                <w:szCs w:val="1"/>
                <w:color w:val="auto"/>
              </w:rPr>
            </w:pPr>
          </w:p>
        </w:tc>
      </w:tr>
      <w:tr>
        <w:trPr>
          <w:trHeight w:val="270"/>
        </w:trPr>
        <w:tc>
          <w:tcPr>
            <w:tcW w:w="7780" w:type="dxa"/>
            <w:vAlign w:val="bottom"/>
          </w:tcPr>
          <w:p>
            <w:pPr>
              <w:ind w:left="500"/>
              <w:spacing w:after="0"/>
              <w:rPr>
                <w:sz w:val="20"/>
                <w:szCs w:val="20"/>
                <w:color w:val="auto"/>
              </w:rPr>
            </w:pPr>
            <w:r>
              <w:rPr>
                <w:rFonts w:ascii="Arial" w:cs="Arial" w:eastAsia="Arial" w:hAnsi="Arial"/>
                <w:sz w:val="15"/>
                <w:szCs w:val="15"/>
                <w:color w:val="auto"/>
              </w:rPr>
              <w:t>Deferred revenue</w:t>
            </w:r>
          </w:p>
        </w:tc>
        <w:tc>
          <w:tcPr>
            <w:tcW w:w="260" w:type="dxa"/>
            <w:vAlign w:val="bottom"/>
          </w:tcPr>
          <w:p>
            <w:pPr>
              <w:spacing w:after="0"/>
              <w:rPr>
                <w:sz w:val="23"/>
                <w:szCs w:val="23"/>
                <w:color w:val="auto"/>
              </w:rPr>
            </w:pPr>
          </w:p>
        </w:tc>
        <w:tc>
          <w:tcPr>
            <w:tcW w:w="940" w:type="dxa"/>
            <w:vAlign w:val="bottom"/>
          </w:tcPr>
          <w:p>
            <w:pPr>
              <w:jc w:val="right"/>
              <w:ind w:right="84"/>
              <w:spacing w:after="0"/>
              <w:rPr>
                <w:sz w:val="20"/>
                <w:szCs w:val="20"/>
                <w:color w:val="auto"/>
              </w:rPr>
            </w:pPr>
            <w:r>
              <w:rPr>
                <w:rFonts w:ascii="Arial" w:cs="Arial" w:eastAsia="Arial" w:hAnsi="Arial"/>
                <w:sz w:val="15"/>
                <w:szCs w:val="15"/>
                <w:b w:val="1"/>
                <w:bCs w:val="1"/>
                <w:color w:val="auto"/>
              </w:rPr>
              <w:t>13,903</w:t>
            </w:r>
          </w:p>
        </w:tc>
        <w:tc>
          <w:tcPr>
            <w:tcW w:w="320" w:type="dxa"/>
            <w:vAlign w:val="bottom"/>
          </w:tcPr>
          <w:p>
            <w:pPr>
              <w:spacing w:after="0"/>
              <w:rPr>
                <w:sz w:val="23"/>
                <w:szCs w:val="23"/>
                <w:color w:val="auto"/>
              </w:rPr>
            </w:pPr>
          </w:p>
        </w:tc>
        <w:tc>
          <w:tcPr>
            <w:tcW w:w="920" w:type="dxa"/>
            <w:vAlign w:val="bottom"/>
          </w:tcPr>
          <w:p>
            <w:pPr>
              <w:jc w:val="right"/>
              <w:ind w:right="84"/>
              <w:spacing w:after="0"/>
              <w:rPr>
                <w:sz w:val="20"/>
                <w:szCs w:val="20"/>
                <w:color w:val="auto"/>
              </w:rPr>
            </w:pPr>
            <w:r>
              <w:rPr>
                <w:rFonts w:ascii="Arial" w:cs="Arial" w:eastAsia="Arial" w:hAnsi="Arial"/>
                <w:sz w:val="15"/>
                <w:szCs w:val="15"/>
                <w:color w:val="auto"/>
              </w:rPr>
              <w:t>16,552</w:t>
            </w:r>
          </w:p>
        </w:tc>
        <w:tc>
          <w:tcPr>
            <w:tcW w:w="360" w:type="dxa"/>
            <w:vAlign w:val="bottom"/>
          </w:tcPr>
          <w:p>
            <w:pPr>
              <w:spacing w:after="0"/>
              <w:rPr>
                <w:sz w:val="23"/>
                <w:szCs w:val="23"/>
                <w:color w:val="auto"/>
              </w:rPr>
            </w:pPr>
          </w:p>
        </w:tc>
        <w:tc>
          <w:tcPr>
            <w:tcW w:w="840" w:type="dxa"/>
            <w:vAlign w:val="bottom"/>
          </w:tcPr>
          <w:p>
            <w:pPr>
              <w:jc w:val="right"/>
              <w:spacing w:after="0"/>
              <w:rPr>
                <w:sz w:val="20"/>
                <w:szCs w:val="20"/>
                <w:color w:val="auto"/>
              </w:rPr>
            </w:pPr>
            <w:r>
              <w:rPr>
                <w:rFonts w:ascii="Arial" w:cs="Arial" w:eastAsia="Arial" w:hAnsi="Arial"/>
                <w:sz w:val="15"/>
                <w:szCs w:val="15"/>
                <w:color w:val="auto"/>
              </w:rPr>
              <w:t>(51,825)</w:t>
            </w:r>
          </w:p>
        </w:tc>
        <w:tc>
          <w:tcPr>
            <w:tcW w:w="0" w:type="dxa"/>
            <w:vAlign w:val="bottom"/>
          </w:tcPr>
          <w:p>
            <w:pPr>
              <w:spacing w:after="0"/>
              <w:rPr>
                <w:sz w:val="1"/>
                <w:szCs w:val="1"/>
                <w:color w:val="auto"/>
              </w:rPr>
            </w:pPr>
          </w:p>
        </w:tc>
      </w:tr>
      <w:tr>
        <w:trPr>
          <w:trHeight w:val="270"/>
        </w:trPr>
        <w:tc>
          <w:tcPr>
            <w:tcW w:w="7780" w:type="dxa"/>
            <w:vAlign w:val="bottom"/>
          </w:tcPr>
          <w:p>
            <w:pPr>
              <w:ind w:left="500"/>
              <w:spacing w:after="0"/>
              <w:rPr>
                <w:sz w:val="20"/>
                <w:szCs w:val="20"/>
                <w:color w:val="auto"/>
              </w:rPr>
            </w:pPr>
            <w:r>
              <w:rPr>
                <w:rFonts w:ascii="Arial" w:cs="Arial" w:eastAsia="Arial" w:hAnsi="Arial"/>
                <w:sz w:val="15"/>
                <w:szCs w:val="15"/>
                <w:color w:val="auto"/>
              </w:rPr>
              <w:t>Income taxes receivable/payable</w:t>
            </w:r>
          </w:p>
        </w:tc>
        <w:tc>
          <w:tcPr>
            <w:tcW w:w="260" w:type="dxa"/>
            <w:vAlign w:val="bottom"/>
          </w:tcPr>
          <w:p>
            <w:pPr>
              <w:spacing w:after="0"/>
              <w:rPr>
                <w:sz w:val="23"/>
                <w:szCs w:val="23"/>
                <w:color w:val="auto"/>
              </w:rPr>
            </w:pPr>
          </w:p>
        </w:tc>
        <w:tc>
          <w:tcPr>
            <w:tcW w:w="940" w:type="dxa"/>
            <w:vAlign w:val="bottom"/>
          </w:tcPr>
          <w:p>
            <w:pPr>
              <w:jc w:val="right"/>
              <w:ind w:right="84"/>
              <w:spacing w:after="0"/>
              <w:rPr>
                <w:sz w:val="20"/>
                <w:szCs w:val="20"/>
                <w:color w:val="auto"/>
              </w:rPr>
            </w:pPr>
            <w:r>
              <w:rPr>
                <w:rFonts w:ascii="Arial" w:cs="Arial" w:eastAsia="Arial" w:hAnsi="Arial"/>
                <w:sz w:val="15"/>
                <w:szCs w:val="15"/>
                <w:b w:val="1"/>
                <w:bCs w:val="1"/>
                <w:color w:val="auto"/>
              </w:rPr>
              <w:t>24,739</w:t>
            </w:r>
          </w:p>
        </w:tc>
        <w:tc>
          <w:tcPr>
            <w:tcW w:w="320" w:type="dxa"/>
            <w:vAlign w:val="bottom"/>
          </w:tcPr>
          <w:p>
            <w:pPr>
              <w:spacing w:after="0"/>
              <w:rPr>
                <w:sz w:val="23"/>
                <w:szCs w:val="23"/>
                <w:color w:val="auto"/>
              </w:rPr>
            </w:pPr>
          </w:p>
        </w:tc>
        <w:tc>
          <w:tcPr>
            <w:tcW w:w="920" w:type="dxa"/>
            <w:vAlign w:val="bottom"/>
          </w:tcPr>
          <w:p>
            <w:pPr>
              <w:jc w:val="right"/>
              <w:ind w:right="84"/>
              <w:spacing w:after="0"/>
              <w:rPr>
                <w:sz w:val="20"/>
                <w:szCs w:val="20"/>
                <w:color w:val="auto"/>
              </w:rPr>
            </w:pPr>
            <w:r>
              <w:rPr>
                <w:rFonts w:ascii="Arial" w:cs="Arial" w:eastAsia="Arial" w:hAnsi="Arial"/>
                <w:sz w:val="15"/>
                <w:szCs w:val="15"/>
                <w:color w:val="auto"/>
              </w:rPr>
              <w:t>5,115</w:t>
            </w:r>
          </w:p>
        </w:tc>
        <w:tc>
          <w:tcPr>
            <w:tcW w:w="360" w:type="dxa"/>
            <w:vAlign w:val="bottom"/>
          </w:tcPr>
          <w:p>
            <w:pPr>
              <w:spacing w:after="0"/>
              <w:rPr>
                <w:sz w:val="23"/>
                <w:szCs w:val="23"/>
                <w:color w:val="auto"/>
              </w:rPr>
            </w:pPr>
          </w:p>
        </w:tc>
        <w:tc>
          <w:tcPr>
            <w:tcW w:w="840" w:type="dxa"/>
            <w:vAlign w:val="bottom"/>
          </w:tcPr>
          <w:p>
            <w:pPr>
              <w:jc w:val="right"/>
              <w:spacing w:after="0"/>
              <w:rPr>
                <w:sz w:val="20"/>
                <w:szCs w:val="20"/>
                <w:color w:val="auto"/>
              </w:rPr>
            </w:pPr>
            <w:r>
              <w:rPr>
                <w:rFonts w:ascii="Arial" w:cs="Arial" w:eastAsia="Arial" w:hAnsi="Arial"/>
                <w:sz w:val="15"/>
                <w:szCs w:val="15"/>
                <w:color w:val="auto"/>
              </w:rPr>
              <w:t>(174,326)</w:t>
            </w:r>
          </w:p>
        </w:tc>
        <w:tc>
          <w:tcPr>
            <w:tcW w:w="0" w:type="dxa"/>
            <w:vAlign w:val="bottom"/>
          </w:tcPr>
          <w:p>
            <w:pPr>
              <w:spacing w:after="0"/>
              <w:rPr>
                <w:sz w:val="1"/>
                <w:szCs w:val="1"/>
                <w:color w:val="auto"/>
              </w:rPr>
            </w:pPr>
          </w:p>
        </w:tc>
      </w:tr>
      <w:tr>
        <w:trPr>
          <w:trHeight w:val="270"/>
        </w:trPr>
        <w:tc>
          <w:tcPr>
            <w:tcW w:w="7780" w:type="dxa"/>
            <w:vAlign w:val="bottom"/>
          </w:tcPr>
          <w:p>
            <w:pPr>
              <w:ind w:left="500"/>
              <w:spacing w:after="0"/>
              <w:rPr>
                <w:sz w:val="20"/>
                <w:szCs w:val="20"/>
                <w:color w:val="auto"/>
              </w:rPr>
            </w:pPr>
            <w:r>
              <w:rPr>
                <w:rFonts w:ascii="Arial" w:cs="Arial" w:eastAsia="Arial" w:hAnsi="Arial"/>
                <w:sz w:val="15"/>
                <w:szCs w:val="15"/>
                <w:color w:val="auto"/>
              </w:rPr>
              <w:t>Other assets and other liabilities, net</w:t>
            </w:r>
          </w:p>
        </w:tc>
        <w:tc>
          <w:tcPr>
            <w:tcW w:w="260" w:type="dxa"/>
            <w:vAlign w:val="bottom"/>
          </w:tcPr>
          <w:p>
            <w:pPr>
              <w:spacing w:after="0"/>
              <w:rPr>
                <w:sz w:val="23"/>
                <w:szCs w:val="23"/>
                <w:color w:val="auto"/>
              </w:rPr>
            </w:pPr>
          </w:p>
        </w:tc>
        <w:tc>
          <w:tcPr>
            <w:tcW w:w="940" w:type="dxa"/>
            <w:vAlign w:val="bottom"/>
          </w:tcPr>
          <w:p>
            <w:pPr>
              <w:jc w:val="right"/>
              <w:ind w:right="24"/>
              <w:spacing w:after="0"/>
              <w:rPr>
                <w:sz w:val="20"/>
                <w:szCs w:val="20"/>
                <w:color w:val="auto"/>
              </w:rPr>
            </w:pPr>
            <w:r>
              <w:rPr>
                <w:rFonts w:ascii="Arial" w:cs="Arial" w:eastAsia="Arial" w:hAnsi="Arial"/>
                <w:sz w:val="15"/>
                <w:szCs w:val="15"/>
                <w:b w:val="1"/>
                <w:bCs w:val="1"/>
                <w:color w:val="auto"/>
              </w:rPr>
              <w:t>(25,469)</w:t>
            </w:r>
          </w:p>
        </w:tc>
        <w:tc>
          <w:tcPr>
            <w:tcW w:w="320" w:type="dxa"/>
            <w:vAlign w:val="bottom"/>
          </w:tcPr>
          <w:p>
            <w:pPr>
              <w:spacing w:after="0"/>
              <w:rPr>
                <w:sz w:val="23"/>
                <w:szCs w:val="23"/>
                <w:color w:val="auto"/>
              </w:rPr>
            </w:pPr>
          </w:p>
        </w:tc>
        <w:tc>
          <w:tcPr>
            <w:tcW w:w="920" w:type="dxa"/>
            <w:vAlign w:val="bottom"/>
          </w:tcPr>
          <w:p>
            <w:pPr>
              <w:jc w:val="right"/>
              <w:ind w:right="24"/>
              <w:spacing w:after="0"/>
              <w:rPr>
                <w:sz w:val="20"/>
                <w:szCs w:val="20"/>
                <w:color w:val="auto"/>
              </w:rPr>
            </w:pPr>
            <w:r>
              <w:rPr>
                <w:rFonts w:ascii="Arial" w:cs="Arial" w:eastAsia="Arial" w:hAnsi="Arial"/>
                <w:sz w:val="15"/>
                <w:szCs w:val="15"/>
                <w:color w:val="auto"/>
              </w:rPr>
              <w:t>(12,265)</w:t>
            </w:r>
          </w:p>
        </w:tc>
        <w:tc>
          <w:tcPr>
            <w:tcW w:w="360" w:type="dxa"/>
            <w:vAlign w:val="bottom"/>
          </w:tcPr>
          <w:p>
            <w:pPr>
              <w:spacing w:after="0"/>
              <w:rPr>
                <w:sz w:val="23"/>
                <w:szCs w:val="23"/>
                <w:color w:val="auto"/>
              </w:rPr>
            </w:pPr>
          </w:p>
        </w:tc>
        <w:tc>
          <w:tcPr>
            <w:tcW w:w="840" w:type="dxa"/>
            <w:vAlign w:val="bottom"/>
          </w:tcPr>
          <w:p>
            <w:pPr>
              <w:jc w:val="right"/>
              <w:spacing w:after="0"/>
              <w:rPr>
                <w:sz w:val="20"/>
                <w:szCs w:val="20"/>
                <w:color w:val="auto"/>
              </w:rPr>
            </w:pPr>
            <w:r>
              <w:rPr>
                <w:rFonts w:ascii="Arial" w:cs="Arial" w:eastAsia="Arial" w:hAnsi="Arial"/>
                <w:sz w:val="15"/>
                <w:szCs w:val="15"/>
                <w:color w:val="auto"/>
              </w:rPr>
              <w:t>(11,972)</w:t>
            </w:r>
          </w:p>
        </w:tc>
        <w:tc>
          <w:tcPr>
            <w:tcW w:w="0" w:type="dxa"/>
            <w:vAlign w:val="bottom"/>
          </w:tcPr>
          <w:p>
            <w:pPr>
              <w:spacing w:after="0"/>
              <w:rPr>
                <w:sz w:val="1"/>
                <w:szCs w:val="1"/>
                <w:color w:val="auto"/>
              </w:rPr>
            </w:pPr>
          </w:p>
        </w:tc>
      </w:tr>
      <w:tr>
        <w:trPr>
          <w:trHeight w:val="274"/>
        </w:trPr>
        <w:tc>
          <w:tcPr>
            <w:tcW w:w="7780" w:type="dxa"/>
            <w:vAlign w:val="bottom"/>
          </w:tcPr>
          <w:p>
            <w:pPr>
              <w:ind w:left="280"/>
              <w:spacing w:after="0"/>
              <w:rPr>
                <w:sz w:val="20"/>
                <w:szCs w:val="20"/>
                <w:color w:val="auto"/>
              </w:rPr>
            </w:pPr>
            <w:r>
              <w:rPr>
                <w:rFonts w:ascii="Arial" w:cs="Arial" w:eastAsia="Arial" w:hAnsi="Arial"/>
                <w:sz w:val="15"/>
                <w:szCs w:val="15"/>
                <w:color w:val="auto"/>
              </w:rPr>
              <w:t>Other</w:t>
            </w:r>
          </w:p>
        </w:tc>
        <w:tc>
          <w:tcPr>
            <w:tcW w:w="260" w:type="dxa"/>
            <w:vAlign w:val="bottom"/>
            <w:tcBorders>
              <w:bottom w:val="single" w:sz="8" w:color="auto"/>
            </w:tcBorders>
          </w:tcPr>
          <w:p>
            <w:pPr>
              <w:spacing w:after="0"/>
              <w:rPr>
                <w:sz w:val="23"/>
                <w:szCs w:val="23"/>
                <w:color w:val="auto"/>
              </w:rPr>
            </w:pPr>
          </w:p>
        </w:tc>
        <w:tc>
          <w:tcPr>
            <w:tcW w:w="940" w:type="dxa"/>
            <w:vAlign w:val="bottom"/>
            <w:tcBorders>
              <w:bottom w:val="single" w:sz="8" w:color="auto"/>
            </w:tcBorders>
          </w:tcPr>
          <w:p>
            <w:pPr>
              <w:jc w:val="right"/>
              <w:ind w:right="84"/>
              <w:spacing w:after="0"/>
              <w:rPr>
                <w:sz w:val="20"/>
                <w:szCs w:val="20"/>
                <w:color w:val="auto"/>
              </w:rPr>
            </w:pPr>
            <w:r>
              <w:rPr>
                <w:rFonts w:ascii="Arial" w:cs="Arial" w:eastAsia="Arial" w:hAnsi="Arial"/>
                <w:sz w:val="15"/>
                <w:szCs w:val="15"/>
                <w:b w:val="1"/>
                <w:bCs w:val="1"/>
                <w:color w:val="auto"/>
              </w:rPr>
              <w:t>1,137</w:t>
            </w:r>
          </w:p>
        </w:tc>
        <w:tc>
          <w:tcPr>
            <w:tcW w:w="320" w:type="dxa"/>
            <w:vAlign w:val="bottom"/>
            <w:tcBorders>
              <w:bottom w:val="single" w:sz="8" w:color="auto"/>
            </w:tcBorders>
          </w:tcPr>
          <w:p>
            <w:pPr>
              <w:spacing w:after="0"/>
              <w:rPr>
                <w:sz w:val="23"/>
                <w:szCs w:val="23"/>
                <w:color w:val="auto"/>
              </w:rPr>
            </w:pPr>
          </w:p>
        </w:tc>
        <w:tc>
          <w:tcPr>
            <w:tcW w:w="920" w:type="dxa"/>
            <w:vAlign w:val="bottom"/>
            <w:tcBorders>
              <w:bottom w:val="single" w:sz="8" w:color="auto"/>
            </w:tcBorders>
          </w:tcPr>
          <w:p>
            <w:pPr>
              <w:jc w:val="right"/>
              <w:ind w:right="84"/>
              <w:spacing w:after="0"/>
              <w:rPr>
                <w:sz w:val="20"/>
                <w:szCs w:val="20"/>
                <w:color w:val="auto"/>
              </w:rPr>
            </w:pPr>
            <w:r>
              <w:rPr>
                <w:rFonts w:ascii="Arial" w:cs="Arial" w:eastAsia="Arial" w:hAnsi="Arial"/>
                <w:sz w:val="15"/>
                <w:szCs w:val="15"/>
                <w:color w:val="auto"/>
              </w:rPr>
              <w:t>605</w:t>
            </w:r>
          </w:p>
        </w:tc>
        <w:tc>
          <w:tcPr>
            <w:tcW w:w="360" w:type="dxa"/>
            <w:vAlign w:val="bottom"/>
            <w:tcBorders>
              <w:bottom w:val="single" w:sz="8" w:color="auto"/>
            </w:tcBorders>
          </w:tcPr>
          <w:p>
            <w:pPr>
              <w:spacing w:after="0"/>
              <w:rPr>
                <w:sz w:val="23"/>
                <w:szCs w:val="23"/>
                <w:color w:val="auto"/>
              </w:rPr>
            </w:pPr>
          </w:p>
        </w:tc>
        <w:tc>
          <w:tcPr>
            <w:tcW w:w="840" w:type="dxa"/>
            <w:vAlign w:val="bottom"/>
            <w:tcBorders>
              <w:bottom w:val="single" w:sz="8" w:color="auto"/>
            </w:tcBorders>
          </w:tcPr>
          <w:p>
            <w:pPr>
              <w:jc w:val="right"/>
              <w:ind w:right="24"/>
              <w:spacing w:after="0"/>
              <w:rPr>
                <w:sz w:val="20"/>
                <w:szCs w:val="20"/>
                <w:color w:val="auto"/>
              </w:rPr>
            </w:pPr>
            <w:r>
              <w:rPr>
                <w:rFonts w:ascii="Arial" w:cs="Arial" w:eastAsia="Arial" w:hAnsi="Arial"/>
                <w:sz w:val="15"/>
                <w:szCs w:val="15"/>
                <w:color w:val="auto"/>
              </w:rPr>
              <w:t>1,270</w:t>
            </w:r>
          </w:p>
        </w:tc>
        <w:tc>
          <w:tcPr>
            <w:tcW w:w="0" w:type="dxa"/>
            <w:vAlign w:val="bottom"/>
          </w:tcPr>
          <w:p>
            <w:pPr>
              <w:spacing w:after="0"/>
              <w:rPr>
                <w:sz w:val="1"/>
                <w:szCs w:val="1"/>
                <w:color w:val="auto"/>
              </w:rPr>
            </w:pPr>
          </w:p>
        </w:tc>
      </w:tr>
      <w:tr>
        <w:trPr>
          <w:trHeight w:val="261"/>
        </w:trPr>
        <w:tc>
          <w:tcPr>
            <w:tcW w:w="7780" w:type="dxa"/>
            <w:vAlign w:val="bottom"/>
          </w:tcPr>
          <w:p>
            <w:pPr>
              <w:ind w:left="500"/>
              <w:spacing w:after="0"/>
              <w:rPr>
                <w:sz w:val="20"/>
                <w:szCs w:val="20"/>
                <w:color w:val="auto"/>
              </w:rPr>
            </w:pPr>
            <w:r>
              <w:rPr>
                <w:rFonts w:ascii="Arial" w:cs="Arial" w:eastAsia="Arial" w:hAnsi="Arial"/>
                <w:sz w:val="15"/>
                <w:szCs w:val="15"/>
                <w:color w:val="auto"/>
              </w:rPr>
              <w:t>Net Cash Provided by Operating Activities</w:t>
            </w:r>
          </w:p>
        </w:tc>
        <w:tc>
          <w:tcPr>
            <w:tcW w:w="26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right"/>
              <w:ind w:right="84"/>
              <w:spacing w:after="0"/>
              <w:rPr>
                <w:sz w:val="20"/>
                <w:szCs w:val="20"/>
                <w:color w:val="auto"/>
              </w:rPr>
            </w:pPr>
            <w:r>
              <w:rPr>
                <w:rFonts w:ascii="Arial" w:cs="Arial" w:eastAsia="Arial" w:hAnsi="Arial"/>
                <w:sz w:val="15"/>
                <w:szCs w:val="15"/>
                <w:b w:val="1"/>
                <w:bCs w:val="1"/>
                <w:color w:val="auto"/>
              </w:rPr>
              <w:t>268,055</w:t>
            </w:r>
          </w:p>
        </w:tc>
        <w:tc>
          <w:tcPr>
            <w:tcW w:w="32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jc w:val="right"/>
              <w:ind w:right="84"/>
              <w:spacing w:after="0"/>
              <w:rPr>
                <w:sz w:val="20"/>
                <w:szCs w:val="20"/>
                <w:color w:val="auto"/>
              </w:rPr>
            </w:pPr>
            <w:r>
              <w:rPr>
                <w:rFonts w:ascii="Arial" w:cs="Arial" w:eastAsia="Arial" w:hAnsi="Arial"/>
                <w:sz w:val="15"/>
                <w:szCs w:val="15"/>
                <w:color w:val="auto"/>
              </w:rPr>
              <w:t>261,256</w:t>
            </w:r>
          </w:p>
        </w:tc>
        <w:tc>
          <w:tcPr>
            <w:tcW w:w="360" w:type="dxa"/>
            <w:vAlign w:val="bottom"/>
            <w:tcBorders>
              <w:bottom w:val="single" w:sz="8" w:color="auto"/>
            </w:tcBorders>
          </w:tcPr>
          <w:p>
            <w:pPr>
              <w:spacing w:after="0"/>
              <w:rPr>
                <w:sz w:val="22"/>
                <w:szCs w:val="22"/>
                <w:color w:val="auto"/>
              </w:rPr>
            </w:pPr>
          </w:p>
        </w:tc>
        <w:tc>
          <w:tcPr>
            <w:tcW w:w="840" w:type="dxa"/>
            <w:vAlign w:val="bottom"/>
            <w:tcBorders>
              <w:bottom w:val="single" w:sz="8" w:color="auto"/>
            </w:tcBorders>
          </w:tcPr>
          <w:p>
            <w:pPr>
              <w:jc w:val="right"/>
              <w:ind w:right="24"/>
              <w:spacing w:after="0"/>
              <w:rPr>
                <w:sz w:val="20"/>
                <w:szCs w:val="20"/>
                <w:color w:val="auto"/>
              </w:rPr>
            </w:pPr>
            <w:r>
              <w:rPr>
                <w:rFonts w:ascii="Arial" w:cs="Arial" w:eastAsia="Arial" w:hAnsi="Arial"/>
                <w:sz w:val="15"/>
                <w:szCs w:val="15"/>
                <w:color w:val="auto"/>
              </w:rPr>
              <w:t>70,651</w:t>
            </w:r>
          </w:p>
        </w:tc>
        <w:tc>
          <w:tcPr>
            <w:tcW w:w="0" w:type="dxa"/>
            <w:vAlign w:val="bottom"/>
          </w:tcPr>
          <w:p>
            <w:pPr>
              <w:spacing w:after="0"/>
              <w:rPr>
                <w:sz w:val="1"/>
                <w:szCs w:val="1"/>
                <w:color w:val="auto"/>
              </w:rPr>
            </w:pPr>
          </w:p>
        </w:tc>
      </w:tr>
      <w:tr>
        <w:trPr>
          <w:trHeight w:val="262"/>
        </w:trPr>
        <w:tc>
          <w:tcPr>
            <w:tcW w:w="7780" w:type="dxa"/>
            <w:vAlign w:val="bottom"/>
          </w:tcPr>
          <w:p>
            <w:pPr>
              <w:ind w:left="40"/>
              <w:spacing w:after="0"/>
              <w:rPr>
                <w:sz w:val="20"/>
                <w:szCs w:val="20"/>
                <w:color w:val="auto"/>
              </w:rPr>
            </w:pPr>
            <w:r>
              <w:rPr>
                <w:rFonts w:ascii="Arial" w:cs="Arial" w:eastAsia="Arial" w:hAnsi="Arial"/>
                <w:sz w:val="15"/>
                <w:szCs w:val="15"/>
                <w:b w:val="1"/>
                <w:bCs w:val="1"/>
                <w:color w:val="auto"/>
              </w:rPr>
              <w:t>Cash Flows from Investing Activities</w:t>
            </w:r>
          </w:p>
        </w:tc>
        <w:tc>
          <w:tcPr>
            <w:tcW w:w="26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0"/>
        </w:trPr>
        <w:tc>
          <w:tcPr>
            <w:tcW w:w="7780" w:type="dxa"/>
            <w:vAlign w:val="bottom"/>
          </w:tcPr>
          <w:p>
            <w:pPr>
              <w:ind w:left="280"/>
              <w:spacing w:after="0"/>
              <w:rPr>
                <w:sz w:val="20"/>
                <w:szCs w:val="20"/>
                <w:color w:val="auto"/>
              </w:rPr>
            </w:pPr>
            <w:r>
              <w:rPr>
                <w:rFonts w:ascii="Arial" w:cs="Arial" w:eastAsia="Arial" w:hAnsi="Arial"/>
                <w:sz w:val="15"/>
                <w:szCs w:val="15"/>
                <w:color w:val="auto"/>
              </w:rPr>
              <w:t>Investments in certain businesses, net of cash acquired</w:t>
            </w:r>
          </w:p>
        </w:tc>
        <w:tc>
          <w:tcPr>
            <w:tcW w:w="260" w:type="dxa"/>
            <w:vAlign w:val="bottom"/>
          </w:tcPr>
          <w:p>
            <w:pPr>
              <w:spacing w:after="0"/>
              <w:rPr>
                <w:sz w:val="23"/>
                <w:szCs w:val="23"/>
                <w:color w:val="auto"/>
              </w:rPr>
            </w:pPr>
          </w:p>
        </w:tc>
        <w:tc>
          <w:tcPr>
            <w:tcW w:w="940" w:type="dxa"/>
            <w:vAlign w:val="bottom"/>
          </w:tcPr>
          <w:p>
            <w:pPr>
              <w:jc w:val="right"/>
              <w:ind w:right="24"/>
              <w:spacing w:after="0"/>
              <w:rPr>
                <w:sz w:val="20"/>
                <w:szCs w:val="20"/>
                <w:color w:val="auto"/>
              </w:rPr>
            </w:pPr>
            <w:r>
              <w:rPr>
                <w:rFonts w:ascii="Arial" w:cs="Arial" w:eastAsia="Arial" w:hAnsi="Arial"/>
                <w:sz w:val="15"/>
                <w:szCs w:val="15"/>
                <w:b w:val="1"/>
                <w:bCs w:val="1"/>
                <w:color w:val="auto"/>
              </w:rPr>
              <w:t>(299,938)</w:t>
            </w:r>
          </w:p>
        </w:tc>
        <w:tc>
          <w:tcPr>
            <w:tcW w:w="320" w:type="dxa"/>
            <w:vAlign w:val="bottom"/>
          </w:tcPr>
          <w:p>
            <w:pPr>
              <w:spacing w:after="0"/>
              <w:rPr>
                <w:sz w:val="23"/>
                <w:szCs w:val="23"/>
                <w:color w:val="auto"/>
              </w:rPr>
            </w:pPr>
          </w:p>
        </w:tc>
        <w:tc>
          <w:tcPr>
            <w:tcW w:w="920" w:type="dxa"/>
            <w:vAlign w:val="bottom"/>
          </w:tcPr>
          <w:p>
            <w:pPr>
              <w:jc w:val="right"/>
              <w:ind w:right="24"/>
              <w:spacing w:after="0"/>
              <w:rPr>
                <w:sz w:val="20"/>
                <w:szCs w:val="20"/>
                <w:color w:val="auto"/>
              </w:rPr>
            </w:pPr>
            <w:r>
              <w:rPr>
                <w:rFonts w:ascii="Arial" w:cs="Arial" w:eastAsia="Arial" w:hAnsi="Arial"/>
                <w:sz w:val="15"/>
                <w:szCs w:val="15"/>
                <w:color w:val="auto"/>
              </w:rPr>
              <w:t>(245,084)</w:t>
            </w:r>
          </w:p>
        </w:tc>
        <w:tc>
          <w:tcPr>
            <w:tcW w:w="360" w:type="dxa"/>
            <w:vAlign w:val="bottom"/>
          </w:tcPr>
          <w:p>
            <w:pPr>
              <w:spacing w:after="0"/>
              <w:rPr>
                <w:sz w:val="23"/>
                <w:szCs w:val="23"/>
                <w:color w:val="auto"/>
              </w:rPr>
            </w:pPr>
          </w:p>
        </w:tc>
        <w:tc>
          <w:tcPr>
            <w:tcW w:w="840" w:type="dxa"/>
            <w:vAlign w:val="bottom"/>
          </w:tcPr>
          <w:p>
            <w:pPr>
              <w:jc w:val="right"/>
              <w:spacing w:after="0"/>
              <w:rPr>
                <w:sz w:val="20"/>
                <w:szCs w:val="20"/>
                <w:color w:val="auto"/>
              </w:rPr>
            </w:pPr>
            <w:r>
              <w:rPr>
                <w:rFonts w:ascii="Arial" w:cs="Arial" w:eastAsia="Arial" w:hAnsi="Arial"/>
                <w:sz w:val="15"/>
                <w:szCs w:val="15"/>
                <w:color w:val="auto"/>
              </w:rPr>
              <w:t>(159,320)</w:t>
            </w:r>
          </w:p>
        </w:tc>
        <w:tc>
          <w:tcPr>
            <w:tcW w:w="0" w:type="dxa"/>
            <w:vAlign w:val="bottom"/>
          </w:tcPr>
          <w:p>
            <w:pPr>
              <w:spacing w:after="0"/>
              <w:rPr>
                <w:sz w:val="1"/>
                <w:szCs w:val="1"/>
                <w:color w:val="auto"/>
              </w:rPr>
            </w:pPr>
          </w:p>
        </w:tc>
      </w:tr>
      <w:tr>
        <w:trPr>
          <w:trHeight w:val="270"/>
        </w:trPr>
        <w:tc>
          <w:tcPr>
            <w:tcW w:w="7780" w:type="dxa"/>
            <w:vAlign w:val="bottom"/>
          </w:tcPr>
          <w:p>
            <w:pPr>
              <w:ind w:left="280"/>
              <w:spacing w:after="0"/>
              <w:rPr>
                <w:sz w:val="20"/>
                <w:szCs w:val="20"/>
                <w:color w:val="auto"/>
              </w:rPr>
            </w:pPr>
            <w:r>
              <w:rPr>
                <w:rFonts w:ascii="Arial" w:cs="Arial" w:eastAsia="Arial" w:hAnsi="Arial"/>
                <w:sz w:val="15"/>
                <w:szCs w:val="15"/>
                <w:color w:val="auto"/>
              </w:rPr>
              <w:t>Investments in equity affiliates, cost method and other investments</w:t>
            </w:r>
          </w:p>
        </w:tc>
        <w:tc>
          <w:tcPr>
            <w:tcW w:w="260" w:type="dxa"/>
            <w:vAlign w:val="bottom"/>
          </w:tcPr>
          <w:p>
            <w:pPr>
              <w:spacing w:after="0"/>
              <w:rPr>
                <w:sz w:val="23"/>
                <w:szCs w:val="23"/>
                <w:color w:val="auto"/>
              </w:rPr>
            </w:pPr>
          </w:p>
        </w:tc>
        <w:tc>
          <w:tcPr>
            <w:tcW w:w="940" w:type="dxa"/>
            <w:vAlign w:val="bottom"/>
          </w:tcPr>
          <w:p>
            <w:pPr>
              <w:jc w:val="right"/>
              <w:ind w:right="24"/>
              <w:spacing w:after="0"/>
              <w:rPr>
                <w:sz w:val="20"/>
                <w:szCs w:val="20"/>
                <w:color w:val="auto"/>
              </w:rPr>
            </w:pPr>
            <w:r>
              <w:rPr>
                <w:rFonts w:ascii="Arial" w:cs="Arial" w:eastAsia="Arial" w:hAnsi="Arial"/>
                <w:sz w:val="15"/>
                <w:szCs w:val="15"/>
                <w:b w:val="1"/>
                <w:bCs w:val="1"/>
                <w:color w:val="auto"/>
              </w:rPr>
              <w:t>(82,944)</w:t>
            </w:r>
          </w:p>
        </w:tc>
        <w:tc>
          <w:tcPr>
            <w:tcW w:w="320" w:type="dxa"/>
            <w:vAlign w:val="bottom"/>
          </w:tcPr>
          <w:p>
            <w:pPr>
              <w:spacing w:after="0"/>
              <w:rPr>
                <w:sz w:val="23"/>
                <w:szCs w:val="23"/>
                <w:color w:val="auto"/>
              </w:rPr>
            </w:pPr>
          </w:p>
        </w:tc>
        <w:tc>
          <w:tcPr>
            <w:tcW w:w="920" w:type="dxa"/>
            <w:vAlign w:val="bottom"/>
          </w:tcPr>
          <w:p>
            <w:pPr>
              <w:jc w:val="right"/>
              <w:ind w:right="24"/>
              <w:spacing w:after="0"/>
              <w:rPr>
                <w:sz w:val="20"/>
                <w:szCs w:val="20"/>
                <w:color w:val="auto"/>
              </w:rPr>
            </w:pPr>
            <w:r>
              <w:rPr>
                <w:rFonts w:ascii="Arial" w:cs="Arial" w:eastAsia="Arial" w:hAnsi="Arial"/>
                <w:sz w:val="15"/>
                <w:szCs w:val="15"/>
                <w:color w:val="auto"/>
              </w:rPr>
              <w:t>(6,273)</w:t>
            </w:r>
          </w:p>
        </w:tc>
        <w:tc>
          <w:tcPr>
            <w:tcW w:w="360" w:type="dxa"/>
            <w:vAlign w:val="bottom"/>
          </w:tcPr>
          <w:p>
            <w:pPr>
              <w:spacing w:after="0"/>
              <w:rPr>
                <w:sz w:val="23"/>
                <w:szCs w:val="23"/>
                <w:color w:val="auto"/>
              </w:rPr>
            </w:pPr>
          </w:p>
        </w:tc>
        <w:tc>
          <w:tcPr>
            <w:tcW w:w="840" w:type="dxa"/>
            <w:vAlign w:val="bottom"/>
          </w:tcPr>
          <w:p>
            <w:pPr>
              <w:jc w:val="right"/>
              <w:spacing w:after="0"/>
              <w:rPr>
                <w:sz w:val="20"/>
                <w:szCs w:val="20"/>
                <w:color w:val="auto"/>
              </w:rPr>
            </w:pPr>
            <w:r>
              <w:rPr>
                <w:rFonts w:ascii="Arial" w:cs="Arial" w:eastAsia="Arial" w:hAnsi="Arial"/>
                <w:sz w:val="15"/>
                <w:szCs w:val="15"/>
                <w:color w:val="auto"/>
              </w:rPr>
              <w:t>(25,267)</w:t>
            </w:r>
          </w:p>
        </w:tc>
        <w:tc>
          <w:tcPr>
            <w:tcW w:w="0" w:type="dxa"/>
            <w:vAlign w:val="bottom"/>
          </w:tcPr>
          <w:p>
            <w:pPr>
              <w:spacing w:after="0"/>
              <w:rPr>
                <w:sz w:val="1"/>
                <w:szCs w:val="1"/>
                <w:color w:val="auto"/>
              </w:rPr>
            </w:pPr>
          </w:p>
        </w:tc>
      </w:tr>
      <w:tr>
        <w:trPr>
          <w:trHeight w:val="270"/>
        </w:trPr>
        <w:tc>
          <w:tcPr>
            <w:tcW w:w="7780" w:type="dxa"/>
            <w:vAlign w:val="bottom"/>
          </w:tcPr>
          <w:p>
            <w:pPr>
              <w:ind w:left="280"/>
              <w:spacing w:after="0"/>
              <w:rPr>
                <w:sz w:val="20"/>
                <w:szCs w:val="20"/>
                <w:color w:val="auto"/>
              </w:rPr>
            </w:pPr>
            <w:r>
              <w:rPr>
                <w:rFonts w:ascii="Arial" w:cs="Arial" w:eastAsia="Arial" w:hAnsi="Arial"/>
                <w:sz w:val="15"/>
                <w:szCs w:val="15"/>
                <w:color w:val="auto"/>
              </w:rPr>
              <w:t>Purchases of property, plant and equipment</w:t>
            </w:r>
          </w:p>
        </w:tc>
        <w:tc>
          <w:tcPr>
            <w:tcW w:w="260" w:type="dxa"/>
            <w:vAlign w:val="bottom"/>
          </w:tcPr>
          <w:p>
            <w:pPr>
              <w:spacing w:after="0"/>
              <w:rPr>
                <w:sz w:val="23"/>
                <w:szCs w:val="23"/>
                <w:color w:val="auto"/>
              </w:rPr>
            </w:pPr>
          </w:p>
        </w:tc>
        <w:tc>
          <w:tcPr>
            <w:tcW w:w="940" w:type="dxa"/>
            <w:vAlign w:val="bottom"/>
          </w:tcPr>
          <w:p>
            <w:pPr>
              <w:jc w:val="right"/>
              <w:ind w:right="24"/>
              <w:spacing w:after="0"/>
              <w:rPr>
                <w:sz w:val="20"/>
                <w:szCs w:val="20"/>
                <w:color w:val="auto"/>
              </w:rPr>
            </w:pPr>
            <w:r>
              <w:rPr>
                <w:rFonts w:ascii="Arial" w:cs="Arial" w:eastAsia="Arial" w:hAnsi="Arial"/>
                <w:sz w:val="15"/>
                <w:szCs w:val="15"/>
                <w:b w:val="1"/>
                <w:bCs w:val="1"/>
                <w:color w:val="auto"/>
              </w:rPr>
              <w:t>(60,358)</w:t>
            </w:r>
          </w:p>
        </w:tc>
        <w:tc>
          <w:tcPr>
            <w:tcW w:w="320" w:type="dxa"/>
            <w:vAlign w:val="bottom"/>
          </w:tcPr>
          <w:p>
            <w:pPr>
              <w:spacing w:after="0"/>
              <w:rPr>
                <w:sz w:val="23"/>
                <w:szCs w:val="23"/>
                <w:color w:val="auto"/>
              </w:rPr>
            </w:pPr>
          </w:p>
        </w:tc>
        <w:tc>
          <w:tcPr>
            <w:tcW w:w="920" w:type="dxa"/>
            <w:vAlign w:val="bottom"/>
          </w:tcPr>
          <w:p>
            <w:pPr>
              <w:jc w:val="right"/>
              <w:ind w:right="24"/>
              <w:spacing w:after="0"/>
              <w:rPr>
                <w:sz w:val="20"/>
                <w:szCs w:val="20"/>
                <w:color w:val="auto"/>
              </w:rPr>
            </w:pPr>
            <w:r>
              <w:rPr>
                <w:rFonts w:ascii="Arial" w:cs="Arial" w:eastAsia="Arial" w:hAnsi="Arial"/>
                <w:sz w:val="15"/>
                <w:szCs w:val="15"/>
                <w:color w:val="auto"/>
              </w:rPr>
              <w:t>(66,612)</w:t>
            </w:r>
          </w:p>
        </w:tc>
        <w:tc>
          <w:tcPr>
            <w:tcW w:w="360" w:type="dxa"/>
            <w:vAlign w:val="bottom"/>
          </w:tcPr>
          <w:p>
            <w:pPr>
              <w:spacing w:after="0"/>
              <w:rPr>
                <w:sz w:val="23"/>
                <w:szCs w:val="23"/>
                <w:color w:val="auto"/>
              </w:rPr>
            </w:pPr>
          </w:p>
        </w:tc>
        <w:tc>
          <w:tcPr>
            <w:tcW w:w="840" w:type="dxa"/>
            <w:vAlign w:val="bottom"/>
          </w:tcPr>
          <w:p>
            <w:pPr>
              <w:jc w:val="right"/>
              <w:spacing w:after="0"/>
              <w:rPr>
                <w:sz w:val="20"/>
                <w:szCs w:val="20"/>
                <w:color w:val="auto"/>
              </w:rPr>
            </w:pPr>
            <w:r>
              <w:rPr>
                <w:rFonts w:ascii="Arial" w:cs="Arial" w:eastAsia="Arial" w:hAnsi="Arial"/>
                <w:sz w:val="15"/>
                <w:szCs w:val="15"/>
                <w:color w:val="auto"/>
              </w:rPr>
              <w:t>(136,859)</w:t>
            </w:r>
          </w:p>
        </w:tc>
        <w:tc>
          <w:tcPr>
            <w:tcW w:w="0" w:type="dxa"/>
            <w:vAlign w:val="bottom"/>
          </w:tcPr>
          <w:p>
            <w:pPr>
              <w:spacing w:after="0"/>
              <w:rPr>
                <w:sz w:val="1"/>
                <w:szCs w:val="1"/>
                <w:color w:val="auto"/>
              </w:rPr>
            </w:pPr>
          </w:p>
        </w:tc>
      </w:tr>
      <w:tr>
        <w:trPr>
          <w:trHeight w:val="270"/>
        </w:trPr>
        <w:tc>
          <w:tcPr>
            <w:tcW w:w="7780" w:type="dxa"/>
            <w:vAlign w:val="bottom"/>
          </w:tcPr>
          <w:p>
            <w:pPr>
              <w:ind w:left="280"/>
              <w:spacing w:after="0"/>
              <w:rPr>
                <w:sz w:val="20"/>
                <w:szCs w:val="20"/>
                <w:color w:val="auto"/>
              </w:rPr>
            </w:pPr>
            <w:r>
              <w:rPr>
                <w:rFonts w:ascii="Arial" w:cs="Arial" w:eastAsia="Arial" w:hAnsi="Arial"/>
                <w:sz w:val="15"/>
                <w:szCs w:val="15"/>
                <w:color w:val="auto"/>
              </w:rPr>
              <w:t>Disbursement of loan to affiliate</w:t>
            </w:r>
          </w:p>
        </w:tc>
        <w:tc>
          <w:tcPr>
            <w:tcW w:w="260" w:type="dxa"/>
            <w:vAlign w:val="bottom"/>
          </w:tcPr>
          <w:p>
            <w:pPr>
              <w:spacing w:after="0"/>
              <w:rPr>
                <w:sz w:val="23"/>
                <w:szCs w:val="23"/>
                <w:color w:val="auto"/>
              </w:rPr>
            </w:pPr>
          </w:p>
        </w:tc>
        <w:tc>
          <w:tcPr>
            <w:tcW w:w="940" w:type="dxa"/>
            <w:vAlign w:val="bottom"/>
          </w:tcPr>
          <w:p>
            <w:pPr>
              <w:jc w:val="right"/>
              <w:ind w:right="24"/>
              <w:spacing w:after="0"/>
              <w:rPr>
                <w:sz w:val="20"/>
                <w:szCs w:val="20"/>
                <w:color w:val="auto"/>
              </w:rPr>
            </w:pPr>
            <w:r>
              <w:rPr>
                <w:rFonts w:ascii="Arial" w:cs="Arial" w:eastAsia="Arial" w:hAnsi="Arial"/>
                <w:sz w:val="15"/>
                <w:szCs w:val="15"/>
                <w:b w:val="1"/>
                <w:bCs w:val="1"/>
                <w:color w:val="auto"/>
              </w:rPr>
              <w:t>(6,771)</w:t>
            </w:r>
          </w:p>
        </w:tc>
        <w:tc>
          <w:tcPr>
            <w:tcW w:w="320" w:type="dxa"/>
            <w:vAlign w:val="bottom"/>
          </w:tcPr>
          <w:p>
            <w:pPr>
              <w:spacing w:after="0"/>
              <w:rPr>
                <w:sz w:val="23"/>
                <w:szCs w:val="23"/>
                <w:color w:val="auto"/>
              </w:rPr>
            </w:pPr>
          </w:p>
        </w:tc>
        <w:tc>
          <w:tcPr>
            <w:tcW w:w="920" w:type="dxa"/>
            <w:vAlign w:val="bottom"/>
          </w:tcPr>
          <w:p>
            <w:pPr>
              <w:jc w:val="right"/>
              <w:ind w:right="24"/>
              <w:spacing w:after="0"/>
              <w:rPr>
                <w:sz w:val="20"/>
                <w:szCs w:val="20"/>
                <w:color w:val="auto"/>
              </w:rPr>
            </w:pPr>
            <w:r>
              <w:rPr>
                <w:rFonts w:ascii="Arial" w:cs="Arial" w:eastAsia="Arial" w:hAnsi="Arial"/>
                <w:sz w:val="15"/>
                <w:szCs w:val="15"/>
                <w:color w:val="auto"/>
              </w:rPr>
              <w:t>(14,244)</w:t>
            </w:r>
          </w:p>
        </w:tc>
        <w:tc>
          <w:tcPr>
            <w:tcW w:w="360" w:type="dxa"/>
            <w:vAlign w:val="bottom"/>
          </w:tcPr>
          <w:p>
            <w:pPr>
              <w:spacing w:after="0"/>
              <w:rPr>
                <w:sz w:val="23"/>
                <w:szCs w:val="23"/>
                <w:color w:val="auto"/>
              </w:rPr>
            </w:pPr>
          </w:p>
        </w:tc>
        <w:tc>
          <w:tcPr>
            <w:tcW w:w="840" w:type="dxa"/>
            <w:vAlign w:val="bottom"/>
          </w:tcPr>
          <w:p>
            <w:pPr>
              <w:jc w:val="right"/>
              <w:ind w:right="24"/>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270"/>
        </w:trPr>
        <w:tc>
          <w:tcPr>
            <w:tcW w:w="7780" w:type="dxa"/>
            <w:vAlign w:val="bottom"/>
          </w:tcPr>
          <w:p>
            <w:pPr>
              <w:ind w:left="280"/>
              <w:spacing w:after="0"/>
              <w:rPr>
                <w:sz w:val="20"/>
                <w:szCs w:val="20"/>
                <w:color w:val="auto"/>
              </w:rPr>
            </w:pPr>
            <w:r>
              <w:rPr>
                <w:rFonts w:ascii="Arial" w:cs="Arial" w:eastAsia="Arial" w:hAnsi="Arial"/>
                <w:sz w:val="15"/>
                <w:szCs w:val="15"/>
                <w:color w:val="auto"/>
              </w:rPr>
              <w:t>Return of investment in equity affiliate</w:t>
            </w:r>
          </w:p>
        </w:tc>
        <w:tc>
          <w:tcPr>
            <w:tcW w:w="260" w:type="dxa"/>
            <w:vAlign w:val="bottom"/>
          </w:tcPr>
          <w:p>
            <w:pPr>
              <w:spacing w:after="0"/>
              <w:rPr>
                <w:sz w:val="23"/>
                <w:szCs w:val="23"/>
                <w:color w:val="auto"/>
              </w:rPr>
            </w:pPr>
          </w:p>
        </w:tc>
        <w:tc>
          <w:tcPr>
            <w:tcW w:w="940" w:type="dxa"/>
            <w:vAlign w:val="bottom"/>
          </w:tcPr>
          <w:p>
            <w:pPr>
              <w:jc w:val="right"/>
              <w:ind w:right="84"/>
              <w:spacing w:after="0"/>
              <w:rPr>
                <w:sz w:val="20"/>
                <w:szCs w:val="20"/>
                <w:color w:val="auto"/>
              </w:rPr>
            </w:pPr>
            <w:r>
              <w:rPr>
                <w:rFonts w:ascii="Arial" w:cs="Arial" w:eastAsia="Arial" w:hAnsi="Arial"/>
                <w:sz w:val="15"/>
                <w:szCs w:val="15"/>
                <w:b w:val="1"/>
                <w:bCs w:val="1"/>
                <w:color w:val="auto"/>
              </w:rPr>
              <w:t>4,727</w:t>
            </w:r>
          </w:p>
        </w:tc>
        <w:tc>
          <w:tcPr>
            <w:tcW w:w="320" w:type="dxa"/>
            <w:vAlign w:val="bottom"/>
          </w:tcPr>
          <w:p>
            <w:pPr>
              <w:spacing w:after="0"/>
              <w:rPr>
                <w:sz w:val="23"/>
                <w:szCs w:val="23"/>
                <w:color w:val="auto"/>
              </w:rPr>
            </w:pPr>
          </w:p>
        </w:tc>
        <w:tc>
          <w:tcPr>
            <w:tcW w:w="920" w:type="dxa"/>
            <w:vAlign w:val="bottom"/>
          </w:tcPr>
          <w:p>
            <w:pPr>
              <w:jc w:val="right"/>
              <w:ind w:right="84"/>
              <w:spacing w:after="0"/>
              <w:rPr>
                <w:sz w:val="20"/>
                <w:szCs w:val="20"/>
                <w:color w:val="auto"/>
              </w:rPr>
            </w:pPr>
            <w:r>
              <w:rPr>
                <w:rFonts w:ascii="Arial" w:cs="Arial" w:eastAsia="Arial" w:hAnsi="Arial"/>
                <w:sz w:val="15"/>
                <w:szCs w:val="15"/>
                <w:color w:val="auto"/>
              </w:rPr>
              <w:t>—</w:t>
            </w:r>
          </w:p>
        </w:tc>
        <w:tc>
          <w:tcPr>
            <w:tcW w:w="360" w:type="dxa"/>
            <w:vAlign w:val="bottom"/>
          </w:tcPr>
          <w:p>
            <w:pPr>
              <w:spacing w:after="0"/>
              <w:rPr>
                <w:sz w:val="23"/>
                <w:szCs w:val="23"/>
                <w:color w:val="auto"/>
              </w:rPr>
            </w:pPr>
          </w:p>
        </w:tc>
        <w:tc>
          <w:tcPr>
            <w:tcW w:w="840" w:type="dxa"/>
            <w:vAlign w:val="bottom"/>
          </w:tcPr>
          <w:p>
            <w:pPr>
              <w:jc w:val="right"/>
              <w:ind w:right="24"/>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270"/>
        </w:trPr>
        <w:tc>
          <w:tcPr>
            <w:tcW w:w="7780" w:type="dxa"/>
            <w:vAlign w:val="bottom"/>
          </w:tcPr>
          <w:p>
            <w:pPr>
              <w:ind w:left="280"/>
              <w:spacing w:after="0"/>
              <w:rPr>
                <w:sz w:val="20"/>
                <w:szCs w:val="20"/>
                <w:color w:val="auto"/>
              </w:rPr>
            </w:pPr>
            <w:r>
              <w:rPr>
                <w:rFonts w:ascii="Arial" w:cs="Arial" w:eastAsia="Arial" w:hAnsi="Arial"/>
                <w:sz w:val="15"/>
                <w:szCs w:val="15"/>
                <w:color w:val="auto"/>
              </w:rPr>
              <w:t>Net proceeds from sales of businesses, property, plant and equipment and other assets</w:t>
            </w:r>
          </w:p>
        </w:tc>
        <w:tc>
          <w:tcPr>
            <w:tcW w:w="260" w:type="dxa"/>
            <w:vAlign w:val="bottom"/>
          </w:tcPr>
          <w:p>
            <w:pPr>
              <w:spacing w:after="0"/>
              <w:rPr>
                <w:sz w:val="23"/>
                <w:szCs w:val="23"/>
                <w:color w:val="auto"/>
              </w:rPr>
            </w:pPr>
          </w:p>
        </w:tc>
        <w:tc>
          <w:tcPr>
            <w:tcW w:w="940" w:type="dxa"/>
            <w:vAlign w:val="bottom"/>
          </w:tcPr>
          <w:p>
            <w:pPr>
              <w:jc w:val="right"/>
              <w:ind w:right="84"/>
              <w:spacing w:after="0"/>
              <w:rPr>
                <w:sz w:val="20"/>
                <w:szCs w:val="20"/>
                <w:color w:val="auto"/>
              </w:rPr>
            </w:pPr>
            <w:r>
              <w:rPr>
                <w:rFonts w:ascii="Arial" w:cs="Arial" w:eastAsia="Arial" w:hAnsi="Arial"/>
                <w:sz w:val="15"/>
                <w:szCs w:val="15"/>
                <w:b w:val="1"/>
                <w:bCs w:val="1"/>
                <w:color w:val="auto"/>
              </w:rPr>
              <w:t>3,265</w:t>
            </w:r>
          </w:p>
        </w:tc>
        <w:tc>
          <w:tcPr>
            <w:tcW w:w="320" w:type="dxa"/>
            <w:vAlign w:val="bottom"/>
          </w:tcPr>
          <w:p>
            <w:pPr>
              <w:spacing w:after="0"/>
              <w:rPr>
                <w:sz w:val="23"/>
                <w:szCs w:val="23"/>
                <w:color w:val="auto"/>
              </w:rPr>
            </w:pPr>
          </w:p>
        </w:tc>
        <w:tc>
          <w:tcPr>
            <w:tcW w:w="920" w:type="dxa"/>
            <w:vAlign w:val="bottom"/>
          </w:tcPr>
          <w:p>
            <w:pPr>
              <w:jc w:val="right"/>
              <w:ind w:right="84"/>
              <w:spacing w:after="0"/>
              <w:rPr>
                <w:sz w:val="20"/>
                <w:szCs w:val="20"/>
                <w:color w:val="auto"/>
              </w:rPr>
            </w:pPr>
            <w:r>
              <w:rPr>
                <w:rFonts w:ascii="Arial" w:cs="Arial" w:eastAsia="Arial" w:hAnsi="Arial"/>
                <w:sz w:val="15"/>
                <w:szCs w:val="15"/>
                <w:color w:val="auto"/>
              </w:rPr>
              <w:t>69,192</w:t>
            </w:r>
          </w:p>
        </w:tc>
        <w:tc>
          <w:tcPr>
            <w:tcW w:w="360" w:type="dxa"/>
            <w:vAlign w:val="bottom"/>
          </w:tcPr>
          <w:p>
            <w:pPr>
              <w:spacing w:after="0"/>
              <w:rPr>
                <w:sz w:val="23"/>
                <w:szCs w:val="23"/>
                <w:color w:val="auto"/>
              </w:rPr>
            </w:pPr>
          </w:p>
        </w:tc>
        <w:tc>
          <w:tcPr>
            <w:tcW w:w="840" w:type="dxa"/>
            <w:vAlign w:val="bottom"/>
          </w:tcPr>
          <w:p>
            <w:pPr>
              <w:jc w:val="right"/>
              <w:ind w:right="24"/>
              <w:spacing w:after="0"/>
              <w:rPr>
                <w:sz w:val="20"/>
                <w:szCs w:val="20"/>
                <w:color w:val="auto"/>
              </w:rPr>
            </w:pPr>
            <w:r>
              <w:rPr>
                <w:rFonts w:ascii="Arial" w:cs="Arial" w:eastAsia="Arial" w:hAnsi="Arial"/>
                <w:sz w:val="15"/>
                <w:szCs w:val="15"/>
                <w:color w:val="auto"/>
              </w:rPr>
              <w:t>41,683</w:t>
            </w:r>
          </w:p>
        </w:tc>
        <w:tc>
          <w:tcPr>
            <w:tcW w:w="0" w:type="dxa"/>
            <w:vAlign w:val="bottom"/>
          </w:tcPr>
          <w:p>
            <w:pPr>
              <w:spacing w:after="0"/>
              <w:rPr>
                <w:sz w:val="1"/>
                <w:szCs w:val="1"/>
                <w:color w:val="auto"/>
              </w:rPr>
            </w:pPr>
          </w:p>
        </w:tc>
      </w:tr>
      <w:tr>
        <w:trPr>
          <w:trHeight w:val="274"/>
        </w:trPr>
        <w:tc>
          <w:tcPr>
            <w:tcW w:w="7780" w:type="dxa"/>
            <w:vAlign w:val="bottom"/>
          </w:tcPr>
          <w:p>
            <w:pPr>
              <w:ind w:left="280"/>
              <w:spacing w:after="0"/>
              <w:rPr>
                <w:sz w:val="20"/>
                <w:szCs w:val="20"/>
                <w:color w:val="auto"/>
              </w:rPr>
            </w:pPr>
            <w:r>
              <w:rPr>
                <w:rFonts w:ascii="Arial" w:cs="Arial" w:eastAsia="Arial" w:hAnsi="Arial"/>
                <w:sz w:val="15"/>
                <w:szCs w:val="15"/>
                <w:color w:val="auto"/>
              </w:rPr>
              <w:t>Purchases of marketable equity securities</w:t>
            </w:r>
          </w:p>
        </w:tc>
        <w:tc>
          <w:tcPr>
            <w:tcW w:w="260" w:type="dxa"/>
            <w:vAlign w:val="bottom"/>
            <w:tcBorders>
              <w:bottom w:val="single" w:sz="8" w:color="auto"/>
            </w:tcBorders>
          </w:tcPr>
          <w:p>
            <w:pPr>
              <w:spacing w:after="0"/>
              <w:rPr>
                <w:sz w:val="23"/>
                <w:szCs w:val="23"/>
                <w:color w:val="auto"/>
              </w:rPr>
            </w:pPr>
          </w:p>
        </w:tc>
        <w:tc>
          <w:tcPr>
            <w:tcW w:w="940" w:type="dxa"/>
            <w:vAlign w:val="bottom"/>
            <w:tcBorders>
              <w:bottom w:val="single" w:sz="8" w:color="auto"/>
            </w:tcBorders>
          </w:tcPr>
          <w:p>
            <w:pPr>
              <w:jc w:val="right"/>
              <w:ind w:right="84"/>
              <w:spacing w:after="0"/>
              <w:rPr>
                <w:sz w:val="20"/>
                <w:szCs w:val="20"/>
                <w:color w:val="auto"/>
              </w:rPr>
            </w:pPr>
            <w:r>
              <w:rPr>
                <w:rFonts w:ascii="Arial" w:cs="Arial" w:eastAsia="Arial" w:hAnsi="Arial"/>
                <w:sz w:val="15"/>
                <w:szCs w:val="15"/>
                <w:b w:val="1"/>
                <w:bCs w:val="1"/>
                <w:color w:val="auto"/>
              </w:rPr>
              <w:t>—</w:t>
            </w:r>
          </w:p>
        </w:tc>
        <w:tc>
          <w:tcPr>
            <w:tcW w:w="320" w:type="dxa"/>
            <w:vAlign w:val="bottom"/>
            <w:tcBorders>
              <w:bottom w:val="single" w:sz="8" w:color="auto"/>
            </w:tcBorders>
          </w:tcPr>
          <w:p>
            <w:pPr>
              <w:spacing w:after="0"/>
              <w:rPr>
                <w:sz w:val="23"/>
                <w:szCs w:val="23"/>
                <w:color w:val="auto"/>
              </w:rPr>
            </w:pPr>
          </w:p>
        </w:tc>
        <w:tc>
          <w:tcPr>
            <w:tcW w:w="920" w:type="dxa"/>
            <w:vAlign w:val="bottom"/>
            <w:tcBorders>
              <w:bottom w:val="single" w:sz="8" w:color="auto"/>
            </w:tcBorders>
          </w:tcPr>
          <w:p>
            <w:pPr>
              <w:jc w:val="right"/>
              <w:ind w:right="24"/>
              <w:spacing w:after="0"/>
              <w:rPr>
                <w:sz w:val="20"/>
                <w:szCs w:val="20"/>
                <w:color w:val="auto"/>
              </w:rPr>
            </w:pPr>
            <w:r>
              <w:rPr>
                <w:rFonts w:ascii="Arial" w:cs="Arial" w:eastAsia="Arial" w:hAnsi="Arial"/>
                <w:sz w:val="15"/>
                <w:szCs w:val="15"/>
                <w:color w:val="auto"/>
              </w:rPr>
              <w:t>(48,265)</w:t>
            </w:r>
          </w:p>
        </w:tc>
        <w:tc>
          <w:tcPr>
            <w:tcW w:w="360" w:type="dxa"/>
            <w:vAlign w:val="bottom"/>
            <w:tcBorders>
              <w:bottom w:val="single" w:sz="8" w:color="auto"/>
            </w:tcBorders>
          </w:tcPr>
          <w:p>
            <w:pPr>
              <w:spacing w:after="0"/>
              <w:rPr>
                <w:sz w:val="23"/>
                <w:szCs w:val="23"/>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(145,807)</w:t>
            </w:r>
          </w:p>
        </w:tc>
        <w:tc>
          <w:tcPr>
            <w:tcW w:w="0" w:type="dxa"/>
            <w:vAlign w:val="bottom"/>
          </w:tcPr>
          <w:p>
            <w:pPr>
              <w:spacing w:after="0"/>
              <w:rPr>
                <w:sz w:val="1"/>
                <w:szCs w:val="1"/>
                <w:color w:val="auto"/>
              </w:rPr>
            </w:pPr>
          </w:p>
        </w:tc>
      </w:tr>
      <w:tr>
        <w:trPr>
          <w:trHeight w:val="261"/>
        </w:trPr>
        <w:tc>
          <w:tcPr>
            <w:tcW w:w="7780" w:type="dxa"/>
            <w:vAlign w:val="bottom"/>
          </w:tcPr>
          <w:p>
            <w:pPr>
              <w:ind w:left="500"/>
              <w:spacing w:after="0"/>
              <w:rPr>
                <w:sz w:val="20"/>
                <w:szCs w:val="20"/>
                <w:color w:val="auto"/>
              </w:rPr>
            </w:pPr>
            <w:r>
              <w:rPr>
                <w:rFonts w:ascii="Arial" w:cs="Arial" w:eastAsia="Arial" w:hAnsi="Arial"/>
                <w:sz w:val="15"/>
                <w:szCs w:val="15"/>
                <w:color w:val="auto"/>
              </w:rPr>
              <w:t>Net Cash Used in Investing Activities</w:t>
            </w:r>
          </w:p>
        </w:tc>
        <w:tc>
          <w:tcPr>
            <w:tcW w:w="26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right"/>
              <w:ind w:right="24"/>
              <w:spacing w:after="0"/>
              <w:rPr>
                <w:sz w:val="20"/>
                <w:szCs w:val="20"/>
                <w:color w:val="auto"/>
              </w:rPr>
            </w:pPr>
            <w:r>
              <w:rPr>
                <w:rFonts w:ascii="Arial" w:cs="Arial" w:eastAsia="Arial" w:hAnsi="Arial"/>
                <w:sz w:val="15"/>
                <w:szCs w:val="15"/>
                <w:b w:val="1"/>
                <w:bCs w:val="1"/>
                <w:color w:val="auto"/>
              </w:rPr>
              <w:t>(442,019)</w:t>
            </w:r>
          </w:p>
        </w:tc>
        <w:tc>
          <w:tcPr>
            <w:tcW w:w="32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jc w:val="right"/>
              <w:ind w:right="24"/>
              <w:spacing w:after="0"/>
              <w:rPr>
                <w:sz w:val="20"/>
                <w:szCs w:val="20"/>
                <w:color w:val="auto"/>
              </w:rPr>
            </w:pPr>
            <w:r>
              <w:rPr>
                <w:rFonts w:ascii="Arial" w:cs="Arial" w:eastAsia="Arial" w:hAnsi="Arial"/>
                <w:sz w:val="15"/>
                <w:szCs w:val="15"/>
                <w:color w:val="auto"/>
              </w:rPr>
              <w:t>(311,286)</w:t>
            </w:r>
          </w:p>
        </w:tc>
        <w:tc>
          <w:tcPr>
            <w:tcW w:w="360" w:type="dxa"/>
            <w:vAlign w:val="bottom"/>
            <w:tcBorders>
              <w:bottom w:val="single" w:sz="8" w:color="auto"/>
            </w:tcBorders>
          </w:tcPr>
          <w:p>
            <w:pPr>
              <w:spacing w:after="0"/>
              <w:rPr>
                <w:sz w:val="22"/>
                <w:szCs w:val="22"/>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(425,570)</w:t>
            </w:r>
          </w:p>
        </w:tc>
        <w:tc>
          <w:tcPr>
            <w:tcW w:w="0" w:type="dxa"/>
            <w:vAlign w:val="bottom"/>
          </w:tcPr>
          <w:p>
            <w:pPr>
              <w:spacing w:after="0"/>
              <w:rPr>
                <w:sz w:val="1"/>
                <w:szCs w:val="1"/>
                <w:color w:val="auto"/>
              </w:rPr>
            </w:pPr>
          </w:p>
        </w:tc>
      </w:tr>
      <w:tr>
        <w:trPr>
          <w:trHeight w:val="262"/>
        </w:trPr>
        <w:tc>
          <w:tcPr>
            <w:tcW w:w="7780" w:type="dxa"/>
            <w:vAlign w:val="bottom"/>
          </w:tcPr>
          <w:p>
            <w:pPr>
              <w:ind w:left="40"/>
              <w:spacing w:after="0"/>
              <w:rPr>
                <w:sz w:val="20"/>
                <w:szCs w:val="20"/>
                <w:color w:val="auto"/>
              </w:rPr>
            </w:pPr>
            <w:r>
              <w:rPr>
                <w:rFonts w:ascii="Arial" w:cs="Arial" w:eastAsia="Arial" w:hAnsi="Arial"/>
                <w:sz w:val="15"/>
                <w:szCs w:val="15"/>
                <w:b w:val="1"/>
                <w:bCs w:val="1"/>
                <w:color w:val="auto"/>
              </w:rPr>
              <w:t>Cash Flows from Financing Activities</w:t>
            </w:r>
          </w:p>
        </w:tc>
        <w:tc>
          <w:tcPr>
            <w:tcW w:w="26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0"/>
        </w:trPr>
        <w:tc>
          <w:tcPr>
            <w:tcW w:w="7780" w:type="dxa"/>
            <w:vAlign w:val="bottom"/>
          </w:tcPr>
          <w:p>
            <w:pPr>
              <w:ind w:left="280"/>
              <w:spacing w:after="0"/>
              <w:rPr>
                <w:sz w:val="20"/>
                <w:szCs w:val="20"/>
                <w:color w:val="auto"/>
              </w:rPr>
            </w:pPr>
            <w:r>
              <w:rPr>
                <w:rFonts w:ascii="Arial" w:cs="Arial" w:eastAsia="Arial" w:hAnsi="Arial"/>
                <w:sz w:val="15"/>
                <w:szCs w:val="15"/>
                <w:color w:val="auto"/>
              </w:rPr>
              <w:t>Common shares repurchased</w:t>
            </w:r>
          </w:p>
        </w:tc>
        <w:tc>
          <w:tcPr>
            <w:tcW w:w="260" w:type="dxa"/>
            <w:vAlign w:val="bottom"/>
          </w:tcPr>
          <w:p>
            <w:pPr>
              <w:spacing w:after="0"/>
              <w:rPr>
                <w:sz w:val="23"/>
                <w:szCs w:val="23"/>
                <w:color w:val="auto"/>
              </w:rPr>
            </w:pPr>
          </w:p>
        </w:tc>
        <w:tc>
          <w:tcPr>
            <w:tcW w:w="940" w:type="dxa"/>
            <w:vAlign w:val="bottom"/>
          </w:tcPr>
          <w:p>
            <w:pPr>
              <w:jc w:val="right"/>
              <w:ind w:right="24"/>
              <w:spacing w:after="0"/>
              <w:rPr>
                <w:sz w:val="20"/>
                <w:szCs w:val="20"/>
                <w:color w:val="auto"/>
              </w:rPr>
            </w:pPr>
            <w:r>
              <w:rPr>
                <w:rFonts w:ascii="Arial" w:cs="Arial" w:eastAsia="Arial" w:hAnsi="Arial"/>
                <w:sz w:val="15"/>
                <w:szCs w:val="15"/>
                <w:b w:val="1"/>
                <w:bCs w:val="1"/>
                <w:color w:val="auto"/>
              </w:rPr>
              <w:t>(50,770)</w:t>
            </w:r>
          </w:p>
        </w:tc>
        <w:tc>
          <w:tcPr>
            <w:tcW w:w="320" w:type="dxa"/>
            <w:vAlign w:val="bottom"/>
          </w:tcPr>
          <w:p>
            <w:pPr>
              <w:spacing w:after="0"/>
              <w:rPr>
                <w:sz w:val="23"/>
                <w:szCs w:val="23"/>
                <w:color w:val="auto"/>
              </w:rPr>
            </w:pPr>
          </w:p>
        </w:tc>
        <w:tc>
          <w:tcPr>
            <w:tcW w:w="920" w:type="dxa"/>
            <w:vAlign w:val="bottom"/>
          </w:tcPr>
          <w:p>
            <w:pPr>
              <w:jc w:val="right"/>
              <w:ind w:right="24"/>
              <w:spacing w:after="0"/>
              <w:rPr>
                <w:sz w:val="20"/>
                <w:szCs w:val="20"/>
                <w:color w:val="auto"/>
              </w:rPr>
            </w:pPr>
            <w:r>
              <w:rPr>
                <w:rFonts w:ascii="Arial" w:cs="Arial" w:eastAsia="Arial" w:hAnsi="Arial"/>
                <w:sz w:val="15"/>
                <w:szCs w:val="15"/>
                <w:color w:val="auto"/>
              </w:rPr>
              <w:t>(108,948)</w:t>
            </w:r>
          </w:p>
        </w:tc>
        <w:tc>
          <w:tcPr>
            <w:tcW w:w="360" w:type="dxa"/>
            <w:vAlign w:val="bottom"/>
          </w:tcPr>
          <w:p>
            <w:pPr>
              <w:spacing w:after="0"/>
              <w:rPr>
                <w:sz w:val="23"/>
                <w:szCs w:val="23"/>
                <w:color w:val="auto"/>
              </w:rPr>
            </w:pPr>
          </w:p>
        </w:tc>
        <w:tc>
          <w:tcPr>
            <w:tcW w:w="840" w:type="dxa"/>
            <w:vAlign w:val="bottom"/>
          </w:tcPr>
          <w:p>
            <w:pPr>
              <w:jc w:val="right"/>
              <w:spacing w:after="0"/>
              <w:rPr>
                <w:sz w:val="20"/>
                <w:szCs w:val="20"/>
                <w:color w:val="auto"/>
              </w:rPr>
            </w:pPr>
            <w:r>
              <w:rPr>
                <w:rFonts w:ascii="Arial" w:cs="Arial" w:eastAsia="Arial" w:hAnsi="Arial"/>
                <w:sz w:val="15"/>
                <w:szCs w:val="15"/>
                <w:color w:val="auto"/>
              </w:rPr>
              <w:t>(22,979)</w:t>
            </w:r>
          </w:p>
        </w:tc>
        <w:tc>
          <w:tcPr>
            <w:tcW w:w="0" w:type="dxa"/>
            <w:vAlign w:val="bottom"/>
          </w:tcPr>
          <w:p>
            <w:pPr>
              <w:spacing w:after="0"/>
              <w:rPr>
                <w:sz w:val="1"/>
                <w:szCs w:val="1"/>
                <w:color w:val="auto"/>
              </w:rPr>
            </w:pPr>
          </w:p>
        </w:tc>
      </w:tr>
      <w:tr>
        <w:trPr>
          <w:trHeight w:val="270"/>
        </w:trPr>
        <w:tc>
          <w:tcPr>
            <w:tcW w:w="7780" w:type="dxa"/>
            <w:vAlign w:val="bottom"/>
          </w:tcPr>
          <w:p>
            <w:pPr>
              <w:ind w:left="280"/>
              <w:spacing w:after="0"/>
              <w:rPr>
                <w:sz w:val="20"/>
                <w:szCs w:val="20"/>
                <w:color w:val="auto"/>
              </w:rPr>
            </w:pPr>
            <w:r>
              <w:rPr>
                <w:rFonts w:ascii="Arial" w:cs="Arial" w:eastAsia="Arial" w:hAnsi="Arial"/>
                <w:sz w:val="15"/>
                <w:szCs w:val="15"/>
                <w:color w:val="auto"/>
              </w:rPr>
              <w:t>Dividends paid</w:t>
            </w:r>
          </w:p>
        </w:tc>
        <w:tc>
          <w:tcPr>
            <w:tcW w:w="260" w:type="dxa"/>
            <w:vAlign w:val="bottom"/>
          </w:tcPr>
          <w:p>
            <w:pPr>
              <w:spacing w:after="0"/>
              <w:rPr>
                <w:sz w:val="23"/>
                <w:szCs w:val="23"/>
                <w:color w:val="auto"/>
              </w:rPr>
            </w:pPr>
          </w:p>
        </w:tc>
        <w:tc>
          <w:tcPr>
            <w:tcW w:w="940" w:type="dxa"/>
            <w:vAlign w:val="bottom"/>
          </w:tcPr>
          <w:p>
            <w:pPr>
              <w:jc w:val="right"/>
              <w:ind w:right="24"/>
              <w:spacing w:after="0"/>
              <w:rPr>
                <w:sz w:val="20"/>
                <w:szCs w:val="20"/>
                <w:color w:val="auto"/>
              </w:rPr>
            </w:pPr>
            <w:r>
              <w:rPr>
                <w:rFonts w:ascii="Arial" w:cs="Arial" w:eastAsia="Arial" w:hAnsi="Arial"/>
                <w:sz w:val="15"/>
                <w:szCs w:val="15"/>
                <w:b w:val="1"/>
                <w:bCs w:val="1"/>
                <w:color w:val="auto"/>
              </w:rPr>
              <w:t>(28,329)</w:t>
            </w:r>
          </w:p>
        </w:tc>
        <w:tc>
          <w:tcPr>
            <w:tcW w:w="320" w:type="dxa"/>
            <w:vAlign w:val="bottom"/>
          </w:tcPr>
          <w:p>
            <w:pPr>
              <w:spacing w:after="0"/>
              <w:rPr>
                <w:sz w:val="23"/>
                <w:szCs w:val="23"/>
                <w:color w:val="auto"/>
              </w:rPr>
            </w:pPr>
          </w:p>
        </w:tc>
        <w:tc>
          <w:tcPr>
            <w:tcW w:w="920" w:type="dxa"/>
            <w:vAlign w:val="bottom"/>
          </w:tcPr>
          <w:p>
            <w:pPr>
              <w:jc w:val="right"/>
              <w:ind w:right="24"/>
              <w:spacing w:after="0"/>
              <w:rPr>
                <w:sz w:val="20"/>
                <w:szCs w:val="20"/>
                <w:color w:val="auto"/>
              </w:rPr>
            </w:pPr>
            <w:r>
              <w:rPr>
                <w:rFonts w:ascii="Arial" w:cs="Arial" w:eastAsia="Arial" w:hAnsi="Arial"/>
                <w:sz w:val="15"/>
                <w:szCs w:val="15"/>
                <w:color w:val="auto"/>
              </w:rPr>
              <w:t>(27,325)</w:t>
            </w:r>
          </w:p>
        </w:tc>
        <w:tc>
          <w:tcPr>
            <w:tcW w:w="360" w:type="dxa"/>
            <w:vAlign w:val="bottom"/>
          </w:tcPr>
          <w:p>
            <w:pPr>
              <w:spacing w:after="0"/>
              <w:rPr>
                <w:sz w:val="23"/>
                <w:szCs w:val="23"/>
                <w:color w:val="auto"/>
              </w:rPr>
            </w:pPr>
          </w:p>
        </w:tc>
        <w:tc>
          <w:tcPr>
            <w:tcW w:w="840" w:type="dxa"/>
            <w:vAlign w:val="bottom"/>
          </w:tcPr>
          <w:p>
            <w:pPr>
              <w:jc w:val="right"/>
              <w:spacing w:after="0"/>
              <w:rPr>
                <w:sz w:val="20"/>
                <w:szCs w:val="20"/>
                <w:color w:val="auto"/>
              </w:rPr>
            </w:pPr>
            <w:r>
              <w:rPr>
                <w:rFonts w:ascii="Arial" w:cs="Arial" w:eastAsia="Arial" w:hAnsi="Arial"/>
                <w:sz w:val="15"/>
                <w:szCs w:val="15"/>
                <w:color w:val="auto"/>
              </w:rPr>
              <w:t>(53,721)</w:t>
            </w:r>
          </w:p>
        </w:tc>
        <w:tc>
          <w:tcPr>
            <w:tcW w:w="0" w:type="dxa"/>
            <w:vAlign w:val="bottom"/>
          </w:tcPr>
          <w:p>
            <w:pPr>
              <w:spacing w:after="0"/>
              <w:rPr>
                <w:sz w:val="1"/>
                <w:szCs w:val="1"/>
                <w:color w:val="auto"/>
              </w:rPr>
            </w:pPr>
          </w:p>
        </w:tc>
      </w:tr>
      <w:tr>
        <w:trPr>
          <w:trHeight w:val="270"/>
        </w:trPr>
        <w:tc>
          <w:tcPr>
            <w:tcW w:w="7780" w:type="dxa"/>
            <w:vAlign w:val="bottom"/>
          </w:tcPr>
          <w:p>
            <w:pPr>
              <w:ind w:left="280"/>
              <w:spacing w:after="0"/>
              <w:rPr>
                <w:sz w:val="20"/>
                <w:szCs w:val="20"/>
                <w:color w:val="auto"/>
              </w:rPr>
            </w:pPr>
            <w:r>
              <w:rPr>
                <w:rFonts w:ascii="Arial" w:cs="Arial" w:eastAsia="Arial" w:hAnsi="Arial"/>
                <w:sz w:val="15"/>
                <w:szCs w:val="15"/>
                <w:color w:val="auto"/>
              </w:rPr>
              <w:t>(Repayments of) proceeds from bank overdrafts</w:t>
            </w:r>
          </w:p>
        </w:tc>
        <w:tc>
          <w:tcPr>
            <w:tcW w:w="260" w:type="dxa"/>
            <w:vAlign w:val="bottom"/>
          </w:tcPr>
          <w:p>
            <w:pPr>
              <w:spacing w:after="0"/>
              <w:rPr>
                <w:sz w:val="23"/>
                <w:szCs w:val="23"/>
                <w:color w:val="auto"/>
              </w:rPr>
            </w:pPr>
          </w:p>
        </w:tc>
        <w:tc>
          <w:tcPr>
            <w:tcW w:w="940" w:type="dxa"/>
            <w:vAlign w:val="bottom"/>
          </w:tcPr>
          <w:p>
            <w:pPr>
              <w:jc w:val="right"/>
              <w:ind w:right="24"/>
              <w:spacing w:after="0"/>
              <w:rPr>
                <w:sz w:val="20"/>
                <w:szCs w:val="20"/>
                <w:color w:val="auto"/>
              </w:rPr>
            </w:pPr>
            <w:r>
              <w:rPr>
                <w:rFonts w:ascii="Arial" w:cs="Arial" w:eastAsia="Arial" w:hAnsi="Arial"/>
                <w:sz w:val="15"/>
                <w:szCs w:val="15"/>
                <w:b w:val="1"/>
                <w:bCs w:val="1"/>
                <w:color w:val="auto"/>
              </w:rPr>
              <w:t>(9,505)</w:t>
            </w:r>
          </w:p>
        </w:tc>
        <w:tc>
          <w:tcPr>
            <w:tcW w:w="320" w:type="dxa"/>
            <w:vAlign w:val="bottom"/>
          </w:tcPr>
          <w:p>
            <w:pPr>
              <w:spacing w:after="0"/>
              <w:rPr>
                <w:sz w:val="23"/>
                <w:szCs w:val="23"/>
                <w:color w:val="auto"/>
              </w:rPr>
            </w:pPr>
          </w:p>
        </w:tc>
        <w:tc>
          <w:tcPr>
            <w:tcW w:w="920" w:type="dxa"/>
            <w:vAlign w:val="bottom"/>
          </w:tcPr>
          <w:p>
            <w:pPr>
              <w:jc w:val="right"/>
              <w:ind w:right="84"/>
              <w:spacing w:after="0"/>
              <w:rPr>
                <w:sz w:val="20"/>
                <w:szCs w:val="20"/>
                <w:color w:val="auto"/>
              </w:rPr>
            </w:pPr>
            <w:r>
              <w:rPr>
                <w:rFonts w:ascii="Arial" w:cs="Arial" w:eastAsia="Arial" w:hAnsi="Arial"/>
                <w:sz w:val="15"/>
                <w:szCs w:val="15"/>
                <w:color w:val="auto"/>
              </w:rPr>
              <w:t>14,429</w:t>
            </w:r>
          </w:p>
        </w:tc>
        <w:tc>
          <w:tcPr>
            <w:tcW w:w="360" w:type="dxa"/>
            <w:vAlign w:val="bottom"/>
          </w:tcPr>
          <w:p>
            <w:pPr>
              <w:spacing w:after="0"/>
              <w:rPr>
                <w:sz w:val="23"/>
                <w:szCs w:val="23"/>
                <w:color w:val="auto"/>
              </w:rPr>
            </w:pPr>
          </w:p>
        </w:tc>
        <w:tc>
          <w:tcPr>
            <w:tcW w:w="840" w:type="dxa"/>
            <w:vAlign w:val="bottom"/>
          </w:tcPr>
          <w:p>
            <w:pPr>
              <w:jc w:val="right"/>
              <w:ind w:right="24"/>
              <w:spacing w:after="0"/>
              <w:rPr>
                <w:sz w:val="20"/>
                <w:szCs w:val="20"/>
                <w:color w:val="auto"/>
              </w:rPr>
            </w:pPr>
            <w:r>
              <w:rPr>
                <w:rFonts w:ascii="Arial" w:cs="Arial" w:eastAsia="Arial" w:hAnsi="Arial"/>
                <w:sz w:val="15"/>
                <w:szCs w:val="15"/>
                <w:color w:val="auto"/>
              </w:rPr>
              <w:t>1,095</w:t>
            </w:r>
          </w:p>
        </w:tc>
        <w:tc>
          <w:tcPr>
            <w:tcW w:w="0" w:type="dxa"/>
            <w:vAlign w:val="bottom"/>
          </w:tcPr>
          <w:p>
            <w:pPr>
              <w:spacing w:after="0"/>
              <w:rPr>
                <w:sz w:val="1"/>
                <w:szCs w:val="1"/>
                <w:color w:val="auto"/>
              </w:rPr>
            </w:pPr>
          </w:p>
        </w:tc>
      </w:tr>
      <w:tr>
        <w:trPr>
          <w:trHeight w:val="270"/>
        </w:trPr>
        <w:tc>
          <w:tcPr>
            <w:tcW w:w="7780" w:type="dxa"/>
            <w:vAlign w:val="bottom"/>
          </w:tcPr>
          <w:p>
            <w:pPr>
              <w:ind w:left="280"/>
              <w:spacing w:after="0"/>
              <w:rPr>
                <w:sz w:val="20"/>
                <w:szCs w:val="20"/>
                <w:color w:val="auto"/>
              </w:rPr>
            </w:pPr>
            <w:r>
              <w:rPr>
                <w:rFonts w:ascii="Arial" w:cs="Arial" w:eastAsia="Arial" w:hAnsi="Arial"/>
                <w:sz w:val="15"/>
                <w:szCs w:val="15"/>
                <w:color w:val="auto"/>
              </w:rPr>
              <w:t>Repayments of borrowings</w:t>
            </w:r>
          </w:p>
        </w:tc>
        <w:tc>
          <w:tcPr>
            <w:tcW w:w="260" w:type="dxa"/>
            <w:vAlign w:val="bottom"/>
          </w:tcPr>
          <w:p>
            <w:pPr>
              <w:spacing w:after="0"/>
              <w:rPr>
                <w:sz w:val="23"/>
                <w:szCs w:val="23"/>
                <w:color w:val="auto"/>
              </w:rPr>
            </w:pPr>
          </w:p>
        </w:tc>
        <w:tc>
          <w:tcPr>
            <w:tcW w:w="940" w:type="dxa"/>
            <w:vAlign w:val="bottom"/>
          </w:tcPr>
          <w:p>
            <w:pPr>
              <w:jc w:val="right"/>
              <w:ind w:right="24"/>
              <w:spacing w:after="0"/>
              <w:rPr>
                <w:sz w:val="20"/>
                <w:szCs w:val="20"/>
                <w:color w:val="auto"/>
              </w:rPr>
            </w:pPr>
            <w:r>
              <w:rPr>
                <w:rFonts w:ascii="Arial" w:cs="Arial" w:eastAsia="Arial" w:hAnsi="Arial"/>
                <w:sz w:val="15"/>
                <w:szCs w:val="15"/>
                <w:b w:val="1"/>
                <w:bCs w:val="1"/>
                <w:color w:val="auto"/>
              </w:rPr>
              <w:t>(7,715)</w:t>
            </w:r>
          </w:p>
        </w:tc>
        <w:tc>
          <w:tcPr>
            <w:tcW w:w="320" w:type="dxa"/>
            <w:vAlign w:val="bottom"/>
          </w:tcPr>
          <w:p>
            <w:pPr>
              <w:spacing w:after="0"/>
              <w:rPr>
                <w:sz w:val="23"/>
                <w:szCs w:val="23"/>
                <w:color w:val="auto"/>
              </w:rPr>
            </w:pPr>
          </w:p>
        </w:tc>
        <w:tc>
          <w:tcPr>
            <w:tcW w:w="920" w:type="dxa"/>
            <w:vAlign w:val="bottom"/>
          </w:tcPr>
          <w:p>
            <w:pPr>
              <w:jc w:val="right"/>
              <w:ind w:right="84"/>
              <w:spacing w:after="0"/>
              <w:rPr>
                <w:sz w:val="20"/>
                <w:szCs w:val="20"/>
                <w:color w:val="auto"/>
              </w:rPr>
            </w:pPr>
            <w:r>
              <w:rPr>
                <w:rFonts w:ascii="Arial" w:cs="Arial" w:eastAsia="Arial" w:hAnsi="Arial"/>
                <w:sz w:val="15"/>
                <w:szCs w:val="15"/>
                <w:color w:val="auto"/>
              </w:rPr>
              <w:t>—</w:t>
            </w:r>
          </w:p>
        </w:tc>
        <w:tc>
          <w:tcPr>
            <w:tcW w:w="360" w:type="dxa"/>
            <w:vAlign w:val="bottom"/>
          </w:tcPr>
          <w:p>
            <w:pPr>
              <w:spacing w:after="0"/>
              <w:rPr>
                <w:sz w:val="23"/>
                <w:szCs w:val="23"/>
                <w:color w:val="auto"/>
              </w:rPr>
            </w:pPr>
          </w:p>
        </w:tc>
        <w:tc>
          <w:tcPr>
            <w:tcW w:w="840" w:type="dxa"/>
            <w:vAlign w:val="bottom"/>
          </w:tcPr>
          <w:p>
            <w:pPr>
              <w:jc w:val="right"/>
              <w:spacing w:after="0"/>
              <w:rPr>
                <w:sz w:val="20"/>
                <w:szCs w:val="20"/>
                <w:color w:val="auto"/>
              </w:rPr>
            </w:pPr>
            <w:r>
              <w:rPr>
                <w:rFonts w:ascii="Arial" w:cs="Arial" w:eastAsia="Arial" w:hAnsi="Arial"/>
                <w:sz w:val="15"/>
                <w:szCs w:val="15"/>
                <w:color w:val="auto"/>
              </w:rPr>
              <w:t>(44,815)</w:t>
            </w:r>
          </w:p>
        </w:tc>
        <w:tc>
          <w:tcPr>
            <w:tcW w:w="0" w:type="dxa"/>
            <w:vAlign w:val="bottom"/>
          </w:tcPr>
          <w:p>
            <w:pPr>
              <w:spacing w:after="0"/>
              <w:rPr>
                <w:sz w:val="1"/>
                <w:szCs w:val="1"/>
                <w:color w:val="auto"/>
              </w:rPr>
            </w:pPr>
          </w:p>
        </w:tc>
      </w:tr>
      <w:tr>
        <w:trPr>
          <w:trHeight w:val="270"/>
        </w:trPr>
        <w:tc>
          <w:tcPr>
            <w:tcW w:w="7780" w:type="dxa"/>
            <w:vAlign w:val="bottom"/>
          </w:tcPr>
          <w:p>
            <w:pPr>
              <w:ind w:left="280"/>
              <w:spacing w:after="0"/>
              <w:rPr>
                <w:sz w:val="20"/>
                <w:szCs w:val="20"/>
                <w:color w:val="auto"/>
              </w:rPr>
            </w:pPr>
            <w:r>
              <w:rPr>
                <w:rFonts w:ascii="Arial" w:cs="Arial" w:eastAsia="Arial" w:hAnsi="Arial"/>
                <w:sz w:val="15"/>
                <w:szCs w:val="15"/>
                <w:color w:val="auto"/>
              </w:rPr>
              <w:t>Deferred payments of acquisition and noncontrolling interest</w:t>
            </w:r>
          </w:p>
        </w:tc>
        <w:tc>
          <w:tcPr>
            <w:tcW w:w="260" w:type="dxa"/>
            <w:vAlign w:val="bottom"/>
          </w:tcPr>
          <w:p>
            <w:pPr>
              <w:spacing w:after="0"/>
              <w:rPr>
                <w:sz w:val="23"/>
                <w:szCs w:val="23"/>
                <w:color w:val="auto"/>
              </w:rPr>
            </w:pPr>
          </w:p>
        </w:tc>
        <w:tc>
          <w:tcPr>
            <w:tcW w:w="940" w:type="dxa"/>
            <w:vAlign w:val="bottom"/>
          </w:tcPr>
          <w:p>
            <w:pPr>
              <w:jc w:val="right"/>
              <w:ind w:right="24"/>
              <w:spacing w:after="0"/>
              <w:rPr>
                <w:sz w:val="20"/>
                <w:szCs w:val="20"/>
                <w:color w:val="auto"/>
              </w:rPr>
            </w:pPr>
            <w:r>
              <w:rPr>
                <w:rFonts w:ascii="Arial" w:cs="Arial" w:eastAsia="Arial" w:hAnsi="Arial"/>
                <w:sz w:val="15"/>
                <w:szCs w:val="15"/>
                <w:b w:val="1"/>
                <w:bCs w:val="1"/>
                <w:color w:val="auto"/>
              </w:rPr>
              <w:t>(5,187)</w:t>
            </w:r>
          </w:p>
        </w:tc>
        <w:tc>
          <w:tcPr>
            <w:tcW w:w="320" w:type="dxa"/>
            <w:vAlign w:val="bottom"/>
          </w:tcPr>
          <w:p>
            <w:pPr>
              <w:spacing w:after="0"/>
              <w:rPr>
                <w:sz w:val="23"/>
                <w:szCs w:val="23"/>
                <w:color w:val="auto"/>
              </w:rPr>
            </w:pPr>
          </w:p>
        </w:tc>
        <w:tc>
          <w:tcPr>
            <w:tcW w:w="920" w:type="dxa"/>
            <w:vAlign w:val="bottom"/>
          </w:tcPr>
          <w:p>
            <w:pPr>
              <w:jc w:val="right"/>
              <w:ind w:right="84"/>
              <w:spacing w:after="0"/>
              <w:rPr>
                <w:sz w:val="20"/>
                <w:szCs w:val="20"/>
                <w:color w:val="auto"/>
              </w:rPr>
            </w:pPr>
            <w:r>
              <w:rPr>
                <w:rFonts w:ascii="Arial" w:cs="Arial" w:eastAsia="Arial" w:hAnsi="Arial"/>
                <w:sz w:val="15"/>
                <w:szCs w:val="15"/>
                <w:color w:val="auto"/>
              </w:rPr>
              <w:t>—</w:t>
            </w:r>
          </w:p>
        </w:tc>
        <w:tc>
          <w:tcPr>
            <w:tcW w:w="360" w:type="dxa"/>
            <w:vAlign w:val="bottom"/>
          </w:tcPr>
          <w:p>
            <w:pPr>
              <w:spacing w:after="0"/>
              <w:rPr>
                <w:sz w:val="23"/>
                <w:szCs w:val="23"/>
                <w:color w:val="auto"/>
              </w:rPr>
            </w:pPr>
          </w:p>
        </w:tc>
        <w:tc>
          <w:tcPr>
            <w:tcW w:w="840" w:type="dxa"/>
            <w:vAlign w:val="bottom"/>
          </w:tcPr>
          <w:p>
            <w:pPr>
              <w:jc w:val="right"/>
              <w:ind w:right="24"/>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270"/>
        </w:trPr>
        <w:tc>
          <w:tcPr>
            <w:tcW w:w="7780" w:type="dxa"/>
            <w:vAlign w:val="bottom"/>
          </w:tcPr>
          <w:p>
            <w:pPr>
              <w:ind w:left="280"/>
              <w:spacing w:after="0"/>
              <w:rPr>
                <w:sz w:val="20"/>
                <w:szCs w:val="20"/>
                <w:color w:val="auto"/>
              </w:rPr>
            </w:pPr>
            <w:r>
              <w:rPr>
                <w:rFonts w:ascii="Arial" w:cs="Arial" w:eastAsia="Arial" w:hAnsi="Arial"/>
                <w:sz w:val="15"/>
                <w:szCs w:val="15"/>
                <w:color w:val="auto"/>
              </w:rPr>
              <w:t>Proceeds from exercise of stock options</w:t>
            </w:r>
          </w:p>
        </w:tc>
        <w:tc>
          <w:tcPr>
            <w:tcW w:w="260" w:type="dxa"/>
            <w:vAlign w:val="bottom"/>
          </w:tcPr>
          <w:p>
            <w:pPr>
              <w:spacing w:after="0"/>
              <w:rPr>
                <w:sz w:val="23"/>
                <w:szCs w:val="23"/>
                <w:color w:val="auto"/>
              </w:rPr>
            </w:pPr>
          </w:p>
        </w:tc>
        <w:tc>
          <w:tcPr>
            <w:tcW w:w="940" w:type="dxa"/>
            <w:vAlign w:val="bottom"/>
          </w:tcPr>
          <w:p>
            <w:pPr>
              <w:jc w:val="right"/>
              <w:ind w:right="84"/>
              <w:spacing w:after="0"/>
              <w:rPr>
                <w:sz w:val="20"/>
                <w:szCs w:val="20"/>
                <w:color w:val="auto"/>
              </w:rPr>
            </w:pPr>
            <w:r>
              <w:rPr>
                <w:rFonts w:ascii="Arial" w:cs="Arial" w:eastAsia="Arial" w:hAnsi="Arial"/>
                <w:sz w:val="15"/>
                <w:szCs w:val="15"/>
                <w:b w:val="1"/>
                <w:bCs w:val="1"/>
                <w:color w:val="auto"/>
              </w:rPr>
              <w:t>1,400</w:t>
            </w:r>
          </w:p>
        </w:tc>
        <w:tc>
          <w:tcPr>
            <w:tcW w:w="320" w:type="dxa"/>
            <w:vAlign w:val="bottom"/>
          </w:tcPr>
          <w:p>
            <w:pPr>
              <w:spacing w:after="0"/>
              <w:rPr>
                <w:sz w:val="23"/>
                <w:szCs w:val="23"/>
                <w:color w:val="auto"/>
              </w:rPr>
            </w:pPr>
          </w:p>
        </w:tc>
        <w:tc>
          <w:tcPr>
            <w:tcW w:w="920" w:type="dxa"/>
            <w:vAlign w:val="bottom"/>
          </w:tcPr>
          <w:p>
            <w:pPr>
              <w:jc w:val="right"/>
              <w:ind w:right="84"/>
              <w:spacing w:after="0"/>
              <w:rPr>
                <w:sz w:val="20"/>
                <w:szCs w:val="20"/>
                <w:color w:val="auto"/>
              </w:rPr>
            </w:pPr>
            <w:r>
              <w:rPr>
                <w:rFonts w:ascii="Arial" w:cs="Arial" w:eastAsia="Arial" w:hAnsi="Arial"/>
                <w:sz w:val="15"/>
                <w:szCs w:val="15"/>
                <w:color w:val="auto"/>
              </w:rPr>
              <w:t>1,247</w:t>
            </w:r>
          </w:p>
        </w:tc>
        <w:tc>
          <w:tcPr>
            <w:tcW w:w="360" w:type="dxa"/>
            <w:vAlign w:val="bottom"/>
          </w:tcPr>
          <w:p>
            <w:pPr>
              <w:spacing w:after="0"/>
              <w:rPr>
                <w:sz w:val="23"/>
                <w:szCs w:val="23"/>
                <w:color w:val="auto"/>
              </w:rPr>
            </w:pPr>
          </w:p>
        </w:tc>
        <w:tc>
          <w:tcPr>
            <w:tcW w:w="840" w:type="dxa"/>
            <w:vAlign w:val="bottom"/>
          </w:tcPr>
          <w:p>
            <w:pPr>
              <w:jc w:val="right"/>
              <w:ind w:right="24"/>
              <w:spacing w:after="0"/>
              <w:rPr>
                <w:sz w:val="20"/>
                <w:szCs w:val="20"/>
                <w:color w:val="auto"/>
              </w:rPr>
            </w:pPr>
            <w:r>
              <w:rPr>
                <w:rFonts w:ascii="Arial" w:cs="Arial" w:eastAsia="Arial" w:hAnsi="Arial"/>
                <w:sz w:val="15"/>
                <w:szCs w:val="15"/>
                <w:color w:val="auto"/>
              </w:rPr>
              <w:t>15,312</w:t>
            </w:r>
          </w:p>
        </w:tc>
        <w:tc>
          <w:tcPr>
            <w:tcW w:w="0" w:type="dxa"/>
            <w:vAlign w:val="bottom"/>
          </w:tcPr>
          <w:p>
            <w:pPr>
              <w:spacing w:after="0"/>
              <w:rPr>
                <w:sz w:val="1"/>
                <w:szCs w:val="1"/>
                <w:color w:val="auto"/>
              </w:rPr>
            </w:pPr>
          </w:p>
        </w:tc>
      </w:tr>
      <w:tr>
        <w:trPr>
          <w:trHeight w:val="270"/>
        </w:trPr>
        <w:tc>
          <w:tcPr>
            <w:tcW w:w="7780" w:type="dxa"/>
            <w:vAlign w:val="bottom"/>
          </w:tcPr>
          <w:p>
            <w:pPr>
              <w:ind w:left="280"/>
              <w:spacing w:after="0"/>
              <w:rPr>
                <w:sz w:val="20"/>
                <w:szCs w:val="20"/>
                <w:color w:val="auto"/>
              </w:rPr>
            </w:pPr>
            <w:r>
              <w:rPr>
                <w:rFonts w:ascii="Arial" w:cs="Arial" w:eastAsia="Arial" w:hAnsi="Arial"/>
                <w:sz w:val="15"/>
                <w:szCs w:val="15"/>
                <w:color w:val="auto"/>
              </w:rPr>
              <w:t>Issuance of borrowings</w:t>
            </w:r>
          </w:p>
        </w:tc>
        <w:tc>
          <w:tcPr>
            <w:tcW w:w="260" w:type="dxa"/>
            <w:vAlign w:val="bottom"/>
          </w:tcPr>
          <w:p>
            <w:pPr>
              <w:spacing w:after="0"/>
              <w:rPr>
                <w:sz w:val="23"/>
                <w:szCs w:val="23"/>
                <w:color w:val="auto"/>
              </w:rPr>
            </w:pPr>
          </w:p>
        </w:tc>
        <w:tc>
          <w:tcPr>
            <w:tcW w:w="940" w:type="dxa"/>
            <w:vAlign w:val="bottom"/>
          </w:tcPr>
          <w:p>
            <w:pPr>
              <w:jc w:val="right"/>
              <w:ind w:right="84"/>
              <w:spacing w:after="0"/>
              <w:rPr>
                <w:sz w:val="20"/>
                <w:szCs w:val="20"/>
                <w:color w:val="auto"/>
              </w:rPr>
            </w:pPr>
            <w:r>
              <w:rPr>
                <w:rFonts w:ascii="Arial" w:cs="Arial" w:eastAsia="Arial" w:hAnsi="Arial"/>
                <w:sz w:val="15"/>
                <w:szCs w:val="15"/>
                <w:b w:val="1"/>
                <w:bCs w:val="1"/>
                <w:color w:val="auto"/>
              </w:rPr>
              <w:t>—</w:t>
            </w:r>
          </w:p>
        </w:tc>
        <w:tc>
          <w:tcPr>
            <w:tcW w:w="320" w:type="dxa"/>
            <w:vAlign w:val="bottom"/>
          </w:tcPr>
          <w:p>
            <w:pPr>
              <w:spacing w:after="0"/>
              <w:rPr>
                <w:sz w:val="23"/>
                <w:szCs w:val="23"/>
                <w:color w:val="auto"/>
              </w:rPr>
            </w:pPr>
          </w:p>
        </w:tc>
        <w:tc>
          <w:tcPr>
            <w:tcW w:w="920" w:type="dxa"/>
            <w:vAlign w:val="bottom"/>
          </w:tcPr>
          <w:p>
            <w:pPr>
              <w:jc w:val="right"/>
              <w:ind w:right="84"/>
              <w:spacing w:after="0"/>
              <w:rPr>
                <w:sz w:val="20"/>
                <w:szCs w:val="20"/>
                <w:color w:val="auto"/>
              </w:rPr>
            </w:pPr>
            <w:r>
              <w:rPr>
                <w:rFonts w:ascii="Arial" w:cs="Arial" w:eastAsia="Arial" w:hAnsi="Arial"/>
                <w:sz w:val="15"/>
                <w:szCs w:val="15"/>
                <w:color w:val="auto"/>
              </w:rPr>
              <w:t>98,610</w:t>
            </w:r>
          </w:p>
        </w:tc>
        <w:tc>
          <w:tcPr>
            <w:tcW w:w="360" w:type="dxa"/>
            <w:vAlign w:val="bottom"/>
          </w:tcPr>
          <w:p>
            <w:pPr>
              <w:spacing w:after="0"/>
              <w:rPr>
                <w:sz w:val="23"/>
                <w:szCs w:val="23"/>
                <w:color w:val="auto"/>
              </w:rPr>
            </w:pPr>
          </w:p>
        </w:tc>
        <w:tc>
          <w:tcPr>
            <w:tcW w:w="840" w:type="dxa"/>
            <w:vAlign w:val="bottom"/>
          </w:tcPr>
          <w:p>
            <w:pPr>
              <w:jc w:val="right"/>
              <w:ind w:right="24"/>
              <w:spacing w:after="0"/>
              <w:rPr>
                <w:sz w:val="20"/>
                <w:szCs w:val="20"/>
                <w:color w:val="auto"/>
              </w:rPr>
            </w:pPr>
            <w:r>
              <w:rPr>
                <w:rFonts w:ascii="Arial" w:cs="Arial" w:eastAsia="Arial" w:hAnsi="Arial"/>
                <w:sz w:val="15"/>
                <w:szCs w:val="15"/>
                <w:color w:val="auto"/>
              </w:rPr>
              <w:t>550,000</w:t>
            </w:r>
          </w:p>
        </w:tc>
        <w:tc>
          <w:tcPr>
            <w:tcW w:w="0" w:type="dxa"/>
            <w:vAlign w:val="bottom"/>
          </w:tcPr>
          <w:p>
            <w:pPr>
              <w:spacing w:after="0"/>
              <w:rPr>
                <w:sz w:val="1"/>
                <w:szCs w:val="1"/>
                <w:color w:val="auto"/>
              </w:rPr>
            </w:pPr>
          </w:p>
        </w:tc>
      </w:tr>
      <w:tr>
        <w:trPr>
          <w:trHeight w:val="270"/>
        </w:trPr>
        <w:tc>
          <w:tcPr>
            <w:tcW w:w="7780" w:type="dxa"/>
            <w:vAlign w:val="bottom"/>
          </w:tcPr>
          <w:p>
            <w:pPr>
              <w:ind w:left="280"/>
              <w:spacing w:after="0"/>
              <w:rPr>
                <w:sz w:val="20"/>
                <w:szCs w:val="20"/>
                <w:color w:val="auto"/>
              </w:rPr>
            </w:pPr>
            <w:r>
              <w:rPr>
                <w:rFonts w:ascii="Arial" w:cs="Arial" w:eastAsia="Arial" w:hAnsi="Arial"/>
                <w:sz w:val="15"/>
                <w:szCs w:val="15"/>
                <w:color w:val="auto"/>
              </w:rPr>
              <w:t>Cash distributed to Cable ONE in spin-off</w:t>
            </w:r>
          </w:p>
        </w:tc>
        <w:tc>
          <w:tcPr>
            <w:tcW w:w="260" w:type="dxa"/>
            <w:vAlign w:val="bottom"/>
          </w:tcPr>
          <w:p>
            <w:pPr>
              <w:spacing w:after="0"/>
              <w:rPr>
                <w:sz w:val="23"/>
                <w:szCs w:val="23"/>
                <w:color w:val="auto"/>
              </w:rPr>
            </w:pPr>
          </w:p>
        </w:tc>
        <w:tc>
          <w:tcPr>
            <w:tcW w:w="940" w:type="dxa"/>
            <w:vAlign w:val="bottom"/>
          </w:tcPr>
          <w:p>
            <w:pPr>
              <w:jc w:val="right"/>
              <w:ind w:right="84"/>
              <w:spacing w:after="0"/>
              <w:rPr>
                <w:sz w:val="20"/>
                <w:szCs w:val="20"/>
                <w:color w:val="auto"/>
              </w:rPr>
            </w:pPr>
            <w:r>
              <w:rPr>
                <w:rFonts w:ascii="Arial" w:cs="Arial" w:eastAsia="Arial" w:hAnsi="Arial"/>
                <w:sz w:val="15"/>
                <w:szCs w:val="15"/>
                <w:b w:val="1"/>
                <w:bCs w:val="1"/>
                <w:color w:val="auto"/>
              </w:rPr>
              <w:t>—</w:t>
            </w:r>
          </w:p>
        </w:tc>
        <w:tc>
          <w:tcPr>
            <w:tcW w:w="320" w:type="dxa"/>
            <w:vAlign w:val="bottom"/>
          </w:tcPr>
          <w:p>
            <w:pPr>
              <w:spacing w:after="0"/>
              <w:rPr>
                <w:sz w:val="23"/>
                <w:szCs w:val="23"/>
                <w:color w:val="auto"/>
              </w:rPr>
            </w:pPr>
          </w:p>
        </w:tc>
        <w:tc>
          <w:tcPr>
            <w:tcW w:w="920" w:type="dxa"/>
            <w:vAlign w:val="bottom"/>
          </w:tcPr>
          <w:p>
            <w:pPr>
              <w:jc w:val="right"/>
              <w:ind w:right="84"/>
              <w:spacing w:after="0"/>
              <w:rPr>
                <w:sz w:val="20"/>
                <w:szCs w:val="20"/>
                <w:color w:val="auto"/>
              </w:rPr>
            </w:pPr>
            <w:r>
              <w:rPr>
                <w:rFonts w:ascii="Arial" w:cs="Arial" w:eastAsia="Arial" w:hAnsi="Arial"/>
                <w:sz w:val="15"/>
                <w:szCs w:val="15"/>
                <w:color w:val="auto"/>
              </w:rPr>
              <w:t>—</w:t>
            </w:r>
          </w:p>
        </w:tc>
        <w:tc>
          <w:tcPr>
            <w:tcW w:w="360" w:type="dxa"/>
            <w:vAlign w:val="bottom"/>
          </w:tcPr>
          <w:p>
            <w:pPr>
              <w:spacing w:after="0"/>
              <w:rPr>
                <w:sz w:val="23"/>
                <w:szCs w:val="23"/>
                <w:color w:val="auto"/>
              </w:rPr>
            </w:pPr>
          </w:p>
        </w:tc>
        <w:tc>
          <w:tcPr>
            <w:tcW w:w="840" w:type="dxa"/>
            <w:vAlign w:val="bottom"/>
          </w:tcPr>
          <w:p>
            <w:pPr>
              <w:jc w:val="right"/>
              <w:spacing w:after="0"/>
              <w:rPr>
                <w:sz w:val="20"/>
                <w:szCs w:val="20"/>
                <w:color w:val="auto"/>
              </w:rPr>
            </w:pPr>
            <w:r>
              <w:rPr>
                <w:rFonts w:ascii="Arial" w:cs="Arial" w:eastAsia="Arial" w:hAnsi="Arial"/>
                <w:sz w:val="15"/>
                <w:szCs w:val="15"/>
                <w:color w:val="auto"/>
              </w:rPr>
              <w:t>(94,115)</w:t>
            </w:r>
          </w:p>
        </w:tc>
        <w:tc>
          <w:tcPr>
            <w:tcW w:w="0" w:type="dxa"/>
            <w:vAlign w:val="bottom"/>
          </w:tcPr>
          <w:p>
            <w:pPr>
              <w:spacing w:after="0"/>
              <w:rPr>
                <w:sz w:val="1"/>
                <w:szCs w:val="1"/>
                <w:color w:val="auto"/>
              </w:rPr>
            </w:pPr>
          </w:p>
        </w:tc>
      </w:tr>
      <w:tr>
        <w:trPr>
          <w:trHeight w:val="270"/>
        </w:trPr>
        <w:tc>
          <w:tcPr>
            <w:tcW w:w="7780" w:type="dxa"/>
            <w:vAlign w:val="bottom"/>
          </w:tcPr>
          <w:p>
            <w:pPr>
              <w:ind w:left="280"/>
              <w:spacing w:after="0"/>
              <w:rPr>
                <w:sz w:val="20"/>
                <w:szCs w:val="20"/>
                <w:color w:val="auto"/>
              </w:rPr>
            </w:pPr>
            <w:r>
              <w:rPr>
                <w:rFonts w:ascii="Arial" w:cs="Arial" w:eastAsia="Arial" w:hAnsi="Arial"/>
                <w:sz w:val="15"/>
                <w:szCs w:val="15"/>
                <w:color w:val="auto"/>
              </w:rPr>
              <w:t>Purchase of noncontrolling interest</w:t>
            </w:r>
          </w:p>
        </w:tc>
        <w:tc>
          <w:tcPr>
            <w:tcW w:w="260" w:type="dxa"/>
            <w:vAlign w:val="bottom"/>
          </w:tcPr>
          <w:p>
            <w:pPr>
              <w:spacing w:after="0"/>
              <w:rPr>
                <w:sz w:val="23"/>
                <w:szCs w:val="23"/>
                <w:color w:val="auto"/>
              </w:rPr>
            </w:pPr>
          </w:p>
        </w:tc>
        <w:tc>
          <w:tcPr>
            <w:tcW w:w="940" w:type="dxa"/>
            <w:vAlign w:val="bottom"/>
          </w:tcPr>
          <w:p>
            <w:pPr>
              <w:jc w:val="right"/>
              <w:ind w:right="84"/>
              <w:spacing w:after="0"/>
              <w:rPr>
                <w:sz w:val="20"/>
                <w:szCs w:val="20"/>
                <w:color w:val="auto"/>
              </w:rPr>
            </w:pPr>
            <w:r>
              <w:rPr>
                <w:rFonts w:ascii="Arial" w:cs="Arial" w:eastAsia="Arial" w:hAnsi="Arial"/>
                <w:sz w:val="15"/>
                <w:szCs w:val="15"/>
                <w:b w:val="1"/>
                <w:bCs w:val="1"/>
                <w:color w:val="auto"/>
              </w:rPr>
              <w:t>—</w:t>
            </w:r>
          </w:p>
        </w:tc>
        <w:tc>
          <w:tcPr>
            <w:tcW w:w="320" w:type="dxa"/>
            <w:vAlign w:val="bottom"/>
          </w:tcPr>
          <w:p>
            <w:pPr>
              <w:spacing w:after="0"/>
              <w:rPr>
                <w:sz w:val="23"/>
                <w:szCs w:val="23"/>
                <w:color w:val="auto"/>
              </w:rPr>
            </w:pPr>
          </w:p>
        </w:tc>
        <w:tc>
          <w:tcPr>
            <w:tcW w:w="920" w:type="dxa"/>
            <w:vAlign w:val="bottom"/>
          </w:tcPr>
          <w:p>
            <w:pPr>
              <w:jc w:val="right"/>
              <w:ind w:right="24"/>
              <w:spacing w:after="0"/>
              <w:rPr>
                <w:sz w:val="20"/>
                <w:szCs w:val="20"/>
                <w:color w:val="auto"/>
              </w:rPr>
            </w:pPr>
            <w:r>
              <w:rPr>
                <w:rFonts w:ascii="Arial" w:cs="Arial" w:eastAsia="Arial" w:hAnsi="Arial"/>
                <w:sz w:val="15"/>
                <w:szCs w:val="15"/>
                <w:color w:val="auto"/>
              </w:rPr>
              <w:t>(21,000)</w:t>
            </w:r>
          </w:p>
        </w:tc>
        <w:tc>
          <w:tcPr>
            <w:tcW w:w="360" w:type="dxa"/>
            <w:vAlign w:val="bottom"/>
          </w:tcPr>
          <w:p>
            <w:pPr>
              <w:spacing w:after="0"/>
              <w:rPr>
                <w:sz w:val="23"/>
                <w:szCs w:val="23"/>
                <w:color w:val="auto"/>
              </w:rPr>
            </w:pPr>
          </w:p>
        </w:tc>
        <w:tc>
          <w:tcPr>
            <w:tcW w:w="840" w:type="dxa"/>
            <w:vAlign w:val="bottom"/>
          </w:tcPr>
          <w:p>
            <w:pPr>
              <w:jc w:val="right"/>
              <w:ind w:right="24"/>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270"/>
        </w:trPr>
        <w:tc>
          <w:tcPr>
            <w:tcW w:w="7780" w:type="dxa"/>
            <w:vAlign w:val="bottom"/>
          </w:tcPr>
          <w:p>
            <w:pPr>
              <w:ind w:left="280"/>
              <w:spacing w:after="0"/>
              <w:rPr>
                <w:sz w:val="20"/>
                <w:szCs w:val="20"/>
                <w:color w:val="auto"/>
              </w:rPr>
            </w:pPr>
            <w:r>
              <w:rPr>
                <w:rFonts w:ascii="Arial" w:cs="Arial" w:eastAsia="Arial" w:hAnsi="Arial"/>
                <w:sz w:val="15"/>
                <w:szCs w:val="15"/>
                <w:color w:val="auto"/>
              </w:rPr>
              <w:t>Excess tax benefit on share-based payment awards</w:t>
            </w:r>
          </w:p>
        </w:tc>
        <w:tc>
          <w:tcPr>
            <w:tcW w:w="260" w:type="dxa"/>
            <w:vAlign w:val="bottom"/>
          </w:tcPr>
          <w:p>
            <w:pPr>
              <w:spacing w:after="0"/>
              <w:rPr>
                <w:sz w:val="23"/>
                <w:szCs w:val="23"/>
                <w:color w:val="auto"/>
              </w:rPr>
            </w:pPr>
          </w:p>
        </w:tc>
        <w:tc>
          <w:tcPr>
            <w:tcW w:w="940" w:type="dxa"/>
            <w:vAlign w:val="bottom"/>
          </w:tcPr>
          <w:p>
            <w:pPr>
              <w:jc w:val="right"/>
              <w:ind w:right="84"/>
              <w:spacing w:after="0"/>
              <w:rPr>
                <w:sz w:val="20"/>
                <w:szCs w:val="20"/>
                <w:color w:val="auto"/>
              </w:rPr>
            </w:pPr>
            <w:r>
              <w:rPr>
                <w:rFonts w:ascii="Arial" w:cs="Arial" w:eastAsia="Arial" w:hAnsi="Arial"/>
                <w:sz w:val="15"/>
                <w:szCs w:val="15"/>
                <w:b w:val="1"/>
                <w:bCs w:val="1"/>
                <w:color w:val="auto"/>
              </w:rPr>
              <w:t>—</w:t>
            </w:r>
          </w:p>
        </w:tc>
        <w:tc>
          <w:tcPr>
            <w:tcW w:w="320" w:type="dxa"/>
            <w:vAlign w:val="bottom"/>
          </w:tcPr>
          <w:p>
            <w:pPr>
              <w:spacing w:after="0"/>
              <w:rPr>
                <w:sz w:val="23"/>
                <w:szCs w:val="23"/>
                <w:color w:val="auto"/>
              </w:rPr>
            </w:pPr>
          </w:p>
        </w:tc>
        <w:tc>
          <w:tcPr>
            <w:tcW w:w="920" w:type="dxa"/>
            <w:vAlign w:val="bottom"/>
          </w:tcPr>
          <w:p>
            <w:pPr>
              <w:jc w:val="right"/>
              <w:ind w:right="84"/>
              <w:spacing w:after="0"/>
              <w:rPr>
                <w:sz w:val="20"/>
                <w:szCs w:val="20"/>
                <w:color w:val="auto"/>
              </w:rPr>
            </w:pPr>
            <w:r>
              <w:rPr>
                <w:rFonts w:ascii="Arial" w:cs="Arial" w:eastAsia="Arial" w:hAnsi="Arial"/>
                <w:sz w:val="15"/>
                <w:szCs w:val="15"/>
                <w:color w:val="auto"/>
              </w:rPr>
              <w:t>558</w:t>
            </w:r>
          </w:p>
        </w:tc>
        <w:tc>
          <w:tcPr>
            <w:tcW w:w="360" w:type="dxa"/>
            <w:vAlign w:val="bottom"/>
          </w:tcPr>
          <w:p>
            <w:pPr>
              <w:spacing w:after="0"/>
              <w:rPr>
                <w:sz w:val="23"/>
                <w:szCs w:val="23"/>
                <w:color w:val="auto"/>
              </w:rPr>
            </w:pPr>
          </w:p>
        </w:tc>
        <w:tc>
          <w:tcPr>
            <w:tcW w:w="840" w:type="dxa"/>
            <w:vAlign w:val="bottom"/>
          </w:tcPr>
          <w:p>
            <w:pPr>
              <w:jc w:val="right"/>
              <w:ind w:right="24"/>
              <w:spacing w:after="0"/>
              <w:rPr>
                <w:sz w:val="20"/>
                <w:szCs w:val="20"/>
                <w:color w:val="auto"/>
              </w:rPr>
            </w:pPr>
            <w:r>
              <w:rPr>
                <w:rFonts w:ascii="Arial" w:cs="Arial" w:eastAsia="Arial" w:hAnsi="Arial"/>
                <w:sz w:val="15"/>
                <w:szCs w:val="15"/>
                <w:color w:val="auto"/>
              </w:rPr>
              <w:t>11,828</w:t>
            </w:r>
          </w:p>
        </w:tc>
        <w:tc>
          <w:tcPr>
            <w:tcW w:w="0" w:type="dxa"/>
            <w:vAlign w:val="bottom"/>
          </w:tcPr>
          <w:p>
            <w:pPr>
              <w:spacing w:after="0"/>
              <w:rPr>
                <w:sz w:val="1"/>
                <w:szCs w:val="1"/>
                <w:color w:val="auto"/>
              </w:rPr>
            </w:pPr>
          </w:p>
        </w:tc>
      </w:tr>
      <w:tr>
        <w:trPr>
          <w:trHeight w:val="270"/>
        </w:trPr>
        <w:tc>
          <w:tcPr>
            <w:tcW w:w="7780" w:type="dxa"/>
            <w:vAlign w:val="bottom"/>
          </w:tcPr>
          <w:p>
            <w:pPr>
              <w:ind w:left="280"/>
              <w:spacing w:after="0"/>
              <w:rPr>
                <w:sz w:val="20"/>
                <w:szCs w:val="20"/>
                <w:color w:val="auto"/>
              </w:rPr>
            </w:pPr>
            <w:r>
              <w:rPr>
                <w:rFonts w:ascii="Arial" w:cs="Arial" w:eastAsia="Arial" w:hAnsi="Arial"/>
                <w:sz w:val="15"/>
                <w:szCs w:val="15"/>
                <w:color w:val="auto"/>
              </w:rPr>
              <w:t>Redemption of redeemable preferred stock</w:t>
            </w:r>
          </w:p>
        </w:tc>
        <w:tc>
          <w:tcPr>
            <w:tcW w:w="260" w:type="dxa"/>
            <w:vAlign w:val="bottom"/>
          </w:tcPr>
          <w:p>
            <w:pPr>
              <w:spacing w:after="0"/>
              <w:rPr>
                <w:sz w:val="23"/>
                <w:szCs w:val="23"/>
                <w:color w:val="auto"/>
              </w:rPr>
            </w:pPr>
          </w:p>
        </w:tc>
        <w:tc>
          <w:tcPr>
            <w:tcW w:w="940" w:type="dxa"/>
            <w:vAlign w:val="bottom"/>
          </w:tcPr>
          <w:p>
            <w:pPr>
              <w:jc w:val="right"/>
              <w:ind w:right="84"/>
              <w:spacing w:after="0"/>
              <w:rPr>
                <w:sz w:val="20"/>
                <w:szCs w:val="20"/>
                <w:color w:val="auto"/>
              </w:rPr>
            </w:pPr>
            <w:r>
              <w:rPr>
                <w:rFonts w:ascii="Arial" w:cs="Arial" w:eastAsia="Arial" w:hAnsi="Arial"/>
                <w:sz w:val="15"/>
                <w:szCs w:val="15"/>
                <w:b w:val="1"/>
                <w:bCs w:val="1"/>
                <w:color w:val="auto"/>
              </w:rPr>
              <w:t>—</w:t>
            </w:r>
          </w:p>
        </w:tc>
        <w:tc>
          <w:tcPr>
            <w:tcW w:w="320" w:type="dxa"/>
            <w:vAlign w:val="bottom"/>
          </w:tcPr>
          <w:p>
            <w:pPr>
              <w:spacing w:after="0"/>
              <w:rPr>
                <w:sz w:val="23"/>
                <w:szCs w:val="23"/>
                <w:color w:val="auto"/>
              </w:rPr>
            </w:pPr>
          </w:p>
        </w:tc>
        <w:tc>
          <w:tcPr>
            <w:tcW w:w="920" w:type="dxa"/>
            <w:vAlign w:val="bottom"/>
          </w:tcPr>
          <w:p>
            <w:pPr>
              <w:jc w:val="right"/>
              <w:ind w:right="84"/>
              <w:spacing w:after="0"/>
              <w:rPr>
                <w:sz w:val="20"/>
                <w:szCs w:val="20"/>
                <w:color w:val="auto"/>
              </w:rPr>
            </w:pPr>
            <w:r>
              <w:rPr>
                <w:rFonts w:ascii="Arial" w:cs="Arial" w:eastAsia="Arial" w:hAnsi="Arial"/>
                <w:sz w:val="15"/>
                <w:szCs w:val="15"/>
                <w:color w:val="auto"/>
              </w:rPr>
              <w:t>—</w:t>
            </w:r>
          </w:p>
        </w:tc>
        <w:tc>
          <w:tcPr>
            <w:tcW w:w="360" w:type="dxa"/>
            <w:vAlign w:val="bottom"/>
          </w:tcPr>
          <w:p>
            <w:pPr>
              <w:spacing w:after="0"/>
              <w:rPr>
                <w:sz w:val="23"/>
                <w:szCs w:val="23"/>
                <w:color w:val="auto"/>
              </w:rPr>
            </w:pPr>
          </w:p>
        </w:tc>
        <w:tc>
          <w:tcPr>
            <w:tcW w:w="840" w:type="dxa"/>
            <w:vAlign w:val="bottom"/>
          </w:tcPr>
          <w:p>
            <w:pPr>
              <w:jc w:val="right"/>
              <w:spacing w:after="0"/>
              <w:rPr>
                <w:sz w:val="20"/>
                <w:szCs w:val="20"/>
                <w:color w:val="auto"/>
              </w:rPr>
            </w:pPr>
            <w:r>
              <w:rPr>
                <w:rFonts w:ascii="Arial" w:cs="Arial" w:eastAsia="Arial" w:hAnsi="Arial"/>
                <w:sz w:val="15"/>
                <w:szCs w:val="15"/>
                <w:color w:val="auto"/>
              </w:rPr>
              <w:t>(10,510)</w:t>
            </w:r>
          </w:p>
        </w:tc>
        <w:tc>
          <w:tcPr>
            <w:tcW w:w="0" w:type="dxa"/>
            <w:vAlign w:val="bottom"/>
          </w:tcPr>
          <w:p>
            <w:pPr>
              <w:spacing w:after="0"/>
              <w:rPr>
                <w:sz w:val="1"/>
                <w:szCs w:val="1"/>
                <w:color w:val="auto"/>
              </w:rPr>
            </w:pPr>
          </w:p>
        </w:tc>
      </w:tr>
      <w:tr>
        <w:trPr>
          <w:trHeight w:val="274"/>
        </w:trPr>
        <w:tc>
          <w:tcPr>
            <w:tcW w:w="7780" w:type="dxa"/>
            <w:vAlign w:val="bottom"/>
          </w:tcPr>
          <w:p>
            <w:pPr>
              <w:ind w:left="280"/>
              <w:spacing w:after="0"/>
              <w:rPr>
                <w:sz w:val="20"/>
                <w:szCs w:val="20"/>
                <w:color w:val="auto"/>
              </w:rPr>
            </w:pPr>
            <w:r>
              <w:rPr>
                <w:rFonts w:ascii="Arial" w:cs="Arial" w:eastAsia="Arial" w:hAnsi="Arial"/>
                <w:sz w:val="15"/>
                <w:szCs w:val="15"/>
                <w:color w:val="auto"/>
              </w:rPr>
              <w:t>Payments of financing costs</w:t>
            </w:r>
          </w:p>
        </w:tc>
        <w:tc>
          <w:tcPr>
            <w:tcW w:w="260" w:type="dxa"/>
            <w:vAlign w:val="bottom"/>
            <w:tcBorders>
              <w:bottom w:val="single" w:sz="8" w:color="auto"/>
            </w:tcBorders>
          </w:tcPr>
          <w:p>
            <w:pPr>
              <w:spacing w:after="0"/>
              <w:rPr>
                <w:sz w:val="23"/>
                <w:szCs w:val="23"/>
                <w:color w:val="auto"/>
              </w:rPr>
            </w:pPr>
          </w:p>
        </w:tc>
        <w:tc>
          <w:tcPr>
            <w:tcW w:w="940" w:type="dxa"/>
            <w:vAlign w:val="bottom"/>
            <w:tcBorders>
              <w:bottom w:val="single" w:sz="8" w:color="auto"/>
            </w:tcBorders>
          </w:tcPr>
          <w:p>
            <w:pPr>
              <w:jc w:val="right"/>
              <w:ind w:right="84"/>
              <w:spacing w:after="0"/>
              <w:rPr>
                <w:sz w:val="20"/>
                <w:szCs w:val="20"/>
                <w:color w:val="auto"/>
              </w:rPr>
            </w:pPr>
            <w:r>
              <w:rPr>
                <w:rFonts w:ascii="Arial" w:cs="Arial" w:eastAsia="Arial" w:hAnsi="Arial"/>
                <w:sz w:val="15"/>
                <w:szCs w:val="15"/>
                <w:b w:val="1"/>
                <w:bCs w:val="1"/>
                <w:color w:val="auto"/>
              </w:rPr>
              <w:t>—</w:t>
            </w:r>
          </w:p>
        </w:tc>
        <w:tc>
          <w:tcPr>
            <w:tcW w:w="320" w:type="dxa"/>
            <w:vAlign w:val="bottom"/>
            <w:tcBorders>
              <w:bottom w:val="single" w:sz="8" w:color="auto"/>
            </w:tcBorders>
          </w:tcPr>
          <w:p>
            <w:pPr>
              <w:spacing w:after="0"/>
              <w:rPr>
                <w:sz w:val="23"/>
                <w:szCs w:val="23"/>
                <w:color w:val="auto"/>
              </w:rPr>
            </w:pPr>
          </w:p>
        </w:tc>
        <w:tc>
          <w:tcPr>
            <w:tcW w:w="920" w:type="dxa"/>
            <w:vAlign w:val="bottom"/>
            <w:tcBorders>
              <w:bottom w:val="single" w:sz="8" w:color="auto"/>
            </w:tcBorders>
          </w:tcPr>
          <w:p>
            <w:pPr>
              <w:jc w:val="right"/>
              <w:ind w:right="24"/>
              <w:spacing w:after="0"/>
              <w:rPr>
                <w:sz w:val="20"/>
                <w:szCs w:val="20"/>
                <w:color w:val="auto"/>
              </w:rPr>
            </w:pPr>
            <w:r>
              <w:rPr>
                <w:rFonts w:ascii="Arial" w:cs="Arial" w:eastAsia="Arial" w:hAnsi="Arial"/>
                <w:sz w:val="15"/>
                <w:szCs w:val="15"/>
                <w:color w:val="auto"/>
              </w:rPr>
              <w:t>(648)</w:t>
            </w:r>
          </w:p>
        </w:tc>
        <w:tc>
          <w:tcPr>
            <w:tcW w:w="360" w:type="dxa"/>
            <w:vAlign w:val="bottom"/>
            <w:tcBorders>
              <w:bottom w:val="single" w:sz="8" w:color="auto"/>
            </w:tcBorders>
          </w:tcPr>
          <w:p>
            <w:pPr>
              <w:spacing w:after="0"/>
              <w:rPr>
                <w:sz w:val="23"/>
                <w:szCs w:val="23"/>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(9,944)</w:t>
            </w:r>
          </w:p>
        </w:tc>
        <w:tc>
          <w:tcPr>
            <w:tcW w:w="0" w:type="dxa"/>
            <w:vAlign w:val="bottom"/>
          </w:tcPr>
          <w:p>
            <w:pPr>
              <w:spacing w:after="0"/>
              <w:rPr>
                <w:sz w:val="1"/>
                <w:szCs w:val="1"/>
                <w:color w:val="auto"/>
              </w:rPr>
            </w:pPr>
          </w:p>
        </w:tc>
      </w:tr>
      <w:tr>
        <w:trPr>
          <w:trHeight w:val="264"/>
        </w:trPr>
        <w:tc>
          <w:tcPr>
            <w:tcW w:w="7780" w:type="dxa"/>
            <w:vAlign w:val="bottom"/>
          </w:tcPr>
          <w:p>
            <w:pPr>
              <w:ind w:left="500"/>
              <w:spacing w:after="0"/>
              <w:rPr>
                <w:sz w:val="20"/>
                <w:szCs w:val="20"/>
                <w:color w:val="auto"/>
              </w:rPr>
            </w:pPr>
            <w:r>
              <w:rPr>
                <w:rFonts w:ascii="Arial" w:cs="Arial" w:eastAsia="Arial" w:hAnsi="Arial"/>
                <w:sz w:val="15"/>
                <w:szCs w:val="15"/>
                <w:color w:val="auto"/>
              </w:rPr>
              <w:t>Net Cash (Used in) Provided by Financing Activities</w:t>
            </w:r>
          </w:p>
        </w:tc>
        <w:tc>
          <w:tcPr>
            <w:tcW w:w="26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right"/>
              <w:ind w:right="24"/>
              <w:spacing w:after="0"/>
              <w:rPr>
                <w:sz w:val="20"/>
                <w:szCs w:val="20"/>
                <w:color w:val="auto"/>
              </w:rPr>
            </w:pPr>
            <w:r>
              <w:rPr>
                <w:rFonts w:ascii="Arial" w:cs="Arial" w:eastAsia="Arial" w:hAnsi="Arial"/>
                <w:sz w:val="15"/>
                <w:szCs w:val="15"/>
                <w:b w:val="1"/>
                <w:bCs w:val="1"/>
                <w:color w:val="auto"/>
              </w:rPr>
              <w:t>(100,106)</w:t>
            </w:r>
          </w:p>
        </w:tc>
        <w:tc>
          <w:tcPr>
            <w:tcW w:w="32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jc w:val="right"/>
              <w:ind w:right="24"/>
              <w:spacing w:after="0"/>
              <w:rPr>
                <w:sz w:val="20"/>
                <w:szCs w:val="20"/>
                <w:color w:val="auto"/>
              </w:rPr>
            </w:pPr>
            <w:r>
              <w:rPr>
                <w:rFonts w:ascii="Arial" w:cs="Arial" w:eastAsia="Arial" w:hAnsi="Arial"/>
                <w:sz w:val="15"/>
                <w:szCs w:val="15"/>
                <w:color w:val="auto"/>
              </w:rPr>
              <w:t>(43,077)</w:t>
            </w:r>
          </w:p>
        </w:tc>
        <w:tc>
          <w:tcPr>
            <w:tcW w:w="360" w:type="dxa"/>
            <w:vAlign w:val="bottom"/>
            <w:tcBorders>
              <w:bottom w:val="single" w:sz="8" w:color="auto"/>
            </w:tcBorders>
          </w:tcPr>
          <w:p>
            <w:pPr>
              <w:spacing w:after="0"/>
              <w:rPr>
                <w:sz w:val="22"/>
                <w:szCs w:val="22"/>
                <w:color w:val="auto"/>
              </w:rPr>
            </w:pPr>
          </w:p>
        </w:tc>
        <w:tc>
          <w:tcPr>
            <w:tcW w:w="840" w:type="dxa"/>
            <w:vAlign w:val="bottom"/>
            <w:tcBorders>
              <w:bottom w:val="single" w:sz="8" w:color="auto"/>
            </w:tcBorders>
          </w:tcPr>
          <w:p>
            <w:pPr>
              <w:jc w:val="right"/>
              <w:ind w:right="24"/>
              <w:spacing w:after="0"/>
              <w:rPr>
                <w:sz w:val="20"/>
                <w:szCs w:val="20"/>
                <w:color w:val="auto"/>
              </w:rPr>
            </w:pPr>
            <w:r>
              <w:rPr>
                <w:rFonts w:ascii="Arial" w:cs="Arial" w:eastAsia="Arial" w:hAnsi="Arial"/>
                <w:sz w:val="15"/>
                <w:szCs w:val="15"/>
                <w:color w:val="auto"/>
              </w:rPr>
              <w:t>342,151</w:t>
            </w:r>
          </w:p>
        </w:tc>
        <w:tc>
          <w:tcPr>
            <w:tcW w:w="0" w:type="dxa"/>
            <w:vAlign w:val="bottom"/>
          </w:tcPr>
          <w:p>
            <w:pPr>
              <w:spacing w:after="0"/>
              <w:rPr>
                <w:sz w:val="1"/>
                <w:szCs w:val="1"/>
                <w:color w:val="auto"/>
              </w:rPr>
            </w:pPr>
          </w:p>
        </w:tc>
      </w:tr>
      <w:tr>
        <w:trPr>
          <w:trHeight w:val="264"/>
        </w:trPr>
        <w:tc>
          <w:tcPr>
            <w:tcW w:w="7780" w:type="dxa"/>
            <w:vAlign w:val="bottom"/>
          </w:tcPr>
          <w:p>
            <w:pPr>
              <w:ind w:left="40"/>
              <w:spacing w:after="0"/>
              <w:rPr>
                <w:sz w:val="20"/>
                <w:szCs w:val="20"/>
                <w:color w:val="auto"/>
              </w:rPr>
            </w:pPr>
            <w:r>
              <w:rPr>
                <w:rFonts w:ascii="Arial" w:cs="Arial" w:eastAsia="Arial" w:hAnsi="Arial"/>
                <w:sz w:val="15"/>
                <w:szCs w:val="15"/>
                <w:b w:val="1"/>
                <w:bCs w:val="1"/>
                <w:color w:val="auto"/>
              </w:rPr>
              <w:t>Effect of Currency Exchange Rate Change</w:t>
            </w:r>
          </w:p>
        </w:tc>
        <w:tc>
          <w:tcPr>
            <w:tcW w:w="26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right"/>
              <w:ind w:right="84"/>
              <w:spacing w:after="0"/>
              <w:rPr>
                <w:sz w:val="20"/>
                <w:szCs w:val="20"/>
                <w:color w:val="auto"/>
              </w:rPr>
            </w:pPr>
            <w:r>
              <w:rPr>
                <w:rFonts w:ascii="Arial" w:cs="Arial" w:eastAsia="Arial" w:hAnsi="Arial"/>
                <w:sz w:val="15"/>
                <w:szCs w:val="15"/>
                <w:b w:val="1"/>
                <w:bCs w:val="1"/>
                <w:color w:val="auto"/>
              </w:rPr>
              <w:t>10,820</w:t>
            </w:r>
          </w:p>
        </w:tc>
        <w:tc>
          <w:tcPr>
            <w:tcW w:w="32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jc w:val="right"/>
              <w:ind w:right="24"/>
              <w:spacing w:after="0"/>
              <w:rPr>
                <w:sz w:val="20"/>
                <w:szCs w:val="20"/>
                <w:color w:val="auto"/>
              </w:rPr>
            </w:pPr>
            <w:r>
              <w:rPr>
                <w:rFonts w:ascii="Arial" w:cs="Arial" w:eastAsia="Arial" w:hAnsi="Arial"/>
                <w:sz w:val="15"/>
                <w:szCs w:val="15"/>
                <w:color w:val="auto"/>
              </w:rPr>
              <w:t>(11,029)</w:t>
            </w:r>
          </w:p>
        </w:tc>
        <w:tc>
          <w:tcPr>
            <w:tcW w:w="360" w:type="dxa"/>
            <w:vAlign w:val="bottom"/>
            <w:tcBorders>
              <w:bottom w:val="single" w:sz="8" w:color="auto"/>
            </w:tcBorders>
          </w:tcPr>
          <w:p>
            <w:pPr>
              <w:spacing w:after="0"/>
              <w:rPr>
                <w:sz w:val="22"/>
                <w:szCs w:val="22"/>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(11,164)</w:t>
            </w:r>
          </w:p>
        </w:tc>
        <w:tc>
          <w:tcPr>
            <w:tcW w:w="0" w:type="dxa"/>
            <w:vAlign w:val="bottom"/>
          </w:tcPr>
          <w:p>
            <w:pPr>
              <w:spacing w:after="0"/>
              <w:rPr>
                <w:sz w:val="1"/>
                <w:szCs w:val="1"/>
                <w:color w:val="auto"/>
              </w:rPr>
            </w:pPr>
          </w:p>
        </w:tc>
      </w:tr>
      <w:tr>
        <w:trPr>
          <w:trHeight w:val="260"/>
        </w:trPr>
        <w:tc>
          <w:tcPr>
            <w:tcW w:w="7780" w:type="dxa"/>
            <w:vAlign w:val="bottom"/>
          </w:tcPr>
          <w:p>
            <w:pPr>
              <w:ind w:left="40"/>
              <w:spacing w:after="0"/>
              <w:rPr>
                <w:sz w:val="20"/>
                <w:szCs w:val="20"/>
                <w:color w:val="auto"/>
              </w:rPr>
            </w:pPr>
            <w:r>
              <w:rPr>
                <w:rFonts w:ascii="Arial" w:cs="Arial" w:eastAsia="Arial" w:hAnsi="Arial"/>
                <w:sz w:val="15"/>
                <w:szCs w:val="15"/>
                <w:b w:val="1"/>
                <w:bCs w:val="1"/>
                <w:color w:val="auto"/>
              </w:rPr>
              <w:t>Net Decrease in Cash and Cash Equivalents and Restricted Cash</w:t>
            </w:r>
          </w:p>
        </w:tc>
        <w:tc>
          <w:tcPr>
            <w:tcW w:w="260" w:type="dxa"/>
            <w:vAlign w:val="bottom"/>
          </w:tcPr>
          <w:p>
            <w:pPr>
              <w:spacing w:after="0"/>
              <w:rPr>
                <w:sz w:val="22"/>
                <w:szCs w:val="22"/>
                <w:color w:val="auto"/>
              </w:rPr>
            </w:pPr>
          </w:p>
        </w:tc>
        <w:tc>
          <w:tcPr>
            <w:tcW w:w="940" w:type="dxa"/>
            <w:vAlign w:val="bottom"/>
          </w:tcPr>
          <w:p>
            <w:pPr>
              <w:jc w:val="right"/>
              <w:ind w:right="24"/>
              <w:spacing w:after="0"/>
              <w:rPr>
                <w:sz w:val="20"/>
                <w:szCs w:val="20"/>
                <w:color w:val="auto"/>
              </w:rPr>
            </w:pPr>
            <w:r>
              <w:rPr>
                <w:rFonts w:ascii="Arial" w:cs="Arial" w:eastAsia="Arial" w:hAnsi="Arial"/>
                <w:sz w:val="15"/>
                <w:szCs w:val="15"/>
                <w:b w:val="1"/>
                <w:bCs w:val="1"/>
                <w:color w:val="auto"/>
              </w:rPr>
              <w:t>(263,250)</w:t>
            </w:r>
          </w:p>
        </w:tc>
        <w:tc>
          <w:tcPr>
            <w:tcW w:w="320" w:type="dxa"/>
            <w:vAlign w:val="bottom"/>
          </w:tcPr>
          <w:p>
            <w:pPr>
              <w:spacing w:after="0"/>
              <w:rPr>
                <w:sz w:val="22"/>
                <w:szCs w:val="22"/>
                <w:color w:val="auto"/>
              </w:rPr>
            </w:pPr>
          </w:p>
        </w:tc>
        <w:tc>
          <w:tcPr>
            <w:tcW w:w="920" w:type="dxa"/>
            <w:vAlign w:val="bottom"/>
          </w:tcPr>
          <w:p>
            <w:pPr>
              <w:jc w:val="right"/>
              <w:ind w:right="24"/>
              <w:spacing w:after="0"/>
              <w:rPr>
                <w:sz w:val="20"/>
                <w:szCs w:val="20"/>
                <w:color w:val="auto"/>
              </w:rPr>
            </w:pPr>
            <w:r>
              <w:rPr>
                <w:rFonts w:ascii="Arial" w:cs="Arial" w:eastAsia="Arial" w:hAnsi="Arial"/>
                <w:sz w:val="15"/>
                <w:szCs w:val="15"/>
                <w:color w:val="auto"/>
              </w:rPr>
              <w:t>(104,136)</w:t>
            </w:r>
          </w:p>
        </w:tc>
        <w:tc>
          <w:tcPr>
            <w:tcW w:w="360" w:type="dxa"/>
            <w:vAlign w:val="bottom"/>
          </w:tcPr>
          <w:p>
            <w:pPr>
              <w:spacing w:after="0"/>
              <w:rPr>
                <w:sz w:val="22"/>
                <w:szCs w:val="22"/>
                <w:color w:val="auto"/>
              </w:rPr>
            </w:pPr>
          </w:p>
        </w:tc>
        <w:tc>
          <w:tcPr>
            <w:tcW w:w="840" w:type="dxa"/>
            <w:vAlign w:val="bottom"/>
          </w:tcPr>
          <w:p>
            <w:pPr>
              <w:jc w:val="right"/>
              <w:spacing w:after="0"/>
              <w:rPr>
                <w:sz w:val="20"/>
                <w:szCs w:val="20"/>
                <w:color w:val="auto"/>
              </w:rPr>
            </w:pPr>
            <w:r>
              <w:rPr>
                <w:rFonts w:ascii="Arial" w:cs="Arial" w:eastAsia="Arial" w:hAnsi="Arial"/>
                <w:sz w:val="15"/>
                <w:szCs w:val="15"/>
                <w:color w:val="auto"/>
              </w:rPr>
              <w:t>(23,932)</w:t>
            </w:r>
          </w:p>
        </w:tc>
        <w:tc>
          <w:tcPr>
            <w:tcW w:w="0" w:type="dxa"/>
            <w:vAlign w:val="bottom"/>
          </w:tcPr>
          <w:p>
            <w:pPr>
              <w:spacing w:after="0"/>
              <w:rPr>
                <w:sz w:val="1"/>
                <w:szCs w:val="1"/>
                <w:color w:val="auto"/>
              </w:rPr>
            </w:pPr>
          </w:p>
        </w:tc>
      </w:tr>
      <w:tr>
        <w:trPr>
          <w:trHeight w:val="274"/>
        </w:trPr>
        <w:tc>
          <w:tcPr>
            <w:tcW w:w="7780" w:type="dxa"/>
            <w:vAlign w:val="bottom"/>
          </w:tcPr>
          <w:p>
            <w:pPr>
              <w:ind w:left="40"/>
              <w:spacing w:after="0"/>
              <w:rPr>
                <w:sz w:val="20"/>
                <w:szCs w:val="20"/>
                <w:color w:val="auto"/>
              </w:rPr>
            </w:pPr>
            <w:r>
              <w:rPr>
                <w:rFonts w:ascii="Arial" w:cs="Arial" w:eastAsia="Arial" w:hAnsi="Arial"/>
                <w:sz w:val="15"/>
                <w:szCs w:val="15"/>
                <w:b w:val="1"/>
                <w:bCs w:val="1"/>
                <w:color w:val="auto"/>
              </w:rPr>
              <w:t>Cash and Cash Equivalents and Restricted Cash at Beginning of Year</w:t>
            </w:r>
          </w:p>
        </w:tc>
        <w:tc>
          <w:tcPr>
            <w:tcW w:w="260" w:type="dxa"/>
            <w:vAlign w:val="bottom"/>
            <w:tcBorders>
              <w:bottom w:val="single" w:sz="8" w:color="auto"/>
            </w:tcBorders>
          </w:tcPr>
          <w:p>
            <w:pPr>
              <w:spacing w:after="0"/>
              <w:rPr>
                <w:sz w:val="23"/>
                <w:szCs w:val="23"/>
                <w:color w:val="auto"/>
              </w:rPr>
            </w:pPr>
          </w:p>
        </w:tc>
        <w:tc>
          <w:tcPr>
            <w:tcW w:w="940" w:type="dxa"/>
            <w:vAlign w:val="bottom"/>
            <w:tcBorders>
              <w:bottom w:val="single" w:sz="8" w:color="auto"/>
            </w:tcBorders>
          </w:tcPr>
          <w:p>
            <w:pPr>
              <w:jc w:val="right"/>
              <w:ind w:right="84"/>
              <w:spacing w:after="0"/>
              <w:rPr>
                <w:sz w:val="20"/>
                <w:szCs w:val="20"/>
                <w:color w:val="auto"/>
              </w:rPr>
            </w:pPr>
            <w:r>
              <w:rPr>
                <w:rFonts w:ascii="Arial" w:cs="Arial" w:eastAsia="Arial" w:hAnsi="Arial"/>
                <w:sz w:val="15"/>
                <w:szCs w:val="15"/>
                <w:b w:val="1"/>
                <w:bCs w:val="1"/>
                <w:color w:val="auto"/>
              </w:rPr>
              <w:t>670,816</w:t>
            </w:r>
          </w:p>
        </w:tc>
        <w:tc>
          <w:tcPr>
            <w:tcW w:w="320" w:type="dxa"/>
            <w:vAlign w:val="bottom"/>
            <w:tcBorders>
              <w:bottom w:val="single" w:sz="8" w:color="auto"/>
            </w:tcBorders>
          </w:tcPr>
          <w:p>
            <w:pPr>
              <w:spacing w:after="0"/>
              <w:rPr>
                <w:sz w:val="23"/>
                <w:szCs w:val="23"/>
                <w:color w:val="auto"/>
              </w:rPr>
            </w:pPr>
          </w:p>
        </w:tc>
        <w:tc>
          <w:tcPr>
            <w:tcW w:w="920" w:type="dxa"/>
            <w:vAlign w:val="bottom"/>
            <w:tcBorders>
              <w:bottom w:val="single" w:sz="8" w:color="auto"/>
            </w:tcBorders>
          </w:tcPr>
          <w:p>
            <w:pPr>
              <w:jc w:val="right"/>
              <w:ind w:right="84"/>
              <w:spacing w:after="0"/>
              <w:rPr>
                <w:sz w:val="20"/>
                <w:szCs w:val="20"/>
                <w:color w:val="auto"/>
              </w:rPr>
            </w:pPr>
            <w:r>
              <w:rPr>
                <w:rFonts w:ascii="Arial" w:cs="Arial" w:eastAsia="Arial" w:hAnsi="Arial"/>
                <w:sz w:val="15"/>
                <w:szCs w:val="15"/>
                <w:color w:val="auto"/>
              </w:rPr>
              <w:t>774,952</w:t>
            </w:r>
          </w:p>
        </w:tc>
        <w:tc>
          <w:tcPr>
            <w:tcW w:w="360" w:type="dxa"/>
            <w:vAlign w:val="bottom"/>
            <w:tcBorders>
              <w:bottom w:val="single" w:sz="8" w:color="auto"/>
            </w:tcBorders>
          </w:tcPr>
          <w:p>
            <w:pPr>
              <w:spacing w:after="0"/>
              <w:rPr>
                <w:sz w:val="23"/>
                <w:szCs w:val="23"/>
                <w:color w:val="auto"/>
              </w:rPr>
            </w:pPr>
          </w:p>
        </w:tc>
        <w:tc>
          <w:tcPr>
            <w:tcW w:w="840" w:type="dxa"/>
            <w:vAlign w:val="bottom"/>
            <w:tcBorders>
              <w:bottom w:val="single" w:sz="8" w:color="auto"/>
            </w:tcBorders>
          </w:tcPr>
          <w:p>
            <w:pPr>
              <w:jc w:val="right"/>
              <w:ind w:right="24"/>
              <w:spacing w:after="0"/>
              <w:rPr>
                <w:sz w:val="20"/>
                <w:szCs w:val="20"/>
                <w:color w:val="auto"/>
              </w:rPr>
            </w:pPr>
            <w:r>
              <w:rPr>
                <w:rFonts w:ascii="Arial" w:cs="Arial" w:eastAsia="Arial" w:hAnsi="Arial"/>
                <w:sz w:val="15"/>
                <w:szCs w:val="15"/>
                <w:color w:val="auto"/>
              </w:rPr>
              <w:t>798,884</w:t>
            </w:r>
          </w:p>
        </w:tc>
        <w:tc>
          <w:tcPr>
            <w:tcW w:w="0" w:type="dxa"/>
            <w:vAlign w:val="bottom"/>
          </w:tcPr>
          <w:p>
            <w:pPr>
              <w:spacing w:after="0"/>
              <w:rPr>
                <w:sz w:val="1"/>
                <w:szCs w:val="1"/>
                <w:color w:val="auto"/>
              </w:rPr>
            </w:pPr>
          </w:p>
        </w:tc>
      </w:tr>
      <w:tr>
        <w:trPr>
          <w:trHeight w:val="268"/>
        </w:trPr>
        <w:tc>
          <w:tcPr>
            <w:tcW w:w="7780" w:type="dxa"/>
            <w:vAlign w:val="bottom"/>
          </w:tcPr>
          <w:p>
            <w:pPr>
              <w:ind w:left="40"/>
              <w:spacing w:after="0"/>
              <w:rPr>
                <w:sz w:val="20"/>
                <w:szCs w:val="20"/>
                <w:color w:val="auto"/>
              </w:rPr>
            </w:pPr>
            <w:r>
              <w:rPr>
                <w:rFonts w:ascii="Arial" w:cs="Arial" w:eastAsia="Arial" w:hAnsi="Arial"/>
                <w:sz w:val="15"/>
                <w:szCs w:val="15"/>
                <w:b w:val="1"/>
                <w:bCs w:val="1"/>
                <w:color w:val="auto"/>
              </w:rPr>
              <w:t>Cash and Cash Equivalents and Restricted Cash at End of Year</w:t>
            </w:r>
          </w:p>
        </w:tc>
        <w:tc>
          <w:tcPr>
            <w:tcW w:w="260" w:type="dxa"/>
            <w:vAlign w:val="bottom"/>
            <w:tcBorders>
              <w:bottom w:val="single" w:sz="8" w:color="auto"/>
            </w:tcBorders>
          </w:tcPr>
          <w:p>
            <w:pPr>
              <w:jc w:val="right"/>
              <w:ind w:right="83"/>
              <w:spacing w:after="0"/>
              <w:rPr>
                <w:sz w:val="20"/>
                <w:szCs w:val="20"/>
                <w:color w:val="auto"/>
              </w:rPr>
            </w:pPr>
            <w:r>
              <w:rPr>
                <w:rFonts w:ascii="Arial" w:cs="Arial" w:eastAsia="Arial" w:hAnsi="Arial"/>
                <w:sz w:val="15"/>
                <w:szCs w:val="15"/>
                <w:b w:val="1"/>
                <w:bCs w:val="1"/>
                <w:color w:val="auto"/>
                <w:w w:val="95"/>
              </w:rPr>
              <w:t>$</w:t>
            </w:r>
          </w:p>
        </w:tc>
        <w:tc>
          <w:tcPr>
            <w:tcW w:w="940" w:type="dxa"/>
            <w:vAlign w:val="bottom"/>
            <w:tcBorders>
              <w:bottom w:val="single" w:sz="8" w:color="auto"/>
            </w:tcBorders>
          </w:tcPr>
          <w:p>
            <w:pPr>
              <w:jc w:val="right"/>
              <w:ind w:right="84"/>
              <w:spacing w:after="0"/>
              <w:rPr>
                <w:sz w:val="20"/>
                <w:szCs w:val="20"/>
                <w:color w:val="auto"/>
              </w:rPr>
            </w:pPr>
            <w:r>
              <w:rPr>
                <w:rFonts w:ascii="Arial" w:cs="Arial" w:eastAsia="Arial" w:hAnsi="Arial"/>
                <w:sz w:val="15"/>
                <w:szCs w:val="15"/>
                <w:b w:val="1"/>
                <w:bCs w:val="1"/>
                <w:color w:val="auto"/>
              </w:rPr>
              <w:t>407,566</w:t>
            </w:r>
          </w:p>
        </w:tc>
        <w:tc>
          <w:tcPr>
            <w:tcW w:w="320" w:type="dxa"/>
            <w:vAlign w:val="bottom"/>
            <w:tcBorders>
              <w:bottom w:val="single" w:sz="8" w:color="auto"/>
            </w:tcBorders>
          </w:tcPr>
          <w:p>
            <w:pPr>
              <w:jc w:val="right"/>
              <w:ind w:right="63"/>
              <w:spacing w:after="0"/>
              <w:rPr>
                <w:sz w:val="20"/>
                <w:szCs w:val="20"/>
                <w:color w:val="auto"/>
              </w:rPr>
            </w:pPr>
            <w:r>
              <w:rPr>
                <w:rFonts w:ascii="Arial" w:cs="Arial" w:eastAsia="Arial" w:hAnsi="Arial"/>
                <w:sz w:val="15"/>
                <w:szCs w:val="15"/>
                <w:color w:val="auto"/>
              </w:rPr>
              <w:t>$</w:t>
            </w:r>
          </w:p>
        </w:tc>
        <w:tc>
          <w:tcPr>
            <w:tcW w:w="920" w:type="dxa"/>
            <w:vAlign w:val="bottom"/>
            <w:tcBorders>
              <w:bottom w:val="single" w:sz="8" w:color="auto"/>
            </w:tcBorders>
          </w:tcPr>
          <w:p>
            <w:pPr>
              <w:jc w:val="right"/>
              <w:ind w:right="84"/>
              <w:spacing w:after="0"/>
              <w:rPr>
                <w:sz w:val="20"/>
                <w:szCs w:val="20"/>
                <w:color w:val="auto"/>
              </w:rPr>
            </w:pPr>
            <w:r>
              <w:rPr>
                <w:rFonts w:ascii="Arial" w:cs="Arial" w:eastAsia="Arial" w:hAnsi="Arial"/>
                <w:sz w:val="15"/>
                <w:szCs w:val="15"/>
                <w:color w:val="auto"/>
              </w:rPr>
              <w:t>670,816</w:t>
            </w:r>
          </w:p>
        </w:tc>
        <w:tc>
          <w:tcPr>
            <w:tcW w:w="360" w:type="dxa"/>
            <w:vAlign w:val="bottom"/>
            <w:tcBorders>
              <w:bottom w:val="single" w:sz="8" w:color="auto"/>
            </w:tcBorders>
          </w:tcPr>
          <w:p>
            <w:pPr>
              <w:jc w:val="right"/>
              <w:ind w:right="103"/>
              <w:spacing w:after="0"/>
              <w:rPr>
                <w:sz w:val="20"/>
                <w:szCs w:val="20"/>
                <w:color w:val="auto"/>
              </w:rPr>
            </w:pPr>
            <w:r>
              <w:rPr>
                <w:rFonts w:ascii="Arial" w:cs="Arial" w:eastAsia="Arial" w:hAnsi="Arial"/>
                <w:sz w:val="15"/>
                <w:szCs w:val="15"/>
                <w:color w:val="auto"/>
              </w:rPr>
              <w:t>$</w:t>
            </w:r>
          </w:p>
        </w:tc>
        <w:tc>
          <w:tcPr>
            <w:tcW w:w="840" w:type="dxa"/>
            <w:vAlign w:val="bottom"/>
            <w:tcBorders>
              <w:bottom w:val="single" w:sz="8" w:color="auto"/>
            </w:tcBorders>
          </w:tcPr>
          <w:p>
            <w:pPr>
              <w:jc w:val="right"/>
              <w:ind w:right="24"/>
              <w:spacing w:after="0"/>
              <w:rPr>
                <w:sz w:val="20"/>
                <w:szCs w:val="20"/>
                <w:color w:val="auto"/>
              </w:rPr>
            </w:pPr>
            <w:r>
              <w:rPr>
                <w:rFonts w:ascii="Arial" w:cs="Arial" w:eastAsia="Arial" w:hAnsi="Arial"/>
                <w:sz w:val="15"/>
                <w:szCs w:val="15"/>
                <w:color w:val="auto"/>
              </w:rPr>
              <w:t>774,952</w:t>
            </w:r>
          </w:p>
        </w:tc>
        <w:tc>
          <w:tcPr>
            <w:tcW w:w="0" w:type="dxa"/>
            <w:vAlign w:val="bottom"/>
          </w:tcPr>
          <w:p>
            <w:pPr>
              <w:spacing w:after="0"/>
              <w:rPr>
                <w:sz w:val="1"/>
                <w:szCs w:val="1"/>
                <w:color w:val="auto"/>
              </w:rPr>
            </w:pPr>
          </w:p>
        </w:tc>
      </w:tr>
      <w:tr>
        <w:trPr>
          <w:trHeight w:val="20"/>
        </w:trPr>
        <w:tc>
          <w:tcPr>
            <w:tcW w:w="7780" w:type="dxa"/>
            <w:vAlign w:val="bottom"/>
            <w:vMerge w:val="restart"/>
          </w:tcPr>
          <w:p>
            <w:pPr>
              <w:ind w:left="40"/>
              <w:spacing w:after="0"/>
              <w:rPr>
                <w:sz w:val="20"/>
                <w:szCs w:val="20"/>
                <w:color w:val="auto"/>
              </w:rPr>
            </w:pPr>
            <w:r>
              <w:rPr>
                <w:rFonts w:ascii="Arial" w:cs="Arial" w:eastAsia="Arial" w:hAnsi="Arial"/>
                <w:sz w:val="15"/>
                <w:szCs w:val="15"/>
                <w:b w:val="1"/>
                <w:bCs w:val="1"/>
                <w:color w:val="auto"/>
              </w:rPr>
              <w:t>Supplemental Cash Flow Information</w:t>
            </w:r>
          </w:p>
        </w:tc>
        <w:tc>
          <w:tcPr>
            <w:tcW w:w="2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3"/>
        </w:trPr>
        <w:tc>
          <w:tcPr>
            <w:tcW w:w="7780" w:type="dxa"/>
            <w:vAlign w:val="bottom"/>
            <w:vMerge w:val="continue"/>
          </w:tcPr>
          <w:p>
            <w:pPr>
              <w:spacing w:after="0"/>
              <w:rPr>
                <w:sz w:val="21"/>
                <w:szCs w:val="21"/>
                <w:color w:val="auto"/>
              </w:rPr>
            </w:pPr>
          </w:p>
        </w:tc>
        <w:tc>
          <w:tcPr>
            <w:tcW w:w="26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0"/>
        </w:trPr>
        <w:tc>
          <w:tcPr>
            <w:tcW w:w="7780" w:type="dxa"/>
            <w:vAlign w:val="bottom"/>
          </w:tcPr>
          <w:p>
            <w:pPr>
              <w:ind w:left="280"/>
              <w:spacing w:after="0"/>
              <w:rPr>
                <w:sz w:val="20"/>
                <w:szCs w:val="20"/>
                <w:color w:val="auto"/>
              </w:rPr>
            </w:pPr>
            <w:r>
              <w:rPr>
                <w:rFonts w:ascii="Arial" w:cs="Arial" w:eastAsia="Arial" w:hAnsi="Arial"/>
                <w:sz w:val="15"/>
                <w:szCs w:val="15"/>
                <w:color w:val="auto"/>
              </w:rPr>
              <w:t>Cash paid during the year for:</w:t>
            </w:r>
          </w:p>
        </w:tc>
        <w:tc>
          <w:tcPr>
            <w:tcW w:w="260" w:type="dxa"/>
            <w:vAlign w:val="bottom"/>
          </w:tcPr>
          <w:p>
            <w:pPr>
              <w:spacing w:after="0"/>
              <w:rPr>
                <w:sz w:val="23"/>
                <w:szCs w:val="23"/>
                <w:color w:val="auto"/>
              </w:rPr>
            </w:pPr>
          </w:p>
        </w:tc>
        <w:tc>
          <w:tcPr>
            <w:tcW w:w="94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7780" w:type="dxa"/>
            <w:vAlign w:val="bottom"/>
          </w:tcPr>
          <w:p>
            <w:pPr>
              <w:ind w:left="500"/>
              <w:spacing w:after="0"/>
              <w:rPr>
                <w:sz w:val="20"/>
                <w:szCs w:val="20"/>
                <w:color w:val="auto"/>
              </w:rPr>
            </w:pPr>
            <w:r>
              <w:rPr>
                <w:rFonts w:ascii="Arial" w:cs="Arial" w:eastAsia="Arial" w:hAnsi="Arial"/>
                <w:sz w:val="15"/>
                <w:szCs w:val="15"/>
                <w:color w:val="auto"/>
              </w:rPr>
              <w:t>Income taxes</w:t>
            </w:r>
          </w:p>
        </w:tc>
        <w:tc>
          <w:tcPr>
            <w:tcW w:w="260" w:type="dxa"/>
            <w:vAlign w:val="bottom"/>
          </w:tcPr>
          <w:p>
            <w:pPr>
              <w:jc w:val="right"/>
              <w:ind w:right="83"/>
              <w:spacing w:after="0"/>
              <w:rPr>
                <w:sz w:val="20"/>
                <w:szCs w:val="20"/>
                <w:color w:val="auto"/>
              </w:rPr>
            </w:pPr>
            <w:r>
              <w:rPr>
                <w:rFonts w:ascii="Arial" w:cs="Arial" w:eastAsia="Arial" w:hAnsi="Arial"/>
                <w:sz w:val="15"/>
                <w:szCs w:val="15"/>
                <w:b w:val="1"/>
                <w:bCs w:val="1"/>
                <w:color w:val="auto"/>
                <w:w w:val="95"/>
              </w:rPr>
              <w:t>$</w:t>
            </w:r>
          </w:p>
        </w:tc>
        <w:tc>
          <w:tcPr>
            <w:tcW w:w="940" w:type="dxa"/>
            <w:vAlign w:val="bottom"/>
          </w:tcPr>
          <w:p>
            <w:pPr>
              <w:jc w:val="right"/>
              <w:ind w:right="84"/>
              <w:spacing w:after="0"/>
              <w:rPr>
                <w:sz w:val="20"/>
                <w:szCs w:val="20"/>
                <w:color w:val="auto"/>
              </w:rPr>
            </w:pPr>
            <w:r>
              <w:rPr>
                <w:rFonts w:ascii="Arial" w:cs="Arial" w:eastAsia="Arial" w:hAnsi="Arial"/>
                <w:sz w:val="15"/>
                <w:szCs w:val="15"/>
                <w:b w:val="1"/>
                <w:bCs w:val="1"/>
                <w:color w:val="auto"/>
              </w:rPr>
              <w:t>4,000</w:t>
            </w:r>
          </w:p>
        </w:tc>
        <w:tc>
          <w:tcPr>
            <w:tcW w:w="320" w:type="dxa"/>
            <w:vAlign w:val="bottom"/>
          </w:tcPr>
          <w:p>
            <w:pPr>
              <w:jc w:val="right"/>
              <w:ind w:right="63"/>
              <w:spacing w:after="0"/>
              <w:rPr>
                <w:sz w:val="20"/>
                <w:szCs w:val="20"/>
                <w:color w:val="auto"/>
              </w:rPr>
            </w:pPr>
            <w:r>
              <w:rPr>
                <w:rFonts w:ascii="Arial" w:cs="Arial" w:eastAsia="Arial" w:hAnsi="Arial"/>
                <w:sz w:val="15"/>
                <w:szCs w:val="15"/>
                <w:color w:val="auto"/>
              </w:rPr>
              <w:t>$</w:t>
            </w:r>
          </w:p>
        </w:tc>
        <w:tc>
          <w:tcPr>
            <w:tcW w:w="920" w:type="dxa"/>
            <w:vAlign w:val="bottom"/>
          </w:tcPr>
          <w:p>
            <w:pPr>
              <w:jc w:val="right"/>
              <w:ind w:right="84"/>
              <w:spacing w:after="0"/>
              <w:rPr>
                <w:sz w:val="20"/>
                <w:szCs w:val="20"/>
                <w:color w:val="auto"/>
              </w:rPr>
            </w:pPr>
            <w:r>
              <w:rPr>
                <w:rFonts w:ascii="Arial" w:cs="Arial" w:eastAsia="Arial" w:hAnsi="Arial"/>
                <w:sz w:val="15"/>
                <w:szCs w:val="15"/>
                <w:color w:val="auto"/>
              </w:rPr>
              <w:t>65,000</w:t>
            </w:r>
          </w:p>
        </w:tc>
        <w:tc>
          <w:tcPr>
            <w:tcW w:w="360" w:type="dxa"/>
            <w:vAlign w:val="bottom"/>
          </w:tcPr>
          <w:p>
            <w:pPr>
              <w:jc w:val="right"/>
              <w:ind w:right="103"/>
              <w:spacing w:after="0"/>
              <w:rPr>
                <w:sz w:val="20"/>
                <w:szCs w:val="20"/>
                <w:color w:val="auto"/>
              </w:rPr>
            </w:pPr>
            <w:r>
              <w:rPr>
                <w:rFonts w:ascii="Arial" w:cs="Arial" w:eastAsia="Arial" w:hAnsi="Arial"/>
                <w:sz w:val="15"/>
                <w:szCs w:val="15"/>
                <w:color w:val="auto"/>
              </w:rPr>
              <w:t>$</w:t>
            </w:r>
          </w:p>
        </w:tc>
        <w:tc>
          <w:tcPr>
            <w:tcW w:w="840" w:type="dxa"/>
            <w:vAlign w:val="bottom"/>
          </w:tcPr>
          <w:p>
            <w:pPr>
              <w:jc w:val="right"/>
              <w:ind w:right="24"/>
              <w:spacing w:after="0"/>
              <w:rPr>
                <w:sz w:val="20"/>
                <w:szCs w:val="20"/>
                <w:color w:val="auto"/>
              </w:rPr>
            </w:pPr>
            <w:r>
              <w:rPr>
                <w:rFonts w:ascii="Arial" w:cs="Arial" w:eastAsia="Arial" w:hAnsi="Arial"/>
                <w:sz w:val="15"/>
                <w:szCs w:val="15"/>
                <w:color w:val="auto"/>
              </w:rPr>
              <w:t>209,000</w:t>
            </w:r>
          </w:p>
        </w:tc>
        <w:tc>
          <w:tcPr>
            <w:tcW w:w="0" w:type="dxa"/>
            <w:vAlign w:val="bottom"/>
          </w:tcPr>
          <w:p>
            <w:pPr>
              <w:spacing w:after="0"/>
              <w:rPr>
                <w:sz w:val="1"/>
                <w:szCs w:val="1"/>
                <w:color w:val="auto"/>
              </w:rPr>
            </w:pPr>
          </w:p>
        </w:tc>
      </w:tr>
      <w:tr>
        <w:trPr>
          <w:trHeight w:val="270"/>
        </w:trPr>
        <w:tc>
          <w:tcPr>
            <w:tcW w:w="7780" w:type="dxa"/>
            <w:vAlign w:val="bottom"/>
          </w:tcPr>
          <w:p>
            <w:pPr>
              <w:ind w:left="500"/>
              <w:spacing w:after="0"/>
              <w:rPr>
                <w:sz w:val="20"/>
                <w:szCs w:val="20"/>
                <w:color w:val="auto"/>
              </w:rPr>
            </w:pPr>
            <w:r>
              <w:rPr>
                <w:rFonts w:ascii="Arial" w:cs="Arial" w:eastAsia="Arial" w:hAnsi="Arial"/>
                <w:sz w:val="15"/>
                <w:szCs w:val="15"/>
                <w:color w:val="auto"/>
              </w:rPr>
              <w:t>Interest</w:t>
            </w:r>
          </w:p>
        </w:tc>
        <w:tc>
          <w:tcPr>
            <w:tcW w:w="260" w:type="dxa"/>
            <w:vAlign w:val="bottom"/>
          </w:tcPr>
          <w:p>
            <w:pPr>
              <w:jc w:val="right"/>
              <w:ind w:right="83"/>
              <w:spacing w:after="0"/>
              <w:rPr>
                <w:sz w:val="20"/>
                <w:szCs w:val="20"/>
                <w:color w:val="auto"/>
              </w:rPr>
            </w:pPr>
            <w:r>
              <w:rPr>
                <w:rFonts w:ascii="Arial" w:cs="Arial" w:eastAsia="Arial" w:hAnsi="Arial"/>
                <w:sz w:val="15"/>
                <w:szCs w:val="15"/>
                <w:b w:val="1"/>
                <w:bCs w:val="1"/>
                <w:color w:val="auto"/>
                <w:w w:val="95"/>
              </w:rPr>
              <w:t>$</w:t>
            </w:r>
          </w:p>
        </w:tc>
        <w:tc>
          <w:tcPr>
            <w:tcW w:w="940" w:type="dxa"/>
            <w:vAlign w:val="bottom"/>
          </w:tcPr>
          <w:p>
            <w:pPr>
              <w:jc w:val="right"/>
              <w:ind w:right="84"/>
              <w:spacing w:after="0"/>
              <w:rPr>
                <w:sz w:val="20"/>
                <w:szCs w:val="20"/>
                <w:color w:val="auto"/>
              </w:rPr>
            </w:pPr>
            <w:r>
              <w:rPr>
                <w:rFonts w:ascii="Arial" w:cs="Arial" w:eastAsia="Arial" w:hAnsi="Arial"/>
                <w:sz w:val="15"/>
                <w:szCs w:val="15"/>
                <w:b w:val="1"/>
                <w:bCs w:val="1"/>
                <w:color w:val="auto"/>
              </w:rPr>
              <w:t>33,000</w:t>
            </w:r>
          </w:p>
        </w:tc>
        <w:tc>
          <w:tcPr>
            <w:tcW w:w="320" w:type="dxa"/>
            <w:vAlign w:val="bottom"/>
          </w:tcPr>
          <w:p>
            <w:pPr>
              <w:jc w:val="right"/>
              <w:ind w:right="63"/>
              <w:spacing w:after="0"/>
              <w:rPr>
                <w:sz w:val="20"/>
                <w:szCs w:val="20"/>
                <w:color w:val="auto"/>
              </w:rPr>
            </w:pPr>
            <w:r>
              <w:rPr>
                <w:rFonts w:ascii="Arial" w:cs="Arial" w:eastAsia="Arial" w:hAnsi="Arial"/>
                <w:sz w:val="15"/>
                <w:szCs w:val="15"/>
                <w:color w:val="auto"/>
              </w:rPr>
              <w:t>$</w:t>
            </w:r>
          </w:p>
        </w:tc>
        <w:tc>
          <w:tcPr>
            <w:tcW w:w="920" w:type="dxa"/>
            <w:vAlign w:val="bottom"/>
          </w:tcPr>
          <w:p>
            <w:pPr>
              <w:jc w:val="right"/>
              <w:ind w:right="84"/>
              <w:spacing w:after="0"/>
              <w:rPr>
                <w:sz w:val="20"/>
                <w:szCs w:val="20"/>
                <w:color w:val="auto"/>
              </w:rPr>
            </w:pPr>
            <w:r>
              <w:rPr>
                <w:rFonts w:ascii="Arial" w:cs="Arial" w:eastAsia="Arial" w:hAnsi="Arial"/>
                <w:sz w:val="15"/>
                <w:szCs w:val="15"/>
                <w:color w:val="auto"/>
              </w:rPr>
              <w:t>30,000</w:t>
            </w:r>
          </w:p>
        </w:tc>
        <w:tc>
          <w:tcPr>
            <w:tcW w:w="360" w:type="dxa"/>
            <w:vAlign w:val="bottom"/>
          </w:tcPr>
          <w:p>
            <w:pPr>
              <w:jc w:val="right"/>
              <w:ind w:right="103"/>
              <w:spacing w:after="0"/>
              <w:rPr>
                <w:sz w:val="20"/>
                <w:szCs w:val="20"/>
                <w:color w:val="auto"/>
              </w:rPr>
            </w:pPr>
            <w:r>
              <w:rPr>
                <w:rFonts w:ascii="Arial" w:cs="Arial" w:eastAsia="Arial" w:hAnsi="Arial"/>
                <w:sz w:val="15"/>
                <w:szCs w:val="15"/>
                <w:color w:val="auto"/>
              </w:rPr>
              <w:t>$</w:t>
            </w:r>
          </w:p>
        </w:tc>
        <w:tc>
          <w:tcPr>
            <w:tcW w:w="840" w:type="dxa"/>
            <w:vAlign w:val="bottom"/>
          </w:tcPr>
          <w:p>
            <w:pPr>
              <w:jc w:val="right"/>
              <w:ind w:right="24"/>
              <w:spacing w:after="0"/>
              <w:rPr>
                <w:sz w:val="20"/>
                <w:szCs w:val="20"/>
                <w:color w:val="auto"/>
              </w:rPr>
            </w:pPr>
            <w:r>
              <w:rPr>
                <w:rFonts w:ascii="Arial" w:cs="Arial" w:eastAsia="Arial" w:hAnsi="Arial"/>
                <w:sz w:val="15"/>
                <w:szCs w:val="15"/>
                <w:color w:val="auto"/>
              </w:rPr>
              <w:t>33,000</w:t>
            </w:r>
          </w:p>
        </w:tc>
        <w:tc>
          <w:tcPr>
            <w:tcW w:w="0" w:type="dxa"/>
            <w:vAlign w:val="bottom"/>
          </w:tcPr>
          <w:p>
            <w:pPr>
              <w:spacing w:after="0"/>
              <w:rPr>
                <w:sz w:val="1"/>
                <w:szCs w:val="1"/>
                <w:color w:val="auto"/>
              </w:rPr>
            </w:pPr>
          </w:p>
        </w:tc>
      </w:tr>
    </w:tbl>
    <w:p>
      <w:pPr>
        <w:sectPr>
          <w:pgSz w:w="11900" w:h="16838" w:orient="portrait"/>
          <w:cols w:equalWidth="0" w:num="1">
            <w:col w:w="11420"/>
          </w:cols>
          <w:pgMar w:left="240" w:top="738" w:right="239" w:bottom="0" w:gutter="0" w:footer="0" w:header="0"/>
        </w:sectPr>
      </w:pPr>
    </w:p>
    <w:bookmarkStart w:id="76" w:name="page77"/>
    <w:bookmarkEnd w:id="76"/>
    <w:p>
      <w:pPr>
        <w:spacing w:after="0"/>
        <w:rPr>
          <w:sz w:val="20"/>
          <w:szCs w:val="20"/>
          <w:color w:val="auto"/>
        </w:rPr>
      </w:pPr>
      <w:r>
        <w:rPr>
          <w:rFonts w:ascii="Arial" w:cs="Arial" w:eastAsia="Arial" w:hAnsi="Arial"/>
          <w:sz w:val="14"/>
          <w:szCs w:val="14"/>
          <w:color w:val="auto"/>
        </w:rPr>
        <w:t>See accompanying Notes to Consolidated Financial Statements.</w:t>
      </w:r>
    </w:p>
    <w:p>
      <w:pPr>
        <w:spacing w:after="0" w:line="347" w:lineRule="exact"/>
        <w:rPr>
          <w:sz w:val="20"/>
          <w:szCs w:val="20"/>
          <w:color w:val="auto"/>
        </w:rPr>
      </w:pPr>
    </w:p>
    <w:p>
      <w:pPr>
        <w:jc w:val="right"/>
        <w:ind w:right="4399"/>
        <w:spacing w:after="0"/>
        <w:rPr>
          <w:sz w:val="20"/>
          <w:szCs w:val="20"/>
          <w:color w:val="auto"/>
        </w:rPr>
      </w:pPr>
      <w:r>
        <w:rPr>
          <w:rFonts w:ascii="Arial" w:cs="Arial" w:eastAsia="Arial" w:hAnsi="Arial"/>
          <w:sz w:val="18"/>
          <w:szCs w:val="18"/>
          <w:color w:val="auto"/>
        </w:rPr>
        <w:t>74</w:t>
      </w:r>
    </w:p>
    <w:p>
      <w:pPr>
        <w:sectPr>
          <w:pgSz w:w="11900" w:h="16838" w:orient="portrait"/>
          <w:cols w:equalWidth="0" w:num="1">
            <w:col w:w="10219"/>
          </w:cols>
          <w:pgMar w:left="240" w:top="144" w:right="1440" w:bottom="1440" w:gutter="0" w:footer="0" w:header="0"/>
        </w:sectPr>
      </w:pPr>
    </w:p>
    <w:bookmarkStart w:id="77" w:name="page78"/>
    <w:bookmarkEnd w:id="77"/>
    <w:p>
      <w:pPr>
        <w:jc w:val="center"/>
        <w:spacing w:after="0"/>
        <w:rPr>
          <w:sz w:val="20"/>
          <w:szCs w:val="20"/>
          <w:color w:val="auto"/>
        </w:rPr>
      </w:pPr>
      <w:r>
        <w:rPr>
          <w:rFonts w:ascii="Arial" w:cs="Arial" w:eastAsia="Arial" w:hAnsi="Arial"/>
          <w:sz w:val="18"/>
          <w:szCs w:val="18"/>
          <w:b w:val="1"/>
          <w:bCs w:val="1"/>
          <w:color w:val="auto"/>
        </w:rPr>
        <w:t>GRAHAM HOLDINGS COMPANY</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CHANGES IN COMMON STOCKHOLDERS’ EQUITY</w:t>
      </w:r>
    </w:p>
    <w:p>
      <w:pPr>
        <w:spacing w:after="0" w:line="152" w:lineRule="exact"/>
        <w:rPr>
          <w:sz w:val="20"/>
          <w:szCs w:val="20"/>
          <w:color w:val="auto"/>
        </w:rPr>
      </w:pPr>
    </w:p>
    <w:tbl>
      <w:tblPr>
        <w:tblLayout w:type="fixed"/>
        <w:tblInd w:w="40" w:type="dxa"/>
        <w:tblCellMar>
          <w:top w:w="0" w:type="dxa"/>
          <w:left w:w="0" w:type="dxa"/>
          <w:bottom w:w="0" w:type="dxa"/>
          <w:right w:w="0" w:type="dxa"/>
        </w:tblCellMar>
      </w:tblPr>
      <w:tr>
        <w:trPr>
          <w:trHeight w:val="126"/>
        </w:trPr>
        <w:tc>
          <w:tcPr>
            <w:tcW w:w="1980" w:type="dxa"/>
            <w:vAlign w:val="bottom"/>
          </w:tcPr>
          <w:p>
            <w:pPr>
              <w:spacing w:after="0"/>
              <w:rPr>
                <w:sz w:val="10"/>
                <w:szCs w:val="10"/>
                <w:color w:val="auto"/>
              </w:rPr>
            </w:pPr>
          </w:p>
        </w:tc>
        <w:tc>
          <w:tcPr>
            <w:tcW w:w="190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1160" w:type="dxa"/>
            <w:vAlign w:val="bottom"/>
          </w:tcPr>
          <w:p>
            <w:pPr>
              <w:jc w:val="center"/>
              <w:spacing w:after="0"/>
              <w:rPr>
                <w:sz w:val="20"/>
                <w:szCs w:val="20"/>
                <w:color w:val="auto"/>
              </w:rPr>
            </w:pPr>
            <w:r>
              <w:rPr>
                <w:rFonts w:ascii="Arial" w:cs="Arial" w:eastAsia="Arial" w:hAnsi="Arial"/>
                <w:sz w:val="11"/>
                <w:szCs w:val="11"/>
                <w:b w:val="1"/>
                <w:bCs w:val="1"/>
                <w:color w:val="auto"/>
                <w:w w:val="98"/>
              </w:rPr>
              <w:t>Accumulated</w:t>
            </w:r>
          </w:p>
        </w:tc>
        <w:tc>
          <w:tcPr>
            <w:tcW w:w="84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960" w:type="dxa"/>
            <w:vAlign w:val="bottom"/>
          </w:tcPr>
          <w:p>
            <w:pPr>
              <w:spacing w:after="0"/>
              <w:rPr>
                <w:sz w:val="10"/>
                <w:szCs w:val="10"/>
                <w:color w:val="auto"/>
              </w:rPr>
            </w:pPr>
          </w:p>
        </w:tc>
      </w:tr>
      <w:tr>
        <w:trPr>
          <w:trHeight w:val="122"/>
        </w:trPr>
        <w:tc>
          <w:tcPr>
            <w:tcW w:w="1980" w:type="dxa"/>
            <w:vAlign w:val="bottom"/>
          </w:tcPr>
          <w:p>
            <w:pPr>
              <w:spacing w:after="0"/>
              <w:rPr>
                <w:sz w:val="10"/>
                <w:szCs w:val="10"/>
                <w:color w:val="auto"/>
              </w:rPr>
            </w:pPr>
          </w:p>
        </w:tc>
        <w:tc>
          <w:tcPr>
            <w:tcW w:w="1900" w:type="dxa"/>
            <w:vAlign w:val="bottom"/>
          </w:tcPr>
          <w:p>
            <w:pPr>
              <w:jc w:val="center"/>
              <w:ind w:left="1126"/>
              <w:spacing w:after="0" w:line="122" w:lineRule="exact"/>
              <w:rPr>
                <w:sz w:val="20"/>
                <w:szCs w:val="20"/>
                <w:color w:val="auto"/>
              </w:rPr>
            </w:pPr>
            <w:r>
              <w:rPr>
                <w:rFonts w:ascii="Arial" w:cs="Arial" w:eastAsia="Arial" w:hAnsi="Arial"/>
                <w:sz w:val="11"/>
                <w:szCs w:val="11"/>
                <w:b w:val="1"/>
                <w:bCs w:val="1"/>
                <w:color w:val="auto"/>
                <w:w w:val="99"/>
              </w:rPr>
              <w:t>Class A</w:t>
            </w:r>
          </w:p>
        </w:tc>
        <w:tc>
          <w:tcPr>
            <w:tcW w:w="720" w:type="dxa"/>
            <w:vAlign w:val="bottom"/>
          </w:tcPr>
          <w:p>
            <w:pPr>
              <w:jc w:val="center"/>
              <w:spacing w:after="0" w:line="122" w:lineRule="exact"/>
              <w:rPr>
                <w:sz w:val="20"/>
                <w:szCs w:val="20"/>
                <w:color w:val="auto"/>
              </w:rPr>
            </w:pPr>
            <w:r>
              <w:rPr>
                <w:rFonts w:ascii="Arial" w:cs="Arial" w:eastAsia="Arial" w:hAnsi="Arial"/>
                <w:sz w:val="11"/>
                <w:szCs w:val="11"/>
                <w:b w:val="1"/>
                <w:bCs w:val="1"/>
                <w:color w:val="auto"/>
                <w:w w:val="94"/>
              </w:rPr>
              <w:t>Class B</w:t>
            </w:r>
          </w:p>
        </w:tc>
        <w:tc>
          <w:tcPr>
            <w:tcW w:w="840" w:type="dxa"/>
            <w:vAlign w:val="bottom"/>
          </w:tcPr>
          <w:p>
            <w:pPr>
              <w:ind w:left="140"/>
              <w:spacing w:after="0" w:line="122" w:lineRule="exact"/>
              <w:rPr>
                <w:sz w:val="20"/>
                <w:szCs w:val="20"/>
                <w:color w:val="auto"/>
              </w:rPr>
            </w:pPr>
            <w:r>
              <w:rPr>
                <w:rFonts w:ascii="Arial" w:cs="Arial" w:eastAsia="Arial" w:hAnsi="Arial"/>
                <w:sz w:val="11"/>
                <w:szCs w:val="11"/>
                <w:b w:val="1"/>
                <w:bCs w:val="1"/>
                <w:color w:val="auto"/>
              </w:rPr>
              <w:t>Capital in</w:t>
            </w:r>
          </w:p>
        </w:tc>
        <w:tc>
          <w:tcPr>
            <w:tcW w:w="820" w:type="dxa"/>
            <w:vAlign w:val="bottom"/>
          </w:tcPr>
          <w:p>
            <w:pPr>
              <w:spacing w:after="0"/>
              <w:rPr>
                <w:sz w:val="10"/>
                <w:szCs w:val="10"/>
                <w:color w:val="auto"/>
              </w:rPr>
            </w:pPr>
          </w:p>
        </w:tc>
        <w:tc>
          <w:tcPr>
            <w:tcW w:w="1160" w:type="dxa"/>
            <w:vAlign w:val="bottom"/>
          </w:tcPr>
          <w:p>
            <w:pPr>
              <w:jc w:val="center"/>
              <w:spacing w:after="0" w:line="122" w:lineRule="exact"/>
              <w:rPr>
                <w:sz w:val="20"/>
                <w:szCs w:val="20"/>
                <w:color w:val="auto"/>
              </w:rPr>
            </w:pPr>
            <w:r>
              <w:rPr>
                <w:rFonts w:ascii="Arial" w:cs="Arial" w:eastAsia="Arial" w:hAnsi="Arial"/>
                <w:sz w:val="11"/>
                <w:szCs w:val="11"/>
                <w:b w:val="1"/>
                <w:bCs w:val="1"/>
                <w:color w:val="auto"/>
              </w:rPr>
              <w:t>Other</w:t>
            </w:r>
          </w:p>
        </w:tc>
        <w:tc>
          <w:tcPr>
            <w:tcW w:w="84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960" w:type="dxa"/>
            <w:vAlign w:val="bottom"/>
          </w:tcPr>
          <w:p>
            <w:pPr>
              <w:jc w:val="center"/>
              <w:ind w:left="106"/>
              <w:spacing w:after="0" w:line="122" w:lineRule="exact"/>
              <w:rPr>
                <w:sz w:val="20"/>
                <w:szCs w:val="20"/>
                <w:color w:val="auto"/>
              </w:rPr>
            </w:pPr>
            <w:r>
              <w:rPr>
                <w:rFonts w:ascii="Arial" w:cs="Arial" w:eastAsia="Arial" w:hAnsi="Arial"/>
                <w:sz w:val="11"/>
                <w:szCs w:val="11"/>
                <w:b w:val="1"/>
                <w:bCs w:val="1"/>
                <w:color w:val="auto"/>
                <w:w w:val="98"/>
              </w:rPr>
              <w:t>Redeemable</w:t>
            </w:r>
          </w:p>
        </w:tc>
      </w:tr>
      <w:tr>
        <w:trPr>
          <w:trHeight w:val="122"/>
        </w:trPr>
        <w:tc>
          <w:tcPr>
            <w:tcW w:w="1980" w:type="dxa"/>
            <w:vAlign w:val="bottom"/>
          </w:tcPr>
          <w:p>
            <w:pPr>
              <w:spacing w:after="0"/>
              <w:rPr>
                <w:sz w:val="10"/>
                <w:szCs w:val="10"/>
                <w:color w:val="auto"/>
              </w:rPr>
            </w:pPr>
          </w:p>
        </w:tc>
        <w:tc>
          <w:tcPr>
            <w:tcW w:w="1900" w:type="dxa"/>
            <w:vAlign w:val="bottom"/>
          </w:tcPr>
          <w:p>
            <w:pPr>
              <w:jc w:val="center"/>
              <w:ind w:left="1146"/>
              <w:spacing w:after="0" w:line="122" w:lineRule="exact"/>
              <w:rPr>
                <w:sz w:val="20"/>
                <w:szCs w:val="20"/>
                <w:color w:val="auto"/>
              </w:rPr>
            </w:pPr>
            <w:r>
              <w:rPr>
                <w:rFonts w:ascii="Arial" w:cs="Arial" w:eastAsia="Arial" w:hAnsi="Arial"/>
                <w:sz w:val="11"/>
                <w:szCs w:val="11"/>
                <w:b w:val="1"/>
                <w:bCs w:val="1"/>
                <w:color w:val="auto"/>
                <w:w w:val="96"/>
              </w:rPr>
              <w:t>Common</w:t>
            </w:r>
          </w:p>
        </w:tc>
        <w:tc>
          <w:tcPr>
            <w:tcW w:w="720" w:type="dxa"/>
            <w:vAlign w:val="bottom"/>
          </w:tcPr>
          <w:p>
            <w:pPr>
              <w:jc w:val="center"/>
              <w:ind w:right="6"/>
              <w:spacing w:after="0" w:line="122" w:lineRule="exact"/>
              <w:rPr>
                <w:sz w:val="20"/>
                <w:szCs w:val="20"/>
                <w:color w:val="auto"/>
              </w:rPr>
            </w:pPr>
            <w:r>
              <w:rPr>
                <w:rFonts w:ascii="Arial" w:cs="Arial" w:eastAsia="Arial" w:hAnsi="Arial"/>
                <w:sz w:val="11"/>
                <w:szCs w:val="11"/>
                <w:b w:val="1"/>
                <w:bCs w:val="1"/>
                <w:color w:val="auto"/>
                <w:w w:val="96"/>
              </w:rPr>
              <w:t>Common</w:t>
            </w:r>
          </w:p>
        </w:tc>
        <w:tc>
          <w:tcPr>
            <w:tcW w:w="840" w:type="dxa"/>
            <w:vAlign w:val="bottom"/>
          </w:tcPr>
          <w:p>
            <w:pPr>
              <w:ind w:left="140"/>
              <w:spacing w:after="0" w:line="122" w:lineRule="exact"/>
              <w:rPr>
                <w:sz w:val="20"/>
                <w:szCs w:val="20"/>
                <w:color w:val="auto"/>
              </w:rPr>
            </w:pPr>
            <w:r>
              <w:rPr>
                <w:rFonts w:ascii="Arial" w:cs="Arial" w:eastAsia="Arial" w:hAnsi="Arial"/>
                <w:sz w:val="11"/>
                <w:szCs w:val="11"/>
                <w:b w:val="1"/>
                <w:bCs w:val="1"/>
                <w:color w:val="auto"/>
              </w:rPr>
              <w:t>Excess of</w:t>
            </w:r>
          </w:p>
        </w:tc>
        <w:tc>
          <w:tcPr>
            <w:tcW w:w="820" w:type="dxa"/>
            <w:vAlign w:val="bottom"/>
          </w:tcPr>
          <w:p>
            <w:pPr>
              <w:ind w:left="200"/>
              <w:spacing w:after="0" w:line="122" w:lineRule="exact"/>
              <w:rPr>
                <w:sz w:val="20"/>
                <w:szCs w:val="20"/>
                <w:color w:val="auto"/>
              </w:rPr>
            </w:pPr>
            <w:r>
              <w:rPr>
                <w:rFonts w:ascii="Arial" w:cs="Arial" w:eastAsia="Arial" w:hAnsi="Arial"/>
                <w:sz w:val="11"/>
                <w:szCs w:val="11"/>
                <w:b w:val="1"/>
                <w:bCs w:val="1"/>
                <w:color w:val="auto"/>
              </w:rPr>
              <w:t>Retained</w:t>
            </w:r>
          </w:p>
        </w:tc>
        <w:tc>
          <w:tcPr>
            <w:tcW w:w="1160" w:type="dxa"/>
            <w:vAlign w:val="bottom"/>
          </w:tcPr>
          <w:p>
            <w:pPr>
              <w:jc w:val="center"/>
              <w:spacing w:after="0" w:line="122" w:lineRule="exact"/>
              <w:rPr>
                <w:sz w:val="20"/>
                <w:szCs w:val="20"/>
                <w:color w:val="auto"/>
              </w:rPr>
            </w:pPr>
            <w:r>
              <w:rPr>
                <w:rFonts w:ascii="Arial" w:cs="Arial" w:eastAsia="Arial" w:hAnsi="Arial"/>
                <w:sz w:val="11"/>
                <w:szCs w:val="11"/>
                <w:b w:val="1"/>
                <w:bCs w:val="1"/>
                <w:color w:val="auto"/>
                <w:w w:val="99"/>
              </w:rPr>
              <w:t>Comprehensive</w:t>
            </w:r>
          </w:p>
        </w:tc>
        <w:tc>
          <w:tcPr>
            <w:tcW w:w="840" w:type="dxa"/>
            <w:vAlign w:val="bottom"/>
          </w:tcPr>
          <w:p>
            <w:pPr>
              <w:jc w:val="center"/>
              <w:spacing w:after="0" w:line="122" w:lineRule="exact"/>
              <w:rPr>
                <w:sz w:val="20"/>
                <w:szCs w:val="20"/>
                <w:color w:val="auto"/>
              </w:rPr>
            </w:pPr>
            <w:r>
              <w:rPr>
                <w:rFonts w:ascii="Arial" w:cs="Arial" w:eastAsia="Arial" w:hAnsi="Arial"/>
                <w:sz w:val="11"/>
                <w:szCs w:val="11"/>
                <w:b w:val="1"/>
                <w:bCs w:val="1"/>
                <w:color w:val="auto"/>
                <w:w w:val="94"/>
              </w:rPr>
              <w:t>Treasury</w:t>
            </w:r>
          </w:p>
        </w:tc>
        <w:tc>
          <w:tcPr>
            <w:tcW w:w="1120" w:type="dxa"/>
            <w:vAlign w:val="bottom"/>
          </w:tcPr>
          <w:p>
            <w:pPr>
              <w:jc w:val="center"/>
              <w:ind w:left="26"/>
              <w:spacing w:after="0" w:line="122" w:lineRule="exact"/>
              <w:rPr>
                <w:sz w:val="20"/>
                <w:szCs w:val="20"/>
                <w:color w:val="auto"/>
              </w:rPr>
            </w:pPr>
            <w:r>
              <w:rPr>
                <w:rFonts w:ascii="Arial" w:cs="Arial" w:eastAsia="Arial" w:hAnsi="Arial"/>
                <w:sz w:val="11"/>
                <w:szCs w:val="11"/>
                <w:b w:val="1"/>
                <w:bCs w:val="1"/>
                <w:color w:val="auto"/>
                <w:w w:val="97"/>
              </w:rPr>
              <w:t>Noncontrolling</w:t>
            </w:r>
          </w:p>
        </w:tc>
        <w:tc>
          <w:tcPr>
            <w:tcW w:w="920" w:type="dxa"/>
            <w:vAlign w:val="bottom"/>
          </w:tcPr>
          <w:p>
            <w:pPr>
              <w:spacing w:after="0"/>
              <w:rPr>
                <w:sz w:val="10"/>
                <w:szCs w:val="10"/>
                <w:color w:val="auto"/>
              </w:rPr>
            </w:pPr>
          </w:p>
        </w:tc>
        <w:tc>
          <w:tcPr>
            <w:tcW w:w="960" w:type="dxa"/>
            <w:vAlign w:val="bottom"/>
          </w:tcPr>
          <w:p>
            <w:pPr>
              <w:jc w:val="center"/>
              <w:ind w:left="126"/>
              <w:spacing w:after="0" w:line="122" w:lineRule="exact"/>
              <w:rPr>
                <w:sz w:val="20"/>
                <w:szCs w:val="20"/>
                <w:color w:val="auto"/>
              </w:rPr>
            </w:pPr>
            <w:r>
              <w:rPr>
                <w:rFonts w:ascii="Arial" w:cs="Arial" w:eastAsia="Arial" w:hAnsi="Arial"/>
                <w:sz w:val="11"/>
                <w:szCs w:val="11"/>
                <w:b w:val="1"/>
                <w:bCs w:val="1"/>
                <w:color w:val="auto"/>
                <w:w w:val="99"/>
              </w:rPr>
              <w:t>Noncontrolling</w:t>
            </w:r>
          </w:p>
        </w:tc>
      </w:tr>
      <w:tr>
        <w:trPr>
          <w:trHeight w:val="142"/>
        </w:trPr>
        <w:tc>
          <w:tcPr>
            <w:tcW w:w="1980" w:type="dxa"/>
            <w:vAlign w:val="bottom"/>
          </w:tcPr>
          <w:p>
            <w:pPr>
              <w:spacing w:after="0"/>
              <w:rPr>
                <w:sz w:val="20"/>
                <w:szCs w:val="20"/>
                <w:color w:val="auto"/>
              </w:rPr>
            </w:pPr>
            <w:r>
              <w:rPr>
                <w:rFonts w:ascii="Arial" w:cs="Arial" w:eastAsia="Arial" w:hAnsi="Arial"/>
                <w:sz w:val="11"/>
                <w:szCs w:val="11"/>
                <w:color w:val="auto"/>
              </w:rPr>
              <w:t>(in thousands)</w:t>
            </w:r>
          </w:p>
        </w:tc>
        <w:tc>
          <w:tcPr>
            <w:tcW w:w="1900" w:type="dxa"/>
            <w:vAlign w:val="bottom"/>
          </w:tcPr>
          <w:p>
            <w:pPr>
              <w:jc w:val="center"/>
              <w:ind w:left="1146"/>
              <w:spacing w:after="0"/>
              <w:rPr>
                <w:sz w:val="20"/>
                <w:szCs w:val="20"/>
                <w:color w:val="auto"/>
              </w:rPr>
            </w:pPr>
            <w:r>
              <w:rPr>
                <w:rFonts w:ascii="Arial" w:cs="Arial" w:eastAsia="Arial" w:hAnsi="Arial"/>
                <w:sz w:val="11"/>
                <w:szCs w:val="11"/>
                <w:b w:val="1"/>
                <w:bCs w:val="1"/>
                <w:color w:val="auto"/>
                <w:w w:val="99"/>
              </w:rPr>
              <w:t>Stock</w:t>
            </w:r>
          </w:p>
        </w:tc>
        <w:tc>
          <w:tcPr>
            <w:tcW w:w="720" w:type="dxa"/>
            <w:vAlign w:val="bottom"/>
          </w:tcPr>
          <w:p>
            <w:pPr>
              <w:jc w:val="center"/>
              <w:spacing w:after="0"/>
              <w:rPr>
                <w:sz w:val="20"/>
                <w:szCs w:val="20"/>
                <w:color w:val="auto"/>
              </w:rPr>
            </w:pPr>
            <w:r>
              <w:rPr>
                <w:rFonts w:ascii="Arial" w:cs="Arial" w:eastAsia="Arial" w:hAnsi="Arial"/>
                <w:sz w:val="11"/>
                <w:szCs w:val="11"/>
                <w:b w:val="1"/>
                <w:bCs w:val="1"/>
                <w:color w:val="auto"/>
                <w:w w:val="99"/>
              </w:rPr>
              <w:t>Stock</w:t>
            </w:r>
          </w:p>
        </w:tc>
        <w:tc>
          <w:tcPr>
            <w:tcW w:w="840" w:type="dxa"/>
            <w:vAlign w:val="bottom"/>
          </w:tcPr>
          <w:p>
            <w:pPr>
              <w:ind w:left="140"/>
              <w:spacing w:after="0"/>
              <w:rPr>
                <w:sz w:val="20"/>
                <w:szCs w:val="20"/>
                <w:color w:val="auto"/>
              </w:rPr>
            </w:pPr>
            <w:r>
              <w:rPr>
                <w:rFonts w:ascii="Arial" w:cs="Arial" w:eastAsia="Arial" w:hAnsi="Arial"/>
                <w:sz w:val="11"/>
                <w:szCs w:val="11"/>
                <w:b w:val="1"/>
                <w:bCs w:val="1"/>
                <w:color w:val="auto"/>
              </w:rPr>
              <w:t>Par Value</w:t>
            </w:r>
          </w:p>
        </w:tc>
        <w:tc>
          <w:tcPr>
            <w:tcW w:w="820" w:type="dxa"/>
            <w:vAlign w:val="bottom"/>
          </w:tcPr>
          <w:p>
            <w:pPr>
              <w:ind w:left="200"/>
              <w:spacing w:after="0"/>
              <w:rPr>
                <w:sz w:val="20"/>
                <w:szCs w:val="20"/>
                <w:color w:val="auto"/>
              </w:rPr>
            </w:pPr>
            <w:r>
              <w:rPr>
                <w:rFonts w:ascii="Arial" w:cs="Arial" w:eastAsia="Arial" w:hAnsi="Arial"/>
                <w:sz w:val="11"/>
                <w:szCs w:val="11"/>
                <w:b w:val="1"/>
                <w:bCs w:val="1"/>
                <w:color w:val="auto"/>
              </w:rPr>
              <w:t>Earnings</w:t>
            </w:r>
          </w:p>
        </w:tc>
        <w:tc>
          <w:tcPr>
            <w:tcW w:w="1160" w:type="dxa"/>
            <w:vAlign w:val="bottom"/>
          </w:tcPr>
          <w:p>
            <w:pPr>
              <w:jc w:val="center"/>
              <w:spacing w:after="0"/>
              <w:rPr>
                <w:sz w:val="20"/>
                <w:szCs w:val="20"/>
                <w:color w:val="auto"/>
              </w:rPr>
            </w:pPr>
            <w:r>
              <w:rPr>
                <w:rFonts w:ascii="Arial" w:cs="Arial" w:eastAsia="Arial" w:hAnsi="Arial"/>
                <w:sz w:val="11"/>
                <w:szCs w:val="11"/>
                <w:b w:val="1"/>
                <w:bCs w:val="1"/>
                <w:color w:val="auto"/>
                <w:w w:val="98"/>
              </w:rPr>
              <w:t>Income</w:t>
            </w:r>
          </w:p>
        </w:tc>
        <w:tc>
          <w:tcPr>
            <w:tcW w:w="840" w:type="dxa"/>
            <w:vAlign w:val="bottom"/>
          </w:tcPr>
          <w:p>
            <w:pPr>
              <w:jc w:val="center"/>
              <w:spacing w:after="0"/>
              <w:rPr>
                <w:sz w:val="20"/>
                <w:szCs w:val="20"/>
                <w:color w:val="auto"/>
              </w:rPr>
            </w:pPr>
            <w:r>
              <w:rPr>
                <w:rFonts w:ascii="Arial" w:cs="Arial" w:eastAsia="Arial" w:hAnsi="Arial"/>
                <w:sz w:val="11"/>
                <w:szCs w:val="11"/>
                <w:b w:val="1"/>
                <w:bCs w:val="1"/>
                <w:color w:val="auto"/>
                <w:w w:val="93"/>
              </w:rPr>
              <w:t>Stock</w:t>
            </w:r>
          </w:p>
        </w:tc>
        <w:tc>
          <w:tcPr>
            <w:tcW w:w="1120" w:type="dxa"/>
            <w:vAlign w:val="bottom"/>
          </w:tcPr>
          <w:p>
            <w:pPr>
              <w:jc w:val="center"/>
              <w:ind w:left="6"/>
              <w:spacing w:after="0"/>
              <w:rPr>
                <w:sz w:val="20"/>
                <w:szCs w:val="20"/>
                <w:color w:val="auto"/>
              </w:rPr>
            </w:pPr>
            <w:r>
              <w:rPr>
                <w:rFonts w:ascii="Arial" w:cs="Arial" w:eastAsia="Arial" w:hAnsi="Arial"/>
                <w:sz w:val="11"/>
                <w:szCs w:val="11"/>
                <w:b w:val="1"/>
                <w:bCs w:val="1"/>
                <w:color w:val="auto"/>
                <w:w w:val="95"/>
              </w:rPr>
              <w:t>Interest</w:t>
            </w:r>
          </w:p>
        </w:tc>
        <w:tc>
          <w:tcPr>
            <w:tcW w:w="920" w:type="dxa"/>
            <w:vAlign w:val="bottom"/>
          </w:tcPr>
          <w:p>
            <w:pPr>
              <w:ind w:left="120"/>
              <w:spacing w:after="0"/>
              <w:rPr>
                <w:sz w:val="20"/>
                <w:szCs w:val="20"/>
                <w:color w:val="auto"/>
              </w:rPr>
            </w:pPr>
            <w:r>
              <w:rPr>
                <w:rFonts w:ascii="Arial" w:cs="Arial" w:eastAsia="Arial" w:hAnsi="Arial"/>
                <w:sz w:val="11"/>
                <w:szCs w:val="11"/>
                <w:b w:val="1"/>
                <w:bCs w:val="1"/>
                <w:color w:val="auto"/>
              </w:rPr>
              <w:t>Total Equity</w:t>
            </w:r>
          </w:p>
        </w:tc>
        <w:tc>
          <w:tcPr>
            <w:tcW w:w="960" w:type="dxa"/>
            <w:vAlign w:val="bottom"/>
          </w:tcPr>
          <w:p>
            <w:pPr>
              <w:jc w:val="center"/>
              <w:ind w:left="126"/>
              <w:spacing w:after="0"/>
              <w:rPr>
                <w:sz w:val="20"/>
                <w:szCs w:val="20"/>
                <w:color w:val="auto"/>
              </w:rPr>
            </w:pPr>
            <w:r>
              <w:rPr>
                <w:rFonts w:ascii="Arial" w:cs="Arial" w:eastAsia="Arial" w:hAnsi="Arial"/>
                <w:sz w:val="11"/>
                <w:szCs w:val="11"/>
                <w:b w:val="1"/>
                <w:bCs w:val="1"/>
                <w:color w:val="auto"/>
                <w:w w:val="95"/>
              </w:rPr>
              <w:t>Interest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13970</wp:posOffset>
            </wp:positionH>
            <wp:positionV relativeFrom="paragraph">
              <wp:posOffset>13970</wp:posOffset>
            </wp:positionV>
            <wp:extent cx="723773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31">
                      <a:extLst>
                        <a:ext uri="{28A0092B-C50C-407E-A947-70E740481C1C}"/>
                      </a:extLst>
                    </a:blip>
                    <a:srcRect/>
                    <a:stretch>
                      <a:fillRect/>
                    </a:stretch>
                  </pic:blipFill>
                  <pic:spPr bwMode="auto">
                    <a:xfrm>
                      <a:off x="0" y="0"/>
                      <a:ext cx="7237730" cy="8890"/>
                    </a:xfrm>
                    <a:prstGeom prst="rect">
                      <a:avLst/>
                    </a:prstGeom>
                    <a:noFill/>
                  </pic:spPr>
                </pic:pic>
              </a:graphicData>
            </a:graphic>
          </wp:anchor>
        </w:drawing>
      </w:r>
    </w:p>
    <w:p>
      <w:pPr>
        <w:sectPr>
          <w:pgSz w:w="11900" w:h="16838" w:orient="portrait"/>
          <w:cols w:equalWidth="0" w:num="1">
            <w:col w:w="11420"/>
          </w:cols>
          <w:pgMar w:left="240" w:top="738" w:right="239" w:bottom="1440" w:gutter="0" w:footer="0" w:header="0"/>
        </w:sectPr>
      </w:pPr>
    </w:p>
    <w:p>
      <w:pPr>
        <w:spacing w:after="0" w:line="46" w:lineRule="exact"/>
        <w:rPr>
          <w:sz w:val="20"/>
          <w:szCs w:val="20"/>
          <w:color w:val="auto"/>
        </w:rPr>
      </w:pPr>
    </w:p>
    <w:p>
      <w:pPr>
        <w:ind w:left="40"/>
        <w:spacing w:after="0"/>
        <w:rPr>
          <w:sz w:val="20"/>
          <w:szCs w:val="20"/>
          <w:color w:val="auto"/>
        </w:rPr>
      </w:pPr>
      <w:r>
        <w:rPr>
          <w:rFonts w:ascii="Arial" w:cs="Arial" w:eastAsia="Arial" w:hAnsi="Arial"/>
          <w:sz w:val="14"/>
          <w:szCs w:val="14"/>
          <w:b w:val="1"/>
          <w:bCs w:val="1"/>
          <w:color w:val="auto"/>
        </w:rPr>
        <w:t>As of December 31, 2014</w:t>
      </w:r>
    </w:p>
    <w:p>
      <w:pPr>
        <w:spacing w:after="0" w:line="125" w:lineRule="exact"/>
        <w:rPr>
          <w:sz w:val="20"/>
          <w:szCs w:val="20"/>
          <w:color w:val="auto"/>
        </w:rPr>
      </w:pPr>
    </w:p>
    <w:p>
      <w:pPr>
        <w:ind w:left="40"/>
        <w:spacing w:after="0"/>
        <w:rPr>
          <w:sz w:val="20"/>
          <w:szCs w:val="20"/>
          <w:color w:val="auto"/>
        </w:rPr>
      </w:pPr>
      <w:r>
        <w:rPr>
          <w:rFonts w:ascii="Arial" w:cs="Arial" w:eastAsia="Arial" w:hAnsi="Arial"/>
          <w:sz w:val="14"/>
          <w:szCs w:val="14"/>
          <w:color w:val="auto"/>
        </w:rPr>
        <w:t>Net loss for the year</w:t>
      </w:r>
    </w:p>
    <w:p>
      <w:pPr>
        <w:spacing w:after="0" w:line="109" w:lineRule="exact"/>
        <w:rPr>
          <w:sz w:val="20"/>
          <w:szCs w:val="20"/>
          <w:color w:val="auto"/>
        </w:rPr>
      </w:pPr>
    </w:p>
    <w:p>
      <w:pPr>
        <w:ind w:left="200" w:right="320" w:hanging="161"/>
        <w:spacing w:after="0" w:line="231" w:lineRule="auto"/>
        <w:rPr>
          <w:sz w:val="20"/>
          <w:szCs w:val="20"/>
          <w:color w:val="auto"/>
        </w:rPr>
      </w:pPr>
      <w:r>
        <w:rPr>
          <w:rFonts w:ascii="Arial" w:cs="Arial" w:eastAsia="Arial" w:hAnsi="Arial"/>
          <w:sz w:val="14"/>
          <w:szCs w:val="14"/>
          <w:color w:val="auto"/>
        </w:rPr>
        <w:t>Contribution of noncontrolling interest to a joint venture</w:t>
      </w:r>
    </w:p>
    <w:p>
      <w:pPr>
        <w:spacing w:after="0" w:line="41" w:lineRule="exact"/>
        <w:rPr>
          <w:sz w:val="20"/>
          <w:szCs w:val="20"/>
          <w:color w:val="auto"/>
        </w:rPr>
      </w:pPr>
    </w:p>
    <w:p>
      <w:pPr>
        <w:ind w:left="200" w:right="800" w:hanging="161"/>
        <w:spacing w:after="0" w:line="300" w:lineRule="auto"/>
        <w:rPr>
          <w:sz w:val="20"/>
          <w:szCs w:val="20"/>
          <w:color w:val="auto"/>
        </w:rPr>
      </w:pPr>
      <w:r>
        <w:rPr>
          <w:rFonts w:ascii="Arial" w:cs="Arial" w:eastAsia="Arial" w:hAnsi="Arial"/>
          <w:sz w:val="12"/>
          <w:szCs w:val="12"/>
          <w:color w:val="auto"/>
        </w:rPr>
        <w:t>Net income attributable to redeemable noncontrolling interests</w:t>
      </w:r>
    </w:p>
    <w:p>
      <w:pPr>
        <w:spacing w:after="0" w:line="6" w:lineRule="exact"/>
        <w:rPr>
          <w:sz w:val="20"/>
          <w:szCs w:val="20"/>
          <w:color w:val="auto"/>
        </w:rPr>
      </w:pPr>
    </w:p>
    <w:p>
      <w:pPr>
        <w:ind w:left="200" w:right="500" w:hanging="161"/>
        <w:spacing w:after="0" w:line="231" w:lineRule="auto"/>
        <w:rPr>
          <w:sz w:val="20"/>
          <w:szCs w:val="20"/>
          <w:color w:val="auto"/>
        </w:rPr>
      </w:pPr>
      <w:r>
        <w:rPr>
          <w:rFonts w:ascii="Arial" w:cs="Arial" w:eastAsia="Arial" w:hAnsi="Arial"/>
          <w:sz w:val="14"/>
          <w:szCs w:val="14"/>
          <w:color w:val="auto"/>
        </w:rPr>
        <w:t>Change in redemption value of redeemable noncontrolling interests</w:t>
      </w:r>
    </w:p>
    <w:p>
      <w:pPr>
        <w:spacing w:after="0" w:line="41" w:lineRule="exact"/>
        <w:rPr>
          <w:sz w:val="20"/>
          <w:szCs w:val="20"/>
          <w:color w:val="auto"/>
        </w:rPr>
      </w:pPr>
    </w:p>
    <w:p>
      <w:pPr>
        <w:ind w:left="40"/>
        <w:spacing w:after="0"/>
        <w:rPr>
          <w:sz w:val="20"/>
          <w:szCs w:val="20"/>
          <w:color w:val="auto"/>
        </w:rPr>
      </w:pPr>
      <w:r>
        <w:rPr>
          <w:rFonts w:ascii="Arial" w:cs="Arial" w:eastAsia="Arial" w:hAnsi="Arial"/>
          <w:sz w:val="14"/>
          <w:szCs w:val="14"/>
          <w:color w:val="auto"/>
        </w:rPr>
        <w:t>Dividends paid on common stock</w:t>
      </w:r>
    </w:p>
    <w:p>
      <w:pPr>
        <w:spacing w:after="0" w:line="109" w:lineRule="exact"/>
        <w:rPr>
          <w:sz w:val="20"/>
          <w:szCs w:val="20"/>
          <w:color w:val="auto"/>
        </w:rPr>
      </w:pPr>
    </w:p>
    <w:p>
      <w:pPr>
        <w:ind w:left="40"/>
        <w:spacing w:after="0"/>
        <w:rPr>
          <w:sz w:val="20"/>
          <w:szCs w:val="20"/>
          <w:color w:val="auto"/>
        </w:rPr>
      </w:pPr>
      <w:r>
        <w:rPr>
          <w:rFonts w:ascii="Arial" w:cs="Arial" w:eastAsia="Arial" w:hAnsi="Arial"/>
          <w:sz w:val="14"/>
          <w:szCs w:val="14"/>
          <w:color w:val="auto"/>
        </w:rPr>
        <w:t>Dividends paid on redeemable preferred stock</w:t>
      </w:r>
    </w:p>
    <w:p>
      <w:pPr>
        <w:spacing w:after="0" w:line="109" w:lineRule="exact"/>
        <w:rPr>
          <w:sz w:val="20"/>
          <w:szCs w:val="20"/>
          <w:color w:val="auto"/>
        </w:rPr>
      </w:pPr>
    </w:p>
    <w:p>
      <w:pPr>
        <w:ind w:left="40"/>
        <w:spacing w:after="0"/>
        <w:rPr>
          <w:sz w:val="20"/>
          <w:szCs w:val="20"/>
          <w:color w:val="auto"/>
        </w:rPr>
      </w:pPr>
      <w:r>
        <w:rPr>
          <w:rFonts w:ascii="Arial" w:cs="Arial" w:eastAsia="Arial" w:hAnsi="Arial"/>
          <w:sz w:val="14"/>
          <w:szCs w:val="14"/>
          <w:color w:val="auto"/>
        </w:rPr>
        <w:t>Repurchase of Class B common stock</w:t>
      </w:r>
    </w:p>
    <w:p>
      <w:pPr>
        <w:spacing w:after="0" w:line="109" w:lineRule="exact"/>
        <w:rPr>
          <w:sz w:val="20"/>
          <w:szCs w:val="20"/>
          <w:color w:val="auto"/>
        </w:rPr>
      </w:pPr>
    </w:p>
    <w:p>
      <w:pPr>
        <w:ind w:left="200" w:hanging="161"/>
        <w:spacing w:after="0" w:line="231" w:lineRule="auto"/>
        <w:rPr>
          <w:sz w:val="20"/>
          <w:szCs w:val="20"/>
          <w:color w:val="auto"/>
        </w:rPr>
      </w:pPr>
      <w:r>
        <w:rPr>
          <w:rFonts w:ascii="Arial" w:cs="Arial" w:eastAsia="Arial" w:hAnsi="Arial"/>
          <w:sz w:val="14"/>
          <w:szCs w:val="14"/>
          <w:color w:val="auto"/>
        </w:rPr>
        <w:t>Issuance of Class B common stock, net of restricted stock award forfeitures</w:t>
      </w:r>
    </w:p>
    <w:p>
      <w:pPr>
        <w:spacing w:after="0" w:line="41" w:lineRule="exact"/>
        <w:rPr>
          <w:sz w:val="20"/>
          <w:szCs w:val="20"/>
          <w:color w:val="auto"/>
        </w:rPr>
      </w:pPr>
    </w:p>
    <w:p>
      <w:pPr>
        <w:ind w:left="200" w:right="100" w:hanging="161"/>
        <w:spacing w:after="0" w:line="231" w:lineRule="auto"/>
        <w:rPr>
          <w:sz w:val="20"/>
          <w:szCs w:val="20"/>
          <w:color w:val="auto"/>
        </w:rPr>
      </w:pPr>
      <w:r>
        <w:rPr>
          <w:rFonts w:ascii="Arial" w:cs="Arial" w:eastAsia="Arial" w:hAnsi="Arial"/>
          <w:sz w:val="14"/>
          <w:szCs w:val="14"/>
          <w:color w:val="auto"/>
        </w:rPr>
        <w:t>Amortization of unearned stock compensation and stock option expense</w:t>
      </w:r>
    </w:p>
    <w:p>
      <w:pPr>
        <w:spacing w:after="0" w:line="41" w:lineRule="exact"/>
        <w:rPr>
          <w:sz w:val="20"/>
          <w:szCs w:val="20"/>
          <w:color w:val="auto"/>
        </w:rPr>
      </w:pPr>
    </w:p>
    <w:p>
      <w:pPr>
        <w:ind w:left="40"/>
        <w:spacing w:after="0"/>
        <w:rPr>
          <w:sz w:val="20"/>
          <w:szCs w:val="20"/>
          <w:color w:val="auto"/>
        </w:rPr>
      </w:pPr>
      <w:r>
        <w:rPr>
          <w:rFonts w:ascii="Arial" w:cs="Arial" w:eastAsia="Arial" w:hAnsi="Arial"/>
          <w:sz w:val="14"/>
          <w:szCs w:val="14"/>
          <w:color w:val="auto"/>
        </w:rPr>
        <w:t>Other comprehensive loss, net of income taxes</w:t>
      </w:r>
    </w:p>
    <w:p>
      <w:pPr>
        <w:spacing w:after="0" w:line="109" w:lineRule="exact"/>
        <w:rPr>
          <w:sz w:val="20"/>
          <w:szCs w:val="20"/>
          <w:color w:val="auto"/>
        </w:rPr>
      </w:pPr>
    </w:p>
    <w:p>
      <w:pPr>
        <w:ind w:left="200" w:right="200" w:hanging="161"/>
        <w:spacing w:after="0" w:line="231" w:lineRule="auto"/>
        <w:rPr>
          <w:sz w:val="20"/>
          <w:szCs w:val="20"/>
          <w:color w:val="auto"/>
        </w:rPr>
      </w:pPr>
      <w:r>
        <w:rPr>
          <w:rFonts w:ascii="Arial" w:cs="Arial" w:eastAsia="Arial" w:hAnsi="Arial"/>
          <w:sz w:val="14"/>
          <w:szCs w:val="14"/>
          <w:color w:val="auto"/>
        </w:rPr>
        <w:t>Conversion of Class A common stock to Class B common stock</w:t>
      </w:r>
    </w:p>
    <w:p>
      <w:pPr>
        <w:spacing w:after="0" w:line="41" w:lineRule="exact"/>
        <w:rPr>
          <w:sz w:val="20"/>
          <w:szCs w:val="20"/>
          <w:color w:val="auto"/>
        </w:rPr>
      </w:pPr>
    </w:p>
    <w:p>
      <w:pPr>
        <w:ind w:left="40"/>
        <w:spacing w:after="0"/>
        <w:rPr>
          <w:sz w:val="20"/>
          <w:szCs w:val="20"/>
          <w:color w:val="auto"/>
        </w:rPr>
      </w:pPr>
      <w:r>
        <w:rPr>
          <w:rFonts w:ascii="Arial" w:cs="Arial" w:eastAsia="Arial" w:hAnsi="Arial"/>
          <w:sz w:val="14"/>
          <w:szCs w:val="14"/>
          <w:color w:val="auto"/>
        </w:rPr>
        <w:t>Spin-Off of Cable ONE</w:t>
      </w:r>
    </w:p>
    <w:p>
      <w:pPr>
        <w:spacing w:after="0" w:line="109" w:lineRule="exact"/>
        <w:rPr>
          <w:sz w:val="20"/>
          <w:szCs w:val="20"/>
          <w:color w:val="auto"/>
        </w:rPr>
      </w:pPr>
    </w:p>
    <w:p>
      <w:pPr>
        <w:ind w:left="40"/>
        <w:spacing w:after="0"/>
        <w:rPr>
          <w:sz w:val="20"/>
          <w:szCs w:val="20"/>
          <w:color w:val="auto"/>
        </w:rPr>
      </w:pPr>
      <w:r>
        <w:rPr>
          <w:rFonts w:ascii="Arial" w:cs="Arial" w:eastAsia="Arial" w:hAnsi="Arial"/>
          <w:sz w:val="14"/>
          <w:szCs w:val="14"/>
          <w:color w:val="auto"/>
        </w:rPr>
        <w:t>Taxes arising from employee stock plans</w:t>
      </w:r>
    </w:p>
    <w:p>
      <w:pPr>
        <w:spacing w:after="0" w:line="109" w:lineRule="exact"/>
        <w:rPr>
          <w:sz w:val="20"/>
          <w:szCs w:val="20"/>
          <w:color w:val="auto"/>
        </w:rPr>
      </w:pPr>
    </w:p>
    <w:p>
      <w:pPr>
        <w:ind w:left="40"/>
        <w:spacing w:after="0"/>
        <w:rPr>
          <w:sz w:val="20"/>
          <w:szCs w:val="20"/>
          <w:color w:val="auto"/>
        </w:rPr>
      </w:pPr>
      <w:r>
        <w:rPr>
          <w:rFonts w:ascii="Arial" w:cs="Arial" w:eastAsia="Arial" w:hAnsi="Arial"/>
          <w:sz w:val="14"/>
          <w:szCs w:val="14"/>
          <w:color w:val="auto"/>
        </w:rPr>
        <w:t>Other</w:t>
      </w:r>
    </w:p>
    <w:p>
      <w:pPr>
        <w:spacing w:after="0" w:line="93" w:lineRule="exact"/>
        <w:rPr>
          <w:sz w:val="20"/>
          <w:szCs w:val="20"/>
          <w:color w:val="auto"/>
        </w:rPr>
      </w:pPr>
    </w:p>
    <w:p>
      <w:pPr>
        <w:ind w:left="40"/>
        <w:spacing w:after="0"/>
        <w:rPr>
          <w:sz w:val="20"/>
          <w:szCs w:val="20"/>
          <w:color w:val="auto"/>
        </w:rPr>
      </w:pPr>
      <w:r>
        <w:rPr>
          <w:rFonts w:ascii="Arial" w:cs="Arial" w:eastAsia="Arial" w:hAnsi="Arial"/>
          <w:sz w:val="14"/>
          <w:szCs w:val="14"/>
          <w:b w:val="1"/>
          <w:bCs w:val="1"/>
          <w:color w:val="auto"/>
        </w:rPr>
        <w:t>As of December 31, 2015</w:t>
      </w:r>
    </w:p>
    <w:p>
      <w:pPr>
        <w:spacing w:after="0" w:line="139" w:lineRule="exact"/>
        <w:rPr>
          <w:sz w:val="20"/>
          <w:szCs w:val="20"/>
          <w:color w:val="auto"/>
        </w:rPr>
      </w:pPr>
    </w:p>
    <w:p>
      <w:pPr>
        <w:ind w:left="40"/>
        <w:spacing w:after="0"/>
        <w:rPr>
          <w:sz w:val="20"/>
          <w:szCs w:val="20"/>
          <w:color w:val="auto"/>
        </w:rPr>
      </w:pPr>
      <w:r>
        <w:rPr>
          <w:rFonts w:ascii="Arial" w:cs="Arial" w:eastAsia="Arial" w:hAnsi="Arial"/>
          <w:sz w:val="14"/>
          <w:szCs w:val="14"/>
          <w:color w:val="auto"/>
        </w:rPr>
        <w:t>Net income for the year</w:t>
      </w:r>
    </w:p>
    <w:p>
      <w:pPr>
        <w:spacing w:after="0" w:line="123" w:lineRule="exact"/>
        <w:rPr>
          <w:sz w:val="20"/>
          <w:szCs w:val="20"/>
          <w:color w:val="auto"/>
        </w:rPr>
      </w:pPr>
    </w:p>
    <w:p>
      <w:pPr>
        <w:ind w:left="200" w:right="800" w:hanging="161"/>
        <w:spacing w:after="0" w:line="300" w:lineRule="auto"/>
        <w:rPr>
          <w:sz w:val="20"/>
          <w:szCs w:val="20"/>
          <w:color w:val="auto"/>
        </w:rPr>
      </w:pPr>
      <w:r>
        <w:rPr>
          <w:rFonts w:ascii="Arial" w:cs="Arial" w:eastAsia="Arial" w:hAnsi="Arial"/>
          <w:sz w:val="12"/>
          <w:szCs w:val="12"/>
          <w:color w:val="auto"/>
        </w:rPr>
        <w:t>Net income attributable to redeemable noncontrolling interests</w:t>
      </w:r>
    </w:p>
    <w:p>
      <w:pPr>
        <w:spacing w:after="0" w:line="6" w:lineRule="exact"/>
        <w:rPr>
          <w:sz w:val="20"/>
          <w:szCs w:val="20"/>
          <w:color w:val="auto"/>
        </w:rPr>
      </w:pPr>
    </w:p>
    <w:p>
      <w:pPr>
        <w:ind w:left="200" w:right="500" w:hanging="161"/>
        <w:spacing w:after="0" w:line="231" w:lineRule="auto"/>
        <w:rPr>
          <w:sz w:val="20"/>
          <w:szCs w:val="20"/>
          <w:color w:val="auto"/>
        </w:rPr>
      </w:pPr>
      <w:r>
        <w:rPr>
          <w:rFonts w:ascii="Arial" w:cs="Arial" w:eastAsia="Arial" w:hAnsi="Arial"/>
          <w:sz w:val="14"/>
          <w:szCs w:val="14"/>
          <w:color w:val="auto"/>
        </w:rPr>
        <w:t>Change in redemption value of redeemable noncontrolling interests</w:t>
      </w:r>
    </w:p>
    <w:p>
      <w:pPr>
        <w:spacing w:after="0" w:line="41" w:lineRule="exact"/>
        <w:rPr>
          <w:sz w:val="20"/>
          <w:szCs w:val="20"/>
          <w:color w:val="auto"/>
        </w:rPr>
      </w:pPr>
    </w:p>
    <w:p>
      <w:pPr>
        <w:ind w:left="40" w:right="800"/>
        <w:spacing w:after="0" w:line="469" w:lineRule="auto"/>
        <w:rPr>
          <w:sz w:val="20"/>
          <w:szCs w:val="20"/>
          <w:color w:val="auto"/>
        </w:rPr>
      </w:pPr>
      <w:r>
        <w:rPr>
          <w:rFonts w:ascii="Arial" w:cs="Arial" w:eastAsia="Arial" w:hAnsi="Arial"/>
          <w:sz w:val="12"/>
          <w:szCs w:val="12"/>
          <w:color w:val="auto"/>
        </w:rPr>
        <w:t>Dividends paid on common stock Repurchase of Class B common stock</w:t>
      </w:r>
    </w:p>
    <w:p>
      <w:pPr>
        <w:spacing w:after="0" w:line="1" w:lineRule="exact"/>
        <w:rPr>
          <w:sz w:val="20"/>
          <w:szCs w:val="20"/>
          <w:color w:val="auto"/>
        </w:rPr>
      </w:pPr>
    </w:p>
    <w:p>
      <w:pPr>
        <w:ind w:left="200" w:hanging="161"/>
        <w:spacing w:after="0" w:line="231" w:lineRule="auto"/>
        <w:rPr>
          <w:sz w:val="20"/>
          <w:szCs w:val="20"/>
          <w:color w:val="auto"/>
        </w:rPr>
      </w:pPr>
      <w:r>
        <w:rPr>
          <w:rFonts w:ascii="Arial" w:cs="Arial" w:eastAsia="Arial" w:hAnsi="Arial"/>
          <w:sz w:val="14"/>
          <w:szCs w:val="14"/>
          <w:color w:val="auto"/>
        </w:rPr>
        <w:t>Issuance of Class B common stock, net of restricted stock award forfeitures</w:t>
      </w:r>
    </w:p>
    <w:p>
      <w:pPr>
        <w:spacing w:after="0" w:line="41" w:lineRule="exact"/>
        <w:rPr>
          <w:sz w:val="20"/>
          <w:szCs w:val="20"/>
          <w:color w:val="auto"/>
        </w:rPr>
      </w:pPr>
    </w:p>
    <w:p>
      <w:pPr>
        <w:ind w:left="200" w:right="100" w:hanging="161"/>
        <w:spacing w:after="0" w:line="231" w:lineRule="auto"/>
        <w:rPr>
          <w:sz w:val="20"/>
          <w:szCs w:val="20"/>
          <w:color w:val="auto"/>
        </w:rPr>
      </w:pPr>
      <w:r>
        <w:rPr>
          <w:rFonts w:ascii="Arial" w:cs="Arial" w:eastAsia="Arial" w:hAnsi="Arial"/>
          <w:sz w:val="14"/>
          <w:szCs w:val="14"/>
          <w:color w:val="auto"/>
        </w:rPr>
        <w:t>Amortization of unearned stock compensation and stock option expense</w:t>
      </w:r>
    </w:p>
    <w:p>
      <w:pPr>
        <w:spacing w:after="0" w:line="41" w:lineRule="exact"/>
        <w:rPr>
          <w:sz w:val="20"/>
          <w:szCs w:val="20"/>
          <w:color w:val="auto"/>
        </w:rPr>
      </w:pPr>
    </w:p>
    <w:p>
      <w:pPr>
        <w:ind w:left="40" w:right="240"/>
        <w:spacing w:after="0" w:line="405" w:lineRule="auto"/>
        <w:rPr>
          <w:sz w:val="20"/>
          <w:szCs w:val="20"/>
          <w:color w:val="auto"/>
        </w:rPr>
      </w:pPr>
      <w:r>
        <w:rPr>
          <w:rFonts w:ascii="Arial" w:cs="Arial" w:eastAsia="Arial" w:hAnsi="Arial"/>
          <w:sz w:val="14"/>
          <w:szCs w:val="14"/>
          <w:color w:val="auto"/>
        </w:rPr>
        <w:t xml:space="preserve">Other comprehensive loss, net of income taxes Taxes arising from employee stock plans Purchase of redeemable noncontrolling interest Exchange of redeemable noncontrolling interest </w:t>
      </w:r>
      <w:r>
        <w:rPr>
          <w:rFonts w:ascii="Arial" w:cs="Arial" w:eastAsia="Arial" w:hAnsi="Arial"/>
          <w:sz w:val="14"/>
          <w:szCs w:val="14"/>
          <w:b w:val="1"/>
          <w:bCs w:val="1"/>
          <w:color w:val="auto"/>
        </w:rPr>
        <w:t>As of December 31, 2016 Net income for the year</w:t>
      </w:r>
    </w:p>
    <w:p>
      <w:pPr>
        <w:spacing w:after="0" w:line="2" w:lineRule="exact"/>
        <w:rPr>
          <w:sz w:val="20"/>
          <w:szCs w:val="20"/>
          <w:color w:val="auto"/>
        </w:rPr>
      </w:pPr>
    </w:p>
    <w:p>
      <w:pPr>
        <w:ind w:left="200" w:right="420" w:hanging="161"/>
        <w:spacing w:after="0" w:line="247" w:lineRule="auto"/>
        <w:rPr>
          <w:sz w:val="20"/>
          <w:szCs w:val="20"/>
          <w:color w:val="auto"/>
        </w:rPr>
      </w:pPr>
      <w:r>
        <w:rPr>
          <w:rFonts w:ascii="Arial" w:cs="Arial" w:eastAsia="Arial" w:hAnsi="Arial"/>
          <w:sz w:val="14"/>
          <w:szCs w:val="14"/>
          <w:b w:val="1"/>
          <w:bCs w:val="1"/>
          <w:color w:val="auto"/>
        </w:rPr>
        <w:t>Acquisition of redeemable noncontrolling interest</w:t>
      </w:r>
    </w:p>
    <w:p>
      <w:pPr>
        <w:spacing w:after="0" w:line="20" w:lineRule="exact"/>
        <w:rPr>
          <w:sz w:val="20"/>
          <w:szCs w:val="20"/>
          <w:color w:val="auto"/>
        </w:rPr>
      </w:pPr>
    </w:p>
    <w:p>
      <w:pPr>
        <w:ind w:left="200" w:right="640" w:hanging="161"/>
        <w:spacing w:after="0" w:line="305" w:lineRule="auto"/>
        <w:rPr>
          <w:sz w:val="20"/>
          <w:szCs w:val="20"/>
          <w:color w:val="auto"/>
        </w:rPr>
      </w:pPr>
      <w:r>
        <w:rPr>
          <w:rFonts w:ascii="Arial" w:cs="Arial" w:eastAsia="Arial" w:hAnsi="Arial"/>
          <w:sz w:val="12"/>
          <w:szCs w:val="12"/>
          <w:b w:val="1"/>
          <w:bCs w:val="1"/>
          <w:color w:val="auto"/>
        </w:rPr>
        <w:t>Net income attributable to redeemable noncontrolling interests</w:t>
      </w:r>
    </w:p>
    <w:p>
      <w:pPr>
        <w:ind w:left="200" w:right="340" w:hanging="161"/>
        <w:spacing w:after="0" w:line="247" w:lineRule="auto"/>
        <w:rPr>
          <w:sz w:val="20"/>
          <w:szCs w:val="20"/>
          <w:color w:val="auto"/>
        </w:rPr>
      </w:pPr>
      <w:r>
        <w:rPr>
          <w:rFonts w:ascii="Arial" w:cs="Arial" w:eastAsia="Arial" w:hAnsi="Arial"/>
          <w:sz w:val="14"/>
          <w:szCs w:val="14"/>
          <w:b w:val="1"/>
          <w:bCs w:val="1"/>
          <w:color w:val="auto"/>
        </w:rPr>
        <w:t>Change in redemption value of redeemable noncontrolling interests</w:t>
      </w:r>
    </w:p>
    <w:p>
      <w:pPr>
        <w:spacing w:after="0" w:line="20" w:lineRule="exact"/>
        <w:rPr>
          <w:sz w:val="20"/>
          <w:szCs w:val="20"/>
          <w:color w:val="auto"/>
        </w:rPr>
      </w:pPr>
    </w:p>
    <w:p>
      <w:pPr>
        <w:ind w:left="40" w:right="640"/>
        <w:spacing w:after="0" w:line="469" w:lineRule="auto"/>
        <w:rPr>
          <w:sz w:val="20"/>
          <w:szCs w:val="20"/>
          <w:color w:val="auto"/>
        </w:rPr>
      </w:pPr>
      <w:r>
        <w:rPr>
          <w:rFonts w:ascii="Arial" w:cs="Arial" w:eastAsia="Arial" w:hAnsi="Arial"/>
          <w:sz w:val="12"/>
          <w:szCs w:val="12"/>
          <w:b w:val="1"/>
          <w:bCs w:val="1"/>
          <w:color w:val="auto"/>
        </w:rPr>
        <w:t>Dividends paid on common stock Repurchase of Class B common stock</w:t>
      </w:r>
    </w:p>
    <w:p>
      <w:pPr>
        <w:spacing w:after="0" w:line="1" w:lineRule="exact"/>
        <w:rPr>
          <w:sz w:val="20"/>
          <w:szCs w:val="20"/>
          <w:color w:val="auto"/>
        </w:rPr>
      </w:pPr>
    </w:p>
    <w:p>
      <w:pPr>
        <w:ind w:left="200" w:right="380" w:hanging="161"/>
        <w:spacing w:after="0" w:line="247" w:lineRule="auto"/>
        <w:rPr>
          <w:sz w:val="20"/>
          <w:szCs w:val="20"/>
          <w:color w:val="auto"/>
        </w:rPr>
      </w:pPr>
      <w:r>
        <w:rPr>
          <w:rFonts w:ascii="Arial" w:cs="Arial" w:eastAsia="Arial" w:hAnsi="Arial"/>
          <w:sz w:val="14"/>
          <w:szCs w:val="14"/>
          <w:b w:val="1"/>
          <w:bCs w:val="1"/>
          <w:color w:val="auto"/>
        </w:rPr>
        <w:t>Issuance of Class B common stock, net of restricted stock award forfeitures</w:t>
      </w:r>
    </w:p>
    <w:p>
      <w:pPr>
        <w:spacing w:after="0" w:line="20" w:lineRule="exact"/>
        <w:rPr>
          <w:sz w:val="20"/>
          <w:szCs w:val="20"/>
          <w:color w:val="auto"/>
        </w:rPr>
      </w:pPr>
    </w:p>
    <w:p>
      <w:pPr>
        <w:ind w:left="200" w:right="120" w:hanging="161"/>
        <w:spacing w:after="0" w:line="247" w:lineRule="auto"/>
        <w:rPr>
          <w:sz w:val="20"/>
          <w:szCs w:val="20"/>
          <w:color w:val="auto"/>
        </w:rPr>
      </w:pPr>
      <w:r>
        <w:rPr>
          <w:rFonts w:ascii="Arial" w:cs="Arial" w:eastAsia="Arial" w:hAnsi="Arial"/>
          <w:sz w:val="14"/>
          <w:szCs w:val="14"/>
          <w:b w:val="1"/>
          <w:bCs w:val="1"/>
          <w:color w:val="auto"/>
        </w:rPr>
        <w:t>Amortization of unearned stock compensation and stock option expense</w:t>
      </w:r>
    </w:p>
    <w:p>
      <w:pPr>
        <w:spacing w:after="0" w:line="20" w:lineRule="exact"/>
        <w:rPr>
          <w:sz w:val="20"/>
          <w:szCs w:val="20"/>
          <w:color w:val="auto"/>
        </w:rPr>
      </w:pPr>
    </w:p>
    <w:p>
      <w:pPr>
        <w:ind w:left="200" w:right="240" w:hanging="161"/>
        <w:spacing w:after="0" w:line="247" w:lineRule="auto"/>
        <w:rPr>
          <w:sz w:val="20"/>
          <w:szCs w:val="20"/>
          <w:color w:val="auto"/>
        </w:rPr>
      </w:pPr>
      <w:r>
        <w:rPr>
          <w:rFonts w:ascii="Arial" w:cs="Arial" w:eastAsia="Arial" w:hAnsi="Arial"/>
          <w:sz w:val="14"/>
          <w:szCs w:val="14"/>
          <w:b w:val="1"/>
          <w:bCs w:val="1"/>
          <w:color w:val="auto"/>
        </w:rPr>
        <w:t>Other comprehensive income, net of income taxes</w:t>
      </w:r>
    </w:p>
    <w:p>
      <w:pPr>
        <w:spacing w:after="0" w:line="20" w:lineRule="exact"/>
        <w:rPr>
          <w:sz w:val="20"/>
          <w:szCs w:val="20"/>
          <w:color w:val="auto"/>
        </w:rPr>
      </w:pPr>
    </w:p>
    <w:p>
      <w:pPr>
        <w:ind w:left="200" w:right="300" w:hanging="161"/>
        <w:spacing w:after="0" w:line="247" w:lineRule="auto"/>
        <w:rPr>
          <w:sz w:val="20"/>
          <w:szCs w:val="20"/>
          <w:color w:val="auto"/>
        </w:rPr>
      </w:pPr>
      <w:r>
        <w:rPr>
          <w:rFonts w:ascii="Arial" w:cs="Arial" w:eastAsia="Arial" w:hAnsi="Arial"/>
          <w:sz w:val="14"/>
          <w:szCs w:val="14"/>
          <w:b w:val="1"/>
          <w:bCs w:val="1"/>
          <w:color w:val="auto"/>
        </w:rPr>
        <w:t>Reclassification of stranded tax effects as a result of tax reform</w:t>
      </w:r>
    </w:p>
    <w:p>
      <w:pPr>
        <w:spacing w:after="0" w:line="20" w:lineRule="exact"/>
        <w:rPr>
          <w:sz w:val="20"/>
          <w:szCs w:val="20"/>
          <w:color w:val="auto"/>
        </w:rPr>
      </w:pPr>
    </w:p>
    <w:p>
      <w:pPr>
        <w:ind w:left="40"/>
        <w:spacing w:after="0"/>
        <w:rPr>
          <w:sz w:val="20"/>
          <w:szCs w:val="20"/>
          <w:color w:val="auto"/>
        </w:rPr>
      </w:pPr>
      <w:r>
        <w:rPr>
          <w:rFonts w:ascii="Arial" w:cs="Arial" w:eastAsia="Arial" w:hAnsi="Arial"/>
          <w:sz w:val="14"/>
          <w:szCs w:val="14"/>
          <w:b w:val="1"/>
          <w:bCs w:val="1"/>
          <w:color w:val="auto"/>
        </w:rPr>
        <w:t>As of December 31, 2017</w:t>
      </w:r>
    </w:p>
    <w:p>
      <w:pPr>
        <w:spacing w:after="0" w:line="20" w:lineRule="exact"/>
        <w:rPr>
          <w:sz w:val="20"/>
          <w:szCs w:val="20"/>
          <w:color w:val="auto"/>
        </w:rPr>
      </w:pPr>
      <w:r>
        <w:rPr>
          <w:sz w:val="20"/>
          <w:szCs w:val="20"/>
          <w:color w:val="auto"/>
        </w:rPr>
        <w:br w:type="column"/>
      </w:r>
    </w:p>
    <w:p>
      <w:pPr>
        <w:spacing w:after="0" w:line="109"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2"/>
        </w:trPr>
        <w:tc>
          <w:tcPr>
            <w:tcW w:w="220" w:type="dxa"/>
            <w:vAlign w:val="bottom"/>
          </w:tcPr>
          <w:p>
            <w:pPr>
              <w:jc w:val="right"/>
              <w:ind w:right="52"/>
              <w:spacing w:after="0"/>
              <w:rPr>
                <w:sz w:val="20"/>
                <w:szCs w:val="20"/>
                <w:color w:val="auto"/>
              </w:rPr>
            </w:pPr>
            <w:r>
              <w:rPr>
                <w:rFonts w:ascii="Arial" w:cs="Arial" w:eastAsia="Arial" w:hAnsi="Arial"/>
                <w:sz w:val="14"/>
                <w:szCs w:val="14"/>
                <w:color w:val="auto"/>
              </w:rPr>
              <w:t>$</w:t>
            </w:r>
          </w:p>
        </w:tc>
        <w:tc>
          <w:tcPr>
            <w:tcW w:w="460" w:type="dxa"/>
            <w:vAlign w:val="bottom"/>
          </w:tcPr>
          <w:p>
            <w:pPr>
              <w:jc w:val="right"/>
              <w:ind w:right="32"/>
              <w:spacing w:after="0"/>
              <w:rPr>
                <w:sz w:val="20"/>
                <w:szCs w:val="20"/>
                <w:color w:val="auto"/>
              </w:rPr>
            </w:pPr>
            <w:r>
              <w:rPr>
                <w:rFonts w:ascii="Arial" w:cs="Arial" w:eastAsia="Arial" w:hAnsi="Arial"/>
                <w:sz w:val="14"/>
                <w:szCs w:val="14"/>
                <w:color w:val="auto"/>
              </w:rPr>
              <w:t>975</w:t>
            </w:r>
          </w:p>
        </w:tc>
        <w:tc>
          <w:tcPr>
            <w:tcW w:w="680" w:type="dxa"/>
            <w:vAlign w:val="bottom"/>
          </w:tcPr>
          <w:p>
            <w:pPr>
              <w:jc w:val="right"/>
              <w:ind w:right="12"/>
              <w:spacing w:after="0"/>
              <w:rPr>
                <w:sz w:val="20"/>
                <w:szCs w:val="20"/>
                <w:color w:val="auto"/>
              </w:rPr>
            </w:pPr>
            <w:r>
              <w:rPr>
                <w:rFonts w:ascii="Arial" w:cs="Arial" w:eastAsia="Arial" w:hAnsi="Arial"/>
                <w:sz w:val="14"/>
                <w:szCs w:val="14"/>
                <w:color w:val="auto"/>
              </w:rPr>
              <w:t>$ 19,025</w:t>
            </w:r>
          </w:p>
        </w:tc>
        <w:tc>
          <w:tcPr>
            <w:tcW w:w="200" w:type="dxa"/>
            <w:vAlign w:val="bottom"/>
          </w:tcPr>
          <w:p>
            <w:pPr>
              <w:jc w:val="right"/>
              <w:spacing w:after="0"/>
              <w:rPr>
                <w:sz w:val="20"/>
                <w:szCs w:val="20"/>
                <w:color w:val="auto"/>
              </w:rPr>
            </w:pPr>
            <w:r>
              <w:rPr>
                <w:rFonts w:ascii="Arial" w:cs="Arial" w:eastAsia="Arial" w:hAnsi="Arial"/>
                <w:sz w:val="14"/>
                <w:szCs w:val="14"/>
                <w:color w:val="auto"/>
              </w:rPr>
              <w:t>$</w:t>
            </w:r>
          </w:p>
        </w:tc>
        <w:tc>
          <w:tcPr>
            <w:tcW w:w="640" w:type="dxa"/>
            <w:vAlign w:val="bottom"/>
          </w:tcPr>
          <w:p>
            <w:pPr>
              <w:jc w:val="right"/>
              <w:ind w:right="32"/>
              <w:spacing w:after="0"/>
              <w:rPr>
                <w:sz w:val="20"/>
                <w:szCs w:val="20"/>
                <w:color w:val="auto"/>
              </w:rPr>
            </w:pPr>
            <w:r>
              <w:rPr>
                <w:rFonts w:ascii="Arial" w:cs="Arial" w:eastAsia="Arial" w:hAnsi="Arial"/>
                <w:sz w:val="14"/>
                <w:szCs w:val="14"/>
                <w:color w:val="auto"/>
              </w:rPr>
              <w:t>303,789</w:t>
            </w:r>
          </w:p>
        </w:tc>
        <w:tc>
          <w:tcPr>
            <w:tcW w:w="180" w:type="dxa"/>
            <w:vAlign w:val="bottom"/>
          </w:tcPr>
          <w:p>
            <w:pPr>
              <w:jc w:val="right"/>
              <w:spacing w:after="0"/>
              <w:rPr>
                <w:sz w:val="20"/>
                <w:szCs w:val="20"/>
                <w:color w:val="auto"/>
              </w:rPr>
            </w:pPr>
            <w:r>
              <w:rPr>
                <w:rFonts w:ascii="Arial" w:cs="Arial" w:eastAsia="Arial" w:hAnsi="Arial"/>
                <w:sz w:val="14"/>
                <w:szCs w:val="14"/>
                <w:color w:val="auto"/>
              </w:rPr>
              <w:t>$</w:t>
            </w:r>
          </w:p>
        </w:tc>
        <w:tc>
          <w:tcPr>
            <w:tcW w:w="740" w:type="dxa"/>
            <w:vAlign w:val="bottom"/>
          </w:tcPr>
          <w:p>
            <w:pPr>
              <w:jc w:val="right"/>
              <w:ind w:right="12"/>
              <w:spacing w:after="0"/>
              <w:rPr>
                <w:sz w:val="20"/>
                <w:szCs w:val="20"/>
                <w:color w:val="auto"/>
              </w:rPr>
            </w:pPr>
            <w:r>
              <w:rPr>
                <w:rFonts w:ascii="Arial" w:cs="Arial" w:eastAsia="Arial" w:hAnsi="Arial"/>
                <w:sz w:val="14"/>
                <w:szCs w:val="14"/>
                <w:color w:val="auto"/>
              </w:rPr>
              <w:t>6,008,506</w:t>
            </w:r>
          </w:p>
        </w:tc>
        <w:tc>
          <w:tcPr>
            <w:tcW w:w="260" w:type="dxa"/>
            <w:vAlign w:val="bottom"/>
          </w:tcPr>
          <w:p>
            <w:pPr>
              <w:jc w:val="right"/>
              <w:ind w:right="72"/>
              <w:spacing w:after="0"/>
              <w:rPr>
                <w:sz w:val="20"/>
                <w:szCs w:val="20"/>
                <w:color w:val="auto"/>
              </w:rPr>
            </w:pPr>
            <w:r>
              <w:rPr>
                <w:rFonts w:ascii="Arial" w:cs="Arial" w:eastAsia="Arial" w:hAnsi="Arial"/>
                <w:sz w:val="14"/>
                <w:szCs w:val="14"/>
                <w:color w:val="auto"/>
              </w:rPr>
              <w:t>$</w:t>
            </w:r>
          </w:p>
        </w:tc>
        <w:tc>
          <w:tcPr>
            <w:tcW w:w="760" w:type="dxa"/>
            <w:vAlign w:val="bottom"/>
          </w:tcPr>
          <w:p>
            <w:pPr>
              <w:jc w:val="right"/>
              <w:ind w:right="32"/>
              <w:spacing w:after="0"/>
              <w:rPr>
                <w:sz w:val="20"/>
                <w:szCs w:val="20"/>
                <w:color w:val="auto"/>
              </w:rPr>
            </w:pPr>
            <w:r>
              <w:rPr>
                <w:rFonts w:ascii="Arial" w:cs="Arial" w:eastAsia="Arial" w:hAnsi="Arial"/>
                <w:sz w:val="14"/>
                <w:szCs w:val="14"/>
                <w:color w:val="auto"/>
              </w:rPr>
              <w:t>453,480</w:t>
            </w:r>
          </w:p>
        </w:tc>
        <w:tc>
          <w:tcPr>
            <w:tcW w:w="200" w:type="dxa"/>
            <w:vAlign w:val="bottom"/>
          </w:tcPr>
          <w:p>
            <w:pPr>
              <w:jc w:val="right"/>
              <w:ind w:right="12"/>
              <w:spacing w:after="0"/>
              <w:rPr>
                <w:sz w:val="20"/>
                <w:szCs w:val="20"/>
                <w:color w:val="auto"/>
              </w:rPr>
            </w:pPr>
            <w:r>
              <w:rPr>
                <w:rFonts w:ascii="Arial" w:cs="Arial" w:eastAsia="Arial" w:hAnsi="Arial"/>
                <w:sz w:val="14"/>
                <w:szCs w:val="14"/>
                <w:color w:val="auto"/>
              </w:rPr>
              <w:t>$</w:t>
            </w:r>
          </w:p>
        </w:tc>
        <w:tc>
          <w:tcPr>
            <w:tcW w:w="820" w:type="dxa"/>
            <w:vAlign w:val="bottom"/>
          </w:tcPr>
          <w:p>
            <w:pPr>
              <w:jc w:val="right"/>
              <w:spacing w:after="0"/>
              <w:rPr>
                <w:sz w:val="20"/>
                <w:szCs w:val="20"/>
                <w:color w:val="auto"/>
              </w:rPr>
            </w:pPr>
            <w:r>
              <w:rPr>
                <w:rFonts w:ascii="Arial" w:cs="Arial" w:eastAsia="Arial" w:hAnsi="Arial"/>
                <w:sz w:val="14"/>
                <w:szCs w:val="14"/>
                <w:color w:val="auto"/>
              </w:rPr>
              <w:t>(3,645,476)</w:t>
            </w:r>
          </w:p>
        </w:tc>
        <w:tc>
          <w:tcPr>
            <w:tcW w:w="380" w:type="dxa"/>
            <w:vAlign w:val="bottom"/>
          </w:tcPr>
          <w:p>
            <w:pPr>
              <w:jc w:val="right"/>
              <w:ind w:right="192"/>
              <w:spacing w:after="0"/>
              <w:rPr>
                <w:sz w:val="20"/>
                <w:szCs w:val="20"/>
                <w:color w:val="auto"/>
              </w:rPr>
            </w:pPr>
            <w:r>
              <w:rPr>
                <w:rFonts w:ascii="Arial" w:cs="Arial" w:eastAsia="Arial" w:hAnsi="Arial"/>
                <w:sz w:val="14"/>
                <w:szCs w:val="14"/>
                <w:color w:val="auto"/>
              </w:rPr>
              <w:t>$</w:t>
            </w:r>
          </w:p>
        </w:tc>
        <w:tc>
          <w:tcPr>
            <w:tcW w:w="620" w:type="dxa"/>
            <w:vAlign w:val="bottom"/>
          </w:tcPr>
          <w:p>
            <w:pPr>
              <w:jc w:val="right"/>
              <w:ind w:right="12"/>
              <w:spacing w:after="0"/>
              <w:rPr>
                <w:sz w:val="20"/>
                <w:szCs w:val="20"/>
                <w:color w:val="auto"/>
              </w:rPr>
            </w:pPr>
            <w:r>
              <w:rPr>
                <w:rFonts w:ascii="Arial" w:cs="Arial" w:eastAsia="Arial" w:hAnsi="Arial"/>
                <w:sz w:val="14"/>
                <w:szCs w:val="14"/>
                <w:color w:val="auto"/>
              </w:rPr>
              <w:t>476</w:t>
            </w: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780" w:type="dxa"/>
            <w:vAlign w:val="bottom"/>
          </w:tcPr>
          <w:p>
            <w:pPr>
              <w:jc w:val="right"/>
              <w:ind w:right="72"/>
              <w:spacing w:after="0"/>
              <w:rPr>
                <w:sz w:val="20"/>
                <w:szCs w:val="20"/>
                <w:color w:val="auto"/>
              </w:rPr>
            </w:pPr>
            <w:r>
              <w:rPr>
                <w:rFonts w:ascii="Arial" w:cs="Arial" w:eastAsia="Arial" w:hAnsi="Arial"/>
                <w:sz w:val="14"/>
                <w:szCs w:val="14"/>
                <w:color w:val="auto"/>
                <w:w w:val="99"/>
              </w:rPr>
              <w:t>3,140,775</w:t>
            </w:r>
          </w:p>
        </w:tc>
        <w:tc>
          <w:tcPr>
            <w:tcW w:w="360" w:type="dxa"/>
            <w:vAlign w:val="bottom"/>
          </w:tcPr>
          <w:p>
            <w:pPr>
              <w:jc w:val="right"/>
              <w:ind w:right="112"/>
              <w:spacing w:after="0"/>
              <w:rPr>
                <w:sz w:val="20"/>
                <w:szCs w:val="20"/>
                <w:color w:val="auto"/>
              </w:rPr>
            </w:pPr>
            <w:r>
              <w:rPr>
                <w:rFonts w:ascii="Arial" w:cs="Arial" w:eastAsia="Arial" w:hAnsi="Arial"/>
                <w:sz w:val="14"/>
                <w:szCs w:val="14"/>
                <w:color w:val="auto"/>
              </w:rPr>
              <w:t>$</w:t>
            </w:r>
          </w:p>
        </w:tc>
        <w:tc>
          <w:tcPr>
            <w:tcW w:w="740" w:type="dxa"/>
            <w:vAlign w:val="bottom"/>
          </w:tcPr>
          <w:p>
            <w:pPr>
              <w:jc w:val="right"/>
              <w:ind w:right="52"/>
              <w:spacing w:after="0"/>
              <w:rPr>
                <w:sz w:val="20"/>
                <w:szCs w:val="20"/>
                <w:color w:val="auto"/>
              </w:rPr>
            </w:pPr>
            <w:r>
              <w:rPr>
                <w:rFonts w:ascii="Arial" w:cs="Arial" w:eastAsia="Arial" w:hAnsi="Arial"/>
                <w:sz w:val="14"/>
                <w:szCs w:val="14"/>
                <w:color w:val="auto"/>
              </w:rPr>
              <w:t>21,904</w:t>
            </w:r>
          </w:p>
        </w:tc>
      </w:tr>
      <w:tr>
        <w:trPr>
          <w:trHeight w:val="270"/>
        </w:trPr>
        <w:tc>
          <w:tcPr>
            <w:tcW w:w="22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(99,220)</w:t>
            </w:r>
          </w:p>
        </w:tc>
        <w:tc>
          <w:tcPr>
            <w:tcW w:w="26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780" w:type="dxa"/>
            <w:vAlign w:val="bottom"/>
          </w:tcPr>
          <w:p>
            <w:pPr>
              <w:jc w:val="right"/>
              <w:ind w:right="32"/>
              <w:spacing w:after="0"/>
              <w:rPr>
                <w:sz w:val="20"/>
                <w:szCs w:val="20"/>
                <w:color w:val="auto"/>
              </w:rPr>
            </w:pPr>
            <w:r>
              <w:rPr>
                <w:rFonts w:ascii="Arial" w:cs="Arial" w:eastAsia="Arial" w:hAnsi="Arial"/>
                <w:sz w:val="14"/>
                <w:szCs w:val="14"/>
                <w:color w:val="auto"/>
              </w:rPr>
              <w:t>(99,220)</w:t>
            </w:r>
          </w:p>
        </w:tc>
        <w:tc>
          <w:tcPr>
            <w:tcW w:w="360" w:type="dxa"/>
            <w:vAlign w:val="bottom"/>
          </w:tcPr>
          <w:p>
            <w:pPr>
              <w:spacing w:after="0"/>
              <w:rPr>
                <w:sz w:val="23"/>
                <w:szCs w:val="23"/>
                <w:color w:val="auto"/>
              </w:rPr>
            </w:pPr>
          </w:p>
        </w:tc>
        <w:tc>
          <w:tcPr>
            <w:tcW w:w="740" w:type="dxa"/>
            <w:vAlign w:val="bottom"/>
          </w:tcPr>
          <w:p>
            <w:pPr>
              <w:spacing w:after="0"/>
              <w:rPr>
                <w:sz w:val="23"/>
                <w:szCs w:val="23"/>
                <w:color w:val="auto"/>
              </w:rPr>
            </w:pPr>
          </w:p>
        </w:tc>
      </w:tr>
      <w:tr>
        <w:trPr>
          <w:trHeight w:val="351"/>
        </w:trPr>
        <w:tc>
          <w:tcPr>
            <w:tcW w:w="2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(476)</w:t>
            </w:r>
          </w:p>
        </w:tc>
        <w:tc>
          <w:tcPr>
            <w:tcW w:w="160" w:type="dxa"/>
            <w:vAlign w:val="bottom"/>
          </w:tcPr>
          <w:p>
            <w:pPr>
              <w:spacing w:after="0"/>
              <w:rPr>
                <w:sz w:val="24"/>
                <w:szCs w:val="24"/>
                <w:color w:val="auto"/>
              </w:rPr>
            </w:pPr>
          </w:p>
        </w:tc>
        <w:tc>
          <w:tcPr>
            <w:tcW w:w="780" w:type="dxa"/>
            <w:vAlign w:val="bottom"/>
          </w:tcPr>
          <w:p>
            <w:pPr>
              <w:jc w:val="right"/>
              <w:ind w:right="32"/>
              <w:spacing w:after="0"/>
              <w:rPr>
                <w:sz w:val="20"/>
                <w:szCs w:val="20"/>
                <w:color w:val="auto"/>
              </w:rPr>
            </w:pPr>
            <w:r>
              <w:rPr>
                <w:rFonts w:ascii="Arial" w:cs="Arial" w:eastAsia="Arial" w:hAnsi="Arial"/>
                <w:sz w:val="14"/>
                <w:szCs w:val="14"/>
                <w:color w:val="auto"/>
              </w:rPr>
              <w:t>(476)</w:t>
            </w:r>
          </w:p>
        </w:tc>
        <w:tc>
          <w:tcPr>
            <w:tcW w:w="360" w:type="dxa"/>
            <w:vAlign w:val="bottom"/>
          </w:tcPr>
          <w:p>
            <w:pPr>
              <w:spacing w:after="0"/>
              <w:rPr>
                <w:sz w:val="24"/>
                <w:szCs w:val="24"/>
                <w:color w:val="auto"/>
              </w:rPr>
            </w:pPr>
          </w:p>
        </w:tc>
        <w:tc>
          <w:tcPr>
            <w:tcW w:w="740" w:type="dxa"/>
            <w:vAlign w:val="bottom"/>
          </w:tcPr>
          <w:p>
            <w:pPr>
              <w:spacing w:after="0"/>
              <w:rPr>
                <w:sz w:val="24"/>
                <w:szCs w:val="24"/>
                <w:color w:val="auto"/>
              </w:rPr>
            </w:pPr>
          </w:p>
        </w:tc>
      </w:tr>
      <w:tr>
        <w:trPr>
          <w:trHeight w:val="351"/>
        </w:trPr>
        <w:tc>
          <w:tcPr>
            <w:tcW w:w="2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(1,435)</w:t>
            </w:r>
          </w:p>
        </w:tc>
        <w:tc>
          <w:tcPr>
            <w:tcW w:w="2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80" w:type="dxa"/>
            <w:vAlign w:val="bottom"/>
          </w:tcPr>
          <w:p>
            <w:pPr>
              <w:jc w:val="right"/>
              <w:ind w:right="32"/>
              <w:spacing w:after="0"/>
              <w:rPr>
                <w:sz w:val="20"/>
                <w:szCs w:val="20"/>
                <w:color w:val="auto"/>
              </w:rPr>
            </w:pPr>
            <w:r>
              <w:rPr>
                <w:rFonts w:ascii="Arial" w:cs="Arial" w:eastAsia="Arial" w:hAnsi="Arial"/>
                <w:sz w:val="14"/>
                <w:szCs w:val="14"/>
                <w:color w:val="auto"/>
              </w:rPr>
              <w:t>(1,435)</w:t>
            </w:r>
          </w:p>
        </w:tc>
        <w:tc>
          <w:tcPr>
            <w:tcW w:w="360" w:type="dxa"/>
            <w:vAlign w:val="bottom"/>
          </w:tcPr>
          <w:p>
            <w:pPr>
              <w:spacing w:after="0"/>
              <w:rPr>
                <w:sz w:val="24"/>
                <w:szCs w:val="24"/>
                <w:color w:val="auto"/>
              </w:rPr>
            </w:pPr>
          </w:p>
        </w:tc>
        <w:tc>
          <w:tcPr>
            <w:tcW w:w="740" w:type="dxa"/>
            <w:vAlign w:val="bottom"/>
          </w:tcPr>
          <w:p>
            <w:pPr>
              <w:jc w:val="right"/>
              <w:ind w:right="52"/>
              <w:spacing w:after="0"/>
              <w:rPr>
                <w:sz w:val="20"/>
                <w:szCs w:val="20"/>
                <w:color w:val="auto"/>
              </w:rPr>
            </w:pPr>
            <w:r>
              <w:rPr>
                <w:rFonts w:ascii="Arial" w:cs="Arial" w:eastAsia="Arial" w:hAnsi="Arial"/>
                <w:sz w:val="14"/>
                <w:szCs w:val="14"/>
                <w:color w:val="auto"/>
              </w:rPr>
              <w:t>1,435</w:t>
            </w:r>
          </w:p>
        </w:tc>
      </w:tr>
      <w:tr>
        <w:trPr>
          <w:trHeight w:val="351"/>
        </w:trPr>
        <w:tc>
          <w:tcPr>
            <w:tcW w:w="2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(2,601)</w:t>
            </w:r>
          </w:p>
        </w:tc>
        <w:tc>
          <w:tcPr>
            <w:tcW w:w="1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80" w:type="dxa"/>
            <w:vAlign w:val="bottom"/>
          </w:tcPr>
          <w:p>
            <w:pPr>
              <w:jc w:val="right"/>
              <w:ind w:right="32"/>
              <w:spacing w:after="0"/>
              <w:rPr>
                <w:sz w:val="20"/>
                <w:szCs w:val="20"/>
                <w:color w:val="auto"/>
              </w:rPr>
            </w:pPr>
            <w:r>
              <w:rPr>
                <w:rFonts w:ascii="Arial" w:cs="Arial" w:eastAsia="Arial" w:hAnsi="Arial"/>
                <w:sz w:val="14"/>
                <w:szCs w:val="14"/>
                <w:color w:val="auto"/>
              </w:rPr>
              <w:t>(2,601)</w:t>
            </w:r>
          </w:p>
        </w:tc>
        <w:tc>
          <w:tcPr>
            <w:tcW w:w="360" w:type="dxa"/>
            <w:vAlign w:val="bottom"/>
          </w:tcPr>
          <w:p>
            <w:pPr>
              <w:spacing w:after="0"/>
              <w:rPr>
                <w:sz w:val="24"/>
                <w:szCs w:val="24"/>
                <w:color w:val="auto"/>
              </w:rPr>
            </w:pPr>
          </w:p>
        </w:tc>
        <w:tc>
          <w:tcPr>
            <w:tcW w:w="740" w:type="dxa"/>
            <w:vAlign w:val="bottom"/>
          </w:tcPr>
          <w:p>
            <w:pPr>
              <w:jc w:val="right"/>
              <w:ind w:right="52"/>
              <w:spacing w:after="0"/>
              <w:rPr>
                <w:sz w:val="20"/>
                <w:szCs w:val="20"/>
                <w:color w:val="auto"/>
              </w:rPr>
            </w:pPr>
            <w:r>
              <w:rPr>
                <w:rFonts w:ascii="Arial" w:cs="Arial" w:eastAsia="Arial" w:hAnsi="Arial"/>
                <w:sz w:val="14"/>
                <w:szCs w:val="14"/>
                <w:color w:val="auto"/>
              </w:rPr>
              <w:t>2,601</w:t>
            </w:r>
          </w:p>
        </w:tc>
      </w:tr>
      <w:tr>
        <w:trPr>
          <w:trHeight w:val="270"/>
        </w:trPr>
        <w:tc>
          <w:tcPr>
            <w:tcW w:w="22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(53,090)</w:t>
            </w:r>
          </w:p>
        </w:tc>
        <w:tc>
          <w:tcPr>
            <w:tcW w:w="26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780" w:type="dxa"/>
            <w:vAlign w:val="bottom"/>
          </w:tcPr>
          <w:p>
            <w:pPr>
              <w:jc w:val="right"/>
              <w:ind w:right="32"/>
              <w:spacing w:after="0"/>
              <w:rPr>
                <w:sz w:val="20"/>
                <w:szCs w:val="20"/>
                <w:color w:val="auto"/>
              </w:rPr>
            </w:pPr>
            <w:r>
              <w:rPr>
                <w:rFonts w:ascii="Arial" w:cs="Arial" w:eastAsia="Arial" w:hAnsi="Arial"/>
                <w:sz w:val="14"/>
                <w:szCs w:val="14"/>
                <w:color w:val="auto"/>
              </w:rPr>
              <w:t>(53,090)</w:t>
            </w:r>
          </w:p>
        </w:tc>
        <w:tc>
          <w:tcPr>
            <w:tcW w:w="360" w:type="dxa"/>
            <w:vAlign w:val="bottom"/>
          </w:tcPr>
          <w:p>
            <w:pPr>
              <w:spacing w:after="0"/>
              <w:rPr>
                <w:sz w:val="23"/>
                <w:szCs w:val="23"/>
                <w:color w:val="auto"/>
              </w:rPr>
            </w:pPr>
          </w:p>
        </w:tc>
        <w:tc>
          <w:tcPr>
            <w:tcW w:w="740" w:type="dxa"/>
            <w:vAlign w:val="bottom"/>
          </w:tcPr>
          <w:p>
            <w:pPr>
              <w:spacing w:after="0"/>
              <w:rPr>
                <w:sz w:val="23"/>
                <w:szCs w:val="23"/>
                <w:color w:val="auto"/>
              </w:rPr>
            </w:pPr>
          </w:p>
        </w:tc>
      </w:tr>
      <w:tr>
        <w:trPr>
          <w:trHeight w:val="270"/>
        </w:trPr>
        <w:tc>
          <w:tcPr>
            <w:tcW w:w="22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(631)</w:t>
            </w:r>
          </w:p>
        </w:tc>
        <w:tc>
          <w:tcPr>
            <w:tcW w:w="26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780" w:type="dxa"/>
            <w:vAlign w:val="bottom"/>
          </w:tcPr>
          <w:p>
            <w:pPr>
              <w:jc w:val="right"/>
              <w:ind w:right="32"/>
              <w:spacing w:after="0"/>
              <w:rPr>
                <w:sz w:val="20"/>
                <w:szCs w:val="20"/>
                <w:color w:val="auto"/>
              </w:rPr>
            </w:pPr>
            <w:r>
              <w:rPr>
                <w:rFonts w:ascii="Arial" w:cs="Arial" w:eastAsia="Arial" w:hAnsi="Arial"/>
                <w:sz w:val="14"/>
                <w:szCs w:val="14"/>
                <w:color w:val="auto"/>
              </w:rPr>
              <w:t>(631)</w:t>
            </w:r>
          </w:p>
        </w:tc>
        <w:tc>
          <w:tcPr>
            <w:tcW w:w="360" w:type="dxa"/>
            <w:vAlign w:val="bottom"/>
          </w:tcPr>
          <w:p>
            <w:pPr>
              <w:spacing w:after="0"/>
              <w:rPr>
                <w:sz w:val="23"/>
                <w:szCs w:val="23"/>
                <w:color w:val="auto"/>
              </w:rPr>
            </w:pPr>
          </w:p>
        </w:tc>
        <w:tc>
          <w:tcPr>
            <w:tcW w:w="740" w:type="dxa"/>
            <w:vAlign w:val="bottom"/>
          </w:tcPr>
          <w:p>
            <w:pPr>
              <w:spacing w:after="0"/>
              <w:rPr>
                <w:sz w:val="23"/>
                <w:szCs w:val="23"/>
                <w:color w:val="auto"/>
              </w:rPr>
            </w:pPr>
          </w:p>
        </w:tc>
      </w:tr>
      <w:tr>
        <w:trPr>
          <w:trHeight w:val="270"/>
        </w:trPr>
        <w:tc>
          <w:tcPr>
            <w:tcW w:w="22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(22,979)</w:t>
            </w:r>
          </w:p>
        </w:tc>
        <w:tc>
          <w:tcPr>
            <w:tcW w:w="38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780" w:type="dxa"/>
            <w:vAlign w:val="bottom"/>
          </w:tcPr>
          <w:p>
            <w:pPr>
              <w:jc w:val="right"/>
              <w:ind w:right="32"/>
              <w:spacing w:after="0"/>
              <w:rPr>
                <w:sz w:val="20"/>
                <w:szCs w:val="20"/>
                <w:color w:val="auto"/>
              </w:rPr>
            </w:pPr>
            <w:r>
              <w:rPr>
                <w:rFonts w:ascii="Arial" w:cs="Arial" w:eastAsia="Arial" w:hAnsi="Arial"/>
                <w:sz w:val="14"/>
                <w:szCs w:val="14"/>
                <w:color w:val="auto"/>
              </w:rPr>
              <w:t>(22,979)</w:t>
            </w:r>
          </w:p>
        </w:tc>
        <w:tc>
          <w:tcPr>
            <w:tcW w:w="360" w:type="dxa"/>
            <w:vAlign w:val="bottom"/>
          </w:tcPr>
          <w:p>
            <w:pPr>
              <w:spacing w:after="0"/>
              <w:rPr>
                <w:sz w:val="23"/>
                <w:szCs w:val="23"/>
                <w:color w:val="auto"/>
              </w:rPr>
            </w:pPr>
          </w:p>
        </w:tc>
        <w:tc>
          <w:tcPr>
            <w:tcW w:w="740" w:type="dxa"/>
            <w:vAlign w:val="bottom"/>
          </w:tcPr>
          <w:p>
            <w:pPr>
              <w:spacing w:after="0"/>
              <w:rPr>
                <w:sz w:val="23"/>
                <w:szCs w:val="23"/>
                <w:color w:val="auto"/>
              </w:rPr>
            </w:pPr>
          </w:p>
        </w:tc>
      </w:tr>
      <w:tr>
        <w:trPr>
          <w:trHeight w:val="351"/>
        </w:trPr>
        <w:tc>
          <w:tcPr>
            <w:tcW w:w="2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(13,244)</w:t>
            </w:r>
          </w:p>
        </w:tc>
        <w:tc>
          <w:tcPr>
            <w:tcW w:w="1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20" w:type="dxa"/>
            <w:vAlign w:val="bottom"/>
          </w:tcPr>
          <w:p>
            <w:pPr>
              <w:jc w:val="right"/>
              <w:ind w:right="32"/>
              <w:spacing w:after="0"/>
              <w:rPr>
                <w:sz w:val="20"/>
                <w:szCs w:val="20"/>
                <w:color w:val="auto"/>
              </w:rPr>
            </w:pPr>
            <w:r>
              <w:rPr>
                <w:rFonts w:ascii="Arial" w:cs="Arial" w:eastAsia="Arial" w:hAnsi="Arial"/>
                <w:sz w:val="14"/>
                <w:szCs w:val="14"/>
                <w:color w:val="auto"/>
              </w:rPr>
              <w:t>19,909</w:t>
            </w:r>
          </w:p>
        </w:tc>
        <w:tc>
          <w:tcPr>
            <w:tcW w:w="3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80" w:type="dxa"/>
            <w:vAlign w:val="bottom"/>
          </w:tcPr>
          <w:p>
            <w:pPr>
              <w:jc w:val="right"/>
              <w:ind w:right="72"/>
              <w:spacing w:after="0"/>
              <w:rPr>
                <w:sz w:val="20"/>
                <w:szCs w:val="20"/>
                <w:color w:val="auto"/>
              </w:rPr>
            </w:pPr>
            <w:r>
              <w:rPr>
                <w:rFonts w:ascii="Arial" w:cs="Arial" w:eastAsia="Arial" w:hAnsi="Arial"/>
                <w:sz w:val="14"/>
                <w:szCs w:val="14"/>
                <w:color w:val="auto"/>
              </w:rPr>
              <w:t>6,665</w:t>
            </w:r>
          </w:p>
        </w:tc>
        <w:tc>
          <w:tcPr>
            <w:tcW w:w="360" w:type="dxa"/>
            <w:vAlign w:val="bottom"/>
          </w:tcPr>
          <w:p>
            <w:pPr>
              <w:spacing w:after="0"/>
              <w:rPr>
                <w:sz w:val="24"/>
                <w:szCs w:val="24"/>
                <w:color w:val="auto"/>
              </w:rPr>
            </w:pPr>
          </w:p>
        </w:tc>
        <w:tc>
          <w:tcPr>
            <w:tcW w:w="740" w:type="dxa"/>
            <w:vAlign w:val="bottom"/>
          </w:tcPr>
          <w:p>
            <w:pPr>
              <w:spacing w:after="0"/>
              <w:rPr>
                <w:sz w:val="24"/>
                <w:szCs w:val="24"/>
                <w:color w:val="auto"/>
              </w:rPr>
            </w:pPr>
          </w:p>
        </w:tc>
      </w:tr>
      <w:tr>
        <w:trPr>
          <w:trHeight w:val="351"/>
        </w:trPr>
        <w:tc>
          <w:tcPr>
            <w:tcW w:w="2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40" w:type="dxa"/>
            <w:vAlign w:val="bottom"/>
          </w:tcPr>
          <w:p>
            <w:pPr>
              <w:jc w:val="right"/>
              <w:ind w:right="32"/>
              <w:spacing w:after="0"/>
              <w:rPr>
                <w:sz w:val="20"/>
                <w:szCs w:val="20"/>
                <w:color w:val="auto"/>
              </w:rPr>
            </w:pPr>
            <w:r>
              <w:rPr>
                <w:rFonts w:ascii="Arial" w:cs="Arial" w:eastAsia="Arial" w:hAnsi="Arial"/>
                <w:sz w:val="14"/>
                <w:szCs w:val="14"/>
                <w:color w:val="auto"/>
              </w:rPr>
              <w:t>57,115</w:t>
            </w:r>
          </w:p>
        </w:tc>
        <w:tc>
          <w:tcPr>
            <w:tcW w:w="1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80" w:type="dxa"/>
            <w:vAlign w:val="bottom"/>
          </w:tcPr>
          <w:p>
            <w:pPr>
              <w:jc w:val="right"/>
              <w:ind w:right="72"/>
              <w:spacing w:after="0"/>
              <w:rPr>
                <w:sz w:val="20"/>
                <w:szCs w:val="20"/>
                <w:color w:val="auto"/>
              </w:rPr>
            </w:pPr>
            <w:r>
              <w:rPr>
                <w:rFonts w:ascii="Arial" w:cs="Arial" w:eastAsia="Arial" w:hAnsi="Arial"/>
                <w:sz w:val="14"/>
                <w:szCs w:val="14"/>
                <w:color w:val="auto"/>
              </w:rPr>
              <w:t>57,115</w:t>
            </w:r>
          </w:p>
        </w:tc>
        <w:tc>
          <w:tcPr>
            <w:tcW w:w="360" w:type="dxa"/>
            <w:vAlign w:val="bottom"/>
          </w:tcPr>
          <w:p>
            <w:pPr>
              <w:spacing w:after="0"/>
              <w:rPr>
                <w:sz w:val="24"/>
                <w:szCs w:val="24"/>
                <w:color w:val="auto"/>
              </w:rPr>
            </w:pPr>
          </w:p>
        </w:tc>
        <w:tc>
          <w:tcPr>
            <w:tcW w:w="740" w:type="dxa"/>
            <w:vAlign w:val="bottom"/>
          </w:tcPr>
          <w:p>
            <w:pPr>
              <w:spacing w:after="0"/>
              <w:rPr>
                <w:sz w:val="24"/>
                <w:szCs w:val="24"/>
                <w:color w:val="auto"/>
              </w:rPr>
            </w:pPr>
          </w:p>
        </w:tc>
      </w:tr>
      <w:tr>
        <w:trPr>
          <w:trHeight w:val="270"/>
        </w:trPr>
        <w:tc>
          <w:tcPr>
            <w:tcW w:w="22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(139,658)</w:t>
            </w:r>
          </w:p>
        </w:tc>
        <w:tc>
          <w:tcPr>
            <w:tcW w:w="20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780" w:type="dxa"/>
            <w:vAlign w:val="bottom"/>
          </w:tcPr>
          <w:p>
            <w:pPr>
              <w:jc w:val="right"/>
              <w:ind w:right="32"/>
              <w:spacing w:after="0"/>
              <w:rPr>
                <w:sz w:val="20"/>
                <w:szCs w:val="20"/>
                <w:color w:val="auto"/>
              </w:rPr>
            </w:pPr>
            <w:r>
              <w:rPr>
                <w:rFonts w:ascii="Arial" w:cs="Arial" w:eastAsia="Arial" w:hAnsi="Arial"/>
                <w:sz w:val="14"/>
                <w:szCs w:val="14"/>
                <w:color w:val="auto"/>
              </w:rPr>
              <w:t>(139,658)</w:t>
            </w:r>
          </w:p>
        </w:tc>
        <w:tc>
          <w:tcPr>
            <w:tcW w:w="360" w:type="dxa"/>
            <w:vAlign w:val="bottom"/>
          </w:tcPr>
          <w:p>
            <w:pPr>
              <w:spacing w:after="0"/>
              <w:rPr>
                <w:sz w:val="23"/>
                <w:szCs w:val="23"/>
                <w:color w:val="auto"/>
              </w:rPr>
            </w:pPr>
          </w:p>
        </w:tc>
        <w:tc>
          <w:tcPr>
            <w:tcW w:w="740" w:type="dxa"/>
            <w:vAlign w:val="bottom"/>
          </w:tcPr>
          <w:p>
            <w:pPr>
              <w:spacing w:after="0"/>
              <w:rPr>
                <w:sz w:val="23"/>
                <w:szCs w:val="23"/>
                <w:color w:val="auto"/>
              </w:rPr>
            </w:pPr>
          </w:p>
        </w:tc>
      </w:tr>
      <w:tr>
        <w:trPr>
          <w:trHeight w:val="351"/>
        </w:trPr>
        <w:tc>
          <w:tcPr>
            <w:tcW w:w="220" w:type="dxa"/>
            <w:vAlign w:val="bottom"/>
          </w:tcPr>
          <w:p>
            <w:pPr>
              <w:spacing w:after="0"/>
              <w:rPr>
                <w:sz w:val="24"/>
                <w:szCs w:val="24"/>
                <w:color w:val="auto"/>
              </w:rPr>
            </w:pPr>
          </w:p>
        </w:tc>
        <w:tc>
          <w:tcPr>
            <w:tcW w:w="460" w:type="dxa"/>
            <w:vAlign w:val="bottom"/>
          </w:tcPr>
          <w:p>
            <w:pPr>
              <w:jc w:val="right"/>
              <w:spacing w:after="0"/>
              <w:rPr>
                <w:sz w:val="20"/>
                <w:szCs w:val="20"/>
                <w:color w:val="auto"/>
              </w:rPr>
            </w:pPr>
            <w:r>
              <w:rPr>
                <w:rFonts w:ascii="Arial" w:cs="Arial" w:eastAsia="Arial" w:hAnsi="Arial"/>
                <w:sz w:val="14"/>
                <w:szCs w:val="14"/>
                <w:color w:val="auto"/>
              </w:rPr>
              <w:t>(11)</w:t>
            </w:r>
          </w:p>
        </w:tc>
        <w:tc>
          <w:tcPr>
            <w:tcW w:w="680" w:type="dxa"/>
            <w:vAlign w:val="bottom"/>
          </w:tcPr>
          <w:p>
            <w:pPr>
              <w:jc w:val="right"/>
              <w:ind w:right="12"/>
              <w:spacing w:after="0"/>
              <w:rPr>
                <w:sz w:val="20"/>
                <w:szCs w:val="20"/>
                <w:color w:val="auto"/>
              </w:rPr>
            </w:pPr>
            <w:r>
              <w:rPr>
                <w:rFonts w:ascii="Arial" w:cs="Arial" w:eastAsia="Arial" w:hAnsi="Arial"/>
                <w:sz w:val="14"/>
                <w:szCs w:val="14"/>
                <w:color w:val="auto"/>
              </w:rPr>
              <w:t>11</w:t>
            </w:r>
          </w:p>
        </w:tc>
        <w:tc>
          <w:tcPr>
            <w:tcW w:w="2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80" w:type="dxa"/>
            <w:vAlign w:val="bottom"/>
          </w:tcPr>
          <w:p>
            <w:pPr>
              <w:jc w:val="right"/>
              <w:ind w:right="72"/>
              <w:spacing w:after="0"/>
              <w:rPr>
                <w:sz w:val="20"/>
                <w:szCs w:val="20"/>
                <w:color w:val="auto"/>
              </w:rPr>
            </w:pPr>
            <w:r>
              <w:rPr>
                <w:rFonts w:ascii="Arial" w:cs="Arial" w:eastAsia="Arial" w:hAnsi="Arial"/>
                <w:sz w:val="14"/>
                <w:szCs w:val="14"/>
                <w:color w:val="auto"/>
              </w:rPr>
              <w:t>—</w:t>
            </w:r>
          </w:p>
        </w:tc>
        <w:tc>
          <w:tcPr>
            <w:tcW w:w="360" w:type="dxa"/>
            <w:vAlign w:val="bottom"/>
          </w:tcPr>
          <w:p>
            <w:pPr>
              <w:spacing w:after="0"/>
              <w:rPr>
                <w:sz w:val="24"/>
                <w:szCs w:val="24"/>
                <w:color w:val="auto"/>
              </w:rPr>
            </w:pPr>
          </w:p>
        </w:tc>
        <w:tc>
          <w:tcPr>
            <w:tcW w:w="740" w:type="dxa"/>
            <w:vAlign w:val="bottom"/>
          </w:tcPr>
          <w:p>
            <w:pPr>
              <w:spacing w:after="0"/>
              <w:rPr>
                <w:sz w:val="24"/>
                <w:szCs w:val="24"/>
                <w:color w:val="auto"/>
              </w:rPr>
            </w:pPr>
          </w:p>
        </w:tc>
      </w:tr>
      <w:tr>
        <w:trPr>
          <w:trHeight w:val="270"/>
        </w:trPr>
        <w:tc>
          <w:tcPr>
            <w:tcW w:w="22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640" w:type="dxa"/>
            <w:vAlign w:val="bottom"/>
          </w:tcPr>
          <w:p>
            <w:pPr>
              <w:jc w:val="right"/>
              <w:ind w:right="32"/>
              <w:spacing w:after="0"/>
              <w:rPr>
                <w:sz w:val="20"/>
                <w:szCs w:val="20"/>
                <w:color w:val="auto"/>
              </w:rPr>
            </w:pPr>
            <w:r>
              <w:rPr>
                <w:rFonts w:ascii="Arial" w:cs="Arial" w:eastAsia="Arial" w:hAnsi="Arial"/>
                <w:sz w:val="14"/>
                <w:szCs w:val="14"/>
                <w:color w:val="auto"/>
              </w:rPr>
              <w:t>7,285</w:t>
            </w:r>
          </w:p>
        </w:tc>
        <w:tc>
          <w:tcPr>
            <w:tcW w:w="180" w:type="dxa"/>
            <w:vAlign w:val="bottom"/>
          </w:tcPr>
          <w:p>
            <w:pPr>
              <w:spacing w:after="0"/>
              <w:rPr>
                <w:sz w:val="23"/>
                <w:szCs w:val="23"/>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(406,453)</w:t>
            </w:r>
          </w:p>
        </w:tc>
        <w:tc>
          <w:tcPr>
            <w:tcW w:w="260" w:type="dxa"/>
            <w:vAlign w:val="bottom"/>
          </w:tcPr>
          <w:p>
            <w:pPr>
              <w:spacing w:after="0"/>
              <w:rPr>
                <w:sz w:val="23"/>
                <w:szCs w:val="23"/>
                <w:color w:val="auto"/>
              </w:rPr>
            </w:pPr>
          </w:p>
        </w:tc>
        <w:tc>
          <w:tcPr>
            <w:tcW w:w="760" w:type="dxa"/>
            <w:vAlign w:val="bottom"/>
          </w:tcPr>
          <w:p>
            <w:pPr>
              <w:jc w:val="right"/>
              <w:ind w:right="32"/>
              <w:spacing w:after="0"/>
              <w:rPr>
                <w:sz w:val="20"/>
                <w:szCs w:val="20"/>
                <w:color w:val="auto"/>
              </w:rPr>
            </w:pPr>
            <w:r>
              <w:rPr>
                <w:rFonts w:ascii="Arial" w:cs="Arial" w:eastAsia="Arial" w:hAnsi="Arial"/>
                <w:sz w:val="14"/>
                <w:szCs w:val="14"/>
                <w:color w:val="auto"/>
              </w:rPr>
              <w:t>858</w:t>
            </w:r>
          </w:p>
        </w:tc>
        <w:tc>
          <w:tcPr>
            <w:tcW w:w="20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780" w:type="dxa"/>
            <w:vAlign w:val="bottom"/>
          </w:tcPr>
          <w:p>
            <w:pPr>
              <w:jc w:val="right"/>
              <w:ind w:right="32"/>
              <w:spacing w:after="0"/>
              <w:rPr>
                <w:sz w:val="20"/>
                <w:szCs w:val="20"/>
                <w:color w:val="auto"/>
              </w:rPr>
            </w:pPr>
            <w:r>
              <w:rPr>
                <w:rFonts w:ascii="Arial" w:cs="Arial" w:eastAsia="Arial" w:hAnsi="Arial"/>
                <w:sz w:val="14"/>
                <w:szCs w:val="14"/>
                <w:color w:val="auto"/>
              </w:rPr>
              <w:t>(398,310)</w:t>
            </w:r>
          </w:p>
        </w:tc>
        <w:tc>
          <w:tcPr>
            <w:tcW w:w="360" w:type="dxa"/>
            <w:vAlign w:val="bottom"/>
          </w:tcPr>
          <w:p>
            <w:pPr>
              <w:spacing w:after="0"/>
              <w:rPr>
                <w:sz w:val="23"/>
                <w:szCs w:val="23"/>
                <w:color w:val="auto"/>
              </w:rPr>
            </w:pPr>
          </w:p>
        </w:tc>
        <w:tc>
          <w:tcPr>
            <w:tcW w:w="740" w:type="dxa"/>
            <w:vAlign w:val="bottom"/>
          </w:tcPr>
          <w:p>
            <w:pPr>
              <w:spacing w:after="0"/>
              <w:rPr>
                <w:sz w:val="23"/>
                <w:szCs w:val="23"/>
                <w:color w:val="auto"/>
              </w:rPr>
            </w:pPr>
          </w:p>
        </w:tc>
      </w:tr>
      <w:tr>
        <w:trPr>
          <w:trHeight w:val="270"/>
        </w:trPr>
        <w:tc>
          <w:tcPr>
            <w:tcW w:w="22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640" w:type="dxa"/>
            <w:vAlign w:val="bottom"/>
          </w:tcPr>
          <w:p>
            <w:pPr>
              <w:jc w:val="right"/>
              <w:ind w:right="32"/>
              <w:spacing w:after="0"/>
              <w:rPr>
                <w:sz w:val="20"/>
                <w:szCs w:val="20"/>
                <w:color w:val="auto"/>
              </w:rPr>
            </w:pPr>
            <w:r>
              <w:rPr>
                <w:rFonts w:ascii="Arial" w:cs="Arial" w:eastAsia="Arial" w:hAnsi="Arial"/>
                <w:sz w:val="14"/>
                <w:szCs w:val="14"/>
                <w:color w:val="auto"/>
              </w:rPr>
              <w:t>4,543</w:t>
            </w:r>
          </w:p>
        </w:tc>
        <w:tc>
          <w:tcPr>
            <w:tcW w:w="18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780" w:type="dxa"/>
            <w:vAlign w:val="bottom"/>
          </w:tcPr>
          <w:p>
            <w:pPr>
              <w:jc w:val="right"/>
              <w:ind w:right="72"/>
              <w:spacing w:after="0"/>
              <w:rPr>
                <w:sz w:val="20"/>
                <w:szCs w:val="20"/>
                <w:color w:val="auto"/>
              </w:rPr>
            </w:pPr>
            <w:r>
              <w:rPr>
                <w:rFonts w:ascii="Arial" w:cs="Arial" w:eastAsia="Arial" w:hAnsi="Arial"/>
                <w:sz w:val="14"/>
                <w:szCs w:val="14"/>
                <w:color w:val="auto"/>
              </w:rPr>
              <w:t>4,543</w:t>
            </w:r>
          </w:p>
        </w:tc>
        <w:tc>
          <w:tcPr>
            <w:tcW w:w="360" w:type="dxa"/>
            <w:vAlign w:val="bottom"/>
          </w:tcPr>
          <w:p>
            <w:pPr>
              <w:spacing w:after="0"/>
              <w:rPr>
                <w:sz w:val="23"/>
                <w:szCs w:val="23"/>
                <w:color w:val="auto"/>
              </w:rPr>
            </w:pPr>
          </w:p>
        </w:tc>
        <w:tc>
          <w:tcPr>
            <w:tcW w:w="740" w:type="dxa"/>
            <w:vAlign w:val="bottom"/>
          </w:tcPr>
          <w:p>
            <w:pPr>
              <w:spacing w:after="0"/>
              <w:rPr>
                <w:sz w:val="23"/>
                <w:szCs w:val="23"/>
                <w:color w:val="auto"/>
              </w:rPr>
            </w:pPr>
          </w:p>
        </w:tc>
      </w:tr>
      <w:tr>
        <w:trPr>
          <w:trHeight w:val="278"/>
        </w:trPr>
        <w:tc>
          <w:tcPr>
            <w:tcW w:w="220" w:type="dxa"/>
            <w:vAlign w:val="bottom"/>
            <w:tcBorders>
              <w:bottom w:val="single" w:sz="8" w:color="auto"/>
            </w:tcBorders>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6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jc w:val="right"/>
              <w:ind w:right="72"/>
              <w:spacing w:after="0"/>
              <w:rPr>
                <w:sz w:val="20"/>
                <w:szCs w:val="20"/>
                <w:color w:val="auto"/>
              </w:rPr>
            </w:pPr>
            <w:r>
              <w:rPr>
                <w:rFonts w:ascii="Arial" w:cs="Arial" w:eastAsia="Arial" w:hAnsi="Arial"/>
                <w:sz w:val="14"/>
                <w:szCs w:val="14"/>
                <w:color w:val="auto"/>
              </w:rPr>
              <w:t>—</w:t>
            </w:r>
          </w:p>
        </w:tc>
        <w:tc>
          <w:tcPr>
            <w:tcW w:w="36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jc w:val="right"/>
              <w:ind w:right="52"/>
              <w:spacing w:after="0"/>
              <w:rPr>
                <w:sz w:val="20"/>
                <w:szCs w:val="20"/>
                <w:color w:val="auto"/>
              </w:rPr>
            </w:pPr>
            <w:r>
              <w:rPr>
                <w:rFonts w:ascii="Arial" w:cs="Arial" w:eastAsia="Arial" w:hAnsi="Arial"/>
                <w:sz w:val="14"/>
                <w:szCs w:val="14"/>
                <w:color w:val="auto"/>
              </w:rPr>
              <w:t>17</w:t>
            </w:r>
          </w:p>
        </w:tc>
      </w:tr>
      <w:tr>
        <w:trPr>
          <w:trHeight w:val="264"/>
        </w:trPr>
        <w:tc>
          <w:tcPr>
            <w:tcW w:w="220" w:type="dxa"/>
            <w:vAlign w:val="bottom"/>
            <w:tcBorders>
              <w:bottom w:val="single" w:sz="8" w:color="auto"/>
            </w:tcBorders>
          </w:tcPr>
          <w:p>
            <w:pPr>
              <w:spacing w:after="0"/>
              <w:rPr>
                <w:sz w:val="22"/>
                <w:szCs w:val="22"/>
                <w:color w:val="auto"/>
              </w:rPr>
            </w:pPr>
          </w:p>
        </w:tc>
        <w:tc>
          <w:tcPr>
            <w:tcW w:w="460" w:type="dxa"/>
            <w:vAlign w:val="bottom"/>
            <w:tcBorders>
              <w:bottom w:val="single" w:sz="8" w:color="auto"/>
            </w:tcBorders>
          </w:tcPr>
          <w:p>
            <w:pPr>
              <w:jc w:val="right"/>
              <w:ind w:right="32"/>
              <w:spacing w:after="0"/>
              <w:rPr>
                <w:sz w:val="20"/>
                <w:szCs w:val="20"/>
                <w:color w:val="auto"/>
              </w:rPr>
            </w:pPr>
            <w:r>
              <w:rPr>
                <w:rFonts w:ascii="Arial" w:cs="Arial" w:eastAsia="Arial" w:hAnsi="Arial"/>
                <w:sz w:val="14"/>
                <w:szCs w:val="14"/>
                <w:color w:val="auto"/>
              </w:rPr>
              <w:t>964</w:t>
            </w:r>
          </w:p>
        </w:tc>
        <w:tc>
          <w:tcPr>
            <w:tcW w:w="680" w:type="dxa"/>
            <w:vAlign w:val="bottom"/>
            <w:tcBorders>
              <w:bottom w:val="single" w:sz="8" w:color="auto"/>
            </w:tcBorders>
          </w:tcPr>
          <w:p>
            <w:pPr>
              <w:jc w:val="right"/>
              <w:ind w:right="12"/>
              <w:spacing w:after="0"/>
              <w:rPr>
                <w:sz w:val="20"/>
                <w:szCs w:val="20"/>
                <w:color w:val="auto"/>
              </w:rPr>
            </w:pPr>
            <w:r>
              <w:rPr>
                <w:rFonts w:ascii="Arial" w:cs="Arial" w:eastAsia="Arial" w:hAnsi="Arial"/>
                <w:sz w:val="14"/>
                <w:szCs w:val="14"/>
                <w:color w:val="auto"/>
              </w:rPr>
              <w:t>19,036</w:t>
            </w:r>
          </w:p>
        </w:tc>
        <w:tc>
          <w:tcPr>
            <w:tcW w:w="200" w:type="dxa"/>
            <w:vAlign w:val="bottom"/>
            <w:tcBorders>
              <w:bottom w:val="single" w:sz="8" w:color="auto"/>
            </w:tcBorders>
          </w:tcPr>
          <w:p>
            <w:pPr>
              <w:spacing w:after="0"/>
              <w:rPr>
                <w:sz w:val="22"/>
                <w:szCs w:val="22"/>
                <w:color w:val="auto"/>
              </w:rPr>
            </w:pPr>
          </w:p>
        </w:tc>
        <w:tc>
          <w:tcPr>
            <w:tcW w:w="640" w:type="dxa"/>
            <w:vAlign w:val="bottom"/>
            <w:tcBorders>
              <w:bottom w:val="single" w:sz="8" w:color="auto"/>
            </w:tcBorders>
          </w:tcPr>
          <w:p>
            <w:pPr>
              <w:jc w:val="right"/>
              <w:ind w:right="32"/>
              <w:spacing w:after="0"/>
              <w:rPr>
                <w:sz w:val="20"/>
                <w:szCs w:val="20"/>
                <w:color w:val="auto"/>
              </w:rPr>
            </w:pPr>
            <w:r>
              <w:rPr>
                <w:rFonts w:ascii="Arial" w:cs="Arial" w:eastAsia="Arial" w:hAnsi="Arial"/>
                <w:sz w:val="14"/>
                <w:szCs w:val="14"/>
                <w:color w:val="auto"/>
              </w:rPr>
              <w:t>356,887</w:t>
            </w:r>
          </w:p>
        </w:tc>
        <w:tc>
          <w:tcPr>
            <w:tcW w:w="180" w:type="dxa"/>
            <w:vAlign w:val="bottom"/>
            <w:tcBorders>
              <w:bottom w:val="single" w:sz="8" w:color="auto"/>
            </w:tcBorders>
          </w:tcPr>
          <w:p>
            <w:pPr>
              <w:spacing w:after="0"/>
              <w:rPr>
                <w:sz w:val="22"/>
                <w:szCs w:val="22"/>
                <w:color w:val="auto"/>
              </w:rPr>
            </w:pPr>
          </w:p>
        </w:tc>
        <w:tc>
          <w:tcPr>
            <w:tcW w:w="740" w:type="dxa"/>
            <w:vAlign w:val="bottom"/>
            <w:tcBorders>
              <w:bottom w:val="single" w:sz="8" w:color="auto"/>
            </w:tcBorders>
          </w:tcPr>
          <w:p>
            <w:pPr>
              <w:jc w:val="right"/>
              <w:ind w:right="12"/>
              <w:spacing w:after="0"/>
              <w:rPr>
                <w:sz w:val="20"/>
                <w:szCs w:val="20"/>
                <w:color w:val="auto"/>
              </w:rPr>
            </w:pPr>
            <w:r>
              <w:rPr>
                <w:rFonts w:ascii="Arial" w:cs="Arial" w:eastAsia="Arial" w:hAnsi="Arial"/>
                <w:sz w:val="14"/>
                <w:szCs w:val="14"/>
                <w:color w:val="auto"/>
              </w:rPr>
              <w:t>5,447,677</w:t>
            </w:r>
          </w:p>
        </w:tc>
        <w:tc>
          <w:tcPr>
            <w:tcW w:w="260" w:type="dxa"/>
            <w:vAlign w:val="bottom"/>
            <w:tcBorders>
              <w:bottom w:val="single" w:sz="8" w:color="auto"/>
            </w:tcBorders>
          </w:tcPr>
          <w:p>
            <w:pPr>
              <w:spacing w:after="0"/>
              <w:rPr>
                <w:sz w:val="22"/>
                <w:szCs w:val="22"/>
                <w:color w:val="auto"/>
              </w:rPr>
            </w:pPr>
          </w:p>
        </w:tc>
        <w:tc>
          <w:tcPr>
            <w:tcW w:w="760" w:type="dxa"/>
            <w:vAlign w:val="bottom"/>
            <w:tcBorders>
              <w:bottom w:val="single" w:sz="8" w:color="auto"/>
            </w:tcBorders>
          </w:tcPr>
          <w:p>
            <w:pPr>
              <w:jc w:val="right"/>
              <w:ind w:right="32"/>
              <w:spacing w:after="0"/>
              <w:rPr>
                <w:sz w:val="20"/>
                <w:szCs w:val="20"/>
                <w:color w:val="auto"/>
              </w:rPr>
            </w:pPr>
            <w:r>
              <w:rPr>
                <w:rFonts w:ascii="Arial" w:cs="Arial" w:eastAsia="Arial" w:hAnsi="Arial"/>
                <w:sz w:val="14"/>
                <w:szCs w:val="14"/>
                <w:color w:val="auto"/>
              </w:rPr>
              <w:t>314,680</w:t>
            </w:r>
          </w:p>
        </w:tc>
        <w:tc>
          <w:tcPr>
            <w:tcW w:w="200" w:type="dxa"/>
            <w:vAlign w:val="bottom"/>
            <w:tcBorders>
              <w:bottom w:val="single" w:sz="8" w:color="auto"/>
            </w:tcBorders>
          </w:tcPr>
          <w:p>
            <w:pPr>
              <w:spacing w:after="0"/>
              <w:rPr>
                <w:sz w:val="22"/>
                <w:szCs w:val="22"/>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(3,648,546)</w:t>
            </w:r>
          </w:p>
        </w:tc>
        <w:tc>
          <w:tcPr>
            <w:tcW w:w="380" w:type="dxa"/>
            <w:vAlign w:val="bottom"/>
            <w:tcBorders>
              <w:bottom w:val="single" w:sz="8" w:color="auto"/>
            </w:tcBorders>
          </w:tcPr>
          <w:p>
            <w:pPr>
              <w:spacing w:after="0"/>
              <w:rPr>
                <w:sz w:val="22"/>
                <w:szCs w:val="22"/>
                <w:color w:val="auto"/>
              </w:rPr>
            </w:pPr>
          </w:p>
        </w:tc>
        <w:tc>
          <w:tcPr>
            <w:tcW w:w="620" w:type="dxa"/>
            <w:vAlign w:val="bottom"/>
            <w:tcBorders>
              <w:bottom w:val="single" w:sz="8" w:color="auto"/>
            </w:tcBorders>
          </w:tcPr>
          <w:p>
            <w:pPr>
              <w:jc w:val="right"/>
              <w:ind w:right="12"/>
              <w:spacing w:after="0"/>
              <w:rPr>
                <w:sz w:val="20"/>
                <w:szCs w:val="20"/>
                <w:color w:val="auto"/>
              </w:rPr>
            </w:pPr>
            <w:r>
              <w:rPr>
                <w:rFonts w:ascii="Arial" w:cs="Arial" w:eastAsia="Arial" w:hAnsi="Arial"/>
                <w:sz w:val="14"/>
                <w:szCs w:val="14"/>
                <w:color w:val="auto"/>
              </w:rPr>
              <w:t>—</w:t>
            </w:r>
          </w:p>
        </w:tc>
        <w:tc>
          <w:tcPr>
            <w:tcW w:w="160" w:type="dxa"/>
            <w:vAlign w:val="bottom"/>
            <w:tcBorders>
              <w:bottom w:val="single" w:sz="8" w:color="auto"/>
            </w:tcBorders>
          </w:tcPr>
          <w:p>
            <w:pPr>
              <w:spacing w:after="0"/>
              <w:rPr>
                <w:sz w:val="22"/>
                <w:szCs w:val="22"/>
                <w:color w:val="auto"/>
              </w:rPr>
            </w:pPr>
          </w:p>
        </w:tc>
        <w:tc>
          <w:tcPr>
            <w:tcW w:w="780" w:type="dxa"/>
            <w:vAlign w:val="bottom"/>
            <w:tcBorders>
              <w:bottom w:val="single" w:sz="8" w:color="auto"/>
            </w:tcBorders>
          </w:tcPr>
          <w:p>
            <w:pPr>
              <w:jc w:val="right"/>
              <w:ind w:right="72"/>
              <w:spacing w:after="0"/>
              <w:rPr>
                <w:sz w:val="20"/>
                <w:szCs w:val="20"/>
                <w:color w:val="auto"/>
              </w:rPr>
            </w:pPr>
            <w:r>
              <w:rPr>
                <w:rFonts w:ascii="Arial" w:cs="Arial" w:eastAsia="Arial" w:hAnsi="Arial"/>
                <w:sz w:val="14"/>
                <w:szCs w:val="14"/>
                <w:color w:val="auto"/>
                <w:w w:val="99"/>
              </w:rPr>
              <w:t>2,490,698</w:t>
            </w:r>
          </w:p>
        </w:tc>
        <w:tc>
          <w:tcPr>
            <w:tcW w:w="360" w:type="dxa"/>
            <w:vAlign w:val="bottom"/>
            <w:tcBorders>
              <w:bottom w:val="single" w:sz="8" w:color="auto"/>
            </w:tcBorders>
          </w:tcPr>
          <w:p>
            <w:pPr>
              <w:spacing w:after="0"/>
              <w:rPr>
                <w:sz w:val="22"/>
                <w:szCs w:val="22"/>
                <w:color w:val="auto"/>
              </w:rPr>
            </w:pPr>
          </w:p>
        </w:tc>
        <w:tc>
          <w:tcPr>
            <w:tcW w:w="740" w:type="dxa"/>
            <w:vAlign w:val="bottom"/>
            <w:tcBorders>
              <w:bottom w:val="single" w:sz="8" w:color="auto"/>
            </w:tcBorders>
          </w:tcPr>
          <w:p>
            <w:pPr>
              <w:jc w:val="right"/>
              <w:ind w:right="52"/>
              <w:spacing w:after="0"/>
              <w:rPr>
                <w:sz w:val="20"/>
                <w:szCs w:val="20"/>
                <w:color w:val="auto"/>
              </w:rPr>
            </w:pPr>
            <w:r>
              <w:rPr>
                <w:rFonts w:ascii="Arial" w:cs="Arial" w:eastAsia="Arial" w:hAnsi="Arial"/>
                <w:sz w:val="14"/>
                <w:szCs w:val="14"/>
                <w:color w:val="auto"/>
              </w:rPr>
              <w:t>25,957</w:t>
            </w:r>
          </w:p>
        </w:tc>
      </w:tr>
      <w:tr>
        <w:trPr>
          <w:trHeight w:val="256"/>
        </w:trPr>
        <w:tc>
          <w:tcPr>
            <w:tcW w:w="22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740" w:type="dxa"/>
            <w:vAlign w:val="bottom"/>
          </w:tcPr>
          <w:p>
            <w:pPr>
              <w:jc w:val="right"/>
              <w:ind w:right="12"/>
              <w:spacing w:after="0"/>
              <w:rPr>
                <w:sz w:val="20"/>
                <w:szCs w:val="20"/>
                <w:color w:val="auto"/>
              </w:rPr>
            </w:pPr>
            <w:r>
              <w:rPr>
                <w:rFonts w:ascii="Arial" w:cs="Arial" w:eastAsia="Arial" w:hAnsi="Arial"/>
                <w:sz w:val="14"/>
                <w:szCs w:val="14"/>
                <w:color w:val="auto"/>
              </w:rPr>
              <w:t>169,458</w:t>
            </w:r>
          </w:p>
        </w:tc>
        <w:tc>
          <w:tcPr>
            <w:tcW w:w="26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780" w:type="dxa"/>
            <w:vAlign w:val="bottom"/>
          </w:tcPr>
          <w:p>
            <w:pPr>
              <w:jc w:val="right"/>
              <w:ind w:right="72"/>
              <w:spacing w:after="0"/>
              <w:rPr>
                <w:sz w:val="20"/>
                <w:szCs w:val="20"/>
                <w:color w:val="auto"/>
              </w:rPr>
            </w:pPr>
            <w:r>
              <w:rPr>
                <w:rFonts w:ascii="Arial" w:cs="Arial" w:eastAsia="Arial" w:hAnsi="Arial"/>
                <w:sz w:val="14"/>
                <w:szCs w:val="14"/>
                <w:color w:val="auto"/>
              </w:rPr>
              <w:t>169,458</w:t>
            </w:r>
          </w:p>
        </w:tc>
        <w:tc>
          <w:tcPr>
            <w:tcW w:w="360" w:type="dxa"/>
            <w:vAlign w:val="bottom"/>
          </w:tcPr>
          <w:p>
            <w:pPr>
              <w:spacing w:after="0"/>
              <w:rPr>
                <w:sz w:val="22"/>
                <w:szCs w:val="22"/>
                <w:color w:val="auto"/>
              </w:rPr>
            </w:pPr>
          </w:p>
        </w:tc>
        <w:tc>
          <w:tcPr>
            <w:tcW w:w="740" w:type="dxa"/>
            <w:vAlign w:val="bottom"/>
          </w:tcPr>
          <w:p>
            <w:pPr>
              <w:spacing w:after="0"/>
              <w:rPr>
                <w:sz w:val="22"/>
                <w:szCs w:val="22"/>
                <w:color w:val="auto"/>
              </w:rPr>
            </w:pPr>
          </w:p>
        </w:tc>
      </w:tr>
      <w:tr>
        <w:trPr>
          <w:trHeight w:val="351"/>
        </w:trPr>
        <w:tc>
          <w:tcPr>
            <w:tcW w:w="2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(868)</w:t>
            </w:r>
          </w:p>
        </w:tc>
        <w:tc>
          <w:tcPr>
            <w:tcW w:w="2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80" w:type="dxa"/>
            <w:vAlign w:val="bottom"/>
          </w:tcPr>
          <w:p>
            <w:pPr>
              <w:jc w:val="right"/>
              <w:ind w:right="32"/>
              <w:spacing w:after="0"/>
              <w:rPr>
                <w:sz w:val="20"/>
                <w:szCs w:val="20"/>
                <w:color w:val="auto"/>
              </w:rPr>
            </w:pPr>
            <w:r>
              <w:rPr>
                <w:rFonts w:ascii="Arial" w:cs="Arial" w:eastAsia="Arial" w:hAnsi="Arial"/>
                <w:sz w:val="14"/>
                <w:szCs w:val="14"/>
                <w:color w:val="auto"/>
              </w:rPr>
              <w:t>(868)</w:t>
            </w:r>
          </w:p>
        </w:tc>
        <w:tc>
          <w:tcPr>
            <w:tcW w:w="360" w:type="dxa"/>
            <w:vAlign w:val="bottom"/>
          </w:tcPr>
          <w:p>
            <w:pPr>
              <w:spacing w:after="0"/>
              <w:rPr>
                <w:sz w:val="24"/>
                <w:szCs w:val="24"/>
                <w:color w:val="auto"/>
              </w:rPr>
            </w:pPr>
          </w:p>
        </w:tc>
        <w:tc>
          <w:tcPr>
            <w:tcW w:w="740" w:type="dxa"/>
            <w:vAlign w:val="bottom"/>
          </w:tcPr>
          <w:p>
            <w:pPr>
              <w:jc w:val="right"/>
              <w:ind w:right="52"/>
              <w:spacing w:after="0"/>
              <w:rPr>
                <w:sz w:val="20"/>
                <w:szCs w:val="20"/>
                <w:color w:val="auto"/>
              </w:rPr>
            </w:pPr>
            <w:r>
              <w:rPr>
                <w:rFonts w:ascii="Arial" w:cs="Arial" w:eastAsia="Arial" w:hAnsi="Arial"/>
                <w:sz w:val="14"/>
                <w:szCs w:val="14"/>
                <w:color w:val="auto"/>
              </w:rPr>
              <w:t>868</w:t>
            </w:r>
          </w:p>
        </w:tc>
      </w:tr>
      <w:tr>
        <w:trPr>
          <w:trHeight w:val="351"/>
        </w:trPr>
        <w:tc>
          <w:tcPr>
            <w:tcW w:w="2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(3,026)</w:t>
            </w:r>
          </w:p>
        </w:tc>
        <w:tc>
          <w:tcPr>
            <w:tcW w:w="1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80" w:type="dxa"/>
            <w:vAlign w:val="bottom"/>
          </w:tcPr>
          <w:p>
            <w:pPr>
              <w:jc w:val="right"/>
              <w:ind w:right="32"/>
              <w:spacing w:after="0"/>
              <w:rPr>
                <w:sz w:val="20"/>
                <w:szCs w:val="20"/>
                <w:color w:val="auto"/>
              </w:rPr>
            </w:pPr>
            <w:r>
              <w:rPr>
                <w:rFonts w:ascii="Arial" w:cs="Arial" w:eastAsia="Arial" w:hAnsi="Arial"/>
                <w:sz w:val="14"/>
                <w:szCs w:val="14"/>
                <w:color w:val="auto"/>
              </w:rPr>
              <w:t>(3,026)</w:t>
            </w:r>
          </w:p>
        </w:tc>
        <w:tc>
          <w:tcPr>
            <w:tcW w:w="360" w:type="dxa"/>
            <w:vAlign w:val="bottom"/>
          </w:tcPr>
          <w:p>
            <w:pPr>
              <w:spacing w:after="0"/>
              <w:rPr>
                <w:sz w:val="24"/>
                <w:szCs w:val="24"/>
                <w:color w:val="auto"/>
              </w:rPr>
            </w:pPr>
          </w:p>
        </w:tc>
        <w:tc>
          <w:tcPr>
            <w:tcW w:w="740" w:type="dxa"/>
            <w:vAlign w:val="bottom"/>
          </w:tcPr>
          <w:p>
            <w:pPr>
              <w:jc w:val="right"/>
              <w:ind w:right="52"/>
              <w:spacing w:after="0"/>
              <w:rPr>
                <w:sz w:val="20"/>
                <w:szCs w:val="20"/>
                <w:color w:val="auto"/>
              </w:rPr>
            </w:pPr>
            <w:r>
              <w:rPr>
                <w:rFonts w:ascii="Arial" w:cs="Arial" w:eastAsia="Arial" w:hAnsi="Arial"/>
                <w:sz w:val="14"/>
                <w:szCs w:val="14"/>
                <w:color w:val="auto"/>
              </w:rPr>
              <w:t>3,026</w:t>
            </w:r>
          </w:p>
        </w:tc>
      </w:tr>
      <w:tr>
        <w:trPr>
          <w:trHeight w:val="270"/>
        </w:trPr>
        <w:tc>
          <w:tcPr>
            <w:tcW w:w="22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(27,325)</w:t>
            </w:r>
          </w:p>
        </w:tc>
        <w:tc>
          <w:tcPr>
            <w:tcW w:w="26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780" w:type="dxa"/>
            <w:vAlign w:val="bottom"/>
          </w:tcPr>
          <w:p>
            <w:pPr>
              <w:jc w:val="right"/>
              <w:ind w:right="32"/>
              <w:spacing w:after="0"/>
              <w:rPr>
                <w:sz w:val="20"/>
                <w:szCs w:val="20"/>
                <w:color w:val="auto"/>
              </w:rPr>
            </w:pPr>
            <w:r>
              <w:rPr>
                <w:rFonts w:ascii="Arial" w:cs="Arial" w:eastAsia="Arial" w:hAnsi="Arial"/>
                <w:sz w:val="14"/>
                <w:szCs w:val="14"/>
                <w:color w:val="auto"/>
              </w:rPr>
              <w:t>(27,325)</w:t>
            </w:r>
          </w:p>
        </w:tc>
        <w:tc>
          <w:tcPr>
            <w:tcW w:w="360" w:type="dxa"/>
            <w:vAlign w:val="bottom"/>
          </w:tcPr>
          <w:p>
            <w:pPr>
              <w:spacing w:after="0"/>
              <w:rPr>
                <w:sz w:val="23"/>
                <w:szCs w:val="23"/>
                <w:color w:val="auto"/>
              </w:rPr>
            </w:pPr>
          </w:p>
        </w:tc>
        <w:tc>
          <w:tcPr>
            <w:tcW w:w="740" w:type="dxa"/>
            <w:vAlign w:val="bottom"/>
          </w:tcPr>
          <w:p>
            <w:pPr>
              <w:spacing w:after="0"/>
              <w:rPr>
                <w:sz w:val="23"/>
                <w:szCs w:val="23"/>
                <w:color w:val="auto"/>
              </w:rPr>
            </w:pPr>
          </w:p>
        </w:tc>
      </w:tr>
      <w:tr>
        <w:trPr>
          <w:trHeight w:val="270"/>
        </w:trPr>
        <w:tc>
          <w:tcPr>
            <w:tcW w:w="22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(108,948)</w:t>
            </w:r>
          </w:p>
        </w:tc>
        <w:tc>
          <w:tcPr>
            <w:tcW w:w="38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780" w:type="dxa"/>
            <w:vAlign w:val="bottom"/>
          </w:tcPr>
          <w:p>
            <w:pPr>
              <w:jc w:val="right"/>
              <w:ind w:right="32"/>
              <w:spacing w:after="0"/>
              <w:rPr>
                <w:sz w:val="20"/>
                <w:szCs w:val="20"/>
                <w:color w:val="auto"/>
              </w:rPr>
            </w:pPr>
            <w:r>
              <w:rPr>
                <w:rFonts w:ascii="Arial" w:cs="Arial" w:eastAsia="Arial" w:hAnsi="Arial"/>
                <w:sz w:val="14"/>
                <w:szCs w:val="14"/>
                <w:color w:val="auto"/>
              </w:rPr>
              <w:t>(108,948)</w:t>
            </w:r>
          </w:p>
        </w:tc>
        <w:tc>
          <w:tcPr>
            <w:tcW w:w="360" w:type="dxa"/>
            <w:vAlign w:val="bottom"/>
          </w:tcPr>
          <w:p>
            <w:pPr>
              <w:spacing w:after="0"/>
              <w:rPr>
                <w:sz w:val="23"/>
                <w:szCs w:val="23"/>
                <w:color w:val="auto"/>
              </w:rPr>
            </w:pPr>
          </w:p>
        </w:tc>
        <w:tc>
          <w:tcPr>
            <w:tcW w:w="740" w:type="dxa"/>
            <w:vAlign w:val="bottom"/>
          </w:tcPr>
          <w:p>
            <w:pPr>
              <w:spacing w:after="0"/>
              <w:rPr>
                <w:sz w:val="23"/>
                <w:szCs w:val="23"/>
                <w:color w:val="auto"/>
              </w:rPr>
            </w:pPr>
          </w:p>
        </w:tc>
      </w:tr>
      <w:tr>
        <w:trPr>
          <w:trHeight w:val="351"/>
        </w:trPr>
        <w:tc>
          <w:tcPr>
            <w:tcW w:w="2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(697)</w:t>
            </w:r>
          </w:p>
        </w:tc>
        <w:tc>
          <w:tcPr>
            <w:tcW w:w="1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20" w:type="dxa"/>
            <w:vAlign w:val="bottom"/>
          </w:tcPr>
          <w:p>
            <w:pPr>
              <w:jc w:val="right"/>
              <w:ind w:right="32"/>
              <w:spacing w:after="0"/>
              <w:rPr>
                <w:sz w:val="20"/>
                <w:szCs w:val="20"/>
                <w:color w:val="auto"/>
              </w:rPr>
            </w:pPr>
            <w:r>
              <w:rPr>
                <w:rFonts w:ascii="Arial" w:cs="Arial" w:eastAsia="Arial" w:hAnsi="Arial"/>
                <w:sz w:val="14"/>
                <w:szCs w:val="14"/>
                <w:color w:val="auto"/>
              </w:rPr>
              <w:t>644</w:t>
            </w:r>
          </w:p>
        </w:tc>
        <w:tc>
          <w:tcPr>
            <w:tcW w:w="3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80" w:type="dxa"/>
            <w:vAlign w:val="bottom"/>
          </w:tcPr>
          <w:p>
            <w:pPr>
              <w:jc w:val="right"/>
              <w:ind w:right="32"/>
              <w:spacing w:after="0"/>
              <w:rPr>
                <w:sz w:val="20"/>
                <w:szCs w:val="20"/>
                <w:color w:val="auto"/>
              </w:rPr>
            </w:pPr>
            <w:r>
              <w:rPr>
                <w:rFonts w:ascii="Arial" w:cs="Arial" w:eastAsia="Arial" w:hAnsi="Arial"/>
                <w:sz w:val="14"/>
                <w:szCs w:val="14"/>
                <w:color w:val="auto"/>
              </w:rPr>
              <w:t>(53)</w:t>
            </w:r>
          </w:p>
        </w:tc>
        <w:tc>
          <w:tcPr>
            <w:tcW w:w="360" w:type="dxa"/>
            <w:vAlign w:val="bottom"/>
          </w:tcPr>
          <w:p>
            <w:pPr>
              <w:spacing w:after="0"/>
              <w:rPr>
                <w:sz w:val="24"/>
                <w:szCs w:val="24"/>
                <w:color w:val="auto"/>
              </w:rPr>
            </w:pPr>
          </w:p>
        </w:tc>
        <w:tc>
          <w:tcPr>
            <w:tcW w:w="740" w:type="dxa"/>
            <w:vAlign w:val="bottom"/>
          </w:tcPr>
          <w:p>
            <w:pPr>
              <w:spacing w:after="0"/>
              <w:rPr>
                <w:sz w:val="24"/>
                <w:szCs w:val="24"/>
                <w:color w:val="auto"/>
              </w:rPr>
            </w:pPr>
          </w:p>
        </w:tc>
      </w:tr>
      <w:tr>
        <w:trPr>
          <w:trHeight w:val="351"/>
        </w:trPr>
        <w:tc>
          <w:tcPr>
            <w:tcW w:w="2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40" w:type="dxa"/>
            <w:vAlign w:val="bottom"/>
          </w:tcPr>
          <w:p>
            <w:pPr>
              <w:jc w:val="right"/>
              <w:ind w:right="32"/>
              <w:spacing w:after="0"/>
              <w:rPr>
                <w:sz w:val="20"/>
                <w:szCs w:val="20"/>
                <w:color w:val="auto"/>
              </w:rPr>
            </w:pPr>
            <w:r>
              <w:rPr>
                <w:rFonts w:ascii="Arial" w:cs="Arial" w:eastAsia="Arial" w:hAnsi="Arial"/>
                <w:sz w:val="14"/>
                <w:szCs w:val="14"/>
                <w:color w:val="auto"/>
              </w:rPr>
              <w:t>14,717</w:t>
            </w:r>
          </w:p>
        </w:tc>
        <w:tc>
          <w:tcPr>
            <w:tcW w:w="1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80" w:type="dxa"/>
            <w:vAlign w:val="bottom"/>
          </w:tcPr>
          <w:p>
            <w:pPr>
              <w:jc w:val="right"/>
              <w:ind w:right="72"/>
              <w:spacing w:after="0"/>
              <w:rPr>
                <w:sz w:val="20"/>
                <w:szCs w:val="20"/>
                <w:color w:val="auto"/>
              </w:rPr>
            </w:pPr>
            <w:r>
              <w:rPr>
                <w:rFonts w:ascii="Arial" w:cs="Arial" w:eastAsia="Arial" w:hAnsi="Arial"/>
                <w:sz w:val="14"/>
                <w:szCs w:val="14"/>
                <w:color w:val="auto"/>
              </w:rPr>
              <w:t>14,717</w:t>
            </w:r>
          </w:p>
        </w:tc>
        <w:tc>
          <w:tcPr>
            <w:tcW w:w="360" w:type="dxa"/>
            <w:vAlign w:val="bottom"/>
          </w:tcPr>
          <w:p>
            <w:pPr>
              <w:spacing w:after="0"/>
              <w:rPr>
                <w:sz w:val="24"/>
                <w:szCs w:val="24"/>
                <w:color w:val="auto"/>
              </w:rPr>
            </w:pPr>
          </w:p>
        </w:tc>
        <w:tc>
          <w:tcPr>
            <w:tcW w:w="740" w:type="dxa"/>
            <w:vAlign w:val="bottom"/>
          </w:tcPr>
          <w:p>
            <w:pPr>
              <w:spacing w:after="0"/>
              <w:rPr>
                <w:sz w:val="24"/>
                <w:szCs w:val="24"/>
                <w:color w:val="auto"/>
              </w:rPr>
            </w:pPr>
          </w:p>
        </w:tc>
      </w:tr>
      <w:tr>
        <w:trPr>
          <w:trHeight w:val="270"/>
        </w:trPr>
        <w:tc>
          <w:tcPr>
            <w:tcW w:w="22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(78,194)</w:t>
            </w:r>
          </w:p>
        </w:tc>
        <w:tc>
          <w:tcPr>
            <w:tcW w:w="20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780" w:type="dxa"/>
            <w:vAlign w:val="bottom"/>
          </w:tcPr>
          <w:p>
            <w:pPr>
              <w:jc w:val="right"/>
              <w:ind w:right="32"/>
              <w:spacing w:after="0"/>
              <w:rPr>
                <w:sz w:val="20"/>
                <w:szCs w:val="20"/>
                <w:color w:val="auto"/>
              </w:rPr>
            </w:pPr>
            <w:r>
              <w:rPr>
                <w:rFonts w:ascii="Arial" w:cs="Arial" w:eastAsia="Arial" w:hAnsi="Arial"/>
                <w:sz w:val="14"/>
                <w:szCs w:val="14"/>
                <w:color w:val="auto"/>
              </w:rPr>
              <w:t>(78,194)</w:t>
            </w:r>
          </w:p>
        </w:tc>
        <w:tc>
          <w:tcPr>
            <w:tcW w:w="360" w:type="dxa"/>
            <w:vAlign w:val="bottom"/>
          </w:tcPr>
          <w:p>
            <w:pPr>
              <w:spacing w:after="0"/>
              <w:rPr>
                <w:sz w:val="23"/>
                <w:szCs w:val="23"/>
                <w:color w:val="auto"/>
              </w:rPr>
            </w:pPr>
          </w:p>
        </w:tc>
        <w:tc>
          <w:tcPr>
            <w:tcW w:w="740" w:type="dxa"/>
            <w:vAlign w:val="bottom"/>
          </w:tcPr>
          <w:p>
            <w:pPr>
              <w:spacing w:after="0"/>
              <w:rPr>
                <w:sz w:val="23"/>
                <w:szCs w:val="23"/>
                <w:color w:val="auto"/>
              </w:rPr>
            </w:pPr>
          </w:p>
        </w:tc>
      </w:tr>
      <w:tr>
        <w:trPr>
          <w:trHeight w:val="270"/>
        </w:trPr>
        <w:tc>
          <w:tcPr>
            <w:tcW w:w="22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640" w:type="dxa"/>
            <w:vAlign w:val="bottom"/>
          </w:tcPr>
          <w:p>
            <w:pPr>
              <w:jc w:val="right"/>
              <w:ind w:right="32"/>
              <w:spacing w:after="0"/>
              <w:rPr>
                <w:sz w:val="20"/>
                <w:szCs w:val="20"/>
                <w:color w:val="auto"/>
              </w:rPr>
            </w:pPr>
            <w:r>
              <w:rPr>
                <w:rFonts w:ascii="Arial" w:cs="Arial" w:eastAsia="Arial" w:hAnsi="Arial"/>
                <w:sz w:val="14"/>
                <w:szCs w:val="14"/>
                <w:color w:val="auto"/>
              </w:rPr>
              <w:t>558</w:t>
            </w:r>
          </w:p>
        </w:tc>
        <w:tc>
          <w:tcPr>
            <w:tcW w:w="18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780" w:type="dxa"/>
            <w:vAlign w:val="bottom"/>
          </w:tcPr>
          <w:p>
            <w:pPr>
              <w:jc w:val="right"/>
              <w:ind w:right="72"/>
              <w:spacing w:after="0"/>
              <w:rPr>
                <w:sz w:val="20"/>
                <w:szCs w:val="20"/>
                <w:color w:val="auto"/>
              </w:rPr>
            </w:pPr>
            <w:r>
              <w:rPr>
                <w:rFonts w:ascii="Arial" w:cs="Arial" w:eastAsia="Arial" w:hAnsi="Arial"/>
                <w:sz w:val="14"/>
                <w:szCs w:val="14"/>
                <w:color w:val="auto"/>
              </w:rPr>
              <w:t>558</w:t>
            </w:r>
          </w:p>
        </w:tc>
        <w:tc>
          <w:tcPr>
            <w:tcW w:w="360" w:type="dxa"/>
            <w:vAlign w:val="bottom"/>
          </w:tcPr>
          <w:p>
            <w:pPr>
              <w:spacing w:after="0"/>
              <w:rPr>
                <w:sz w:val="23"/>
                <w:szCs w:val="23"/>
                <w:color w:val="auto"/>
              </w:rPr>
            </w:pPr>
          </w:p>
        </w:tc>
        <w:tc>
          <w:tcPr>
            <w:tcW w:w="740" w:type="dxa"/>
            <w:vAlign w:val="bottom"/>
          </w:tcPr>
          <w:p>
            <w:pPr>
              <w:spacing w:after="0"/>
              <w:rPr>
                <w:sz w:val="23"/>
                <w:szCs w:val="23"/>
                <w:color w:val="auto"/>
              </w:rPr>
            </w:pPr>
          </w:p>
        </w:tc>
      </w:tr>
      <w:tr>
        <w:trPr>
          <w:trHeight w:val="270"/>
        </w:trPr>
        <w:tc>
          <w:tcPr>
            <w:tcW w:w="22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780" w:type="dxa"/>
            <w:vAlign w:val="bottom"/>
          </w:tcPr>
          <w:p>
            <w:pPr>
              <w:jc w:val="right"/>
              <w:ind w:right="72"/>
              <w:spacing w:after="0"/>
              <w:rPr>
                <w:sz w:val="20"/>
                <w:szCs w:val="20"/>
                <w:color w:val="auto"/>
              </w:rPr>
            </w:pPr>
            <w:r>
              <w:rPr>
                <w:rFonts w:ascii="Arial" w:cs="Arial" w:eastAsia="Arial" w:hAnsi="Arial"/>
                <w:sz w:val="14"/>
                <w:szCs w:val="14"/>
                <w:color w:val="auto"/>
              </w:rPr>
              <w:t>—</w:t>
            </w:r>
          </w:p>
        </w:tc>
        <w:tc>
          <w:tcPr>
            <w:tcW w:w="360" w:type="dxa"/>
            <w:vAlign w:val="bottom"/>
          </w:tcPr>
          <w:p>
            <w:pPr>
              <w:spacing w:after="0"/>
              <w:rPr>
                <w:sz w:val="23"/>
                <w:szCs w:val="23"/>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(24,031)</w:t>
            </w:r>
          </w:p>
        </w:tc>
      </w:tr>
      <w:tr>
        <w:trPr>
          <w:trHeight w:val="278"/>
        </w:trPr>
        <w:tc>
          <w:tcPr>
            <w:tcW w:w="220" w:type="dxa"/>
            <w:vAlign w:val="bottom"/>
            <w:tcBorders>
              <w:bottom w:val="single" w:sz="8" w:color="auto"/>
            </w:tcBorders>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(4,076)</w:t>
            </w:r>
          </w:p>
        </w:tc>
        <w:tc>
          <w:tcPr>
            <w:tcW w:w="18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6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jc w:val="right"/>
              <w:ind w:right="32"/>
              <w:spacing w:after="0"/>
              <w:rPr>
                <w:sz w:val="20"/>
                <w:szCs w:val="20"/>
                <w:color w:val="auto"/>
              </w:rPr>
            </w:pPr>
            <w:r>
              <w:rPr>
                <w:rFonts w:ascii="Arial" w:cs="Arial" w:eastAsia="Arial" w:hAnsi="Arial"/>
                <w:sz w:val="14"/>
                <w:szCs w:val="14"/>
                <w:color w:val="auto"/>
              </w:rPr>
              <w:t>(4,076)</w:t>
            </w:r>
          </w:p>
        </w:tc>
        <w:tc>
          <w:tcPr>
            <w:tcW w:w="36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(5,770)</w:t>
            </w:r>
          </w:p>
        </w:tc>
      </w:tr>
      <w:tr>
        <w:trPr>
          <w:trHeight w:val="264"/>
        </w:trPr>
        <w:tc>
          <w:tcPr>
            <w:tcW w:w="220" w:type="dxa"/>
            <w:vAlign w:val="bottom"/>
            <w:tcBorders>
              <w:bottom w:val="single" w:sz="8" w:color="auto"/>
            </w:tcBorders>
          </w:tcPr>
          <w:p>
            <w:pPr>
              <w:spacing w:after="0"/>
              <w:rPr>
                <w:sz w:val="22"/>
                <w:szCs w:val="22"/>
                <w:color w:val="auto"/>
              </w:rPr>
            </w:pPr>
          </w:p>
        </w:tc>
        <w:tc>
          <w:tcPr>
            <w:tcW w:w="460" w:type="dxa"/>
            <w:vAlign w:val="bottom"/>
            <w:tcBorders>
              <w:bottom w:val="single" w:sz="8" w:color="auto"/>
            </w:tcBorders>
          </w:tcPr>
          <w:p>
            <w:pPr>
              <w:jc w:val="right"/>
              <w:ind w:right="32"/>
              <w:spacing w:after="0"/>
              <w:rPr>
                <w:sz w:val="20"/>
                <w:szCs w:val="20"/>
                <w:color w:val="auto"/>
              </w:rPr>
            </w:pPr>
            <w:r>
              <w:rPr>
                <w:rFonts w:ascii="Arial" w:cs="Arial" w:eastAsia="Arial" w:hAnsi="Arial"/>
                <w:sz w:val="14"/>
                <w:szCs w:val="14"/>
                <w:color w:val="auto"/>
              </w:rPr>
              <w:t>964</w:t>
            </w:r>
          </w:p>
        </w:tc>
        <w:tc>
          <w:tcPr>
            <w:tcW w:w="680" w:type="dxa"/>
            <w:vAlign w:val="bottom"/>
            <w:tcBorders>
              <w:bottom w:val="single" w:sz="8" w:color="auto"/>
            </w:tcBorders>
          </w:tcPr>
          <w:p>
            <w:pPr>
              <w:jc w:val="right"/>
              <w:ind w:right="12"/>
              <w:spacing w:after="0"/>
              <w:rPr>
                <w:sz w:val="20"/>
                <w:szCs w:val="20"/>
                <w:color w:val="auto"/>
              </w:rPr>
            </w:pPr>
            <w:r>
              <w:rPr>
                <w:rFonts w:ascii="Arial" w:cs="Arial" w:eastAsia="Arial" w:hAnsi="Arial"/>
                <w:sz w:val="14"/>
                <w:szCs w:val="14"/>
                <w:color w:val="auto"/>
              </w:rPr>
              <w:t>19,036</w:t>
            </w:r>
          </w:p>
        </w:tc>
        <w:tc>
          <w:tcPr>
            <w:tcW w:w="200" w:type="dxa"/>
            <w:vAlign w:val="bottom"/>
            <w:tcBorders>
              <w:bottom w:val="single" w:sz="8" w:color="auto"/>
            </w:tcBorders>
          </w:tcPr>
          <w:p>
            <w:pPr>
              <w:spacing w:after="0"/>
              <w:rPr>
                <w:sz w:val="22"/>
                <w:szCs w:val="22"/>
                <w:color w:val="auto"/>
              </w:rPr>
            </w:pPr>
          </w:p>
        </w:tc>
        <w:tc>
          <w:tcPr>
            <w:tcW w:w="640" w:type="dxa"/>
            <w:vAlign w:val="bottom"/>
            <w:tcBorders>
              <w:bottom w:val="single" w:sz="8" w:color="auto"/>
            </w:tcBorders>
          </w:tcPr>
          <w:p>
            <w:pPr>
              <w:jc w:val="right"/>
              <w:ind w:right="32"/>
              <w:spacing w:after="0"/>
              <w:rPr>
                <w:sz w:val="20"/>
                <w:szCs w:val="20"/>
                <w:color w:val="auto"/>
              </w:rPr>
            </w:pPr>
            <w:r>
              <w:rPr>
                <w:rFonts w:ascii="Arial" w:cs="Arial" w:eastAsia="Arial" w:hAnsi="Arial"/>
                <w:sz w:val="14"/>
                <w:szCs w:val="14"/>
                <w:color w:val="auto"/>
              </w:rPr>
              <w:t>364,363</w:t>
            </w:r>
          </w:p>
        </w:tc>
        <w:tc>
          <w:tcPr>
            <w:tcW w:w="180" w:type="dxa"/>
            <w:vAlign w:val="bottom"/>
            <w:tcBorders>
              <w:bottom w:val="single" w:sz="8" w:color="auto"/>
            </w:tcBorders>
          </w:tcPr>
          <w:p>
            <w:pPr>
              <w:spacing w:after="0"/>
              <w:rPr>
                <w:sz w:val="22"/>
                <w:szCs w:val="22"/>
                <w:color w:val="auto"/>
              </w:rPr>
            </w:pPr>
          </w:p>
        </w:tc>
        <w:tc>
          <w:tcPr>
            <w:tcW w:w="740" w:type="dxa"/>
            <w:vAlign w:val="bottom"/>
            <w:tcBorders>
              <w:bottom w:val="single" w:sz="8" w:color="auto"/>
            </w:tcBorders>
          </w:tcPr>
          <w:p>
            <w:pPr>
              <w:jc w:val="right"/>
              <w:ind w:right="12"/>
              <w:spacing w:after="0"/>
              <w:rPr>
                <w:sz w:val="20"/>
                <w:szCs w:val="20"/>
                <w:color w:val="auto"/>
              </w:rPr>
            </w:pPr>
            <w:r>
              <w:rPr>
                <w:rFonts w:ascii="Arial" w:cs="Arial" w:eastAsia="Arial" w:hAnsi="Arial"/>
                <w:sz w:val="14"/>
                <w:szCs w:val="14"/>
                <w:color w:val="auto"/>
              </w:rPr>
              <w:t>5,588,942</w:t>
            </w:r>
          </w:p>
        </w:tc>
        <w:tc>
          <w:tcPr>
            <w:tcW w:w="260" w:type="dxa"/>
            <w:vAlign w:val="bottom"/>
            <w:tcBorders>
              <w:bottom w:val="single" w:sz="8" w:color="auto"/>
            </w:tcBorders>
          </w:tcPr>
          <w:p>
            <w:pPr>
              <w:spacing w:after="0"/>
              <w:rPr>
                <w:sz w:val="22"/>
                <w:szCs w:val="22"/>
                <w:color w:val="auto"/>
              </w:rPr>
            </w:pPr>
          </w:p>
        </w:tc>
        <w:tc>
          <w:tcPr>
            <w:tcW w:w="760" w:type="dxa"/>
            <w:vAlign w:val="bottom"/>
            <w:tcBorders>
              <w:bottom w:val="single" w:sz="8" w:color="auto"/>
            </w:tcBorders>
          </w:tcPr>
          <w:p>
            <w:pPr>
              <w:jc w:val="right"/>
              <w:ind w:right="32"/>
              <w:spacing w:after="0"/>
              <w:rPr>
                <w:sz w:val="20"/>
                <w:szCs w:val="20"/>
                <w:color w:val="auto"/>
              </w:rPr>
            </w:pPr>
            <w:r>
              <w:rPr>
                <w:rFonts w:ascii="Arial" w:cs="Arial" w:eastAsia="Arial" w:hAnsi="Arial"/>
                <w:sz w:val="14"/>
                <w:szCs w:val="14"/>
                <w:color w:val="auto"/>
              </w:rPr>
              <w:t>236,486</w:t>
            </w:r>
          </w:p>
        </w:tc>
        <w:tc>
          <w:tcPr>
            <w:tcW w:w="200" w:type="dxa"/>
            <w:vAlign w:val="bottom"/>
            <w:tcBorders>
              <w:bottom w:val="single" w:sz="8" w:color="auto"/>
            </w:tcBorders>
          </w:tcPr>
          <w:p>
            <w:pPr>
              <w:spacing w:after="0"/>
              <w:rPr>
                <w:sz w:val="22"/>
                <w:szCs w:val="22"/>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(3,756,850)</w:t>
            </w:r>
          </w:p>
        </w:tc>
        <w:tc>
          <w:tcPr>
            <w:tcW w:w="380" w:type="dxa"/>
            <w:vAlign w:val="bottom"/>
            <w:tcBorders>
              <w:bottom w:val="single" w:sz="8" w:color="auto"/>
            </w:tcBorders>
          </w:tcPr>
          <w:p>
            <w:pPr>
              <w:spacing w:after="0"/>
              <w:rPr>
                <w:sz w:val="22"/>
                <w:szCs w:val="22"/>
                <w:color w:val="auto"/>
              </w:rPr>
            </w:pPr>
          </w:p>
        </w:tc>
        <w:tc>
          <w:tcPr>
            <w:tcW w:w="620" w:type="dxa"/>
            <w:vAlign w:val="bottom"/>
            <w:tcBorders>
              <w:bottom w:val="single" w:sz="8" w:color="auto"/>
            </w:tcBorders>
          </w:tcPr>
          <w:p>
            <w:pPr>
              <w:jc w:val="right"/>
              <w:ind w:right="12"/>
              <w:spacing w:after="0"/>
              <w:rPr>
                <w:sz w:val="20"/>
                <w:szCs w:val="20"/>
                <w:color w:val="auto"/>
              </w:rPr>
            </w:pPr>
            <w:r>
              <w:rPr>
                <w:rFonts w:ascii="Arial" w:cs="Arial" w:eastAsia="Arial" w:hAnsi="Arial"/>
                <w:sz w:val="14"/>
                <w:szCs w:val="14"/>
                <w:color w:val="auto"/>
              </w:rPr>
              <w:t>—</w:t>
            </w:r>
          </w:p>
        </w:tc>
        <w:tc>
          <w:tcPr>
            <w:tcW w:w="160" w:type="dxa"/>
            <w:vAlign w:val="bottom"/>
            <w:tcBorders>
              <w:bottom w:val="single" w:sz="8" w:color="auto"/>
            </w:tcBorders>
          </w:tcPr>
          <w:p>
            <w:pPr>
              <w:spacing w:after="0"/>
              <w:rPr>
                <w:sz w:val="22"/>
                <w:szCs w:val="22"/>
                <w:color w:val="auto"/>
              </w:rPr>
            </w:pPr>
          </w:p>
        </w:tc>
        <w:tc>
          <w:tcPr>
            <w:tcW w:w="780" w:type="dxa"/>
            <w:vAlign w:val="bottom"/>
            <w:tcBorders>
              <w:bottom w:val="single" w:sz="8" w:color="auto"/>
            </w:tcBorders>
          </w:tcPr>
          <w:p>
            <w:pPr>
              <w:jc w:val="right"/>
              <w:ind w:right="72"/>
              <w:spacing w:after="0"/>
              <w:rPr>
                <w:sz w:val="20"/>
                <w:szCs w:val="20"/>
                <w:color w:val="auto"/>
              </w:rPr>
            </w:pPr>
            <w:r>
              <w:rPr>
                <w:rFonts w:ascii="Arial" w:cs="Arial" w:eastAsia="Arial" w:hAnsi="Arial"/>
                <w:sz w:val="14"/>
                <w:szCs w:val="14"/>
                <w:color w:val="auto"/>
                <w:w w:val="99"/>
              </w:rPr>
              <w:t>2,452,941</w:t>
            </w:r>
          </w:p>
        </w:tc>
        <w:tc>
          <w:tcPr>
            <w:tcW w:w="360" w:type="dxa"/>
            <w:vAlign w:val="bottom"/>
            <w:tcBorders>
              <w:bottom w:val="single" w:sz="8" w:color="auto"/>
            </w:tcBorders>
          </w:tcPr>
          <w:p>
            <w:pPr>
              <w:spacing w:after="0"/>
              <w:rPr>
                <w:sz w:val="22"/>
                <w:szCs w:val="22"/>
                <w:color w:val="auto"/>
              </w:rPr>
            </w:pPr>
          </w:p>
        </w:tc>
        <w:tc>
          <w:tcPr>
            <w:tcW w:w="740" w:type="dxa"/>
            <w:vAlign w:val="bottom"/>
            <w:tcBorders>
              <w:bottom w:val="single" w:sz="8" w:color="auto"/>
            </w:tcBorders>
          </w:tcPr>
          <w:p>
            <w:pPr>
              <w:jc w:val="right"/>
              <w:ind w:right="52"/>
              <w:spacing w:after="0"/>
              <w:rPr>
                <w:sz w:val="20"/>
                <w:szCs w:val="20"/>
                <w:color w:val="auto"/>
              </w:rPr>
            </w:pPr>
            <w:r>
              <w:rPr>
                <w:rFonts w:ascii="Arial" w:cs="Arial" w:eastAsia="Arial" w:hAnsi="Arial"/>
                <w:sz w:val="14"/>
                <w:szCs w:val="14"/>
                <w:color w:val="auto"/>
              </w:rPr>
              <w:t>50</w:t>
            </w:r>
          </w:p>
        </w:tc>
      </w:tr>
      <w:tr>
        <w:trPr>
          <w:trHeight w:val="256"/>
        </w:trPr>
        <w:tc>
          <w:tcPr>
            <w:tcW w:w="22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740" w:type="dxa"/>
            <w:vAlign w:val="bottom"/>
          </w:tcPr>
          <w:p>
            <w:pPr>
              <w:jc w:val="right"/>
              <w:ind w:right="12"/>
              <w:spacing w:after="0"/>
              <w:rPr>
                <w:sz w:val="20"/>
                <w:szCs w:val="20"/>
                <w:color w:val="auto"/>
              </w:rPr>
            </w:pPr>
            <w:r>
              <w:rPr>
                <w:rFonts w:ascii="Arial" w:cs="Arial" w:eastAsia="Arial" w:hAnsi="Arial"/>
                <w:sz w:val="14"/>
                <w:szCs w:val="14"/>
                <w:b w:val="1"/>
                <w:bCs w:val="1"/>
                <w:color w:val="auto"/>
              </w:rPr>
              <w:t>302,489</w:t>
            </w:r>
          </w:p>
        </w:tc>
        <w:tc>
          <w:tcPr>
            <w:tcW w:w="26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780" w:type="dxa"/>
            <w:vAlign w:val="bottom"/>
          </w:tcPr>
          <w:p>
            <w:pPr>
              <w:jc w:val="right"/>
              <w:ind w:right="72"/>
              <w:spacing w:after="0"/>
              <w:rPr>
                <w:sz w:val="20"/>
                <w:szCs w:val="20"/>
                <w:color w:val="auto"/>
              </w:rPr>
            </w:pPr>
            <w:r>
              <w:rPr>
                <w:rFonts w:ascii="Arial" w:cs="Arial" w:eastAsia="Arial" w:hAnsi="Arial"/>
                <w:sz w:val="14"/>
                <w:szCs w:val="14"/>
                <w:b w:val="1"/>
                <w:bCs w:val="1"/>
                <w:color w:val="auto"/>
              </w:rPr>
              <w:t>302,489</w:t>
            </w:r>
          </w:p>
        </w:tc>
        <w:tc>
          <w:tcPr>
            <w:tcW w:w="360" w:type="dxa"/>
            <w:vAlign w:val="bottom"/>
          </w:tcPr>
          <w:p>
            <w:pPr>
              <w:spacing w:after="0"/>
              <w:rPr>
                <w:sz w:val="22"/>
                <w:szCs w:val="22"/>
                <w:color w:val="auto"/>
              </w:rPr>
            </w:pPr>
          </w:p>
        </w:tc>
        <w:tc>
          <w:tcPr>
            <w:tcW w:w="740" w:type="dxa"/>
            <w:vAlign w:val="bottom"/>
          </w:tcPr>
          <w:p>
            <w:pPr>
              <w:spacing w:after="0"/>
              <w:rPr>
                <w:sz w:val="22"/>
                <w:szCs w:val="22"/>
                <w:color w:val="auto"/>
              </w:rPr>
            </w:pPr>
          </w:p>
        </w:tc>
      </w:tr>
      <w:tr>
        <w:trPr>
          <w:trHeight w:val="351"/>
        </w:trPr>
        <w:tc>
          <w:tcPr>
            <w:tcW w:w="2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80" w:type="dxa"/>
            <w:vAlign w:val="bottom"/>
          </w:tcPr>
          <w:p>
            <w:pPr>
              <w:jc w:val="right"/>
              <w:ind w:right="72"/>
              <w:spacing w:after="0"/>
              <w:rPr>
                <w:sz w:val="20"/>
                <w:szCs w:val="20"/>
                <w:color w:val="auto"/>
              </w:rPr>
            </w:pPr>
            <w:r>
              <w:rPr>
                <w:rFonts w:ascii="Arial" w:cs="Arial" w:eastAsia="Arial" w:hAnsi="Arial"/>
                <w:sz w:val="14"/>
                <w:szCs w:val="14"/>
                <w:b w:val="1"/>
                <w:bCs w:val="1"/>
                <w:color w:val="auto"/>
              </w:rPr>
              <w:t>—</w:t>
            </w:r>
          </w:p>
        </w:tc>
        <w:tc>
          <w:tcPr>
            <w:tcW w:w="360" w:type="dxa"/>
            <w:vAlign w:val="bottom"/>
          </w:tcPr>
          <w:p>
            <w:pPr>
              <w:spacing w:after="0"/>
              <w:rPr>
                <w:sz w:val="24"/>
                <w:szCs w:val="24"/>
                <w:color w:val="auto"/>
              </w:rPr>
            </w:pPr>
          </w:p>
        </w:tc>
        <w:tc>
          <w:tcPr>
            <w:tcW w:w="740" w:type="dxa"/>
            <w:vAlign w:val="bottom"/>
          </w:tcPr>
          <w:p>
            <w:pPr>
              <w:jc w:val="right"/>
              <w:ind w:right="52"/>
              <w:spacing w:after="0"/>
              <w:rPr>
                <w:sz w:val="20"/>
                <w:szCs w:val="20"/>
                <w:color w:val="auto"/>
              </w:rPr>
            </w:pPr>
            <w:r>
              <w:rPr>
                <w:rFonts w:ascii="Arial" w:cs="Arial" w:eastAsia="Arial" w:hAnsi="Arial"/>
                <w:sz w:val="14"/>
                <w:szCs w:val="14"/>
                <w:b w:val="1"/>
                <w:bCs w:val="1"/>
                <w:color w:val="auto"/>
              </w:rPr>
              <w:t>3,666</w:t>
            </w:r>
          </w:p>
        </w:tc>
      </w:tr>
      <w:tr>
        <w:trPr>
          <w:trHeight w:val="351"/>
        </w:trPr>
        <w:tc>
          <w:tcPr>
            <w:tcW w:w="2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40" w:type="dxa"/>
            <w:vAlign w:val="bottom"/>
          </w:tcPr>
          <w:p>
            <w:pPr>
              <w:jc w:val="right"/>
              <w:spacing w:after="0"/>
              <w:rPr>
                <w:sz w:val="20"/>
                <w:szCs w:val="20"/>
                <w:color w:val="auto"/>
              </w:rPr>
            </w:pPr>
            <w:r>
              <w:rPr>
                <w:rFonts w:ascii="Arial" w:cs="Arial" w:eastAsia="Arial" w:hAnsi="Arial"/>
                <w:sz w:val="14"/>
                <w:szCs w:val="14"/>
                <w:b w:val="1"/>
                <w:bCs w:val="1"/>
                <w:color w:val="auto"/>
              </w:rPr>
              <w:t>(445)</w:t>
            </w:r>
          </w:p>
        </w:tc>
        <w:tc>
          <w:tcPr>
            <w:tcW w:w="2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80" w:type="dxa"/>
            <w:vAlign w:val="bottom"/>
          </w:tcPr>
          <w:p>
            <w:pPr>
              <w:jc w:val="right"/>
              <w:ind w:right="32"/>
              <w:spacing w:after="0"/>
              <w:rPr>
                <w:sz w:val="20"/>
                <w:szCs w:val="20"/>
                <w:color w:val="auto"/>
              </w:rPr>
            </w:pPr>
            <w:r>
              <w:rPr>
                <w:rFonts w:ascii="Arial" w:cs="Arial" w:eastAsia="Arial" w:hAnsi="Arial"/>
                <w:sz w:val="14"/>
                <w:szCs w:val="14"/>
                <w:b w:val="1"/>
                <w:bCs w:val="1"/>
                <w:color w:val="auto"/>
              </w:rPr>
              <w:t>(445)</w:t>
            </w:r>
          </w:p>
        </w:tc>
        <w:tc>
          <w:tcPr>
            <w:tcW w:w="360" w:type="dxa"/>
            <w:vAlign w:val="bottom"/>
          </w:tcPr>
          <w:p>
            <w:pPr>
              <w:spacing w:after="0"/>
              <w:rPr>
                <w:sz w:val="24"/>
                <w:szCs w:val="24"/>
                <w:color w:val="auto"/>
              </w:rPr>
            </w:pPr>
          </w:p>
        </w:tc>
        <w:tc>
          <w:tcPr>
            <w:tcW w:w="740" w:type="dxa"/>
            <w:vAlign w:val="bottom"/>
          </w:tcPr>
          <w:p>
            <w:pPr>
              <w:jc w:val="right"/>
              <w:ind w:right="52"/>
              <w:spacing w:after="0"/>
              <w:rPr>
                <w:sz w:val="20"/>
                <w:szCs w:val="20"/>
                <w:color w:val="auto"/>
              </w:rPr>
            </w:pPr>
            <w:r>
              <w:rPr>
                <w:rFonts w:ascii="Arial" w:cs="Arial" w:eastAsia="Arial" w:hAnsi="Arial"/>
                <w:sz w:val="14"/>
                <w:szCs w:val="14"/>
                <w:b w:val="1"/>
                <w:bCs w:val="1"/>
                <w:color w:val="auto"/>
              </w:rPr>
              <w:t>445</w:t>
            </w:r>
          </w:p>
        </w:tc>
      </w:tr>
      <w:tr>
        <w:trPr>
          <w:trHeight w:val="351"/>
        </w:trPr>
        <w:tc>
          <w:tcPr>
            <w:tcW w:w="2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40" w:type="dxa"/>
            <w:vAlign w:val="bottom"/>
          </w:tcPr>
          <w:p>
            <w:pPr>
              <w:jc w:val="right"/>
              <w:spacing w:after="0"/>
              <w:rPr>
                <w:sz w:val="20"/>
                <w:szCs w:val="20"/>
                <w:color w:val="auto"/>
              </w:rPr>
            </w:pPr>
            <w:r>
              <w:rPr>
                <w:rFonts w:ascii="Arial" w:cs="Arial" w:eastAsia="Arial" w:hAnsi="Arial"/>
                <w:sz w:val="14"/>
                <w:szCs w:val="14"/>
                <w:b w:val="1"/>
                <w:bCs w:val="1"/>
                <w:color w:val="auto"/>
              </w:rPr>
              <w:t>(446)</w:t>
            </w:r>
          </w:p>
        </w:tc>
        <w:tc>
          <w:tcPr>
            <w:tcW w:w="1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80" w:type="dxa"/>
            <w:vAlign w:val="bottom"/>
          </w:tcPr>
          <w:p>
            <w:pPr>
              <w:jc w:val="right"/>
              <w:ind w:right="32"/>
              <w:spacing w:after="0"/>
              <w:rPr>
                <w:sz w:val="20"/>
                <w:szCs w:val="20"/>
                <w:color w:val="auto"/>
              </w:rPr>
            </w:pPr>
            <w:r>
              <w:rPr>
                <w:rFonts w:ascii="Arial" w:cs="Arial" w:eastAsia="Arial" w:hAnsi="Arial"/>
                <w:sz w:val="14"/>
                <w:szCs w:val="14"/>
                <w:b w:val="1"/>
                <w:bCs w:val="1"/>
                <w:color w:val="auto"/>
              </w:rPr>
              <w:t>(446)</w:t>
            </w:r>
          </w:p>
        </w:tc>
        <w:tc>
          <w:tcPr>
            <w:tcW w:w="360" w:type="dxa"/>
            <w:vAlign w:val="bottom"/>
          </w:tcPr>
          <w:p>
            <w:pPr>
              <w:spacing w:after="0"/>
              <w:rPr>
                <w:sz w:val="24"/>
                <w:szCs w:val="24"/>
                <w:color w:val="auto"/>
              </w:rPr>
            </w:pPr>
          </w:p>
        </w:tc>
        <w:tc>
          <w:tcPr>
            <w:tcW w:w="740" w:type="dxa"/>
            <w:vAlign w:val="bottom"/>
          </w:tcPr>
          <w:p>
            <w:pPr>
              <w:jc w:val="right"/>
              <w:ind w:right="52"/>
              <w:spacing w:after="0"/>
              <w:rPr>
                <w:sz w:val="20"/>
                <w:szCs w:val="20"/>
                <w:color w:val="auto"/>
              </w:rPr>
            </w:pPr>
            <w:r>
              <w:rPr>
                <w:rFonts w:ascii="Arial" w:cs="Arial" w:eastAsia="Arial" w:hAnsi="Arial"/>
                <w:sz w:val="14"/>
                <w:szCs w:val="14"/>
                <w:b w:val="1"/>
                <w:bCs w:val="1"/>
                <w:color w:val="auto"/>
              </w:rPr>
              <w:t>446</w:t>
            </w:r>
          </w:p>
        </w:tc>
      </w:tr>
      <w:tr>
        <w:trPr>
          <w:trHeight w:val="270"/>
        </w:trPr>
        <w:tc>
          <w:tcPr>
            <w:tcW w:w="22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740" w:type="dxa"/>
            <w:vAlign w:val="bottom"/>
          </w:tcPr>
          <w:p>
            <w:pPr>
              <w:jc w:val="right"/>
              <w:spacing w:after="0"/>
              <w:rPr>
                <w:sz w:val="20"/>
                <w:szCs w:val="20"/>
                <w:color w:val="auto"/>
              </w:rPr>
            </w:pPr>
            <w:r>
              <w:rPr>
                <w:rFonts w:ascii="Arial" w:cs="Arial" w:eastAsia="Arial" w:hAnsi="Arial"/>
                <w:sz w:val="14"/>
                <w:szCs w:val="14"/>
                <w:b w:val="1"/>
                <w:bCs w:val="1"/>
                <w:color w:val="auto"/>
              </w:rPr>
              <w:t>(28,329)</w:t>
            </w:r>
          </w:p>
        </w:tc>
        <w:tc>
          <w:tcPr>
            <w:tcW w:w="26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780" w:type="dxa"/>
            <w:vAlign w:val="bottom"/>
          </w:tcPr>
          <w:p>
            <w:pPr>
              <w:jc w:val="right"/>
              <w:ind w:right="32"/>
              <w:spacing w:after="0"/>
              <w:rPr>
                <w:sz w:val="20"/>
                <w:szCs w:val="20"/>
                <w:color w:val="auto"/>
              </w:rPr>
            </w:pPr>
            <w:r>
              <w:rPr>
                <w:rFonts w:ascii="Arial" w:cs="Arial" w:eastAsia="Arial" w:hAnsi="Arial"/>
                <w:sz w:val="14"/>
                <w:szCs w:val="14"/>
                <w:b w:val="1"/>
                <w:bCs w:val="1"/>
                <w:color w:val="auto"/>
              </w:rPr>
              <w:t>(28,329)</w:t>
            </w:r>
          </w:p>
        </w:tc>
        <w:tc>
          <w:tcPr>
            <w:tcW w:w="360" w:type="dxa"/>
            <w:vAlign w:val="bottom"/>
          </w:tcPr>
          <w:p>
            <w:pPr>
              <w:spacing w:after="0"/>
              <w:rPr>
                <w:sz w:val="23"/>
                <w:szCs w:val="23"/>
                <w:color w:val="auto"/>
              </w:rPr>
            </w:pPr>
          </w:p>
        </w:tc>
        <w:tc>
          <w:tcPr>
            <w:tcW w:w="740" w:type="dxa"/>
            <w:vAlign w:val="bottom"/>
          </w:tcPr>
          <w:p>
            <w:pPr>
              <w:spacing w:after="0"/>
              <w:rPr>
                <w:sz w:val="23"/>
                <w:szCs w:val="23"/>
                <w:color w:val="auto"/>
              </w:rPr>
            </w:pPr>
          </w:p>
        </w:tc>
      </w:tr>
      <w:tr>
        <w:trPr>
          <w:trHeight w:val="270"/>
        </w:trPr>
        <w:tc>
          <w:tcPr>
            <w:tcW w:w="22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820" w:type="dxa"/>
            <w:vAlign w:val="bottom"/>
          </w:tcPr>
          <w:p>
            <w:pPr>
              <w:jc w:val="right"/>
              <w:spacing w:after="0"/>
              <w:rPr>
                <w:sz w:val="20"/>
                <w:szCs w:val="20"/>
                <w:color w:val="auto"/>
              </w:rPr>
            </w:pPr>
            <w:r>
              <w:rPr>
                <w:rFonts w:ascii="Arial" w:cs="Arial" w:eastAsia="Arial" w:hAnsi="Arial"/>
                <w:sz w:val="14"/>
                <w:szCs w:val="14"/>
                <w:b w:val="1"/>
                <w:bCs w:val="1"/>
                <w:color w:val="auto"/>
              </w:rPr>
              <w:t>(50,770)</w:t>
            </w:r>
          </w:p>
        </w:tc>
        <w:tc>
          <w:tcPr>
            <w:tcW w:w="38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780" w:type="dxa"/>
            <w:vAlign w:val="bottom"/>
          </w:tcPr>
          <w:p>
            <w:pPr>
              <w:jc w:val="right"/>
              <w:ind w:right="32"/>
              <w:spacing w:after="0"/>
              <w:rPr>
                <w:sz w:val="20"/>
                <w:szCs w:val="20"/>
                <w:color w:val="auto"/>
              </w:rPr>
            </w:pPr>
            <w:r>
              <w:rPr>
                <w:rFonts w:ascii="Arial" w:cs="Arial" w:eastAsia="Arial" w:hAnsi="Arial"/>
                <w:sz w:val="14"/>
                <w:szCs w:val="14"/>
                <w:b w:val="1"/>
                <w:bCs w:val="1"/>
                <w:color w:val="auto"/>
              </w:rPr>
              <w:t>(50,770)</w:t>
            </w:r>
          </w:p>
        </w:tc>
        <w:tc>
          <w:tcPr>
            <w:tcW w:w="360" w:type="dxa"/>
            <w:vAlign w:val="bottom"/>
          </w:tcPr>
          <w:p>
            <w:pPr>
              <w:spacing w:after="0"/>
              <w:rPr>
                <w:sz w:val="23"/>
                <w:szCs w:val="23"/>
                <w:color w:val="auto"/>
              </w:rPr>
            </w:pPr>
          </w:p>
        </w:tc>
        <w:tc>
          <w:tcPr>
            <w:tcW w:w="740" w:type="dxa"/>
            <w:vAlign w:val="bottom"/>
          </w:tcPr>
          <w:p>
            <w:pPr>
              <w:spacing w:after="0"/>
              <w:rPr>
                <w:sz w:val="23"/>
                <w:szCs w:val="23"/>
                <w:color w:val="auto"/>
              </w:rPr>
            </w:pPr>
          </w:p>
        </w:tc>
      </w:tr>
      <w:tr>
        <w:trPr>
          <w:trHeight w:val="351"/>
        </w:trPr>
        <w:tc>
          <w:tcPr>
            <w:tcW w:w="2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40" w:type="dxa"/>
            <w:vAlign w:val="bottom"/>
          </w:tcPr>
          <w:p>
            <w:pPr>
              <w:jc w:val="right"/>
              <w:spacing w:after="0"/>
              <w:rPr>
                <w:sz w:val="20"/>
                <w:szCs w:val="20"/>
                <w:color w:val="auto"/>
              </w:rPr>
            </w:pPr>
            <w:r>
              <w:rPr>
                <w:rFonts w:ascii="Arial" w:cs="Arial" w:eastAsia="Arial" w:hAnsi="Arial"/>
                <w:sz w:val="14"/>
                <w:szCs w:val="14"/>
                <w:b w:val="1"/>
                <w:bCs w:val="1"/>
                <w:color w:val="auto"/>
              </w:rPr>
              <w:t>(4,401)</w:t>
            </w:r>
          </w:p>
        </w:tc>
        <w:tc>
          <w:tcPr>
            <w:tcW w:w="1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20" w:type="dxa"/>
            <w:vAlign w:val="bottom"/>
          </w:tcPr>
          <w:p>
            <w:pPr>
              <w:jc w:val="right"/>
              <w:ind w:right="32"/>
              <w:spacing w:after="0"/>
              <w:rPr>
                <w:sz w:val="20"/>
                <w:szCs w:val="20"/>
                <w:color w:val="auto"/>
              </w:rPr>
            </w:pPr>
            <w:r>
              <w:rPr>
                <w:rFonts w:ascii="Arial" w:cs="Arial" w:eastAsia="Arial" w:hAnsi="Arial"/>
                <w:sz w:val="14"/>
                <w:szCs w:val="14"/>
                <w:b w:val="1"/>
                <w:bCs w:val="1"/>
                <w:color w:val="auto"/>
              </w:rPr>
              <w:t>4,786</w:t>
            </w:r>
          </w:p>
        </w:tc>
        <w:tc>
          <w:tcPr>
            <w:tcW w:w="3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80" w:type="dxa"/>
            <w:vAlign w:val="bottom"/>
          </w:tcPr>
          <w:p>
            <w:pPr>
              <w:jc w:val="right"/>
              <w:ind w:right="72"/>
              <w:spacing w:after="0"/>
              <w:rPr>
                <w:sz w:val="20"/>
                <w:szCs w:val="20"/>
                <w:color w:val="auto"/>
              </w:rPr>
            </w:pPr>
            <w:r>
              <w:rPr>
                <w:rFonts w:ascii="Arial" w:cs="Arial" w:eastAsia="Arial" w:hAnsi="Arial"/>
                <w:sz w:val="14"/>
                <w:szCs w:val="14"/>
                <w:b w:val="1"/>
                <w:bCs w:val="1"/>
                <w:color w:val="auto"/>
              </w:rPr>
              <w:t>385</w:t>
            </w:r>
          </w:p>
        </w:tc>
        <w:tc>
          <w:tcPr>
            <w:tcW w:w="360" w:type="dxa"/>
            <w:vAlign w:val="bottom"/>
          </w:tcPr>
          <w:p>
            <w:pPr>
              <w:spacing w:after="0"/>
              <w:rPr>
                <w:sz w:val="24"/>
                <w:szCs w:val="24"/>
                <w:color w:val="auto"/>
              </w:rPr>
            </w:pPr>
          </w:p>
        </w:tc>
        <w:tc>
          <w:tcPr>
            <w:tcW w:w="740" w:type="dxa"/>
            <w:vAlign w:val="bottom"/>
          </w:tcPr>
          <w:p>
            <w:pPr>
              <w:spacing w:after="0"/>
              <w:rPr>
                <w:sz w:val="24"/>
                <w:szCs w:val="24"/>
                <w:color w:val="auto"/>
              </w:rPr>
            </w:pPr>
          </w:p>
        </w:tc>
      </w:tr>
      <w:tr>
        <w:trPr>
          <w:trHeight w:val="351"/>
        </w:trPr>
        <w:tc>
          <w:tcPr>
            <w:tcW w:w="2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40" w:type="dxa"/>
            <w:vAlign w:val="bottom"/>
          </w:tcPr>
          <w:p>
            <w:pPr>
              <w:jc w:val="right"/>
              <w:ind w:right="32"/>
              <w:spacing w:after="0"/>
              <w:rPr>
                <w:sz w:val="20"/>
                <w:szCs w:val="20"/>
                <w:color w:val="auto"/>
              </w:rPr>
            </w:pPr>
            <w:r>
              <w:rPr>
                <w:rFonts w:ascii="Arial" w:cs="Arial" w:eastAsia="Arial" w:hAnsi="Arial"/>
                <w:sz w:val="14"/>
                <w:szCs w:val="14"/>
                <w:b w:val="1"/>
                <w:bCs w:val="1"/>
                <w:color w:val="auto"/>
              </w:rPr>
              <w:t>11,184</w:t>
            </w:r>
          </w:p>
        </w:tc>
        <w:tc>
          <w:tcPr>
            <w:tcW w:w="1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80" w:type="dxa"/>
            <w:vAlign w:val="bottom"/>
          </w:tcPr>
          <w:p>
            <w:pPr>
              <w:jc w:val="right"/>
              <w:ind w:right="72"/>
              <w:spacing w:after="0"/>
              <w:rPr>
                <w:sz w:val="20"/>
                <w:szCs w:val="20"/>
                <w:color w:val="auto"/>
              </w:rPr>
            </w:pPr>
            <w:r>
              <w:rPr>
                <w:rFonts w:ascii="Arial" w:cs="Arial" w:eastAsia="Arial" w:hAnsi="Arial"/>
                <w:sz w:val="14"/>
                <w:szCs w:val="14"/>
                <w:b w:val="1"/>
                <w:bCs w:val="1"/>
                <w:color w:val="auto"/>
              </w:rPr>
              <w:t>11,184</w:t>
            </w:r>
          </w:p>
        </w:tc>
        <w:tc>
          <w:tcPr>
            <w:tcW w:w="360" w:type="dxa"/>
            <w:vAlign w:val="bottom"/>
          </w:tcPr>
          <w:p>
            <w:pPr>
              <w:spacing w:after="0"/>
              <w:rPr>
                <w:sz w:val="24"/>
                <w:szCs w:val="24"/>
                <w:color w:val="auto"/>
              </w:rPr>
            </w:pPr>
          </w:p>
        </w:tc>
        <w:tc>
          <w:tcPr>
            <w:tcW w:w="740" w:type="dxa"/>
            <w:vAlign w:val="bottom"/>
          </w:tcPr>
          <w:p>
            <w:pPr>
              <w:spacing w:after="0"/>
              <w:rPr>
                <w:sz w:val="24"/>
                <w:szCs w:val="24"/>
                <w:color w:val="auto"/>
              </w:rPr>
            </w:pPr>
          </w:p>
        </w:tc>
      </w:tr>
      <w:tr>
        <w:trPr>
          <w:trHeight w:val="351"/>
        </w:trPr>
        <w:tc>
          <w:tcPr>
            <w:tcW w:w="2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60" w:type="dxa"/>
            <w:vAlign w:val="bottom"/>
          </w:tcPr>
          <w:p>
            <w:pPr>
              <w:jc w:val="right"/>
              <w:ind w:right="32"/>
              <w:spacing w:after="0"/>
              <w:rPr>
                <w:sz w:val="20"/>
                <w:szCs w:val="20"/>
                <w:color w:val="auto"/>
              </w:rPr>
            </w:pPr>
            <w:r>
              <w:rPr>
                <w:rFonts w:ascii="Arial" w:cs="Arial" w:eastAsia="Arial" w:hAnsi="Arial"/>
                <w:sz w:val="14"/>
                <w:szCs w:val="14"/>
                <w:b w:val="1"/>
                <w:bCs w:val="1"/>
                <w:color w:val="auto"/>
              </w:rPr>
              <w:t>228,136</w:t>
            </w:r>
          </w:p>
        </w:tc>
        <w:tc>
          <w:tcPr>
            <w:tcW w:w="2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80" w:type="dxa"/>
            <w:vAlign w:val="bottom"/>
          </w:tcPr>
          <w:p>
            <w:pPr>
              <w:jc w:val="right"/>
              <w:ind w:right="72"/>
              <w:spacing w:after="0"/>
              <w:rPr>
                <w:sz w:val="20"/>
                <w:szCs w:val="20"/>
                <w:color w:val="auto"/>
              </w:rPr>
            </w:pPr>
            <w:r>
              <w:rPr>
                <w:rFonts w:ascii="Arial" w:cs="Arial" w:eastAsia="Arial" w:hAnsi="Arial"/>
                <w:sz w:val="14"/>
                <w:szCs w:val="14"/>
                <w:b w:val="1"/>
                <w:bCs w:val="1"/>
                <w:color w:val="auto"/>
              </w:rPr>
              <w:t>228,136</w:t>
            </w:r>
          </w:p>
        </w:tc>
        <w:tc>
          <w:tcPr>
            <w:tcW w:w="360" w:type="dxa"/>
            <w:vAlign w:val="bottom"/>
          </w:tcPr>
          <w:p>
            <w:pPr>
              <w:spacing w:after="0"/>
              <w:rPr>
                <w:sz w:val="24"/>
                <w:szCs w:val="24"/>
                <w:color w:val="auto"/>
              </w:rPr>
            </w:pPr>
          </w:p>
        </w:tc>
        <w:tc>
          <w:tcPr>
            <w:tcW w:w="740" w:type="dxa"/>
            <w:vAlign w:val="bottom"/>
          </w:tcPr>
          <w:p>
            <w:pPr>
              <w:spacing w:after="0"/>
              <w:rPr>
                <w:sz w:val="24"/>
                <w:szCs w:val="24"/>
                <w:color w:val="auto"/>
              </w:rPr>
            </w:pPr>
          </w:p>
        </w:tc>
      </w:tr>
      <w:tr>
        <w:trPr>
          <w:trHeight w:val="359"/>
        </w:trPr>
        <w:tc>
          <w:tcPr>
            <w:tcW w:w="220" w:type="dxa"/>
            <w:vAlign w:val="bottom"/>
            <w:tcBorders>
              <w:bottom w:val="single" w:sz="8" w:color="auto"/>
            </w:tcBorders>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(70,933)</w:t>
            </w:r>
          </w:p>
        </w:tc>
        <w:tc>
          <w:tcPr>
            <w:tcW w:w="26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jc w:val="right"/>
              <w:ind w:right="32"/>
              <w:spacing w:after="0"/>
              <w:rPr>
                <w:sz w:val="20"/>
                <w:szCs w:val="20"/>
                <w:color w:val="auto"/>
              </w:rPr>
            </w:pPr>
            <w:r>
              <w:rPr>
                <w:rFonts w:ascii="Arial" w:cs="Arial" w:eastAsia="Arial" w:hAnsi="Arial"/>
                <w:sz w:val="14"/>
                <w:szCs w:val="14"/>
                <w:b w:val="1"/>
                <w:bCs w:val="1"/>
                <w:color w:val="auto"/>
              </w:rPr>
              <w:t>70,933</w:t>
            </w:r>
          </w:p>
        </w:tc>
        <w:tc>
          <w:tcPr>
            <w:tcW w:w="20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6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jc w:val="right"/>
              <w:ind w:right="72"/>
              <w:spacing w:after="0"/>
              <w:rPr>
                <w:sz w:val="20"/>
                <w:szCs w:val="20"/>
                <w:color w:val="auto"/>
              </w:rPr>
            </w:pPr>
            <w:r>
              <w:rPr>
                <w:rFonts w:ascii="Arial" w:cs="Arial" w:eastAsia="Arial" w:hAnsi="Arial"/>
                <w:sz w:val="14"/>
                <w:szCs w:val="14"/>
                <w:b w:val="1"/>
                <w:bCs w:val="1"/>
                <w:color w:val="auto"/>
              </w:rPr>
              <w:t>—</w:t>
            </w:r>
          </w:p>
        </w:tc>
        <w:tc>
          <w:tcPr>
            <w:tcW w:w="36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spacing w:after="0"/>
              <w:rPr>
                <w:sz w:val="24"/>
                <w:szCs w:val="24"/>
                <w:color w:val="auto"/>
              </w:rPr>
            </w:pPr>
          </w:p>
        </w:tc>
      </w:tr>
      <w:tr>
        <w:trPr>
          <w:trHeight w:val="264"/>
        </w:trPr>
        <w:tc>
          <w:tcPr>
            <w:tcW w:w="220" w:type="dxa"/>
            <w:vAlign w:val="bottom"/>
            <w:tcBorders>
              <w:bottom w:val="single" w:sz="8" w:color="auto"/>
            </w:tcBorders>
          </w:tcPr>
          <w:p>
            <w:pPr>
              <w:jc w:val="right"/>
              <w:ind w:right="52"/>
              <w:spacing w:after="0"/>
              <w:rPr>
                <w:sz w:val="20"/>
                <w:szCs w:val="20"/>
                <w:color w:val="auto"/>
              </w:rPr>
            </w:pPr>
            <w:r>
              <w:rPr>
                <w:rFonts w:ascii="Arial" w:cs="Arial" w:eastAsia="Arial" w:hAnsi="Arial"/>
                <w:sz w:val="14"/>
                <w:szCs w:val="14"/>
                <w:b w:val="1"/>
                <w:bCs w:val="1"/>
                <w:color w:val="auto"/>
              </w:rPr>
              <w:t>$</w:t>
            </w:r>
          </w:p>
        </w:tc>
        <w:tc>
          <w:tcPr>
            <w:tcW w:w="460" w:type="dxa"/>
            <w:vAlign w:val="bottom"/>
            <w:tcBorders>
              <w:bottom w:val="single" w:sz="8" w:color="auto"/>
            </w:tcBorders>
          </w:tcPr>
          <w:p>
            <w:pPr>
              <w:jc w:val="right"/>
              <w:ind w:right="32"/>
              <w:spacing w:after="0"/>
              <w:rPr>
                <w:sz w:val="20"/>
                <w:szCs w:val="20"/>
                <w:color w:val="auto"/>
              </w:rPr>
            </w:pPr>
            <w:r>
              <w:rPr>
                <w:rFonts w:ascii="Arial" w:cs="Arial" w:eastAsia="Arial" w:hAnsi="Arial"/>
                <w:sz w:val="14"/>
                <w:szCs w:val="14"/>
                <w:b w:val="1"/>
                <w:bCs w:val="1"/>
                <w:color w:val="auto"/>
              </w:rPr>
              <w:t>964</w:t>
            </w:r>
          </w:p>
        </w:tc>
        <w:tc>
          <w:tcPr>
            <w:tcW w:w="680" w:type="dxa"/>
            <w:vAlign w:val="bottom"/>
            <w:tcBorders>
              <w:bottom w:val="single" w:sz="8" w:color="auto"/>
            </w:tcBorders>
          </w:tcPr>
          <w:p>
            <w:pPr>
              <w:jc w:val="right"/>
              <w:ind w:right="12"/>
              <w:spacing w:after="0"/>
              <w:rPr>
                <w:sz w:val="20"/>
                <w:szCs w:val="20"/>
                <w:color w:val="auto"/>
              </w:rPr>
            </w:pPr>
            <w:r>
              <w:rPr>
                <w:rFonts w:ascii="Arial" w:cs="Arial" w:eastAsia="Arial" w:hAnsi="Arial"/>
                <w:sz w:val="14"/>
                <w:szCs w:val="14"/>
                <w:b w:val="1"/>
                <w:bCs w:val="1"/>
                <w:color w:val="auto"/>
              </w:rPr>
              <w:t>$ 19,036</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w:t>
            </w:r>
          </w:p>
        </w:tc>
        <w:tc>
          <w:tcPr>
            <w:tcW w:w="640" w:type="dxa"/>
            <w:vAlign w:val="bottom"/>
            <w:tcBorders>
              <w:bottom w:val="single" w:sz="8" w:color="auto"/>
            </w:tcBorders>
          </w:tcPr>
          <w:p>
            <w:pPr>
              <w:jc w:val="right"/>
              <w:ind w:right="32"/>
              <w:spacing w:after="0"/>
              <w:rPr>
                <w:sz w:val="20"/>
                <w:szCs w:val="20"/>
                <w:color w:val="auto"/>
              </w:rPr>
            </w:pPr>
            <w:r>
              <w:rPr>
                <w:rFonts w:ascii="Arial" w:cs="Arial" w:eastAsia="Arial" w:hAnsi="Arial"/>
                <w:sz w:val="14"/>
                <w:szCs w:val="14"/>
                <w:b w:val="1"/>
                <w:bCs w:val="1"/>
                <w:color w:val="auto"/>
              </w:rPr>
              <w:t>370,700</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w:t>
            </w:r>
          </w:p>
        </w:tc>
        <w:tc>
          <w:tcPr>
            <w:tcW w:w="740" w:type="dxa"/>
            <w:vAlign w:val="bottom"/>
            <w:tcBorders>
              <w:bottom w:val="single" w:sz="8" w:color="auto"/>
            </w:tcBorders>
          </w:tcPr>
          <w:p>
            <w:pPr>
              <w:jc w:val="right"/>
              <w:ind w:right="12"/>
              <w:spacing w:after="0"/>
              <w:rPr>
                <w:sz w:val="20"/>
                <w:szCs w:val="20"/>
                <w:color w:val="auto"/>
              </w:rPr>
            </w:pPr>
            <w:r>
              <w:rPr>
                <w:rFonts w:ascii="Arial" w:cs="Arial" w:eastAsia="Arial" w:hAnsi="Arial"/>
                <w:sz w:val="14"/>
                <w:szCs w:val="14"/>
                <w:b w:val="1"/>
                <w:bCs w:val="1"/>
                <w:color w:val="auto"/>
              </w:rPr>
              <w:t>5,791,724</w:t>
            </w:r>
          </w:p>
        </w:tc>
        <w:tc>
          <w:tcPr>
            <w:tcW w:w="260" w:type="dxa"/>
            <w:vAlign w:val="bottom"/>
            <w:tcBorders>
              <w:bottom w:val="single" w:sz="8" w:color="auto"/>
            </w:tcBorders>
          </w:tcPr>
          <w:p>
            <w:pPr>
              <w:jc w:val="right"/>
              <w:ind w:right="72"/>
              <w:spacing w:after="0"/>
              <w:rPr>
                <w:sz w:val="20"/>
                <w:szCs w:val="20"/>
                <w:color w:val="auto"/>
              </w:rPr>
            </w:pPr>
            <w:r>
              <w:rPr>
                <w:rFonts w:ascii="Arial" w:cs="Arial" w:eastAsia="Arial" w:hAnsi="Arial"/>
                <w:sz w:val="14"/>
                <w:szCs w:val="14"/>
                <w:b w:val="1"/>
                <w:bCs w:val="1"/>
                <w:color w:val="auto"/>
              </w:rPr>
              <w:t>$</w:t>
            </w:r>
          </w:p>
        </w:tc>
        <w:tc>
          <w:tcPr>
            <w:tcW w:w="760" w:type="dxa"/>
            <w:vAlign w:val="bottom"/>
            <w:tcBorders>
              <w:bottom w:val="single" w:sz="8" w:color="auto"/>
            </w:tcBorders>
          </w:tcPr>
          <w:p>
            <w:pPr>
              <w:jc w:val="right"/>
              <w:ind w:right="32"/>
              <w:spacing w:after="0"/>
              <w:rPr>
                <w:sz w:val="20"/>
                <w:szCs w:val="20"/>
                <w:color w:val="auto"/>
              </w:rPr>
            </w:pPr>
            <w:r>
              <w:rPr>
                <w:rFonts w:ascii="Arial" w:cs="Arial" w:eastAsia="Arial" w:hAnsi="Arial"/>
                <w:sz w:val="14"/>
                <w:szCs w:val="14"/>
                <w:b w:val="1"/>
                <w:bCs w:val="1"/>
                <w:color w:val="auto"/>
              </w:rPr>
              <w:t>535,555</w:t>
            </w:r>
          </w:p>
        </w:tc>
        <w:tc>
          <w:tcPr>
            <w:tcW w:w="200" w:type="dxa"/>
            <w:vAlign w:val="bottom"/>
            <w:tcBorders>
              <w:bottom w:val="single" w:sz="8" w:color="auto"/>
            </w:tcBorders>
          </w:tcPr>
          <w:p>
            <w:pPr>
              <w:jc w:val="right"/>
              <w:ind w:right="12"/>
              <w:spacing w:after="0"/>
              <w:rPr>
                <w:sz w:val="20"/>
                <w:szCs w:val="20"/>
                <w:color w:val="auto"/>
              </w:rPr>
            </w:pPr>
            <w:r>
              <w:rPr>
                <w:rFonts w:ascii="Arial" w:cs="Arial" w:eastAsia="Arial" w:hAnsi="Arial"/>
                <w:sz w:val="14"/>
                <w:szCs w:val="14"/>
                <w:b w:val="1"/>
                <w:bCs w:val="1"/>
                <w:color w:val="auto"/>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(3,802,834)</w:t>
            </w:r>
          </w:p>
        </w:tc>
        <w:tc>
          <w:tcPr>
            <w:tcW w:w="380" w:type="dxa"/>
            <w:vAlign w:val="bottom"/>
            <w:tcBorders>
              <w:bottom w:val="single" w:sz="8" w:color="auto"/>
            </w:tcBorders>
          </w:tcPr>
          <w:p>
            <w:pPr>
              <w:jc w:val="right"/>
              <w:ind w:right="192"/>
              <w:spacing w:after="0"/>
              <w:rPr>
                <w:sz w:val="20"/>
                <w:szCs w:val="20"/>
                <w:color w:val="auto"/>
              </w:rPr>
            </w:pPr>
            <w:r>
              <w:rPr>
                <w:rFonts w:ascii="Arial" w:cs="Arial" w:eastAsia="Arial" w:hAnsi="Arial"/>
                <w:sz w:val="14"/>
                <w:szCs w:val="14"/>
                <w:b w:val="1"/>
                <w:bCs w:val="1"/>
                <w:color w:val="auto"/>
              </w:rPr>
              <w:t>$</w:t>
            </w:r>
          </w:p>
        </w:tc>
        <w:tc>
          <w:tcPr>
            <w:tcW w:w="620" w:type="dxa"/>
            <w:vAlign w:val="bottom"/>
            <w:tcBorders>
              <w:bottom w:val="single" w:sz="8" w:color="auto"/>
            </w:tcBorders>
          </w:tcPr>
          <w:p>
            <w:pPr>
              <w:jc w:val="right"/>
              <w:ind w:right="12"/>
              <w:spacing w:after="0"/>
              <w:rPr>
                <w:sz w:val="20"/>
                <w:szCs w:val="20"/>
                <w:color w:val="auto"/>
              </w:rPr>
            </w:pPr>
            <w:r>
              <w:rPr>
                <w:rFonts w:ascii="Arial" w:cs="Arial" w:eastAsia="Arial" w:hAnsi="Arial"/>
                <w:sz w:val="14"/>
                <w:szCs w:val="14"/>
                <w:b w:val="1"/>
                <w:bCs w:val="1"/>
                <w:color w:val="auto"/>
              </w:rPr>
              <w:t>—</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w:t>
            </w:r>
          </w:p>
        </w:tc>
        <w:tc>
          <w:tcPr>
            <w:tcW w:w="780" w:type="dxa"/>
            <w:vAlign w:val="bottom"/>
            <w:tcBorders>
              <w:bottom w:val="single" w:sz="8" w:color="auto"/>
            </w:tcBorders>
          </w:tcPr>
          <w:p>
            <w:pPr>
              <w:jc w:val="right"/>
              <w:ind w:right="72"/>
              <w:spacing w:after="0"/>
              <w:rPr>
                <w:sz w:val="20"/>
                <w:szCs w:val="20"/>
                <w:color w:val="auto"/>
              </w:rPr>
            </w:pPr>
            <w:r>
              <w:rPr>
                <w:rFonts w:ascii="Arial" w:cs="Arial" w:eastAsia="Arial" w:hAnsi="Arial"/>
                <w:sz w:val="14"/>
                <w:szCs w:val="14"/>
                <w:b w:val="1"/>
                <w:bCs w:val="1"/>
                <w:color w:val="auto"/>
                <w:w w:val="99"/>
              </w:rPr>
              <w:t>2,915,145</w:t>
            </w:r>
          </w:p>
        </w:tc>
        <w:tc>
          <w:tcPr>
            <w:tcW w:w="360" w:type="dxa"/>
            <w:vAlign w:val="bottom"/>
            <w:tcBorders>
              <w:bottom w:val="single" w:sz="8" w:color="auto"/>
            </w:tcBorders>
          </w:tcPr>
          <w:p>
            <w:pPr>
              <w:jc w:val="right"/>
              <w:ind w:right="112"/>
              <w:spacing w:after="0"/>
              <w:rPr>
                <w:sz w:val="20"/>
                <w:szCs w:val="20"/>
                <w:color w:val="auto"/>
              </w:rPr>
            </w:pPr>
            <w:r>
              <w:rPr>
                <w:rFonts w:ascii="Arial" w:cs="Arial" w:eastAsia="Arial" w:hAnsi="Arial"/>
                <w:sz w:val="14"/>
                <w:szCs w:val="14"/>
                <w:b w:val="1"/>
                <w:bCs w:val="1"/>
                <w:color w:val="auto"/>
              </w:rPr>
              <w:t>$</w:t>
            </w:r>
          </w:p>
        </w:tc>
        <w:tc>
          <w:tcPr>
            <w:tcW w:w="740" w:type="dxa"/>
            <w:vAlign w:val="bottom"/>
            <w:tcBorders>
              <w:bottom w:val="single" w:sz="8" w:color="auto"/>
            </w:tcBorders>
          </w:tcPr>
          <w:p>
            <w:pPr>
              <w:jc w:val="right"/>
              <w:ind w:right="52"/>
              <w:spacing w:after="0"/>
              <w:rPr>
                <w:sz w:val="20"/>
                <w:szCs w:val="20"/>
                <w:color w:val="auto"/>
              </w:rPr>
            </w:pPr>
            <w:r>
              <w:rPr>
                <w:rFonts w:ascii="Arial" w:cs="Arial" w:eastAsia="Arial" w:hAnsi="Arial"/>
                <w:sz w:val="14"/>
                <w:szCs w:val="14"/>
                <w:b w:val="1"/>
                <w:bCs w:val="1"/>
                <w:color w:val="auto"/>
              </w:rPr>
              <w:t>4,607</w:t>
            </w:r>
          </w:p>
        </w:tc>
      </w:tr>
      <w:tr>
        <w:trPr>
          <w:trHeight w:val="20"/>
        </w:trPr>
        <w:tc>
          <w:tcPr>
            <w:tcW w:w="22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r>
    </w:tbl>
    <w:p>
      <w:pPr>
        <w:spacing w:after="0" w:line="59" w:lineRule="exact"/>
        <w:rPr>
          <w:sz w:val="20"/>
          <w:szCs w:val="20"/>
          <w:color w:val="auto"/>
        </w:rPr>
      </w:pPr>
    </w:p>
    <w:p>
      <w:pPr>
        <w:sectPr>
          <w:pgSz w:w="11900" w:h="16838" w:orient="portrait"/>
          <w:cols w:equalWidth="0" w:num="2">
            <w:col w:w="3140" w:space="80"/>
            <w:col w:w="8200"/>
          </w:cols>
          <w:pgMar w:left="240" w:top="738" w:right="239" w:bottom="1440" w:gutter="0" w:footer="0" w:header="0"/>
          <w:type w:val="continuous"/>
        </w:sectPr>
      </w:pPr>
    </w:p>
    <w:p>
      <w:pPr>
        <w:spacing w:after="0"/>
        <w:rPr>
          <w:sz w:val="20"/>
          <w:szCs w:val="20"/>
          <w:color w:val="auto"/>
        </w:rPr>
      </w:pPr>
      <w:r>
        <w:rPr>
          <w:rFonts w:ascii="Arial" w:cs="Arial" w:eastAsia="Arial" w:hAnsi="Arial"/>
          <w:sz w:val="14"/>
          <w:szCs w:val="14"/>
          <w:color w:val="auto"/>
        </w:rPr>
        <w:t>See accompanying Notes to Consolidated Financial Statements.</w:t>
      </w:r>
    </w:p>
    <w:p>
      <w:pPr>
        <w:sectPr>
          <w:pgSz w:w="11900" w:h="16838" w:orient="portrait"/>
          <w:cols w:equalWidth="0" w:num="1">
            <w:col w:w="11420"/>
          </w:cols>
          <w:pgMar w:left="240" w:top="738" w:right="239" w:bottom="1440" w:gutter="0" w:footer="0" w:header="0"/>
          <w:type w:val="continuous"/>
        </w:sectPr>
      </w:pPr>
    </w:p>
    <w:p>
      <w:pPr>
        <w:spacing w:after="0" w:line="347"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75</w:t>
      </w:r>
    </w:p>
    <w:p>
      <w:pPr>
        <w:sectPr>
          <w:pgSz w:w="11900" w:h="16838" w:orient="portrait"/>
          <w:cols w:equalWidth="0" w:num="1">
            <w:col w:w="11420"/>
          </w:cols>
          <w:pgMar w:left="240" w:top="738" w:right="239" w:bottom="1440" w:gutter="0" w:footer="0" w:header="0"/>
          <w:type w:val="continuous"/>
        </w:sectPr>
      </w:pPr>
    </w:p>
    <w:bookmarkStart w:id="78" w:name="page79"/>
    <w:bookmarkEnd w:id="78"/>
    <w:p>
      <w:pPr>
        <w:jc w:val="center"/>
        <w:ind w:right="-19"/>
        <w:spacing w:after="0"/>
        <w:rPr>
          <w:sz w:val="20"/>
          <w:szCs w:val="20"/>
          <w:color w:val="auto"/>
        </w:rPr>
      </w:pPr>
      <w:r>
        <w:rPr>
          <w:rFonts w:ascii="Arial" w:cs="Arial" w:eastAsia="Arial" w:hAnsi="Arial"/>
          <w:sz w:val="18"/>
          <w:szCs w:val="18"/>
          <w:b w:val="1"/>
          <w:bCs w:val="1"/>
          <w:color w:val="auto"/>
        </w:rPr>
        <w:t>GRAHAM HOLDINGS COMPANY</w:t>
      </w:r>
    </w:p>
    <w:p>
      <w:pPr>
        <w:spacing w:after="0" w:line="3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136" w:lineRule="exact"/>
        <w:rPr>
          <w:sz w:val="20"/>
          <w:szCs w:val="20"/>
          <w:color w:val="auto"/>
        </w:rPr>
      </w:pPr>
    </w:p>
    <w:p>
      <w:pPr>
        <w:ind w:left="500" w:hanging="492"/>
        <w:spacing w:after="0"/>
        <w:tabs>
          <w:tab w:leader="none" w:pos="500" w:val="left"/>
        </w:tabs>
        <w:numPr>
          <w:ilvl w:val="0"/>
          <w:numId w:val="56"/>
        </w:numPr>
        <w:rPr>
          <w:rFonts w:ascii="Arial" w:cs="Arial" w:eastAsia="Arial" w:hAnsi="Arial"/>
          <w:sz w:val="18"/>
          <w:szCs w:val="18"/>
          <w:b w:val="1"/>
          <w:bCs w:val="1"/>
          <w:color w:val="auto"/>
        </w:rPr>
      </w:pPr>
      <w:r>
        <w:rPr>
          <w:rFonts w:ascii="Arial" w:cs="Arial" w:eastAsia="Arial" w:hAnsi="Arial"/>
          <w:sz w:val="18"/>
          <w:szCs w:val="18"/>
          <w:b w:val="1"/>
          <w:bCs w:val="1"/>
          <w:color w:val="auto"/>
        </w:rPr>
        <w:t>ORGANIZATION AND NATURE OF OPERATIONS</w:t>
      </w:r>
    </w:p>
    <w:p>
      <w:pPr>
        <w:spacing w:after="0" w:line="166" w:lineRule="exact"/>
        <w:rPr>
          <w:sz w:val="20"/>
          <w:szCs w:val="20"/>
          <w:color w:val="auto"/>
        </w:rPr>
      </w:pPr>
    </w:p>
    <w:p>
      <w:pPr>
        <w:jc w:val="both"/>
        <w:spacing w:after="0" w:line="229" w:lineRule="auto"/>
        <w:rPr>
          <w:sz w:val="20"/>
          <w:szCs w:val="20"/>
          <w:color w:val="auto"/>
        </w:rPr>
      </w:pPr>
      <w:r>
        <w:rPr>
          <w:rFonts w:ascii="Arial" w:cs="Arial" w:eastAsia="Arial" w:hAnsi="Arial"/>
          <w:sz w:val="18"/>
          <w:szCs w:val="18"/>
          <w:color w:val="auto"/>
        </w:rPr>
        <w:t>Graham Holdings Company (the Company), is a diversified education and media company. The Company’s Kaplan subsidiary provides a wide variety of educational services, both domestically and outside the United States. The Company’s media operations comprise the ownership and operation of seven television broadcasting stations.</w:t>
      </w:r>
    </w:p>
    <w:p>
      <w:pPr>
        <w:spacing w:after="0" w:line="115" w:lineRule="exact"/>
        <w:rPr>
          <w:sz w:val="20"/>
          <w:szCs w:val="20"/>
          <w:color w:val="auto"/>
        </w:rPr>
      </w:pPr>
    </w:p>
    <w:p>
      <w:pPr>
        <w:ind w:right="400"/>
        <w:spacing w:after="0" w:line="256" w:lineRule="auto"/>
        <w:rPr>
          <w:sz w:val="20"/>
          <w:szCs w:val="20"/>
          <w:color w:val="auto"/>
        </w:rPr>
      </w:pPr>
      <w:r>
        <w:rPr>
          <w:rFonts w:ascii="Arial" w:cs="Arial" w:eastAsia="Arial" w:hAnsi="Arial"/>
          <w:sz w:val="18"/>
          <w:szCs w:val="18"/>
          <w:b w:val="1"/>
          <w:bCs w:val="1"/>
          <w:color w:val="auto"/>
        </w:rPr>
        <w:t>Education</w:t>
      </w:r>
      <w:r>
        <w:rPr>
          <w:rFonts w:ascii="Arial" w:cs="Arial" w:eastAsia="Arial" w:hAnsi="Arial"/>
          <w:sz w:val="18"/>
          <w:szCs w:val="18"/>
          <w:color w:val="auto"/>
        </w:rPr>
        <w:t>—Kaplan, Inc. provides an extensive range of educational services for students and professionals. Kaplan’s various businesses</w:t>
      </w:r>
      <w:r>
        <w:rPr>
          <w:rFonts w:ascii="Arial" w:cs="Arial" w:eastAsia="Arial" w:hAnsi="Arial"/>
          <w:sz w:val="18"/>
          <w:szCs w:val="18"/>
          <w:b w:val="1"/>
          <w:bCs w:val="1"/>
          <w:color w:val="auto"/>
        </w:rPr>
        <w:t xml:space="preserve"> </w:t>
      </w:r>
      <w:r>
        <w:rPr>
          <w:rFonts w:ascii="Arial" w:cs="Arial" w:eastAsia="Arial" w:hAnsi="Arial"/>
          <w:sz w:val="18"/>
          <w:szCs w:val="18"/>
          <w:color w:val="auto"/>
        </w:rPr>
        <w:t>comprise three categories: Higher Education (KHE), Test Preparation (KTP) and Kaplan International.</w:t>
      </w:r>
    </w:p>
    <w:p>
      <w:pPr>
        <w:spacing w:after="0" w:line="99" w:lineRule="exact"/>
        <w:rPr>
          <w:sz w:val="20"/>
          <w:szCs w:val="20"/>
          <w:color w:val="auto"/>
        </w:rPr>
      </w:pPr>
    </w:p>
    <w:p>
      <w:pPr>
        <w:ind w:right="780"/>
        <w:spacing w:after="0" w:line="256" w:lineRule="auto"/>
        <w:rPr>
          <w:sz w:val="20"/>
          <w:szCs w:val="20"/>
          <w:color w:val="auto"/>
        </w:rPr>
      </w:pPr>
      <w:r>
        <w:rPr>
          <w:rFonts w:ascii="Arial" w:cs="Arial" w:eastAsia="Arial" w:hAnsi="Arial"/>
          <w:sz w:val="18"/>
          <w:szCs w:val="18"/>
          <w:b w:val="1"/>
          <w:bCs w:val="1"/>
          <w:color w:val="auto"/>
        </w:rPr>
        <w:t>Media</w:t>
      </w:r>
      <w:r>
        <w:rPr>
          <w:rFonts w:ascii="Arial" w:cs="Arial" w:eastAsia="Arial" w:hAnsi="Arial"/>
          <w:sz w:val="18"/>
          <w:szCs w:val="18"/>
          <w:color w:val="auto"/>
        </w:rPr>
        <w:t>—The Company’s diversified media operations comprise television broadcasting, several websites and print publications, and a</w:t>
      </w:r>
      <w:r>
        <w:rPr>
          <w:rFonts w:ascii="Arial" w:cs="Arial" w:eastAsia="Arial" w:hAnsi="Arial"/>
          <w:sz w:val="18"/>
          <w:szCs w:val="18"/>
          <w:b w:val="1"/>
          <w:bCs w:val="1"/>
          <w:color w:val="auto"/>
        </w:rPr>
        <w:t xml:space="preserve"> </w:t>
      </w:r>
      <w:r>
        <w:rPr>
          <w:rFonts w:ascii="Arial" w:cs="Arial" w:eastAsia="Arial" w:hAnsi="Arial"/>
          <w:sz w:val="18"/>
          <w:szCs w:val="18"/>
          <w:color w:val="auto"/>
        </w:rPr>
        <w:t>marketing solutions provider.</w:t>
      </w:r>
    </w:p>
    <w:p>
      <w:pPr>
        <w:spacing w:after="0" w:line="103" w:lineRule="exact"/>
        <w:rPr>
          <w:sz w:val="20"/>
          <w:szCs w:val="20"/>
          <w:color w:val="auto"/>
        </w:rPr>
      </w:pPr>
    </w:p>
    <w:p>
      <w:pPr>
        <w:jc w:val="both"/>
        <w:ind w:right="60"/>
        <w:spacing w:after="0" w:line="280" w:lineRule="auto"/>
        <w:rPr>
          <w:sz w:val="20"/>
          <w:szCs w:val="20"/>
          <w:color w:val="auto"/>
        </w:rPr>
      </w:pPr>
      <w:r>
        <w:rPr>
          <w:rFonts w:ascii="Arial" w:cs="Arial" w:eastAsia="Arial" w:hAnsi="Arial"/>
          <w:sz w:val="17"/>
          <w:szCs w:val="17"/>
          <w:i w:val="1"/>
          <w:iCs w:val="1"/>
          <w:color w:val="auto"/>
        </w:rPr>
        <w:t xml:space="preserve">Television broadcasting. </w:t>
      </w:r>
      <w:r>
        <w:rPr>
          <w:rFonts w:ascii="Arial" w:cs="Arial" w:eastAsia="Arial" w:hAnsi="Arial"/>
          <w:sz w:val="17"/>
          <w:szCs w:val="17"/>
          <w:color w:val="auto"/>
        </w:rPr>
        <w:t>As of December 31, 2017, the Company owned seven television stations located in Houston, TX; Detroit, MI; Orlando,</w:t>
      </w:r>
      <w:r>
        <w:rPr>
          <w:rFonts w:ascii="Arial" w:cs="Arial" w:eastAsia="Arial" w:hAnsi="Arial"/>
          <w:sz w:val="17"/>
          <w:szCs w:val="17"/>
          <w:i w:val="1"/>
          <w:iCs w:val="1"/>
          <w:color w:val="auto"/>
        </w:rPr>
        <w:t xml:space="preserve"> </w:t>
      </w:r>
      <w:r>
        <w:rPr>
          <w:rFonts w:ascii="Arial" w:cs="Arial" w:eastAsia="Arial" w:hAnsi="Arial"/>
          <w:sz w:val="17"/>
          <w:szCs w:val="17"/>
          <w:color w:val="auto"/>
        </w:rPr>
        <w:t>FL; San Antonio, TX; Roanoke, VA; and two stations in Jacksonville, FL. All stations are network-affiliated except for WJXT in Jacksonville, FL.</w:t>
      </w:r>
    </w:p>
    <w:p>
      <w:pPr>
        <w:spacing w:after="0" w:line="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w:t>
      </w:r>
      <w:r>
        <w:rPr>
          <w:rFonts w:ascii="Arial" w:cs="Arial" w:eastAsia="Arial" w:hAnsi="Arial"/>
          <w:sz w:val="18"/>
          <w:szCs w:val="18"/>
          <w:color w:val="auto"/>
        </w:rPr>
        <w:t>—The Company’s other business operations include home health and hospice services and manufacturing.</w:t>
      </w:r>
    </w:p>
    <w:p>
      <w:pPr>
        <w:spacing w:after="0" w:line="144" w:lineRule="exact"/>
        <w:rPr>
          <w:sz w:val="20"/>
          <w:szCs w:val="20"/>
          <w:color w:val="auto"/>
        </w:rPr>
      </w:pPr>
    </w:p>
    <w:p>
      <w:pPr>
        <w:ind w:left="500" w:hanging="492"/>
        <w:spacing w:after="0"/>
        <w:tabs>
          <w:tab w:leader="none" w:pos="500" w:val="left"/>
        </w:tabs>
        <w:numPr>
          <w:ilvl w:val="0"/>
          <w:numId w:val="57"/>
        </w:numPr>
        <w:rPr>
          <w:rFonts w:ascii="Arial" w:cs="Arial" w:eastAsia="Arial" w:hAnsi="Arial"/>
          <w:sz w:val="18"/>
          <w:szCs w:val="18"/>
          <w:b w:val="1"/>
          <w:bCs w:val="1"/>
          <w:color w:val="auto"/>
        </w:rPr>
      </w:pPr>
      <w:r>
        <w:rPr>
          <w:rFonts w:ascii="Arial" w:cs="Arial" w:eastAsia="Arial" w:hAnsi="Arial"/>
          <w:sz w:val="18"/>
          <w:szCs w:val="18"/>
          <w:b w:val="1"/>
          <w:bCs w:val="1"/>
          <w:color w:val="auto"/>
        </w:rPr>
        <w:t>SUMMARY OF SIGNIFICANT ACCOUNTING POLICIES</w:t>
      </w:r>
    </w:p>
    <w:p>
      <w:pPr>
        <w:spacing w:after="0" w:line="144" w:lineRule="exact"/>
        <w:rPr>
          <w:sz w:val="20"/>
          <w:szCs w:val="20"/>
          <w:color w:val="auto"/>
        </w:rPr>
      </w:pPr>
    </w:p>
    <w:p>
      <w:pPr>
        <w:spacing w:after="0" w:line="233" w:lineRule="auto"/>
        <w:rPr>
          <w:sz w:val="20"/>
          <w:szCs w:val="20"/>
          <w:color w:val="auto"/>
        </w:rPr>
      </w:pPr>
      <w:r>
        <w:rPr>
          <w:rFonts w:ascii="Arial" w:cs="Arial" w:eastAsia="Arial" w:hAnsi="Arial"/>
          <w:sz w:val="18"/>
          <w:szCs w:val="18"/>
          <w:b w:val="1"/>
          <w:bCs w:val="1"/>
          <w:color w:val="auto"/>
        </w:rPr>
        <w:t xml:space="preserve">Basis of Presentation and Principles of Consolidation. </w:t>
      </w:r>
      <w:r>
        <w:rPr>
          <w:rFonts w:ascii="Arial" w:cs="Arial" w:eastAsia="Arial" w:hAnsi="Arial"/>
          <w:sz w:val="18"/>
          <w:szCs w:val="18"/>
          <w:color w:val="auto"/>
        </w:rPr>
        <w:t>The accompanying Consolidated Financial Statements have been prepared in</w:t>
      </w:r>
      <w:r>
        <w:rPr>
          <w:rFonts w:ascii="Arial" w:cs="Arial" w:eastAsia="Arial" w:hAnsi="Arial"/>
          <w:sz w:val="18"/>
          <w:szCs w:val="18"/>
          <w:b w:val="1"/>
          <w:bCs w:val="1"/>
          <w:color w:val="auto"/>
        </w:rPr>
        <w:t xml:space="preserve"> </w:t>
      </w:r>
      <w:r>
        <w:rPr>
          <w:rFonts w:ascii="Arial" w:cs="Arial" w:eastAsia="Arial" w:hAnsi="Arial"/>
          <w:sz w:val="18"/>
          <w:szCs w:val="18"/>
          <w:color w:val="auto"/>
        </w:rPr>
        <w:t>accordance with generally accepted accounting principles (GAAP) in the United States and include the assets, liabilities, results of operations and cash flows of the Company and its majority-owned and controlled subsidiaries. All significant intercompany accounts and transactions have been eliminated in consolidation.</w:t>
      </w:r>
    </w:p>
    <w:p>
      <w:pPr>
        <w:spacing w:after="0" w:line="115" w:lineRule="exact"/>
        <w:rPr>
          <w:sz w:val="20"/>
          <w:szCs w:val="20"/>
          <w:color w:val="auto"/>
        </w:rPr>
      </w:pPr>
    </w:p>
    <w:p>
      <w:pPr>
        <w:ind w:right="20"/>
        <w:spacing w:after="0" w:line="238" w:lineRule="auto"/>
        <w:rPr>
          <w:sz w:val="20"/>
          <w:szCs w:val="20"/>
          <w:color w:val="auto"/>
        </w:rPr>
      </w:pPr>
      <w:r>
        <w:rPr>
          <w:rFonts w:ascii="Arial" w:cs="Arial" w:eastAsia="Arial" w:hAnsi="Arial"/>
          <w:sz w:val="18"/>
          <w:szCs w:val="18"/>
          <w:b w:val="1"/>
          <w:bCs w:val="1"/>
          <w:color w:val="auto"/>
        </w:rPr>
        <w:t xml:space="preserve">Reclassifications. </w:t>
      </w:r>
      <w:r>
        <w:rPr>
          <w:rFonts w:ascii="Arial" w:cs="Arial" w:eastAsia="Arial" w:hAnsi="Arial"/>
          <w:sz w:val="18"/>
          <w:szCs w:val="18"/>
          <w:color w:val="auto"/>
        </w:rPr>
        <w:t>Certain amounts in previously issued financial statements have been reclassified to conform with the 2017 presentation.</w:t>
      </w:r>
      <w:r>
        <w:rPr>
          <w:rFonts w:ascii="Arial" w:cs="Arial" w:eastAsia="Arial" w:hAnsi="Arial"/>
          <w:sz w:val="18"/>
          <w:szCs w:val="18"/>
          <w:b w:val="1"/>
          <w:bCs w:val="1"/>
          <w:color w:val="auto"/>
        </w:rPr>
        <w:t xml:space="preserve"> </w:t>
      </w:r>
      <w:r>
        <w:rPr>
          <w:rFonts w:ascii="Arial" w:cs="Arial" w:eastAsia="Arial" w:hAnsi="Arial"/>
          <w:sz w:val="18"/>
          <w:szCs w:val="18"/>
          <w:color w:val="auto"/>
        </w:rPr>
        <w:t>This includes the reclassification of $19.8 million and $19.2 million from other revenue to advertising revenue in the Consolidated Statements of Operations for the years ended December 31, 2016 and 2015, respectively.</w:t>
      </w:r>
    </w:p>
    <w:p>
      <w:pPr>
        <w:spacing w:after="0" w:line="114" w:lineRule="exact"/>
        <w:rPr>
          <w:sz w:val="20"/>
          <w:szCs w:val="20"/>
          <w:color w:val="auto"/>
        </w:rPr>
      </w:pPr>
    </w:p>
    <w:p>
      <w:pPr>
        <w:ind w:right="40"/>
        <w:spacing w:after="0" w:line="230" w:lineRule="auto"/>
        <w:rPr>
          <w:sz w:val="20"/>
          <w:szCs w:val="20"/>
          <w:color w:val="auto"/>
        </w:rPr>
      </w:pPr>
      <w:r>
        <w:rPr>
          <w:rFonts w:ascii="Arial" w:cs="Arial" w:eastAsia="Arial" w:hAnsi="Arial"/>
          <w:sz w:val="18"/>
          <w:szCs w:val="18"/>
          <w:b w:val="1"/>
          <w:bCs w:val="1"/>
          <w:color w:val="auto"/>
        </w:rPr>
        <w:t xml:space="preserve">Use of Estimates. </w:t>
      </w:r>
      <w:r>
        <w:rPr>
          <w:rFonts w:ascii="Arial" w:cs="Arial" w:eastAsia="Arial" w:hAnsi="Arial"/>
          <w:sz w:val="18"/>
          <w:szCs w:val="18"/>
          <w:color w:val="auto"/>
        </w:rPr>
        <w:t>The preparation of financial statements in conformity with GAAP requires management to make estimates and judgments</w:t>
      </w:r>
      <w:r>
        <w:rPr>
          <w:rFonts w:ascii="Arial" w:cs="Arial" w:eastAsia="Arial" w:hAnsi="Arial"/>
          <w:sz w:val="18"/>
          <w:szCs w:val="18"/>
          <w:b w:val="1"/>
          <w:bCs w:val="1"/>
          <w:color w:val="auto"/>
        </w:rPr>
        <w:t xml:space="preserve"> </w:t>
      </w:r>
      <w:r>
        <w:rPr>
          <w:rFonts w:ascii="Arial" w:cs="Arial" w:eastAsia="Arial" w:hAnsi="Arial"/>
          <w:sz w:val="18"/>
          <w:szCs w:val="18"/>
          <w:color w:val="auto"/>
        </w:rPr>
        <w:t>that affect the amounts reported in the financial statements. Management bases its estimates and assumptions on historical experience and on various other factors that are believed to be reasonable under the circumstances. Due to the inherent uncertainty involved in making estimates, actual results reported in future periods may be affected by changes in those estimates. On an ongoing basis, the Company evaluates its estimates and assumptions.</w:t>
      </w:r>
    </w:p>
    <w:p>
      <w:pPr>
        <w:spacing w:after="0" w:line="116" w:lineRule="exact"/>
        <w:rPr>
          <w:sz w:val="20"/>
          <w:szCs w:val="20"/>
          <w:color w:val="auto"/>
        </w:rPr>
      </w:pPr>
    </w:p>
    <w:p>
      <w:pPr>
        <w:ind w:right="240"/>
        <w:spacing w:after="0" w:line="230" w:lineRule="auto"/>
        <w:rPr>
          <w:sz w:val="20"/>
          <w:szCs w:val="20"/>
          <w:color w:val="auto"/>
        </w:rPr>
      </w:pPr>
      <w:r>
        <w:rPr>
          <w:rFonts w:ascii="Arial" w:cs="Arial" w:eastAsia="Arial" w:hAnsi="Arial"/>
          <w:sz w:val="18"/>
          <w:szCs w:val="18"/>
          <w:b w:val="1"/>
          <w:bCs w:val="1"/>
          <w:color w:val="auto"/>
        </w:rPr>
        <w:t xml:space="preserve">Business Combinations. </w:t>
      </w:r>
      <w:r>
        <w:rPr>
          <w:rFonts w:ascii="Arial" w:cs="Arial" w:eastAsia="Arial" w:hAnsi="Arial"/>
          <w:sz w:val="18"/>
          <w:szCs w:val="18"/>
          <w:color w:val="auto"/>
        </w:rPr>
        <w:t>The purchase price of an acquisition is allocated to the assets acquired, including intangible assets, and liabilities</w:t>
      </w:r>
      <w:r>
        <w:rPr>
          <w:rFonts w:ascii="Arial" w:cs="Arial" w:eastAsia="Arial" w:hAnsi="Arial"/>
          <w:sz w:val="18"/>
          <w:szCs w:val="18"/>
          <w:b w:val="1"/>
          <w:bCs w:val="1"/>
          <w:color w:val="auto"/>
        </w:rPr>
        <w:t xml:space="preserve"> </w:t>
      </w:r>
      <w:r>
        <w:rPr>
          <w:rFonts w:ascii="Arial" w:cs="Arial" w:eastAsia="Arial" w:hAnsi="Arial"/>
          <w:sz w:val="18"/>
          <w:szCs w:val="18"/>
          <w:color w:val="auto"/>
        </w:rPr>
        <w:t>assumed, based on their respective fair values at the acquisition date. Acquisition-related costs are expensed as incurred. The excess of the cost of an acquired entity over the net of the amounts assigned to the assets acquired and liabilities assumed is recognized as goodwill. The net assets and results of operations of an acquired entity are included in the Company’s Consolidated Financial Statements from the acquisition date.</w:t>
      </w:r>
    </w:p>
    <w:p>
      <w:pPr>
        <w:spacing w:after="0" w:line="116" w:lineRule="exact"/>
        <w:rPr>
          <w:sz w:val="20"/>
          <w:szCs w:val="20"/>
          <w:color w:val="auto"/>
        </w:rPr>
      </w:pPr>
    </w:p>
    <w:p>
      <w:pPr>
        <w:ind w:right="380"/>
        <w:spacing w:after="0" w:line="256" w:lineRule="auto"/>
        <w:rPr>
          <w:sz w:val="20"/>
          <w:szCs w:val="20"/>
          <w:color w:val="auto"/>
        </w:rPr>
      </w:pPr>
      <w:r>
        <w:rPr>
          <w:rFonts w:ascii="Arial" w:cs="Arial" w:eastAsia="Arial" w:hAnsi="Arial"/>
          <w:sz w:val="18"/>
          <w:szCs w:val="18"/>
          <w:b w:val="1"/>
          <w:bCs w:val="1"/>
          <w:color w:val="auto"/>
        </w:rPr>
        <w:t xml:space="preserve">Cash and Cash Equivalents. </w:t>
      </w:r>
      <w:r>
        <w:rPr>
          <w:rFonts w:ascii="Arial" w:cs="Arial" w:eastAsia="Arial" w:hAnsi="Arial"/>
          <w:sz w:val="18"/>
          <w:szCs w:val="18"/>
          <w:color w:val="auto"/>
        </w:rPr>
        <w:t>Cash and cash equivalents consist of cash on hand, short-term investments with original maturities of three</w:t>
      </w:r>
      <w:r>
        <w:rPr>
          <w:rFonts w:ascii="Arial" w:cs="Arial" w:eastAsia="Arial" w:hAnsi="Arial"/>
          <w:sz w:val="18"/>
          <w:szCs w:val="18"/>
          <w:b w:val="1"/>
          <w:bCs w:val="1"/>
          <w:color w:val="auto"/>
        </w:rPr>
        <w:t xml:space="preserve"> </w:t>
      </w:r>
      <w:r>
        <w:rPr>
          <w:rFonts w:ascii="Arial" w:cs="Arial" w:eastAsia="Arial" w:hAnsi="Arial"/>
          <w:sz w:val="18"/>
          <w:szCs w:val="18"/>
          <w:color w:val="auto"/>
        </w:rPr>
        <w:t>months or less and investments in money market funds with weighted average maturities of three months or less.</w:t>
      </w:r>
    </w:p>
    <w:p>
      <w:pPr>
        <w:spacing w:after="0" w:line="99" w:lineRule="exact"/>
        <w:rPr>
          <w:sz w:val="20"/>
          <w:szCs w:val="20"/>
          <w:color w:val="auto"/>
        </w:rPr>
      </w:pPr>
    </w:p>
    <w:p>
      <w:pPr>
        <w:ind w:right="20"/>
        <w:spacing w:after="0" w:line="225" w:lineRule="auto"/>
        <w:rPr>
          <w:sz w:val="20"/>
          <w:szCs w:val="20"/>
          <w:color w:val="auto"/>
        </w:rPr>
      </w:pPr>
      <w:r>
        <w:rPr>
          <w:rFonts w:ascii="Arial" w:cs="Arial" w:eastAsia="Arial" w:hAnsi="Arial"/>
          <w:sz w:val="18"/>
          <w:szCs w:val="18"/>
          <w:b w:val="1"/>
          <w:bCs w:val="1"/>
          <w:color w:val="auto"/>
        </w:rPr>
        <w:t xml:space="preserve">Restricted Cash. </w:t>
      </w:r>
      <w:r>
        <w:rPr>
          <w:rFonts w:ascii="Arial" w:cs="Arial" w:eastAsia="Arial" w:hAnsi="Arial"/>
          <w:sz w:val="18"/>
          <w:szCs w:val="18"/>
          <w:color w:val="auto"/>
        </w:rPr>
        <w:t>Restricted cash represents amounts held for students that were received from U.S. Federal and state governments under</w:t>
      </w:r>
      <w:r>
        <w:rPr>
          <w:rFonts w:ascii="Arial" w:cs="Arial" w:eastAsia="Arial" w:hAnsi="Arial"/>
          <w:sz w:val="18"/>
          <w:szCs w:val="18"/>
          <w:b w:val="1"/>
          <w:bCs w:val="1"/>
          <w:color w:val="auto"/>
        </w:rPr>
        <w:t xml:space="preserve"> </w:t>
      </w:r>
      <w:r>
        <w:rPr>
          <w:rFonts w:ascii="Arial" w:cs="Arial" w:eastAsia="Arial" w:hAnsi="Arial"/>
          <w:sz w:val="18"/>
          <w:szCs w:val="18"/>
          <w:color w:val="auto"/>
        </w:rPr>
        <w:t>various aid grant and loan programs, such as Title IV of the U.S. Federal Higher Education Act of 1965 (Higher Education Act), as amended, that the Company is required to maintain pursuant to U.S. Department of Education (ED) and other regulations. Federal regulations stipulate that the Company has a fiduciary responsibility to segregate Federal funds from all other funds to ensure the funds are only used for the benefit of eligible students. The regulations further indicate that funds received under Federal aid programs are held in trust for the intended student beneficiary and the ED, and as trustee of these funds, the Company may not use the funds for any other purpose until the funds are applied to eligible student charges, which occurs within three days of the receipt of the funds. Restricted cash also includes (i) certain funds that the Company may be required to return if a student who receives Title IV program funds withdraws from a program and (ii) funds required to be held by non-U.S. higher education institutions for prepaid tuition.</w:t>
      </w:r>
    </w:p>
    <w:p>
      <w:pPr>
        <w:spacing w:after="0" w:line="200" w:lineRule="exact"/>
        <w:rPr>
          <w:sz w:val="20"/>
          <w:szCs w:val="20"/>
          <w:color w:val="auto"/>
        </w:rPr>
      </w:pPr>
    </w:p>
    <w:p>
      <w:pPr>
        <w:spacing w:after="0" w:line="30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76</w:t>
      </w:r>
    </w:p>
    <w:p>
      <w:pPr>
        <w:sectPr>
          <w:pgSz w:w="11900" w:h="16838" w:orient="portrait"/>
          <w:cols w:equalWidth="0" w:num="1">
            <w:col w:w="11420"/>
          </w:cols>
          <w:pgMar w:left="240" w:top="738" w:right="239" w:bottom="1440" w:gutter="0" w:footer="0" w:header="0"/>
        </w:sectPr>
      </w:pPr>
    </w:p>
    <w:bookmarkStart w:id="79" w:name="page80"/>
    <w:bookmarkEnd w:id="79"/>
    <w:p>
      <w:pPr>
        <w:ind w:right="160"/>
        <w:spacing w:after="0" w:line="230" w:lineRule="auto"/>
        <w:rPr>
          <w:sz w:val="20"/>
          <w:szCs w:val="20"/>
          <w:color w:val="auto"/>
        </w:rPr>
      </w:pPr>
      <w:r>
        <w:rPr>
          <w:rFonts w:ascii="Arial" w:cs="Arial" w:eastAsia="Arial" w:hAnsi="Arial"/>
          <w:sz w:val="18"/>
          <w:szCs w:val="18"/>
          <w:b w:val="1"/>
          <w:bCs w:val="1"/>
          <w:color w:val="auto"/>
        </w:rPr>
        <w:t xml:space="preserve">Concentration of Credit Risk. </w:t>
      </w:r>
      <w:r>
        <w:rPr>
          <w:rFonts w:ascii="Arial" w:cs="Arial" w:eastAsia="Arial" w:hAnsi="Arial"/>
          <w:sz w:val="18"/>
          <w:szCs w:val="18"/>
          <w:color w:val="auto"/>
        </w:rPr>
        <w:t>Cash and cash equivalents are maintained with several financial institutions domestically and internationally.</w:t>
      </w:r>
      <w:r>
        <w:rPr>
          <w:rFonts w:ascii="Arial" w:cs="Arial" w:eastAsia="Arial" w:hAnsi="Arial"/>
          <w:sz w:val="18"/>
          <w:szCs w:val="18"/>
          <w:b w:val="1"/>
          <w:bCs w:val="1"/>
          <w:color w:val="auto"/>
        </w:rPr>
        <w:t xml:space="preserve"> </w:t>
      </w:r>
      <w:r>
        <w:rPr>
          <w:rFonts w:ascii="Arial" w:cs="Arial" w:eastAsia="Arial" w:hAnsi="Arial"/>
          <w:sz w:val="18"/>
          <w:szCs w:val="18"/>
          <w:color w:val="auto"/>
        </w:rPr>
        <w:t>Deposits held with banks may exceed the amount of insurance provided on such deposits. Generally, these deposits may be redeemed upon demand and are maintained with financial institutions with investment-grade credit ratings. The Company routinely assesses the financial strength of significant customers, and this assessment, combined with the large number and geographical diversity of its customers, limits the Company’s concentration of risk with respect to trade accounts receivable.</w:t>
      </w:r>
    </w:p>
    <w:p>
      <w:pPr>
        <w:spacing w:after="0" w:line="116" w:lineRule="exact"/>
        <w:rPr>
          <w:sz w:val="20"/>
          <w:szCs w:val="20"/>
          <w:color w:val="auto"/>
        </w:rPr>
      </w:pPr>
    </w:p>
    <w:p>
      <w:pPr>
        <w:ind w:right="80"/>
        <w:spacing w:after="0" w:line="245" w:lineRule="auto"/>
        <w:rPr>
          <w:sz w:val="20"/>
          <w:szCs w:val="20"/>
          <w:color w:val="auto"/>
        </w:rPr>
      </w:pPr>
      <w:r>
        <w:rPr>
          <w:rFonts w:ascii="Arial" w:cs="Arial" w:eastAsia="Arial" w:hAnsi="Arial"/>
          <w:sz w:val="17"/>
          <w:szCs w:val="17"/>
          <w:b w:val="1"/>
          <w:bCs w:val="1"/>
          <w:color w:val="auto"/>
        </w:rPr>
        <w:t xml:space="preserve">Allowance for Doubtful Accounts. </w:t>
      </w:r>
      <w:r>
        <w:rPr>
          <w:rFonts w:ascii="Arial" w:cs="Arial" w:eastAsia="Arial" w:hAnsi="Arial"/>
          <w:sz w:val="17"/>
          <w:szCs w:val="17"/>
          <w:color w:val="auto"/>
        </w:rPr>
        <w:t>Accounts receivable have been reduced by an allowance for amounts that may be uncollectible in the</w:t>
      </w:r>
      <w:r>
        <w:rPr>
          <w:rFonts w:ascii="Arial" w:cs="Arial" w:eastAsia="Arial" w:hAnsi="Arial"/>
          <w:sz w:val="17"/>
          <w:szCs w:val="17"/>
          <w:b w:val="1"/>
          <w:bCs w:val="1"/>
          <w:color w:val="auto"/>
        </w:rPr>
        <w:t xml:space="preserve"> </w:t>
      </w:r>
      <w:r>
        <w:rPr>
          <w:rFonts w:ascii="Arial" w:cs="Arial" w:eastAsia="Arial" w:hAnsi="Arial"/>
          <w:sz w:val="17"/>
          <w:szCs w:val="17"/>
          <w:color w:val="auto"/>
        </w:rPr>
        <w:t>future. This estimated allowance is based primarily on the aging category, historical collection experience and management’s evaluation of the financial condition of the customer. The Company generally considers an account past due or delinquent when a student or customer misses a scheduled payment. The Company writes off accounts receivable balances deemed uncollectible against the allowance for doubtful accounts following the passage of a certain period of time, or generally when the account is turned over for collection to an outside collection agency.</w:t>
      </w:r>
    </w:p>
    <w:p>
      <w:pPr>
        <w:spacing w:after="0" w:line="110" w:lineRule="exact"/>
        <w:rPr>
          <w:sz w:val="20"/>
          <w:szCs w:val="20"/>
          <w:color w:val="auto"/>
        </w:rPr>
      </w:pPr>
    </w:p>
    <w:p>
      <w:pPr>
        <w:ind w:right="20"/>
        <w:spacing w:after="0" w:line="228" w:lineRule="auto"/>
        <w:rPr>
          <w:sz w:val="20"/>
          <w:szCs w:val="20"/>
          <w:color w:val="auto"/>
        </w:rPr>
      </w:pPr>
      <w:r>
        <w:rPr>
          <w:rFonts w:ascii="Arial" w:cs="Arial" w:eastAsia="Arial" w:hAnsi="Arial"/>
          <w:sz w:val="18"/>
          <w:szCs w:val="18"/>
          <w:b w:val="1"/>
          <w:bCs w:val="1"/>
          <w:color w:val="auto"/>
        </w:rPr>
        <w:t xml:space="preserve">Investments in Marketable Equity Securities. </w:t>
      </w:r>
      <w:r>
        <w:rPr>
          <w:rFonts w:ascii="Arial" w:cs="Arial" w:eastAsia="Arial" w:hAnsi="Arial"/>
          <w:sz w:val="18"/>
          <w:szCs w:val="18"/>
          <w:color w:val="auto"/>
        </w:rPr>
        <w:t>The Company’s investments in marketable equity securities are classified as available-for-sale</w:t>
      </w:r>
      <w:r>
        <w:rPr>
          <w:rFonts w:ascii="Arial" w:cs="Arial" w:eastAsia="Arial" w:hAnsi="Arial"/>
          <w:sz w:val="18"/>
          <w:szCs w:val="18"/>
          <w:b w:val="1"/>
          <w:bCs w:val="1"/>
          <w:color w:val="auto"/>
        </w:rPr>
        <w:t xml:space="preserve"> </w:t>
      </w:r>
      <w:r>
        <w:rPr>
          <w:rFonts w:ascii="Arial" w:cs="Arial" w:eastAsia="Arial" w:hAnsi="Arial"/>
          <w:sz w:val="18"/>
          <w:szCs w:val="18"/>
          <w:color w:val="auto"/>
        </w:rPr>
        <w:t>and, therefore, are recorded at fair value in the Consolidated Financial Statements, with the change in fair value during the period excluded from earnings and recorded net of income taxes as a separate component of other comprehensive income. If the fair value of a marketable equity security declines below its cost basis and the decline is considered other than temporary, the Company will record a write-down, which is included in earnings. The Company uses the average cost method to determine the basis of the securities sold or reclassified out of other comprehensive income.</w:t>
      </w:r>
    </w:p>
    <w:p>
      <w:pPr>
        <w:spacing w:after="0" w:line="117" w:lineRule="exact"/>
        <w:rPr>
          <w:sz w:val="20"/>
          <w:szCs w:val="20"/>
          <w:color w:val="auto"/>
        </w:rPr>
      </w:pPr>
    </w:p>
    <w:p>
      <w:pPr>
        <w:ind w:right="20"/>
        <w:spacing w:after="0" w:line="227" w:lineRule="auto"/>
        <w:rPr>
          <w:sz w:val="20"/>
          <w:szCs w:val="20"/>
          <w:color w:val="auto"/>
        </w:rPr>
      </w:pPr>
      <w:r>
        <w:rPr>
          <w:rFonts w:ascii="Arial" w:cs="Arial" w:eastAsia="Arial" w:hAnsi="Arial"/>
          <w:sz w:val="18"/>
          <w:szCs w:val="18"/>
          <w:b w:val="1"/>
          <w:bCs w:val="1"/>
          <w:color w:val="auto"/>
        </w:rPr>
        <w:t xml:space="preserve">Fair Value Measurements. </w:t>
      </w:r>
      <w:r>
        <w:rPr>
          <w:rFonts w:ascii="Arial" w:cs="Arial" w:eastAsia="Arial" w:hAnsi="Arial"/>
          <w:sz w:val="18"/>
          <w:szCs w:val="18"/>
          <w:color w:val="auto"/>
        </w:rPr>
        <w:t>Fair value measurements are determined based on the assumptions that a market participant would use in pricing</w:t>
      </w:r>
      <w:r>
        <w:rPr>
          <w:rFonts w:ascii="Arial" w:cs="Arial" w:eastAsia="Arial" w:hAnsi="Arial"/>
          <w:sz w:val="18"/>
          <w:szCs w:val="18"/>
          <w:b w:val="1"/>
          <w:bCs w:val="1"/>
          <w:color w:val="auto"/>
        </w:rPr>
        <w:t xml:space="preserve"> </w:t>
      </w:r>
      <w:r>
        <w:rPr>
          <w:rFonts w:ascii="Arial" w:cs="Arial" w:eastAsia="Arial" w:hAnsi="Arial"/>
          <w:sz w:val="18"/>
          <w:szCs w:val="18"/>
          <w:color w:val="auto"/>
        </w:rPr>
        <w:t>an asset or liability based on a three-tiered hierarchy that draws a distinction between market participant assumptions based on (i) observable inputs, such as quoted prices in active markets (Level 1); (ii) inputs other than quoted prices in active markets that are observable either directly or indirectly (Level 2); and (iii) unobservable inputs that require the Company to use present value and other valuation techniques in the determination of fair value (Level 3). Financial assets and liabilities are classified in their entirety based on the lowest level of input that is significant to the fair value measure. The Company’s assessment of the significance of a particular input to the fair value measurements requires judgment and may affect the valuation of the assets and liabilities being measured and their placement within the fair value hierarchy.</w:t>
      </w:r>
    </w:p>
    <w:p>
      <w:pPr>
        <w:spacing w:after="0" w:line="137" w:lineRule="exact"/>
        <w:rPr>
          <w:sz w:val="20"/>
          <w:szCs w:val="20"/>
          <w:color w:val="auto"/>
        </w:rPr>
      </w:pPr>
    </w:p>
    <w:p>
      <w:pPr>
        <w:ind w:right="160"/>
        <w:spacing w:after="0" w:line="227" w:lineRule="auto"/>
        <w:rPr>
          <w:sz w:val="20"/>
          <w:szCs w:val="20"/>
          <w:color w:val="auto"/>
        </w:rPr>
      </w:pPr>
      <w:r>
        <w:rPr>
          <w:rFonts w:ascii="Arial" w:cs="Arial" w:eastAsia="Arial" w:hAnsi="Arial"/>
          <w:sz w:val="18"/>
          <w:szCs w:val="18"/>
          <w:color w:val="auto"/>
        </w:rPr>
        <w:t>For assets that are measured using quoted prices in active markets, the total fair value is the published market price per unit multiplied by the number of units held, without consideration of transaction costs. Assets and liabilities that are measured using significant other observable inputs are primarily valued by reference to quoted prices of similar assets or liabilities in active markets, adjusted for any terms specific to that asset or liability.</w:t>
      </w:r>
    </w:p>
    <w:p>
      <w:pPr>
        <w:spacing w:after="0" w:line="135" w:lineRule="exact"/>
        <w:rPr>
          <w:sz w:val="20"/>
          <w:szCs w:val="20"/>
          <w:color w:val="auto"/>
        </w:rPr>
      </w:pPr>
    </w:p>
    <w:p>
      <w:pPr>
        <w:spacing w:after="0" w:line="227" w:lineRule="auto"/>
        <w:rPr>
          <w:sz w:val="20"/>
          <w:szCs w:val="20"/>
          <w:color w:val="auto"/>
        </w:rPr>
      </w:pPr>
      <w:r>
        <w:rPr>
          <w:rFonts w:ascii="Arial" w:cs="Arial" w:eastAsia="Arial" w:hAnsi="Arial"/>
          <w:sz w:val="18"/>
          <w:szCs w:val="18"/>
          <w:color w:val="auto"/>
        </w:rPr>
        <w:t>The Company measures certain assets—including goodwill; intangible assets; property, plant and equipment; cost and equity-method investments—at fair value on a nonrecurring basis when they are deemed to be impaired. The fair value of these assets is determined with valuation techniques using the best information available and may include quoted market prices, market comparables and discounted cash flow models.</w:t>
      </w:r>
    </w:p>
    <w:p>
      <w:pPr>
        <w:spacing w:after="0" w:line="113" w:lineRule="exact"/>
        <w:rPr>
          <w:sz w:val="20"/>
          <w:szCs w:val="20"/>
          <w:color w:val="auto"/>
        </w:rPr>
      </w:pPr>
    </w:p>
    <w:p>
      <w:pPr>
        <w:spacing w:after="0" w:line="228" w:lineRule="auto"/>
        <w:rPr>
          <w:sz w:val="20"/>
          <w:szCs w:val="20"/>
          <w:color w:val="auto"/>
        </w:rPr>
      </w:pPr>
      <w:r>
        <w:rPr>
          <w:rFonts w:ascii="Arial" w:cs="Arial" w:eastAsia="Arial" w:hAnsi="Arial"/>
          <w:sz w:val="18"/>
          <w:szCs w:val="18"/>
          <w:b w:val="1"/>
          <w:bCs w:val="1"/>
          <w:color w:val="auto"/>
        </w:rPr>
        <w:t xml:space="preserve">Fair Value of Financial Instruments. </w:t>
      </w:r>
      <w:r>
        <w:rPr>
          <w:rFonts w:ascii="Arial" w:cs="Arial" w:eastAsia="Arial" w:hAnsi="Arial"/>
          <w:sz w:val="18"/>
          <w:szCs w:val="18"/>
          <w:color w:val="auto"/>
        </w:rPr>
        <w:t>The carrying amounts reported in the Company’s Consolidated Financial Statements for cash and cash</w:t>
      </w:r>
      <w:r>
        <w:rPr>
          <w:rFonts w:ascii="Arial" w:cs="Arial" w:eastAsia="Arial" w:hAnsi="Arial"/>
          <w:sz w:val="18"/>
          <w:szCs w:val="18"/>
          <w:b w:val="1"/>
          <w:bCs w:val="1"/>
          <w:color w:val="auto"/>
        </w:rPr>
        <w:t xml:space="preserve"> </w:t>
      </w:r>
      <w:r>
        <w:rPr>
          <w:rFonts w:ascii="Arial" w:cs="Arial" w:eastAsia="Arial" w:hAnsi="Arial"/>
          <w:sz w:val="18"/>
          <w:szCs w:val="18"/>
          <w:color w:val="auto"/>
        </w:rPr>
        <w:t>equivalents, restricted cash, accounts receivable, accounts payable and accrued liabilities, the current portion of deferred revenue and the current portion of debt approximate fair value because of the short-term nature of these financial instruments. The fair value of long-term debt is determined based on a number of observable inputs, including the current market activity of the Company’s publicly traded notes, trends in investor demands and market values of comparable publicly traded debt. The fair value of the interest rate hedge is determined based on a number of observable inputs, including time to maturity and market interest rates.</w:t>
      </w:r>
    </w:p>
    <w:p>
      <w:pPr>
        <w:spacing w:after="0" w:line="117" w:lineRule="exact"/>
        <w:rPr>
          <w:sz w:val="20"/>
          <w:szCs w:val="20"/>
          <w:color w:val="auto"/>
        </w:rPr>
      </w:pPr>
    </w:p>
    <w:p>
      <w:pPr>
        <w:ind w:right="120"/>
        <w:spacing w:after="0" w:line="230" w:lineRule="auto"/>
        <w:rPr>
          <w:sz w:val="20"/>
          <w:szCs w:val="20"/>
          <w:color w:val="auto"/>
        </w:rPr>
      </w:pPr>
      <w:r>
        <w:rPr>
          <w:rFonts w:ascii="Arial" w:cs="Arial" w:eastAsia="Arial" w:hAnsi="Arial"/>
          <w:sz w:val="18"/>
          <w:szCs w:val="18"/>
          <w:b w:val="1"/>
          <w:bCs w:val="1"/>
          <w:color w:val="auto"/>
        </w:rPr>
        <w:t xml:space="preserve">Inventories and Contracts in Progress. </w:t>
      </w:r>
      <w:r>
        <w:rPr>
          <w:rFonts w:ascii="Arial" w:cs="Arial" w:eastAsia="Arial" w:hAnsi="Arial"/>
          <w:sz w:val="18"/>
          <w:szCs w:val="18"/>
          <w:color w:val="auto"/>
        </w:rPr>
        <w:t>Inventories and contracts in progress are stated at the lower of cost or net realizable values and are</w:t>
      </w:r>
      <w:r>
        <w:rPr>
          <w:rFonts w:ascii="Arial" w:cs="Arial" w:eastAsia="Arial" w:hAnsi="Arial"/>
          <w:sz w:val="18"/>
          <w:szCs w:val="18"/>
          <w:b w:val="1"/>
          <w:bCs w:val="1"/>
          <w:color w:val="auto"/>
        </w:rPr>
        <w:t xml:space="preserve"> </w:t>
      </w:r>
      <w:r>
        <w:rPr>
          <w:rFonts w:ascii="Arial" w:cs="Arial" w:eastAsia="Arial" w:hAnsi="Arial"/>
          <w:sz w:val="18"/>
          <w:szCs w:val="18"/>
          <w:color w:val="auto"/>
        </w:rPr>
        <w:t>based on the first-in, first-out (FIFO) method. Inventory costs include direct material, direct and indirect labor, and applicable manufacturing overhead. The Company allocates manufacturing overhead based on normal production capacity and recognizes unabsorbed manufacturing costs in earnings. The provision for excess and obsolete inventory is based on management’s evaluation of inventories on hand relative to historical usage, estimated future usage and technological developments.</w:t>
      </w:r>
    </w:p>
    <w:p>
      <w:pPr>
        <w:spacing w:after="0" w:line="116" w:lineRule="exact"/>
        <w:rPr>
          <w:sz w:val="20"/>
          <w:szCs w:val="20"/>
          <w:color w:val="auto"/>
        </w:rPr>
      </w:pPr>
    </w:p>
    <w:p>
      <w:pPr>
        <w:jc w:val="both"/>
        <w:ind w:right="80"/>
        <w:spacing w:after="0" w:line="230" w:lineRule="auto"/>
        <w:rPr>
          <w:sz w:val="20"/>
          <w:szCs w:val="20"/>
          <w:color w:val="auto"/>
        </w:rPr>
      </w:pPr>
      <w:r>
        <w:rPr>
          <w:rFonts w:ascii="Arial" w:cs="Arial" w:eastAsia="Arial" w:hAnsi="Arial"/>
          <w:sz w:val="18"/>
          <w:szCs w:val="18"/>
          <w:b w:val="1"/>
          <w:bCs w:val="1"/>
          <w:color w:val="auto"/>
        </w:rPr>
        <w:t xml:space="preserve">Property, Plant and Equipment. </w:t>
      </w:r>
      <w:r>
        <w:rPr>
          <w:rFonts w:ascii="Arial" w:cs="Arial" w:eastAsia="Arial" w:hAnsi="Arial"/>
          <w:sz w:val="18"/>
          <w:szCs w:val="18"/>
          <w:color w:val="auto"/>
        </w:rPr>
        <w:t>Property, plant and equipment is recorded at cost and includes interest capitalized in connection with major</w:t>
      </w:r>
      <w:r>
        <w:rPr>
          <w:rFonts w:ascii="Arial" w:cs="Arial" w:eastAsia="Arial" w:hAnsi="Arial"/>
          <w:sz w:val="18"/>
          <w:szCs w:val="18"/>
          <w:b w:val="1"/>
          <w:bCs w:val="1"/>
          <w:color w:val="auto"/>
        </w:rPr>
        <w:t xml:space="preserve"> </w:t>
      </w:r>
      <w:r>
        <w:rPr>
          <w:rFonts w:ascii="Arial" w:cs="Arial" w:eastAsia="Arial" w:hAnsi="Arial"/>
          <w:sz w:val="18"/>
          <w:szCs w:val="18"/>
          <w:color w:val="auto"/>
        </w:rPr>
        <w:t>long-term construction projects. Replacements and major improvements are capitalized; maintenance and repairs are expensed as incurred. Depreciation is calculated using the straight-line method over the estimated useful lives of the property, plant and equipment: 3 to 20 years for machinery and equipment; 20 to 50 years for buildings. The costs of leasehold improvements are amortized over the lesser of their useful lives or the terms of the respective leases.</w:t>
      </w:r>
    </w:p>
    <w:p>
      <w:pPr>
        <w:spacing w:after="0" w:line="200" w:lineRule="exact"/>
        <w:rPr>
          <w:sz w:val="20"/>
          <w:szCs w:val="20"/>
          <w:color w:val="auto"/>
        </w:rPr>
      </w:pPr>
    </w:p>
    <w:p>
      <w:pPr>
        <w:spacing w:after="0" w:line="30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77</w:t>
      </w:r>
    </w:p>
    <w:p>
      <w:pPr>
        <w:sectPr>
          <w:pgSz w:w="11900" w:h="16838" w:orient="portrait"/>
          <w:cols w:equalWidth="0" w:num="1">
            <w:col w:w="11420"/>
          </w:cols>
          <w:pgMar w:left="240" w:top="724" w:right="239" w:bottom="1440" w:gutter="0" w:footer="0" w:header="0"/>
        </w:sectPr>
      </w:pPr>
    </w:p>
    <w:bookmarkStart w:id="80" w:name="page81"/>
    <w:bookmarkEnd w:id="80"/>
    <w:p>
      <w:pPr>
        <w:ind w:right="180"/>
        <w:spacing w:after="0" w:line="230" w:lineRule="auto"/>
        <w:rPr>
          <w:sz w:val="20"/>
          <w:szCs w:val="20"/>
          <w:color w:val="auto"/>
        </w:rPr>
      </w:pPr>
      <w:r>
        <w:rPr>
          <w:rFonts w:ascii="Arial" w:cs="Arial" w:eastAsia="Arial" w:hAnsi="Arial"/>
          <w:sz w:val="18"/>
          <w:szCs w:val="18"/>
          <w:b w:val="1"/>
          <w:bCs w:val="1"/>
          <w:color w:val="auto"/>
        </w:rPr>
        <w:t xml:space="preserve">Evaluation of Long-Lived Assets. </w:t>
      </w:r>
      <w:r>
        <w:rPr>
          <w:rFonts w:ascii="Arial" w:cs="Arial" w:eastAsia="Arial" w:hAnsi="Arial"/>
          <w:sz w:val="18"/>
          <w:szCs w:val="18"/>
          <w:color w:val="auto"/>
        </w:rPr>
        <w:t>The recoverability of long-lived assets and finite-lived intangible assets is assessed whenever adverse</w:t>
      </w:r>
      <w:r>
        <w:rPr>
          <w:rFonts w:ascii="Arial" w:cs="Arial" w:eastAsia="Arial" w:hAnsi="Arial"/>
          <w:sz w:val="18"/>
          <w:szCs w:val="18"/>
          <w:b w:val="1"/>
          <w:bCs w:val="1"/>
          <w:color w:val="auto"/>
        </w:rPr>
        <w:t xml:space="preserve"> </w:t>
      </w:r>
      <w:r>
        <w:rPr>
          <w:rFonts w:ascii="Arial" w:cs="Arial" w:eastAsia="Arial" w:hAnsi="Arial"/>
          <w:sz w:val="18"/>
          <w:szCs w:val="18"/>
          <w:color w:val="auto"/>
        </w:rPr>
        <w:t>events or changes in circumstances indicate that recorded values may not be recoverable. A long-lived asset is considered to not be recoverable when the undiscounted estimated future cash flows are less than the asset’s recorded value. An impairment charge is measured based on estimated fair market value, determined primarily using estimated future cash flows on a discounted basis. Losses on long-lived assets to be disposed of are determined in a similar manner, but the fair market value would be reduced for estimated costs to dispose.</w:t>
      </w:r>
    </w:p>
    <w:p>
      <w:pPr>
        <w:spacing w:after="0" w:line="116" w:lineRule="exact"/>
        <w:rPr>
          <w:sz w:val="20"/>
          <w:szCs w:val="20"/>
          <w:color w:val="auto"/>
        </w:rPr>
      </w:pPr>
    </w:p>
    <w:p>
      <w:pPr>
        <w:ind w:right="40"/>
        <w:spacing w:after="0" w:line="233" w:lineRule="auto"/>
        <w:rPr>
          <w:sz w:val="20"/>
          <w:szCs w:val="20"/>
          <w:color w:val="auto"/>
        </w:rPr>
      </w:pPr>
      <w:r>
        <w:rPr>
          <w:rFonts w:ascii="Arial" w:cs="Arial" w:eastAsia="Arial" w:hAnsi="Arial"/>
          <w:sz w:val="18"/>
          <w:szCs w:val="18"/>
          <w:b w:val="1"/>
          <w:bCs w:val="1"/>
          <w:color w:val="auto"/>
        </w:rPr>
        <w:t xml:space="preserve">Goodwill and Other Intangible Assets. </w:t>
      </w:r>
      <w:r>
        <w:rPr>
          <w:rFonts w:ascii="Arial" w:cs="Arial" w:eastAsia="Arial" w:hAnsi="Arial"/>
          <w:sz w:val="18"/>
          <w:szCs w:val="18"/>
          <w:color w:val="auto"/>
        </w:rPr>
        <w:t>Goodwill is the excess of purchase price over the fair value of identified net assets of businesses</w:t>
      </w:r>
      <w:r>
        <w:rPr>
          <w:rFonts w:ascii="Arial" w:cs="Arial" w:eastAsia="Arial" w:hAnsi="Arial"/>
          <w:sz w:val="18"/>
          <w:szCs w:val="18"/>
          <w:b w:val="1"/>
          <w:bCs w:val="1"/>
          <w:color w:val="auto"/>
        </w:rPr>
        <w:t xml:space="preserve"> </w:t>
      </w:r>
      <w:r>
        <w:rPr>
          <w:rFonts w:ascii="Arial" w:cs="Arial" w:eastAsia="Arial" w:hAnsi="Arial"/>
          <w:sz w:val="18"/>
          <w:szCs w:val="18"/>
          <w:color w:val="auto"/>
        </w:rPr>
        <w:t>acquired. The Company’s intangible assets with an indefinite life are principally from trade names and trademarks, and FCC licenses. Amortized intangible assets are primarily student and customer relationships and trade names and trademarks, with amortization periods up to 10 years. Costs associated with renewing or extending intangible assets are insignificant and expensed as incurred.</w:t>
      </w:r>
    </w:p>
    <w:p>
      <w:pPr>
        <w:spacing w:after="0" w:line="137" w:lineRule="exact"/>
        <w:rPr>
          <w:sz w:val="20"/>
          <w:szCs w:val="20"/>
          <w:color w:val="auto"/>
        </w:rPr>
      </w:pPr>
    </w:p>
    <w:p>
      <w:pPr>
        <w:spacing w:after="0" w:line="221" w:lineRule="auto"/>
        <w:rPr>
          <w:sz w:val="20"/>
          <w:szCs w:val="20"/>
          <w:color w:val="auto"/>
        </w:rPr>
      </w:pPr>
      <w:r>
        <w:rPr>
          <w:rFonts w:ascii="Arial" w:cs="Arial" w:eastAsia="Arial" w:hAnsi="Arial"/>
          <w:sz w:val="18"/>
          <w:szCs w:val="18"/>
          <w:color w:val="auto"/>
        </w:rPr>
        <w:t>The Company reviews goodwill and indefinite-lived intangible assets at least annually, as of November 30, for possible impairment. Goodwill and indefinite-lived intangible assets are reviewed for possible impairment between annual tests if an event occurs or circumstances change that would more likely than not reduce the fair value of the reporting unit or indefinite-lived intangible asset below its carrying value. The Company tests its goodwill at the reporting unit level, which is an operating segment or one level below an operating segment. The Company initially assesses qualitative factors to determine if it is necessary to perform the goodwill or indefinite-lived intangible asset quantitative impairment review. The Company reviews the goodwill and indefinite-lived assets for impairment using the quantitative process if, based on its assessment of the qualitative factors, it determines that it is more likely than not that the fair value of a reporting unit or indefinite-lived intangible asset is less than its carrying value, or if it decides to bypass the qualitative assessment. The Company reviews the carrying value of goodwill and indefinite-lived intangible assets utilizing a discounted cash flow model, and, where appropriate, a market value approach is also utilized to supplement the discounted cash flow model. The Company makes assumptions regarding estimated future cash flows, discount rates, long-term growth rates and market values to determine the estimated fair value of each reporting unit and indefinite-lived intangible asset. If these estimates or related assumptions change in the future, the Company may be required to record impairment charges.</w:t>
      </w:r>
    </w:p>
    <w:p>
      <w:pPr>
        <w:spacing w:after="0" w:line="122" w:lineRule="exact"/>
        <w:rPr>
          <w:sz w:val="20"/>
          <w:szCs w:val="20"/>
          <w:color w:val="auto"/>
        </w:rPr>
      </w:pPr>
    </w:p>
    <w:p>
      <w:pPr>
        <w:ind w:right="40"/>
        <w:spacing w:after="0" w:line="228" w:lineRule="auto"/>
        <w:rPr>
          <w:sz w:val="20"/>
          <w:szCs w:val="20"/>
          <w:color w:val="auto"/>
        </w:rPr>
      </w:pPr>
      <w:r>
        <w:rPr>
          <w:rFonts w:ascii="Arial" w:cs="Arial" w:eastAsia="Arial" w:hAnsi="Arial"/>
          <w:sz w:val="18"/>
          <w:szCs w:val="18"/>
          <w:b w:val="1"/>
          <w:bCs w:val="1"/>
          <w:color w:val="auto"/>
        </w:rPr>
        <w:t xml:space="preserve">Investments in Affiliates. </w:t>
      </w:r>
      <w:r>
        <w:rPr>
          <w:rFonts w:ascii="Arial" w:cs="Arial" w:eastAsia="Arial" w:hAnsi="Arial"/>
          <w:sz w:val="18"/>
          <w:szCs w:val="18"/>
          <w:color w:val="auto"/>
        </w:rPr>
        <w:t>The Company uses the equity method of accounting for its investments in and earnings or losses of affiliates that it</w:t>
      </w:r>
      <w:r>
        <w:rPr>
          <w:rFonts w:ascii="Arial" w:cs="Arial" w:eastAsia="Arial" w:hAnsi="Arial"/>
          <w:sz w:val="18"/>
          <w:szCs w:val="18"/>
          <w:b w:val="1"/>
          <w:bCs w:val="1"/>
          <w:color w:val="auto"/>
        </w:rPr>
        <w:t xml:space="preserve"> </w:t>
      </w:r>
      <w:r>
        <w:rPr>
          <w:rFonts w:ascii="Arial" w:cs="Arial" w:eastAsia="Arial" w:hAnsi="Arial"/>
          <w:sz w:val="18"/>
          <w:szCs w:val="18"/>
          <w:color w:val="auto"/>
        </w:rPr>
        <w:t>does not control, but over which it exerts significant influence. The Company considers whether the fair values of any of its equity method investments have declined below their carrying values whenever adverse events or changes in circumstances indicate that recorded values may not be recoverable. If the Company considered any such decline to be other than temporary (based on various factors, including historical financial results, product development activities and the overall health of the affiliate’s industry), a write-down would be recorded to estimated fair value.</w:t>
      </w:r>
    </w:p>
    <w:p>
      <w:pPr>
        <w:spacing w:after="0" w:line="117" w:lineRule="exact"/>
        <w:rPr>
          <w:sz w:val="20"/>
          <w:szCs w:val="20"/>
          <w:color w:val="auto"/>
        </w:rPr>
      </w:pPr>
    </w:p>
    <w:p>
      <w:pPr>
        <w:ind w:right="100"/>
        <w:spacing w:after="0" w:line="227" w:lineRule="auto"/>
        <w:rPr>
          <w:sz w:val="20"/>
          <w:szCs w:val="20"/>
          <w:color w:val="auto"/>
        </w:rPr>
      </w:pPr>
      <w:r>
        <w:rPr>
          <w:rFonts w:ascii="Arial" w:cs="Arial" w:eastAsia="Arial" w:hAnsi="Arial"/>
          <w:sz w:val="18"/>
          <w:szCs w:val="18"/>
          <w:b w:val="1"/>
          <w:bCs w:val="1"/>
          <w:color w:val="auto"/>
        </w:rPr>
        <w:t xml:space="preserve">Cost Method Investments. </w:t>
      </w:r>
      <w:r>
        <w:rPr>
          <w:rFonts w:ascii="Arial" w:cs="Arial" w:eastAsia="Arial" w:hAnsi="Arial"/>
          <w:sz w:val="18"/>
          <w:szCs w:val="18"/>
          <w:color w:val="auto"/>
        </w:rPr>
        <w:t>The Company uses the cost method of accounting for its minority investments in nonpublic companies where it</w:t>
      </w:r>
      <w:r>
        <w:rPr>
          <w:rFonts w:ascii="Arial" w:cs="Arial" w:eastAsia="Arial" w:hAnsi="Arial"/>
          <w:sz w:val="18"/>
          <w:szCs w:val="18"/>
          <w:b w:val="1"/>
          <w:bCs w:val="1"/>
          <w:color w:val="auto"/>
        </w:rPr>
        <w:t xml:space="preserve"> </w:t>
      </w:r>
      <w:r>
        <w:rPr>
          <w:rFonts w:ascii="Arial" w:cs="Arial" w:eastAsia="Arial" w:hAnsi="Arial"/>
          <w:sz w:val="18"/>
          <w:szCs w:val="18"/>
          <w:color w:val="auto"/>
        </w:rPr>
        <w:t>does not have significant influence over the operations and management of the investee. Investments are recorded at the lower of cost or fair value as estimated by management. Charges recorded to write down cost method investments to their estimated fair value and gross realized gains or losses upon the sale of cost method investments are included in other income (expense), net, in the Company’s Consolidated Statements of Operations. Fair value estimates are based on a review of the investees’ product development activities, historical financial results and projected discounted cash flows. The Company includes cost method investments in deferred charges and other assets in the Company’s Consolidated Balance Sheets.</w:t>
      </w:r>
    </w:p>
    <w:p>
      <w:pPr>
        <w:spacing w:after="0" w:line="115" w:lineRule="exact"/>
        <w:rPr>
          <w:sz w:val="20"/>
          <w:szCs w:val="20"/>
          <w:color w:val="auto"/>
        </w:rPr>
      </w:pPr>
    </w:p>
    <w:p>
      <w:pPr>
        <w:ind w:right="220"/>
        <w:spacing w:after="0" w:line="238" w:lineRule="auto"/>
        <w:rPr>
          <w:sz w:val="20"/>
          <w:szCs w:val="20"/>
          <w:color w:val="auto"/>
        </w:rPr>
      </w:pPr>
      <w:r>
        <w:rPr>
          <w:rFonts w:ascii="Arial" w:cs="Arial" w:eastAsia="Arial" w:hAnsi="Arial"/>
          <w:sz w:val="18"/>
          <w:szCs w:val="18"/>
          <w:b w:val="1"/>
          <w:bCs w:val="1"/>
          <w:color w:val="auto"/>
        </w:rPr>
        <w:t xml:space="preserve">Revenue Recognition. </w:t>
      </w:r>
      <w:r>
        <w:rPr>
          <w:rFonts w:ascii="Arial" w:cs="Arial" w:eastAsia="Arial" w:hAnsi="Arial"/>
          <w:sz w:val="18"/>
          <w:szCs w:val="18"/>
          <w:color w:val="auto"/>
        </w:rPr>
        <w:t>Revenue is recognized when persuasive evidence of an arrangement exists, the fees are fixed or determinable, the</w:t>
      </w:r>
      <w:r>
        <w:rPr>
          <w:rFonts w:ascii="Arial" w:cs="Arial" w:eastAsia="Arial" w:hAnsi="Arial"/>
          <w:sz w:val="18"/>
          <w:szCs w:val="18"/>
          <w:b w:val="1"/>
          <w:bCs w:val="1"/>
          <w:color w:val="auto"/>
        </w:rPr>
        <w:t xml:space="preserve"> </w:t>
      </w:r>
      <w:r>
        <w:rPr>
          <w:rFonts w:ascii="Arial" w:cs="Arial" w:eastAsia="Arial" w:hAnsi="Arial"/>
          <w:sz w:val="18"/>
          <w:szCs w:val="18"/>
          <w:color w:val="auto"/>
        </w:rPr>
        <w:t>product or service has been delivered and collectability is reasonably assured. The Company considers the terms of each arrangement to determine the appropriate accounting treatment.</w:t>
      </w:r>
    </w:p>
    <w:p>
      <w:pPr>
        <w:spacing w:after="0" w:line="118" w:lineRule="exact"/>
        <w:rPr>
          <w:sz w:val="20"/>
          <w:szCs w:val="20"/>
          <w:color w:val="auto"/>
        </w:rPr>
      </w:pPr>
    </w:p>
    <w:p>
      <w:pPr>
        <w:ind w:right="140"/>
        <w:spacing w:after="0" w:line="228" w:lineRule="auto"/>
        <w:rPr>
          <w:sz w:val="20"/>
          <w:szCs w:val="20"/>
          <w:color w:val="auto"/>
        </w:rPr>
      </w:pPr>
      <w:r>
        <w:rPr>
          <w:rFonts w:ascii="Arial" w:cs="Arial" w:eastAsia="Arial" w:hAnsi="Arial"/>
          <w:sz w:val="18"/>
          <w:szCs w:val="18"/>
          <w:i w:val="1"/>
          <w:iCs w:val="1"/>
          <w:color w:val="auto"/>
        </w:rPr>
        <w:t xml:space="preserve">Education revenues. </w:t>
      </w:r>
      <w:r>
        <w:rPr>
          <w:rFonts w:ascii="Arial" w:cs="Arial" w:eastAsia="Arial" w:hAnsi="Arial"/>
          <w:sz w:val="18"/>
          <w:szCs w:val="18"/>
          <w:color w:val="auto"/>
        </w:rPr>
        <w:t>Tuition revenue is recognized ratably over the period of instruction as services are delivered to students, net of any</w:t>
      </w:r>
      <w:r>
        <w:rPr>
          <w:rFonts w:ascii="Arial" w:cs="Arial" w:eastAsia="Arial" w:hAnsi="Arial"/>
          <w:sz w:val="18"/>
          <w:szCs w:val="18"/>
          <w:i w:val="1"/>
          <w:iCs w:val="1"/>
          <w:color w:val="auto"/>
        </w:rPr>
        <w:t xml:space="preserve"> </w:t>
      </w:r>
      <w:r>
        <w:rPr>
          <w:rFonts w:ascii="Arial" w:cs="Arial" w:eastAsia="Arial" w:hAnsi="Arial"/>
          <w:sz w:val="18"/>
          <w:szCs w:val="18"/>
          <w:color w:val="auto"/>
        </w:rPr>
        <w:t>refunds, corporate discounts, scholarships and employee tuition discounts. At KTP and International divisions, estimates of average student course length are developed for each course, and these estimates are evaluated on an ongoing basis and adjusted as necessary. Online access revenue is recognized ratably over the period of access. Course material revenue is recognized over the same period as the tuition or online access, if related, or when the products are delivered, if not related. Other revenues, such as student support services, are recognized when the services are provided.</w:t>
      </w:r>
    </w:p>
    <w:p>
      <w:pPr>
        <w:spacing w:after="0" w:line="135" w:lineRule="exact"/>
        <w:rPr>
          <w:sz w:val="20"/>
          <w:szCs w:val="20"/>
          <w:color w:val="auto"/>
        </w:rPr>
      </w:pPr>
    </w:p>
    <w:p>
      <w:pPr>
        <w:ind w:right="280"/>
        <w:spacing w:after="0" w:line="225" w:lineRule="auto"/>
        <w:rPr>
          <w:sz w:val="20"/>
          <w:szCs w:val="20"/>
          <w:color w:val="auto"/>
        </w:rPr>
      </w:pPr>
      <w:r>
        <w:rPr>
          <w:rFonts w:ascii="Arial" w:cs="Arial" w:eastAsia="Arial" w:hAnsi="Arial"/>
          <w:sz w:val="18"/>
          <w:szCs w:val="18"/>
          <w:color w:val="auto"/>
        </w:rPr>
        <w:t>KHE, through the Kaplan Commitment program, provides first-time undergraduate students with a risk-free trial period. Under the program, KHE monitors academic progress and conducts assessments to help determine whether students are likely to be successful in their chosen course of study. Students who withdraw or are subject to dismissal during the risk-free trial period do not incur any significant financial obligation. The Company does not recognize revenues related to coursework until the students complete the risk-free period and decide to continue with their studies, at which time the fees become fixed or determinable.</w:t>
      </w:r>
    </w:p>
    <w:p>
      <w:pPr>
        <w:spacing w:after="0" w:line="200" w:lineRule="exact"/>
        <w:rPr>
          <w:sz w:val="20"/>
          <w:szCs w:val="20"/>
          <w:color w:val="auto"/>
        </w:rPr>
      </w:pPr>
    </w:p>
    <w:p>
      <w:pPr>
        <w:spacing w:after="0" w:line="302"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78</w:t>
      </w:r>
    </w:p>
    <w:p>
      <w:pPr>
        <w:sectPr>
          <w:pgSz w:w="11900" w:h="16838" w:orient="portrait"/>
          <w:cols w:equalWidth="0" w:num="1">
            <w:col w:w="11380"/>
          </w:cols>
          <w:pgMar w:left="240" w:top="724" w:right="279" w:bottom="1440" w:gutter="0" w:footer="0" w:header="0"/>
        </w:sectPr>
      </w:pPr>
    </w:p>
    <w:bookmarkStart w:id="81" w:name="page82"/>
    <w:bookmarkEnd w:id="81"/>
    <w:p>
      <w:pPr>
        <w:ind w:right="220"/>
        <w:spacing w:after="0" w:line="227" w:lineRule="auto"/>
        <w:rPr>
          <w:sz w:val="20"/>
          <w:szCs w:val="20"/>
          <w:color w:val="auto"/>
        </w:rPr>
      </w:pPr>
      <w:r>
        <w:rPr>
          <w:rFonts w:ascii="Arial" w:cs="Arial" w:eastAsia="Arial" w:hAnsi="Arial"/>
          <w:sz w:val="18"/>
          <w:szCs w:val="18"/>
          <w:color w:val="auto"/>
        </w:rPr>
        <w:t>KHE’s refund policy may permit students who do not complete a course to be eligible for a refund for the portion of the course they did not attend. The amount of the refund differs by school, program and state, as some states require different policies. Refunds generally result in a reduction in deferred revenue during the period that a student drops or withdraws from a class because the associated tuition revenue is recognized daily over the period of instruction as the services are delivered.</w:t>
      </w:r>
    </w:p>
    <w:p>
      <w:pPr>
        <w:spacing w:after="0" w:line="117" w:lineRule="exact"/>
        <w:rPr>
          <w:sz w:val="20"/>
          <w:szCs w:val="20"/>
          <w:color w:val="auto"/>
        </w:rPr>
      </w:pPr>
    </w:p>
    <w:p>
      <w:pPr>
        <w:spacing w:after="0" w:line="251" w:lineRule="auto"/>
        <w:rPr>
          <w:sz w:val="20"/>
          <w:szCs w:val="20"/>
          <w:color w:val="auto"/>
        </w:rPr>
      </w:pPr>
      <w:r>
        <w:rPr>
          <w:rFonts w:ascii="Arial" w:cs="Arial" w:eastAsia="Arial" w:hAnsi="Arial"/>
          <w:sz w:val="18"/>
          <w:szCs w:val="18"/>
          <w:i w:val="1"/>
          <w:iCs w:val="1"/>
          <w:color w:val="auto"/>
        </w:rPr>
        <w:t xml:space="preserve">Television broadcasting revenues. </w:t>
      </w:r>
      <w:r>
        <w:rPr>
          <w:rFonts w:ascii="Arial" w:cs="Arial" w:eastAsia="Arial" w:hAnsi="Arial"/>
          <w:sz w:val="18"/>
          <w:szCs w:val="18"/>
          <w:color w:val="auto"/>
        </w:rPr>
        <w:t>Advertising revenues are recognized, net of agency commissions, when the underlying advertisement is</w:t>
      </w:r>
      <w:r>
        <w:rPr>
          <w:rFonts w:ascii="Arial" w:cs="Arial" w:eastAsia="Arial" w:hAnsi="Arial"/>
          <w:sz w:val="18"/>
          <w:szCs w:val="18"/>
          <w:i w:val="1"/>
          <w:iCs w:val="1"/>
          <w:color w:val="auto"/>
        </w:rPr>
        <w:t xml:space="preserve"> </w:t>
      </w:r>
      <w:r>
        <w:rPr>
          <w:rFonts w:ascii="Arial" w:cs="Arial" w:eastAsia="Arial" w:hAnsi="Arial"/>
          <w:sz w:val="18"/>
          <w:szCs w:val="18"/>
          <w:color w:val="auto"/>
        </w:rPr>
        <w:t>broadcast. Retransmission revenues are recognized over the term of the agreement based on monthly subscriber counts and contractual rates.</w:t>
      </w:r>
    </w:p>
    <w:p>
      <w:pPr>
        <w:spacing w:after="0" w:line="107" w:lineRule="exact"/>
        <w:rPr>
          <w:sz w:val="20"/>
          <w:szCs w:val="20"/>
          <w:color w:val="auto"/>
        </w:rPr>
      </w:pPr>
    </w:p>
    <w:p>
      <w:pPr>
        <w:ind w:right="100"/>
        <w:spacing w:after="0" w:line="228" w:lineRule="auto"/>
        <w:rPr>
          <w:sz w:val="20"/>
          <w:szCs w:val="20"/>
          <w:color w:val="auto"/>
        </w:rPr>
      </w:pPr>
      <w:r>
        <w:rPr>
          <w:rFonts w:ascii="Arial" w:cs="Arial" w:eastAsia="Arial" w:hAnsi="Arial"/>
          <w:sz w:val="18"/>
          <w:szCs w:val="18"/>
          <w:i w:val="1"/>
          <w:iCs w:val="1"/>
          <w:color w:val="auto"/>
        </w:rPr>
        <w:t>Revenue presentation</w:t>
      </w:r>
      <w:r>
        <w:rPr>
          <w:rFonts w:ascii="Arial" w:cs="Arial" w:eastAsia="Arial" w:hAnsi="Arial"/>
          <w:sz w:val="18"/>
          <w:szCs w:val="18"/>
          <w:color w:val="auto"/>
        </w:rPr>
        <w:t>. The determination of whether revenue should be reported on a gross or net basis is based on an assessment of</w:t>
      </w:r>
      <w:r>
        <w:rPr>
          <w:rFonts w:ascii="Arial" w:cs="Arial" w:eastAsia="Arial" w:hAnsi="Arial"/>
          <w:sz w:val="18"/>
          <w:szCs w:val="18"/>
          <w:i w:val="1"/>
          <w:iCs w:val="1"/>
          <w:color w:val="auto"/>
        </w:rPr>
        <w:t xml:space="preserve"> </w:t>
      </w:r>
      <w:r>
        <w:rPr>
          <w:rFonts w:ascii="Arial" w:cs="Arial" w:eastAsia="Arial" w:hAnsi="Arial"/>
          <w:sz w:val="18"/>
          <w:szCs w:val="18"/>
          <w:color w:val="auto"/>
        </w:rPr>
        <w:t>whether the Company acts as a principal or an agent in the transaction. In certain cases, the Company is considered the agent, and the Company records revenue equal to the net amount retained when the fee is earned. In these cases, costs incurred with third-party suppliers are excluded from the Company’s revenue. The Company assesses whether it or the third-party supplier is the primary obligor and evaluates the terms of its customer arrangements as part of this assessment. In addition, the Company considers other key indicators such as latitude in establishing price, inventory risk, nature of services performed, discretion in supplier selection and credit risk.</w:t>
      </w:r>
    </w:p>
    <w:p>
      <w:pPr>
        <w:spacing w:after="0" w:line="135" w:lineRule="exact"/>
        <w:rPr>
          <w:sz w:val="20"/>
          <w:szCs w:val="20"/>
          <w:color w:val="auto"/>
        </w:rPr>
      </w:pPr>
    </w:p>
    <w:p>
      <w:pPr>
        <w:spacing w:after="0" w:line="225" w:lineRule="auto"/>
        <w:rPr>
          <w:sz w:val="20"/>
          <w:szCs w:val="20"/>
          <w:color w:val="auto"/>
        </w:rPr>
      </w:pPr>
      <w:r>
        <w:rPr>
          <w:rFonts w:ascii="Arial" w:cs="Arial" w:eastAsia="Arial" w:hAnsi="Arial"/>
          <w:sz w:val="18"/>
          <w:szCs w:val="18"/>
          <w:color w:val="auto"/>
        </w:rPr>
        <w:t>SocialCode LLC (SocialCode), a wholly owned subsidiary, is a marketing and insights company that manages digital advertising for leading brands on digital media platforms like Facebook, Twitter, Instagram, Snapchat, Pinterest and YouTube. Donald E. Graham, the Chairman of the Company’s Board, was a member of the Board of Directors of Facebook, Inc. through June 10, 2015. SocialCode’s revenues are reported on a net basis; therefore, the Company’s Statements of Operations exclude the media acquisition costs incurred related to the relevant advertising platforms.</w:t>
      </w:r>
    </w:p>
    <w:p>
      <w:pPr>
        <w:spacing w:after="0" w:line="119" w:lineRule="exact"/>
        <w:rPr>
          <w:sz w:val="20"/>
          <w:szCs w:val="20"/>
          <w:color w:val="auto"/>
        </w:rPr>
      </w:pPr>
    </w:p>
    <w:p>
      <w:pPr>
        <w:ind w:right="400"/>
        <w:spacing w:after="0" w:line="251" w:lineRule="auto"/>
        <w:rPr>
          <w:sz w:val="20"/>
          <w:szCs w:val="20"/>
          <w:color w:val="auto"/>
        </w:rPr>
      </w:pPr>
      <w:r>
        <w:rPr>
          <w:rFonts w:ascii="Arial" w:cs="Arial" w:eastAsia="Arial" w:hAnsi="Arial"/>
          <w:sz w:val="18"/>
          <w:szCs w:val="18"/>
          <w:i w:val="1"/>
          <w:iCs w:val="1"/>
          <w:color w:val="auto"/>
        </w:rPr>
        <w:t xml:space="preserve">Deferred revenue. </w:t>
      </w:r>
      <w:r>
        <w:rPr>
          <w:rFonts w:ascii="Arial" w:cs="Arial" w:eastAsia="Arial" w:hAnsi="Arial"/>
          <w:sz w:val="18"/>
          <w:szCs w:val="18"/>
          <w:color w:val="auto"/>
        </w:rPr>
        <w:t>Amounts received from customers in advance of revenue recognition are deferred as liabilities. Deferred revenue to be</w:t>
      </w:r>
      <w:r>
        <w:rPr>
          <w:rFonts w:ascii="Arial" w:cs="Arial" w:eastAsia="Arial" w:hAnsi="Arial"/>
          <w:sz w:val="18"/>
          <w:szCs w:val="18"/>
          <w:i w:val="1"/>
          <w:iCs w:val="1"/>
          <w:color w:val="auto"/>
        </w:rPr>
        <w:t xml:space="preserve"> </w:t>
      </w:r>
      <w:r>
        <w:rPr>
          <w:rFonts w:ascii="Arial" w:cs="Arial" w:eastAsia="Arial" w:hAnsi="Arial"/>
          <w:sz w:val="18"/>
          <w:szCs w:val="18"/>
          <w:color w:val="auto"/>
        </w:rPr>
        <w:t>earned after one year is included in other noncurrent liabilities in the Company’s Consolidated Balance Sheets.</w:t>
      </w:r>
    </w:p>
    <w:p>
      <w:pPr>
        <w:spacing w:after="0" w:line="103" w:lineRule="exact"/>
        <w:rPr>
          <w:sz w:val="20"/>
          <w:szCs w:val="20"/>
          <w:color w:val="auto"/>
        </w:rPr>
      </w:pPr>
    </w:p>
    <w:p>
      <w:pPr>
        <w:spacing w:after="0" w:line="230" w:lineRule="auto"/>
        <w:rPr>
          <w:sz w:val="20"/>
          <w:szCs w:val="20"/>
          <w:color w:val="auto"/>
        </w:rPr>
      </w:pPr>
      <w:r>
        <w:rPr>
          <w:rFonts w:ascii="Arial" w:cs="Arial" w:eastAsia="Arial" w:hAnsi="Arial"/>
          <w:sz w:val="18"/>
          <w:szCs w:val="18"/>
          <w:b w:val="1"/>
          <w:bCs w:val="1"/>
          <w:color w:val="auto"/>
        </w:rPr>
        <w:t xml:space="preserve">Leases. </w:t>
      </w:r>
      <w:r>
        <w:rPr>
          <w:rFonts w:ascii="Arial" w:cs="Arial" w:eastAsia="Arial" w:hAnsi="Arial"/>
          <w:sz w:val="18"/>
          <w:szCs w:val="18"/>
          <w:color w:val="auto"/>
        </w:rPr>
        <w:t>The Company leases substantially all of its educational facilities and enters into various other lease agreements in conducting its</w:t>
      </w:r>
      <w:r>
        <w:rPr>
          <w:rFonts w:ascii="Arial" w:cs="Arial" w:eastAsia="Arial" w:hAnsi="Arial"/>
          <w:sz w:val="18"/>
          <w:szCs w:val="18"/>
          <w:b w:val="1"/>
          <w:bCs w:val="1"/>
          <w:color w:val="auto"/>
        </w:rPr>
        <w:t xml:space="preserve"> </w:t>
      </w:r>
      <w:r>
        <w:rPr>
          <w:rFonts w:ascii="Arial" w:cs="Arial" w:eastAsia="Arial" w:hAnsi="Arial"/>
          <w:sz w:val="18"/>
          <w:szCs w:val="18"/>
          <w:color w:val="auto"/>
        </w:rPr>
        <w:t>business. At the inception of each lease, the Company evaluates the lease agreement to determine whether the lease is an operating or capital lease. Additionally, many of the Company’s lease agreements contain renewal options, tenant improvement allowances, rent holidays and/or rent escalation clauses. When such items are included in a lease agreement, the Company records a deferred rent asset or liability in the Consolidated Financial Statements and records these items in rent expense evenly over the terms of the lease.</w:t>
      </w:r>
    </w:p>
    <w:p>
      <w:pPr>
        <w:spacing w:after="0" w:line="138" w:lineRule="exact"/>
        <w:rPr>
          <w:sz w:val="20"/>
          <w:szCs w:val="20"/>
          <w:color w:val="auto"/>
        </w:rPr>
      </w:pPr>
    </w:p>
    <w:p>
      <w:pPr>
        <w:ind w:right="300"/>
        <w:spacing w:after="0" w:line="227" w:lineRule="auto"/>
        <w:rPr>
          <w:sz w:val="20"/>
          <w:szCs w:val="20"/>
          <w:color w:val="auto"/>
        </w:rPr>
      </w:pPr>
      <w:r>
        <w:rPr>
          <w:rFonts w:ascii="Arial" w:cs="Arial" w:eastAsia="Arial" w:hAnsi="Arial"/>
          <w:sz w:val="18"/>
          <w:szCs w:val="18"/>
          <w:color w:val="auto"/>
        </w:rPr>
        <w:t>The Company is also required to make additional payments under operating lease terms for taxes, insurance and other operating expenses incurred during the operating lease period; such items are expensed as incurred. Rental deposits are included as other assets in the Company’s Consolidated Balance Sheets for lease agreements that require payments in advance or deposits held for security that are refundable, less any damages, at the end of the respective lease.</w:t>
      </w:r>
    </w:p>
    <w:p>
      <w:pPr>
        <w:spacing w:after="0" w:line="113" w:lineRule="exact"/>
        <w:rPr>
          <w:sz w:val="20"/>
          <w:szCs w:val="20"/>
          <w:color w:val="auto"/>
        </w:rPr>
      </w:pPr>
    </w:p>
    <w:p>
      <w:pPr>
        <w:jc w:val="both"/>
        <w:ind w:right="60"/>
        <w:spacing w:after="0" w:line="238" w:lineRule="auto"/>
        <w:rPr>
          <w:sz w:val="20"/>
          <w:szCs w:val="20"/>
          <w:color w:val="auto"/>
        </w:rPr>
      </w:pPr>
      <w:r>
        <w:rPr>
          <w:rFonts w:ascii="Arial" w:cs="Arial" w:eastAsia="Arial" w:hAnsi="Arial"/>
          <w:sz w:val="18"/>
          <w:szCs w:val="18"/>
          <w:b w:val="1"/>
          <w:bCs w:val="1"/>
          <w:color w:val="auto"/>
        </w:rPr>
        <w:t xml:space="preserve">Pensions and Other Postretirement Benefits. </w:t>
      </w:r>
      <w:r>
        <w:rPr>
          <w:rFonts w:ascii="Arial" w:cs="Arial" w:eastAsia="Arial" w:hAnsi="Arial"/>
          <w:sz w:val="18"/>
          <w:szCs w:val="18"/>
          <w:color w:val="auto"/>
        </w:rPr>
        <w:t>The Company maintains various pension and incentive savings plans. Most of the Company’s</w:t>
      </w:r>
      <w:r>
        <w:rPr>
          <w:rFonts w:ascii="Arial" w:cs="Arial" w:eastAsia="Arial" w:hAnsi="Arial"/>
          <w:sz w:val="18"/>
          <w:szCs w:val="18"/>
          <w:b w:val="1"/>
          <w:bCs w:val="1"/>
          <w:color w:val="auto"/>
        </w:rPr>
        <w:t xml:space="preserve"> </w:t>
      </w:r>
      <w:r>
        <w:rPr>
          <w:rFonts w:ascii="Arial" w:cs="Arial" w:eastAsia="Arial" w:hAnsi="Arial"/>
          <w:sz w:val="18"/>
          <w:szCs w:val="18"/>
          <w:color w:val="auto"/>
        </w:rPr>
        <w:t>employees are covered by these plans. The Company also provides healthcare and life insurance benefits to certain retired employees. These employees become eligible for benefits after meeting age and service requirements.</w:t>
      </w:r>
    </w:p>
    <w:p>
      <w:pPr>
        <w:spacing w:after="0" w:line="136" w:lineRule="exact"/>
        <w:rPr>
          <w:sz w:val="20"/>
          <w:szCs w:val="20"/>
          <w:color w:val="auto"/>
        </w:rPr>
      </w:pPr>
    </w:p>
    <w:p>
      <w:pPr>
        <w:ind w:right="260"/>
        <w:spacing w:after="0" w:line="225" w:lineRule="auto"/>
        <w:rPr>
          <w:sz w:val="20"/>
          <w:szCs w:val="20"/>
          <w:color w:val="auto"/>
        </w:rPr>
      </w:pPr>
      <w:r>
        <w:rPr>
          <w:rFonts w:ascii="Arial" w:cs="Arial" w:eastAsia="Arial" w:hAnsi="Arial"/>
          <w:sz w:val="18"/>
          <w:szCs w:val="18"/>
          <w:color w:val="auto"/>
        </w:rPr>
        <w:t>The Company recognizes the overfunded or underfunded status of a defined benefit postretirement plan as an asset or liability in its Consolidated Balance Sheets and recognizes changes in that funded status in the year in which the changes occur through comprehensive income. The Company measures changes in the funded status of its plans using the projected unit credit method and several actuarial assumptions, the most significant of which are the discount rate, the expected return on plan assets and rate of compensation increase. The Company uses a measurement date of December 31 for its pension and other postretirement benefit plans.</w:t>
      </w:r>
    </w:p>
    <w:p>
      <w:pPr>
        <w:spacing w:after="0" w:line="115" w:lineRule="exact"/>
        <w:rPr>
          <w:sz w:val="20"/>
          <w:szCs w:val="20"/>
          <w:color w:val="auto"/>
        </w:rPr>
      </w:pPr>
    </w:p>
    <w:p>
      <w:pPr>
        <w:ind w:right="80"/>
        <w:spacing w:after="0" w:line="230" w:lineRule="auto"/>
        <w:rPr>
          <w:sz w:val="20"/>
          <w:szCs w:val="20"/>
          <w:color w:val="auto"/>
        </w:rPr>
      </w:pPr>
      <w:r>
        <w:rPr>
          <w:rFonts w:ascii="Arial" w:cs="Arial" w:eastAsia="Arial" w:hAnsi="Arial"/>
          <w:sz w:val="18"/>
          <w:szCs w:val="18"/>
          <w:b w:val="1"/>
          <w:bCs w:val="1"/>
          <w:color w:val="auto"/>
        </w:rPr>
        <w:t xml:space="preserve">Self-Insurance. </w:t>
      </w:r>
      <w:r>
        <w:rPr>
          <w:rFonts w:ascii="Arial" w:cs="Arial" w:eastAsia="Arial" w:hAnsi="Arial"/>
          <w:sz w:val="18"/>
          <w:szCs w:val="18"/>
          <w:color w:val="auto"/>
        </w:rPr>
        <w:t>The Company uses a combination of insurance and self-insurance for a number of risks, including claims related to employee</w:t>
      </w:r>
      <w:r>
        <w:rPr>
          <w:rFonts w:ascii="Arial" w:cs="Arial" w:eastAsia="Arial" w:hAnsi="Arial"/>
          <w:sz w:val="18"/>
          <w:szCs w:val="18"/>
          <w:b w:val="1"/>
          <w:bCs w:val="1"/>
          <w:color w:val="auto"/>
        </w:rPr>
        <w:t xml:space="preserve"> </w:t>
      </w:r>
      <w:r>
        <w:rPr>
          <w:rFonts w:ascii="Arial" w:cs="Arial" w:eastAsia="Arial" w:hAnsi="Arial"/>
          <w:sz w:val="18"/>
          <w:szCs w:val="18"/>
          <w:color w:val="auto"/>
        </w:rPr>
        <w:t>healthcare and dental care, disability benefits, workers’ compensation, general liability, property damage and business interruption. Liabilities associated with these plans are estimated based on, among other things, the Company’s historical claims experience, severity factors and other actuarial assumptions. The expected loss accruals are based on estimates, and, while the Company believes that the amounts accrued are adequate, the ultimate loss may differ from the amounts provided.</w:t>
      </w:r>
    </w:p>
    <w:p>
      <w:pPr>
        <w:spacing w:after="0" w:line="116" w:lineRule="exact"/>
        <w:rPr>
          <w:sz w:val="20"/>
          <w:szCs w:val="20"/>
          <w:color w:val="auto"/>
        </w:rPr>
      </w:pPr>
    </w:p>
    <w:p>
      <w:pPr>
        <w:ind w:right="240"/>
        <w:spacing w:after="0" w:line="233" w:lineRule="auto"/>
        <w:rPr>
          <w:sz w:val="20"/>
          <w:szCs w:val="20"/>
          <w:color w:val="auto"/>
        </w:rPr>
      </w:pPr>
      <w:r>
        <w:rPr>
          <w:rFonts w:ascii="Arial" w:cs="Arial" w:eastAsia="Arial" w:hAnsi="Arial"/>
          <w:sz w:val="18"/>
          <w:szCs w:val="18"/>
          <w:b w:val="1"/>
          <w:bCs w:val="1"/>
          <w:color w:val="auto"/>
        </w:rPr>
        <w:t xml:space="preserve">Income Taxes. </w:t>
      </w:r>
      <w:r>
        <w:rPr>
          <w:rFonts w:ascii="Arial" w:cs="Arial" w:eastAsia="Arial" w:hAnsi="Arial"/>
          <w:sz w:val="18"/>
          <w:szCs w:val="18"/>
          <w:color w:val="auto"/>
        </w:rPr>
        <w:t>The Company accounts for income taxes under the asset and liability method, which requires the recognition of deferred tax</w:t>
      </w:r>
      <w:r>
        <w:rPr>
          <w:rFonts w:ascii="Arial" w:cs="Arial" w:eastAsia="Arial" w:hAnsi="Arial"/>
          <w:sz w:val="18"/>
          <w:szCs w:val="18"/>
          <w:b w:val="1"/>
          <w:bCs w:val="1"/>
          <w:color w:val="auto"/>
        </w:rPr>
        <w:t xml:space="preserve"> </w:t>
      </w:r>
      <w:r>
        <w:rPr>
          <w:rFonts w:ascii="Arial" w:cs="Arial" w:eastAsia="Arial" w:hAnsi="Arial"/>
          <w:sz w:val="18"/>
          <w:szCs w:val="18"/>
          <w:color w:val="auto"/>
        </w:rPr>
        <w:t>assets and liabilities for the expected future tax consequences of events that have been included in the financial statements. Under this method, deferred tax assets and liabilities are determined based on the differences between the financial statements and tax basis of assets and liabilities using enacted tax rates in</w:t>
      </w:r>
    </w:p>
    <w:p>
      <w:pPr>
        <w:spacing w:after="0" w:line="200" w:lineRule="exact"/>
        <w:rPr>
          <w:sz w:val="20"/>
          <w:szCs w:val="20"/>
          <w:color w:val="auto"/>
        </w:rPr>
      </w:pPr>
    </w:p>
    <w:p>
      <w:pPr>
        <w:spacing w:after="0" w:line="30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79</w:t>
      </w:r>
    </w:p>
    <w:p>
      <w:pPr>
        <w:sectPr>
          <w:pgSz w:w="11900" w:h="16838" w:orient="portrait"/>
          <w:cols w:equalWidth="0" w:num="1">
            <w:col w:w="11400"/>
          </w:cols>
          <w:pgMar w:left="240" w:top="746" w:right="259" w:bottom="1440" w:gutter="0" w:footer="0" w:header="0"/>
        </w:sectPr>
      </w:pPr>
    </w:p>
    <w:bookmarkStart w:id="82" w:name="page83"/>
    <w:bookmarkEnd w:id="82"/>
    <w:p>
      <w:pPr>
        <w:ind w:right="240"/>
        <w:spacing w:after="0" w:line="235" w:lineRule="auto"/>
        <w:rPr>
          <w:sz w:val="20"/>
          <w:szCs w:val="20"/>
          <w:color w:val="auto"/>
        </w:rPr>
      </w:pPr>
      <w:r>
        <w:rPr>
          <w:rFonts w:ascii="Arial" w:cs="Arial" w:eastAsia="Arial" w:hAnsi="Arial"/>
          <w:sz w:val="18"/>
          <w:szCs w:val="18"/>
          <w:color w:val="auto"/>
        </w:rPr>
        <w:t>effect for the year in which the differences are expected to reverse. The effect of a change in tax rates on deferred tax assets and liabilities is recognized in income in the period that includes the enactment date.</w:t>
      </w:r>
    </w:p>
    <w:p>
      <w:pPr>
        <w:spacing w:after="0" w:line="135" w:lineRule="exact"/>
        <w:rPr>
          <w:sz w:val="20"/>
          <w:szCs w:val="20"/>
          <w:color w:val="auto"/>
        </w:rPr>
      </w:pPr>
    </w:p>
    <w:p>
      <w:pPr>
        <w:ind w:right="100"/>
        <w:spacing w:after="0" w:line="225" w:lineRule="auto"/>
        <w:rPr>
          <w:sz w:val="20"/>
          <w:szCs w:val="20"/>
          <w:color w:val="auto"/>
        </w:rPr>
      </w:pPr>
      <w:r>
        <w:rPr>
          <w:rFonts w:ascii="Arial" w:cs="Arial" w:eastAsia="Arial" w:hAnsi="Arial"/>
          <w:sz w:val="18"/>
          <w:szCs w:val="18"/>
          <w:color w:val="auto"/>
        </w:rPr>
        <w:t>The Company records net deferred tax assets to the extent that it believes these assets will more likely than not be realized. In making such determination, the Company considers all available positive and negative evidence, including future reversals of existing taxable temporary differences, projected future taxable income, tax planning strategies and recent financial operations; this evaluation is made on an ongoing basis. In the event the Company were to determine that it was able to realize net deferred income tax assets in the future in excess of their net recorded amount, the Company would record an adjustment to the valuation allowance, which would reduce the provision for income taxes.</w:t>
      </w:r>
    </w:p>
    <w:p>
      <w:pPr>
        <w:spacing w:after="0" w:line="137" w:lineRule="exact"/>
        <w:rPr>
          <w:sz w:val="20"/>
          <w:szCs w:val="20"/>
          <w:color w:val="auto"/>
        </w:rPr>
      </w:pPr>
    </w:p>
    <w:p>
      <w:pPr>
        <w:ind w:right="40"/>
        <w:spacing w:after="0" w:line="227" w:lineRule="auto"/>
        <w:rPr>
          <w:sz w:val="20"/>
          <w:szCs w:val="20"/>
          <w:color w:val="auto"/>
        </w:rPr>
      </w:pPr>
      <w:r>
        <w:rPr>
          <w:rFonts w:ascii="Arial" w:cs="Arial" w:eastAsia="Arial" w:hAnsi="Arial"/>
          <w:sz w:val="18"/>
          <w:szCs w:val="18"/>
          <w:color w:val="auto"/>
        </w:rPr>
        <w:t>The Company recognizes a tax benefit from an uncertain tax position when it is more likely than not that the position will be sustained upon examination, including resolutions of any related appeals or litigation processes, based on the technical merits. The Company records a liability for the difference between the benefit recognized and measured for financial statement purposes and the tax position taken or expected to be taken on the Company’s tax return. Changes in the estimate are recorded in the period in which such determination is made.</w:t>
      </w:r>
    </w:p>
    <w:p>
      <w:pPr>
        <w:spacing w:after="0" w:line="113" w:lineRule="exact"/>
        <w:rPr>
          <w:sz w:val="20"/>
          <w:szCs w:val="20"/>
          <w:color w:val="auto"/>
        </w:rPr>
      </w:pPr>
    </w:p>
    <w:p>
      <w:pPr>
        <w:ind w:right="40"/>
        <w:spacing w:after="0" w:line="228" w:lineRule="auto"/>
        <w:rPr>
          <w:sz w:val="20"/>
          <w:szCs w:val="20"/>
          <w:color w:val="auto"/>
        </w:rPr>
      </w:pPr>
      <w:r>
        <w:rPr>
          <w:rFonts w:ascii="Arial" w:cs="Arial" w:eastAsia="Arial" w:hAnsi="Arial"/>
          <w:sz w:val="18"/>
          <w:szCs w:val="18"/>
          <w:b w:val="1"/>
          <w:bCs w:val="1"/>
          <w:color w:val="auto"/>
        </w:rPr>
        <w:t xml:space="preserve">Foreign Currency Translation. </w:t>
      </w:r>
      <w:r>
        <w:rPr>
          <w:rFonts w:ascii="Arial" w:cs="Arial" w:eastAsia="Arial" w:hAnsi="Arial"/>
          <w:sz w:val="18"/>
          <w:szCs w:val="18"/>
          <w:color w:val="auto"/>
        </w:rPr>
        <w:t>Income and expense accounts of the Company’s non-United States operations where the local currency is the</w:t>
      </w:r>
      <w:r>
        <w:rPr>
          <w:rFonts w:ascii="Arial" w:cs="Arial" w:eastAsia="Arial" w:hAnsi="Arial"/>
          <w:sz w:val="18"/>
          <w:szCs w:val="18"/>
          <w:b w:val="1"/>
          <w:bCs w:val="1"/>
          <w:color w:val="auto"/>
        </w:rPr>
        <w:t xml:space="preserve"> </w:t>
      </w:r>
      <w:r>
        <w:rPr>
          <w:rFonts w:ascii="Arial" w:cs="Arial" w:eastAsia="Arial" w:hAnsi="Arial"/>
          <w:sz w:val="18"/>
          <w:szCs w:val="18"/>
          <w:color w:val="auto"/>
        </w:rPr>
        <w:t>functional currency are translated into United States (U.S.) dollars using the current rate method, whereby operating results are converted at the average rate of exchange for the period, and assets and liabilities are converted at the closing rates on the period end date. Gains and losses on translation of these accounts are accumulated and reported as a separate component of equity and other comprehensive income. Gains and losses on foreign currency transactions, including foreign currency denominated intercompany loans on entities with a functional currency in U.S. dollars, are recognized in the Consolidated Statements of Operations.</w:t>
      </w:r>
    </w:p>
    <w:p>
      <w:pPr>
        <w:spacing w:after="0" w:line="117" w:lineRule="exact"/>
        <w:rPr>
          <w:sz w:val="20"/>
          <w:szCs w:val="20"/>
          <w:color w:val="auto"/>
        </w:rPr>
      </w:pPr>
    </w:p>
    <w:p>
      <w:pPr>
        <w:spacing w:after="0" w:line="233" w:lineRule="auto"/>
        <w:rPr>
          <w:sz w:val="20"/>
          <w:szCs w:val="20"/>
          <w:color w:val="auto"/>
        </w:rPr>
      </w:pPr>
      <w:r>
        <w:rPr>
          <w:rFonts w:ascii="Arial" w:cs="Arial" w:eastAsia="Arial" w:hAnsi="Arial"/>
          <w:sz w:val="18"/>
          <w:szCs w:val="18"/>
          <w:b w:val="1"/>
          <w:bCs w:val="1"/>
          <w:color w:val="auto"/>
        </w:rPr>
        <w:t xml:space="preserve">Equity-Based Compensation. </w:t>
      </w:r>
      <w:r>
        <w:rPr>
          <w:rFonts w:ascii="Arial" w:cs="Arial" w:eastAsia="Arial" w:hAnsi="Arial"/>
          <w:sz w:val="18"/>
          <w:szCs w:val="18"/>
          <w:color w:val="auto"/>
        </w:rPr>
        <w:t>The Company measures compensation expense for awards settled in shares based on the grant date fair value</w:t>
      </w:r>
      <w:r>
        <w:rPr>
          <w:rFonts w:ascii="Arial" w:cs="Arial" w:eastAsia="Arial" w:hAnsi="Arial"/>
          <w:sz w:val="18"/>
          <w:szCs w:val="18"/>
          <w:b w:val="1"/>
          <w:bCs w:val="1"/>
          <w:color w:val="auto"/>
        </w:rPr>
        <w:t xml:space="preserve"> </w:t>
      </w:r>
      <w:r>
        <w:rPr>
          <w:rFonts w:ascii="Arial" w:cs="Arial" w:eastAsia="Arial" w:hAnsi="Arial"/>
          <w:sz w:val="18"/>
          <w:szCs w:val="18"/>
          <w:color w:val="auto"/>
        </w:rPr>
        <w:t>of the award. The Company measures compensation expense for awards settled in cash, or that may be settled in cash, based on the fair value at each reporting date. The Company recognizes the expense over the requisite service period, which is generally the vesting period of the award.</w:t>
      </w:r>
    </w:p>
    <w:p>
      <w:pPr>
        <w:spacing w:after="0" w:line="115" w:lineRule="exact"/>
        <w:rPr>
          <w:sz w:val="20"/>
          <w:szCs w:val="20"/>
          <w:color w:val="auto"/>
        </w:rPr>
      </w:pPr>
    </w:p>
    <w:p>
      <w:pPr>
        <w:ind w:right="60"/>
        <w:spacing w:after="0" w:line="226" w:lineRule="auto"/>
        <w:rPr>
          <w:sz w:val="20"/>
          <w:szCs w:val="20"/>
          <w:color w:val="auto"/>
        </w:rPr>
      </w:pPr>
      <w:r>
        <w:rPr>
          <w:rFonts w:ascii="Arial" w:cs="Arial" w:eastAsia="Arial" w:hAnsi="Arial"/>
          <w:sz w:val="18"/>
          <w:szCs w:val="18"/>
          <w:b w:val="1"/>
          <w:bCs w:val="1"/>
          <w:color w:val="auto"/>
        </w:rPr>
        <w:t xml:space="preserve">Earnings Per Share. </w:t>
      </w:r>
      <w:r>
        <w:rPr>
          <w:rFonts w:ascii="Arial" w:cs="Arial" w:eastAsia="Arial" w:hAnsi="Arial"/>
          <w:sz w:val="18"/>
          <w:szCs w:val="18"/>
          <w:color w:val="auto"/>
        </w:rPr>
        <w:t>Basic earnings per share is calculated under the two-class method. The Company treats restricted stock as a</w:t>
      </w:r>
      <w:r>
        <w:rPr>
          <w:rFonts w:ascii="Arial" w:cs="Arial" w:eastAsia="Arial" w:hAnsi="Arial"/>
          <w:sz w:val="18"/>
          <w:szCs w:val="18"/>
          <w:b w:val="1"/>
          <w:bCs w:val="1"/>
          <w:color w:val="auto"/>
        </w:rPr>
        <w:t xml:space="preserve"> </w:t>
      </w:r>
      <w:r>
        <w:rPr>
          <w:rFonts w:ascii="Arial" w:cs="Arial" w:eastAsia="Arial" w:hAnsi="Arial"/>
          <w:sz w:val="18"/>
          <w:szCs w:val="18"/>
          <w:color w:val="auto"/>
        </w:rPr>
        <w:t>participating security due to its nonforfeitable right to dividends. Under the two -class method, the Company allocates to the participating securities their portion of dividends declared and undistributed earnings to the extent the participating securities may share in the earnings as if all earnings for the period had been distributed. Basic earnings per share is calculated by dividing the income available to common stockholders by the weighted average number of common shares outstanding during the period. Diluted earnings per share is calculated similarly except that the weighted average number of common shares outstanding during the period includes the dilutive effect of the assumed exercise of options and restricted stock issuable under the Company’s stock plans. The dilutive effect of potentially dilutive securities is reflected in diluted earnings per share by application of the treasury stock method.</w:t>
      </w:r>
    </w:p>
    <w:p>
      <w:pPr>
        <w:spacing w:after="0" w:line="115" w:lineRule="exact"/>
        <w:rPr>
          <w:sz w:val="20"/>
          <w:szCs w:val="20"/>
          <w:color w:val="auto"/>
        </w:rPr>
      </w:pPr>
    </w:p>
    <w:p>
      <w:pPr>
        <w:ind w:right="60"/>
        <w:spacing w:after="0" w:line="227" w:lineRule="auto"/>
        <w:rPr>
          <w:sz w:val="20"/>
          <w:szCs w:val="20"/>
          <w:color w:val="auto"/>
        </w:rPr>
      </w:pPr>
      <w:r>
        <w:rPr>
          <w:rFonts w:ascii="Arial" w:cs="Arial" w:eastAsia="Arial" w:hAnsi="Arial"/>
          <w:sz w:val="18"/>
          <w:szCs w:val="18"/>
          <w:b w:val="1"/>
          <w:bCs w:val="1"/>
          <w:color w:val="auto"/>
        </w:rPr>
        <w:t xml:space="preserve">Mandatorily Redeemable Noncontrolling Interest. </w:t>
      </w:r>
      <w:r>
        <w:rPr>
          <w:rFonts w:ascii="Arial" w:cs="Arial" w:eastAsia="Arial" w:hAnsi="Arial"/>
          <w:sz w:val="18"/>
          <w:szCs w:val="18"/>
          <w:color w:val="auto"/>
        </w:rPr>
        <w:t>The Company’s mandatorily redeemable noncontrolling interest represents the</w:t>
      </w:r>
      <w:r>
        <w:rPr>
          <w:rFonts w:ascii="Arial" w:cs="Arial" w:eastAsia="Arial" w:hAnsi="Arial"/>
          <w:sz w:val="18"/>
          <w:szCs w:val="18"/>
          <w:b w:val="1"/>
          <w:bCs w:val="1"/>
          <w:color w:val="auto"/>
        </w:rPr>
        <w:t xml:space="preserve"> </w:t>
      </w:r>
      <w:r>
        <w:rPr>
          <w:rFonts w:ascii="Arial" w:cs="Arial" w:eastAsia="Arial" w:hAnsi="Arial"/>
          <w:sz w:val="18"/>
          <w:szCs w:val="18"/>
          <w:color w:val="auto"/>
        </w:rPr>
        <w:t>noncontrolling interest in Graham Healthcare Group (GHG) which is 90% owned. The minority shareholders have an option to put their shares to the Company starting in 2020 and are required to put a percentage of their shares in 2022 and 2024, with the remaining shares required to be put by the minority shareholders in 2026. Since the noncontrolling interest is mandatorily redeemable by 2026, it is reported as a noncurrent liability at December 31, 2017, in the Consolidated Balance Sheets. The Company presents this liability at fair value, which is computed annually as the current redemption value. Changes in the redemption value are recorded as interest expense or income in the Company’s Consolidated Statements of Operations.</w:t>
      </w:r>
    </w:p>
    <w:p>
      <w:pPr>
        <w:spacing w:after="0" w:line="115" w:lineRule="exact"/>
        <w:rPr>
          <w:sz w:val="20"/>
          <w:szCs w:val="20"/>
          <w:color w:val="auto"/>
        </w:rPr>
      </w:pPr>
    </w:p>
    <w:p>
      <w:pPr>
        <w:ind w:right="80"/>
        <w:spacing w:after="0" w:line="228" w:lineRule="auto"/>
        <w:rPr>
          <w:sz w:val="20"/>
          <w:szCs w:val="20"/>
          <w:color w:val="auto"/>
        </w:rPr>
      </w:pPr>
      <w:r>
        <w:rPr>
          <w:rFonts w:ascii="Arial" w:cs="Arial" w:eastAsia="Arial" w:hAnsi="Arial"/>
          <w:sz w:val="18"/>
          <w:szCs w:val="18"/>
          <w:b w:val="1"/>
          <w:bCs w:val="1"/>
          <w:color w:val="auto"/>
        </w:rPr>
        <w:t xml:space="preserve">Redeemable Noncontrolling Interest. </w:t>
      </w:r>
      <w:r>
        <w:rPr>
          <w:rFonts w:ascii="Arial" w:cs="Arial" w:eastAsia="Arial" w:hAnsi="Arial"/>
          <w:sz w:val="18"/>
          <w:szCs w:val="18"/>
          <w:color w:val="auto"/>
        </w:rPr>
        <w:t>The Company’s redeemable noncontrolling interest represents the noncontrolling interest in Hoover,</w:t>
      </w:r>
      <w:r>
        <w:rPr>
          <w:rFonts w:ascii="Arial" w:cs="Arial" w:eastAsia="Arial" w:hAnsi="Arial"/>
          <w:sz w:val="18"/>
          <w:szCs w:val="18"/>
          <w:b w:val="1"/>
          <w:bCs w:val="1"/>
          <w:color w:val="auto"/>
        </w:rPr>
        <w:t xml:space="preserve"> </w:t>
      </w:r>
      <w:r>
        <w:rPr>
          <w:rFonts w:ascii="Arial" w:cs="Arial" w:eastAsia="Arial" w:hAnsi="Arial"/>
          <w:sz w:val="18"/>
          <w:szCs w:val="18"/>
          <w:color w:val="auto"/>
        </w:rPr>
        <w:t>which is 97.72% owned. The minority shareholders have an option to put some of their shares to the Company starting in 2019 and the remaining shares starting in 2021. The Company has an option to buy the shares of minority shareholders starting in 2027. The Company presents the redeemable noncontrolling interest at the greater of its carrying amount or redemption value at the end of each reporting period in the Consolidated Balance Sheets. Changes in the redemption value are recorded to capital in excess of par value in the Company’s Consolidated Balance Sheets.</w:t>
      </w:r>
    </w:p>
    <w:p>
      <w:pPr>
        <w:spacing w:after="0" w:line="117" w:lineRule="exact"/>
        <w:rPr>
          <w:sz w:val="20"/>
          <w:szCs w:val="20"/>
          <w:color w:val="auto"/>
        </w:rPr>
      </w:pPr>
    </w:p>
    <w:p>
      <w:pPr>
        <w:ind w:right="200"/>
        <w:spacing w:after="0" w:line="238" w:lineRule="auto"/>
        <w:rPr>
          <w:sz w:val="20"/>
          <w:szCs w:val="20"/>
          <w:color w:val="auto"/>
        </w:rPr>
      </w:pPr>
      <w:r>
        <w:rPr>
          <w:rFonts w:ascii="Arial" w:cs="Arial" w:eastAsia="Arial" w:hAnsi="Arial"/>
          <w:sz w:val="18"/>
          <w:szCs w:val="18"/>
          <w:b w:val="1"/>
          <w:bCs w:val="1"/>
          <w:color w:val="auto"/>
        </w:rPr>
        <w:t xml:space="preserve">Comprehensive Income. </w:t>
      </w:r>
      <w:r>
        <w:rPr>
          <w:rFonts w:ascii="Arial" w:cs="Arial" w:eastAsia="Arial" w:hAnsi="Arial"/>
          <w:sz w:val="18"/>
          <w:szCs w:val="18"/>
          <w:color w:val="auto"/>
        </w:rPr>
        <w:t>Comprehensive income consists of net income, foreign currency translation adjustments, the change in unrealized</w:t>
      </w:r>
      <w:r>
        <w:rPr>
          <w:rFonts w:ascii="Arial" w:cs="Arial" w:eastAsia="Arial" w:hAnsi="Arial"/>
          <w:sz w:val="18"/>
          <w:szCs w:val="18"/>
          <w:b w:val="1"/>
          <w:bCs w:val="1"/>
          <w:color w:val="auto"/>
        </w:rPr>
        <w:t xml:space="preserve"> </w:t>
      </w:r>
      <w:r>
        <w:rPr>
          <w:rFonts w:ascii="Arial" w:cs="Arial" w:eastAsia="Arial" w:hAnsi="Arial"/>
          <w:sz w:val="18"/>
          <w:szCs w:val="18"/>
          <w:color w:val="auto"/>
        </w:rPr>
        <w:t>gains (losses) on investments in marketable equity securities, net changes in cash flow hedge and pension and other postretirement plan adjustments.</w:t>
      </w:r>
    </w:p>
    <w:p>
      <w:pPr>
        <w:spacing w:after="0" w:line="114" w:lineRule="exact"/>
        <w:rPr>
          <w:sz w:val="20"/>
          <w:szCs w:val="20"/>
          <w:color w:val="auto"/>
        </w:rPr>
      </w:pPr>
    </w:p>
    <w:p>
      <w:pPr>
        <w:ind w:right="300"/>
        <w:spacing w:after="0" w:line="256" w:lineRule="auto"/>
        <w:rPr>
          <w:sz w:val="20"/>
          <w:szCs w:val="20"/>
          <w:color w:val="auto"/>
        </w:rPr>
      </w:pPr>
      <w:r>
        <w:rPr>
          <w:rFonts w:ascii="Arial" w:cs="Arial" w:eastAsia="Arial" w:hAnsi="Arial"/>
          <w:sz w:val="18"/>
          <w:szCs w:val="18"/>
          <w:b w:val="1"/>
          <w:bCs w:val="1"/>
          <w:color w:val="auto"/>
        </w:rPr>
        <w:t xml:space="preserve">Discontinued Operations. </w:t>
      </w:r>
      <w:r>
        <w:rPr>
          <w:rFonts w:ascii="Arial" w:cs="Arial" w:eastAsia="Arial" w:hAnsi="Arial"/>
          <w:sz w:val="18"/>
          <w:szCs w:val="18"/>
          <w:color w:val="auto"/>
        </w:rPr>
        <w:t>A disposal of a component is reported as discontinued operations if the disposal represents a strategic shift that</w:t>
      </w:r>
      <w:r>
        <w:rPr>
          <w:rFonts w:ascii="Arial" w:cs="Arial" w:eastAsia="Arial" w:hAnsi="Arial"/>
          <w:sz w:val="18"/>
          <w:szCs w:val="18"/>
          <w:b w:val="1"/>
          <w:bCs w:val="1"/>
          <w:color w:val="auto"/>
        </w:rPr>
        <w:t xml:space="preserve"> </w:t>
      </w:r>
      <w:r>
        <w:rPr>
          <w:rFonts w:ascii="Arial" w:cs="Arial" w:eastAsia="Arial" w:hAnsi="Arial"/>
          <w:sz w:val="18"/>
          <w:szCs w:val="18"/>
          <w:color w:val="auto"/>
        </w:rPr>
        <w:t>has or will have a major effect on the Company’s operations and financial results.</w:t>
      </w:r>
    </w:p>
    <w:p>
      <w:pPr>
        <w:spacing w:after="0" w:line="200" w:lineRule="exact"/>
        <w:rPr>
          <w:sz w:val="20"/>
          <w:szCs w:val="20"/>
          <w:color w:val="auto"/>
        </w:rPr>
      </w:pPr>
    </w:p>
    <w:p>
      <w:pPr>
        <w:spacing w:after="0" w:line="28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80</w:t>
      </w:r>
    </w:p>
    <w:p>
      <w:pPr>
        <w:sectPr>
          <w:pgSz w:w="11900" w:h="16838" w:orient="portrait"/>
          <w:cols w:equalWidth="0" w:num="1">
            <w:col w:w="11420"/>
          </w:cols>
          <w:pgMar w:left="240" w:top="746" w:right="239" w:bottom="1440" w:gutter="0" w:footer="0" w:header="0"/>
        </w:sectPr>
      </w:pPr>
    </w:p>
    <w:bookmarkStart w:id="83" w:name="page84"/>
    <w:bookmarkEnd w:id="83"/>
    <w:p>
      <w:pPr>
        <w:ind w:right="60"/>
        <w:spacing w:after="0" w:line="235" w:lineRule="auto"/>
        <w:rPr>
          <w:sz w:val="20"/>
          <w:szCs w:val="20"/>
          <w:color w:val="auto"/>
        </w:rPr>
      </w:pPr>
      <w:r>
        <w:rPr>
          <w:rFonts w:ascii="Arial" w:cs="Arial" w:eastAsia="Arial" w:hAnsi="Arial"/>
          <w:sz w:val="18"/>
          <w:szCs w:val="18"/>
          <w:color w:val="auto"/>
        </w:rPr>
        <w:t>The results of discontinued operations (as well as the gain or loss on the disposal) are aggregated and separately presented in the Company’s Consolidated Statements of Operations, net of income taxes.</w:t>
      </w:r>
    </w:p>
    <w:p>
      <w:pPr>
        <w:spacing w:after="0" w:line="113" w:lineRule="exact"/>
        <w:rPr>
          <w:sz w:val="20"/>
          <w:szCs w:val="20"/>
          <w:color w:val="auto"/>
        </w:rPr>
      </w:pPr>
    </w:p>
    <w:p>
      <w:pPr>
        <w:ind w:right="20"/>
        <w:spacing w:after="0" w:line="225" w:lineRule="auto"/>
        <w:rPr>
          <w:sz w:val="20"/>
          <w:szCs w:val="20"/>
          <w:color w:val="auto"/>
        </w:rPr>
      </w:pPr>
      <w:r>
        <w:rPr>
          <w:rFonts w:ascii="Arial" w:cs="Arial" w:eastAsia="Arial" w:hAnsi="Arial"/>
          <w:sz w:val="18"/>
          <w:szCs w:val="18"/>
          <w:b w:val="1"/>
          <w:bCs w:val="1"/>
          <w:color w:val="auto"/>
        </w:rPr>
        <w:t xml:space="preserve">Recently Adopted and Issued Accounting Pronouncements. </w:t>
      </w:r>
      <w:r>
        <w:rPr>
          <w:rFonts w:ascii="Arial" w:cs="Arial" w:eastAsia="Arial" w:hAnsi="Arial"/>
          <w:sz w:val="18"/>
          <w:szCs w:val="18"/>
          <w:color w:val="auto"/>
        </w:rPr>
        <w:t>In May 2014, the Financial Accounting Standards Board (FASB) issued</w:t>
      </w:r>
      <w:r>
        <w:rPr>
          <w:rFonts w:ascii="Arial" w:cs="Arial" w:eastAsia="Arial" w:hAnsi="Arial"/>
          <w:sz w:val="18"/>
          <w:szCs w:val="18"/>
          <w:b w:val="1"/>
          <w:bCs w:val="1"/>
          <w:color w:val="auto"/>
        </w:rPr>
        <w:t xml:space="preserve"> </w:t>
      </w:r>
      <w:r>
        <w:rPr>
          <w:rFonts w:ascii="Arial" w:cs="Arial" w:eastAsia="Arial" w:hAnsi="Arial"/>
          <w:sz w:val="18"/>
          <w:szCs w:val="18"/>
          <w:color w:val="auto"/>
        </w:rPr>
        <w:t>comprehensive new guidance that supersedes all existing revenue recognition guidance. In August 2015, the FASB issued an amendment to the guidance that defers the effective date by one year. The new guidance requires revenue to be recognized when the Company transfers promised goods or services to customers in an amount that reflects the consideration to which the Company expects to be entitled in exchange for those goods or services. The new guidance also significantly expands the disclosure requirements for revenue recognition. The guidance is effective for interim and fiscal years beginning after December 15, 2017. Early adoption is permitted only as of annual reporting periods beginning after December 15, 2016. The standard permits two implementation approaches, full retrospective, requiring retrospective application of the new guidance with a restatement of prior years, or modified retrospective, requiring prospective application of the new guidance with disclosure of results under the old guidance in the first year of adoption. The Company will adopt the new guidance on January 1, 2018 using the modified retrospective approach, which requires a cumulative adjustment to retained earnings.</w:t>
      </w:r>
    </w:p>
    <w:p>
      <w:pPr>
        <w:spacing w:after="0" w:line="134" w:lineRule="exact"/>
        <w:rPr>
          <w:sz w:val="20"/>
          <w:szCs w:val="20"/>
          <w:color w:val="auto"/>
        </w:rPr>
      </w:pPr>
    </w:p>
    <w:p>
      <w:pPr>
        <w:ind w:right="20"/>
        <w:spacing w:after="0" w:line="225" w:lineRule="auto"/>
        <w:rPr>
          <w:sz w:val="20"/>
          <w:szCs w:val="20"/>
          <w:color w:val="auto"/>
        </w:rPr>
      </w:pPr>
      <w:r>
        <w:rPr>
          <w:rFonts w:ascii="Arial" w:cs="Arial" w:eastAsia="Arial" w:hAnsi="Arial"/>
          <w:sz w:val="18"/>
          <w:szCs w:val="18"/>
          <w:color w:val="auto"/>
        </w:rPr>
        <w:t>Upon adoption of the new guidance, the Company will record a net increase to the opening balance of retained earnings of approximately $7 million to $12 million. This adjustment primarily results from a change to the Company’s current treatment of certain commissions paid to employees and agents at its education division. The Company currently expenses such commissions as incurred. Under the new guidance, the Company expects to capitalize certain commission costs as an incremental cost of obtaining a contract and subsequently amortize the cost as the tuition services are delivered to students.</w:t>
      </w:r>
    </w:p>
    <w:p>
      <w:pPr>
        <w:spacing w:after="0" w:line="137" w:lineRule="exact"/>
        <w:rPr>
          <w:sz w:val="20"/>
          <w:szCs w:val="20"/>
          <w:color w:val="auto"/>
        </w:rPr>
      </w:pPr>
    </w:p>
    <w:p>
      <w:pPr>
        <w:ind w:right="80"/>
        <w:spacing w:after="0" w:line="224" w:lineRule="auto"/>
        <w:rPr>
          <w:sz w:val="20"/>
          <w:szCs w:val="20"/>
          <w:color w:val="auto"/>
        </w:rPr>
      </w:pPr>
      <w:r>
        <w:rPr>
          <w:rFonts w:ascii="Arial" w:cs="Arial" w:eastAsia="Arial" w:hAnsi="Arial"/>
          <w:sz w:val="18"/>
          <w:szCs w:val="18"/>
          <w:color w:val="auto"/>
        </w:rPr>
        <w:t>The Company has substantially completed its evaluation of the impact of adopting the new guidance, as well as its assessment of the need for any changes to the Company’s accounting policies and internal control structure. As a result, the Company will implement new processes and internal controls to enable the preparation of financial information on adoption. The Company is finalizing its evaluation of new disclosures required by the guidance to determine additional information that will need to be disclosed including the nature and timing of the Company’s performance obligations, deferred revenue contract liabilities, deferred contract cost assets, as well as significant judgments and practical expedients used by the Company in applying the new guidance.</w:t>
      </w:r>
    </w:p>
    <w:p>
      <w:pPr>
        <w:spacing w:after="0" w:line="137" w:lineRule="exact"/>
        <w:rPr>
          <w:sz w:val="20"/>
          <w:szCs w:val="20"/>
          <w:color w:val="auto"/>
        </w:rPr>
      </w:pPr>
    </w:p>
    <w:p>
      <w:pPr>
        <w:spacing w:after="0" w:line="222" w:lineRule="auto"/>
        <w:rPr>
          <w:sz w:val="20"/>
          <w:szCs w:val="20"/>
          <w:color w:val="auto"/>
        </w:rPr>
      </w:pPr>
      <w:r>
        <w:rPr>
          <w:rFonts w:ascii="Arial" w:cs="Arial" w:eastAsia="Arial" w:hAnsi="Arial"/>
          <w:sz w:val="18"/>
          <w:szCs w:val="18"/>
          <w:color w:val="auto"/>
        </w:rPr>
        <w:t>In January 2016, the FASB issued new guidance that substantially revises the recognition, measurement and presentation of financial assets and financial liabilities. The new guidance, among other things, requires (i) equity investments (except those accounted for under the equity method of accounting or those that result in consolidation of the investee) to be measured at fair value with changes in fair value recognized in net income, with some exceptions; (ii) simplifies the impairment assessment of equity investments without readily determinable fair values by requiring a qualitative assessment to identify impairment; (iii) requires public business entities to use the exit price notion when measuring the fair value of financial instruments for disclosure purposes; (iv) requires separate presentation of financial assets and financial liabilities by measurement category and form of financial asset on the balance sheet or the accompanying notes to the financial statements; and (v) clarifies that an entity should evaluate the need for a valuation allowance on a deferred tax asset related to available-for-sale securities in combination with the entity’s other deferred tax assets. The guidance is effective for interim and fiscal years beginning after December 15, 2017. Early adoption is not permitted.</w:t>
      </w:r>
    </w:p>
    <w:p>
      <w:pPr>
        <w:spacing w:after="0" w:line="138" w:lineRule="exact"/>
        <w:rPr>
          <w:sz w:val="20"/>
          <w:szCs w:val="20"/>
          <w:color w:val="auto"/>
        </w:rPr>
      </w:pPr>
    </w:p>
    <w:p>
      <w:pPr>
        <w:ind w:right="400"/>
        <w:spacing w:after="0" w:line="225" w:lineRule="auto"/>
        <w:rPr>
          <w:sz w:val="20"/>
          <w:szCs w:val="20"/>
          <w:color w:val="auto"/>
        </w:rPr>
      </w:pPr>
      <w:r>
        <w:rPr>
          <w:rFonts w:ascii="Arial" w:cs="Arial" w:eastAsia="Arial" w:hAnsi="Arial"/>
          <w:sz w:val="18"/>
          <w:szCs w:val="18"/>
          <w:color w:val="auto"/>
        </w:rPr>
        <w:t>Upon adoption in the first quarter of 2018, the Company will record a cumulative adjustment of $194.9 million to retained earnings on its Consolidated Balance Sheet related to unrealized gains of available-for-sale securities, net of tax, previously classified within accumulated other comprehensive income, and will recognize any changes in fair value in net income. In addition, the Company expects to elect the measurement alternative to measure cost method investments that do not have a readily determinable fair value at cost less impairment, adjusted by observable price changes with any fair value changes recognized in net income.</w:t>
      </w:r>
    </w:p>
    <w:p>
      <w:pPr>
        <w:spacing w:after="0" w:line="137" w:lineRule="exact"/>
        <w:rPr>
          <w:sz w:val="20"/>
          <w:szCs w:val="20"/>
          <w:color w:val="auto"/>
        </w:rPr>
      </w:pPr>
    </w:p>
    <w:p>
      <w:pPr>
        <w:ind w:right="40"/>
        <w:spacing w:after="0" w:line="222" w:lineRule="auto"/>
        <w:rPr>
          <w:sz w:val="20"/>
          <w:szCs w:val="20"/>
          <w:color w:val="auto"/>
        </w:rPr>
      </w:pPr>
      <w:r>
        <w:rPr>
          <w:rFonts w:ascii="Arial" w:cs="Arial" w:eastAsia="Arial" w:hAnsi="Arial"/>
          <w:sz w:val="18"/>
          <w:szCs w:val="18"/>
          <w:color w:val="auto"/>
        </w:rPr>
        <w:t>In February 2016, the FASB issued new guidance that requires, among other things, a lessee to recognize a right-of-use asset representing an entity’s right to use the underlying asset for the lease term and a liability for lease payments on its balance sheet, regardless of classification of a lease as operating or financing. For leases with a term of twelve months or less, a lessee is permitted to make an accounting policy election by class of underlying asset not to recognize lease assets and liabilities and account for the lease similar to existing guidance for operating leases today. This new guidance supersedes all prior guidance. The guidance is effective for interim and fiscal years beginning after December 15, 2018. Early adoption is permitted. The standard requires lessees and lessors to recognize and measure leases at the beginning of the earliest period presented using a modified retrospective approach. The Company is in the process of evaluating the impact of this new guidance on its Consolidated Financial Statements; however, the recognition of right-of-use assets and lease liabilities is expected to have a material effect on its Consolidated Balance Sheet.</w:t>
      </w:r>
    </w:p>
    <w:p>
      <w:pPr>
        <w:spacing w:after="0" w:line="200" w:lineRule="exact"/>
        <w:rPr>
          <w:sz w:val="20"/>
          <w:szCs w:val="20"/>
          <w:color w:val="auto"/>
        </w:rPr>
      </w:pPr>
    </w:p>
    <w:p>
      <w:pPr>
        <w:spacing w:after="0" w:line="30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81</w:t>
      </w:r>
    </w:p>
    <w:p>
      <w:pPr>
        <w:sectPr>
          <w:pgSz w:w="11900" w:h="16838" w:orient="portrait"/>
          <w:cols w:equalWidth="0" w:num="1">
            <w:col w:w="11400"/>
          </w:cols>
          <w:pgMar w:left="240" w:top="746" w:right="259" w:bottom="1440" w:gutter="0" w:footer="0" w:header="0"/>
        </w:sectPr>
      </w:pPr>
    </w:p>
    <w:bookmarkStart w:id="84" w:name="page85"/>
    <w:bookmarkEnd w:id="84"/>
    <w:p>
      <w:pPr>
        <w:ind w:right="80"/>
        <w:spacing w:after="0" w:line="221" w:lineRule="auto"/>
        <w:rPr>
          <w:sz w:val="20"/>
          <w:szCs w:val="20"/>
          <w:color w:val="auto"/>
        </w:rPr>
      </w:pPr>
      <w:r>
        <w:rPr>
          <w:rFonts w:ascii="Arial" w:cs="Arial" w:eastAsia="Arial" w:hAnsi="Arial"/>
          <w:sz w:val="18"/>
          <w:szCs w:val="18"/>
          <w:color w:val="auto"/>
        </w:rPr>
        <w:t>In March 2016, the FASB issued new guidance that simplifies the accounting for stock-based compensation. The new guidance (i) requires all excess tax benefits and tax deficiencies to be recognized in the income statement with the tax effects of vested or exercised awards treated as discrete items. Additionally, excess tax benefits will be recognized regardless of whether the benefit reduces taxes payable in the current period, effectively eliminating the APIC pool, (ii) concludes excess tax benefits should be classified as an operating activity in the statement of cash flows, (iii) requires an entity to make an entity-wide accounting policy election to either estimate a forfeiture rate for awards or account for forfeitures as they occur, (iv) changes the threshold for equity classification for cash settlements of awards for withholding requirements to the maximum statutory tax rate in the applicable jurisdiction and (v) concludes cash paid by an employer when directly withholding shares for tax-withholding purposes should be classified as a financing activity in the statement of cash flows. The guidance is effective for interim and fiscal years beginning after December 15, 2016. The Company adopted the new guidance as of January 1, 2017. As a result of adoption, the Company recognized a $5.9 million excess tax benefit as a discrete item in its tax provision related to the vesting of restricted stock awards in the first quarter of 2017. This tax benefit is classified as an operating activity on the Consolidated Statement of Cash Flows. Additionally, the Company elected to account for forfeitures of stock awards as they occur and not estimate a forfeiture rate. The Company does not expect the forfeiture rate election to have a material impact on its financial statements.</w:t>
      </w:r>
    </w:p>
    <w:p>
      <w:pPr>
        <w:spacing w:after="0" w:line="142" w:lineRule="exact"/>
        <w:rPr>
          <w:sz w:val="20"/>
          <w:szCs w:val="20"/>
          <w:color w:val="auto"/>
        </w:rPr>
      </w:pPr>
    </w:p>
    <w:p>
      <w:pPr>
        <w:ind w:right="40"/>
        <w:spacing w:after="0" w:line="224" w:lineRule="auto"/>
        <w:rPr>
          <w:sz w:val="20"/>
          <w:szCs w:val="20"/>
          <w:color w:val="auto"/>
        </w:rPr>
      </w:pPr>
      <w:r>
        <w:rPr>
          <w:rFonts w:ascii="Arial" w:cs="Arial" w:eastAsia="Arial" w:hAnsi="Arial"/>
          <w:sz w:val="18"/>
          <w:szCs w:val="18"/>
          <w:color w:val="auto"/>
        </w:rPr>
        <w:t>In January 2017, the FASB issued new guidance which simplifies the subsequent measurement of goodwill. The new guidance eliminates Step 2 from the goodwill impairment test, which required entities to determine the implied fair value of goodwill as of the test date to measure a goodwill impairment charge. Instead, an entity should continue to test goodwill for impairment by comparing the fair value of a reporting unit with its carrying amount (Step 1), and an impairment charge will be recognized for the amount by which the carrying amount exceeds the reporting unit’s fair value. The guidance is effective for interim and fiscal years beginning after December 15, 2019, with early adoption permitted. The Company early adopted this guidance in the second quarter of 2017.</w:t>
      </w:r>
    </w:p>
    <w:p>
      <w:pPr>
        <w:spacing w:after="0" w:line="137" w:lineRule="exact"/>
        <w:rPr>
          <w:sz w:val="20"/>
          <w:szCs w:val="20"/>
          <w:color w:val="auto"/>
        </w:rPr>
      </w:pPr>
    </w:p>
    <w:p>
      <w:pPr>
        <w:ind w:right="100"/>
        <w:spacing w:after="0" w:line="223" w:lineRule="auto"/>
        <w:rPr>
          <w:sz w:val="20"/>
          <w:szCs w:val="20"/>
          <w:color w:val="auto"/>
        </w:rPr>
      </w:pPr>
      <w:r>
        <w:rPr>
          <w:rFonts w:ascii="Arial" w:cs="Arial" w:eastAsia="Arial" w:hAnsi="Arial"/>
          <w:sz w:val="18"/>
          <w:szCs w:val="18"/>
          <w:color w:val="auto"/>
        </w:rPr>
        <w:t>In March 2017, the FASB issued new guidance that changes the presentation of net periodic pension cost and net periodic postretirement benefit cost for defined benefit plans. The guidance requires an issuer to disaggregate the service cost component of net periodic pension and postretirement benefit cost from other components. Under the new guidance, service cost will be included in the same line item(s) as other compensation costs arising from services rendered by employees during the period, while the other components will be recognized after income from operations. The guidance is effective for interim and fiscal years beginning after December 15, 2017. The guidance must be applied retrospectively; however, a practical expedient is available which permits an employer to use amounts previously disclosed in its pension and postretirement plans footnote for the prior comparative periods. The Company will adopt the new standard in the first quarter of 2018, and expects the following changes to its financial statements upon adoption, as detailed below:</w:t>
      </w:r>
    </w:p>
    <w:p>
      <w:pPr>
        <w:spacing w:after="0" w:line="299"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4840" w:type="dxa"/>
            <w:vAlign w:val="bottom"/>
          </w:tcPr>
          <w:p>
            <w:pPr>
              <w:spacing w:after="0"/>
              <w:rPr>
                <w:sz w:val="14"/>
                <w:szCs w:val="14"/>
                <w:color w:val="auto"/>
              </w:rPr>
            </w:pPr>
          </w:p>
        </w:tc>
        <w:tc>
          <w:tcPr>
            <w:tcW w:w="182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420" w:type="dxa"/>
            <w:vAlign w:val="bottom"/>
          </w:tcPr>
          <w:p>
            <w:pPr>
              <w:jc w:val="center"/>
              <w:ind w:right="143"/>
              <w:spacing w:after="0"/>
              <w:rPr>
                <w:sz w:val="20"/>
                <w:szCs w:val="20"/>
                <w:color w:val="auto"/>
              </w:rPr>
            </w:pPr>
            <w:r>
              <w:rPr>
                <w:rFonts w:ascii="Arial" w:cs="Arial" w:eastAsia="Arial" w:hAnsi="Arial"/>
                <w:sz w:val="14"/>
                <w:szCs w:val="14"/>
                <w:b w:val="1"/>
                <w:bCs w:val="1"/>
                <w:color w:val="auto"/>
              </w:rPr>
              <w:t>Non-Operating</w:t>
            </w:r>
          </w:p>
        </w:tc>
        <w:tc>
          <w:tcPr>
            <w:tcW w:w="300" w:type="dxa"/>
            <w:vAlign w:val="bottom"/>
          </w:tcPr>
          <w:p>
            <w:pPr>
              <w:spacing w:after="0"/>
              <w:rPr>
                <w:sz w:val="14"/>
                <w:szCs w:val="14"/>
                <w:color w:val="auto"/>
              </w:rPr>
            </w:pPr>
          </w:p>
        </w:tc>
        <w:tc>
          <w:tcPr>
            <w:tcW w:w="1380" w:type="dxa"/>
            <w:vAlign w:val="bottom"/>
          </w:tcPr>
          <w:p>
            <w:pPr>
              <w:spacing w:after="0"/>
              <w:rPr>
                <w:sz w:val="14"/>
                <w:szCs w:val="14"/>
                <w:color w:val="auto"/>
              </w:rPr>
            </w:pPr>
          </w:p>
        </w:tc>
      </w:tr>
      <w:tr>
        <w:trPr>
          <w:trHeight w:val="162"/>
        </w:trPr>
        <w:tc>
          <w:tcPr>
            <w:tcW w:w="4840" w:type="dxa"/>
            <w:vAlign w:val="bottom"/>
          </w:tcPr>
          <w:p>
            <w:pPr>
              <w:spacing w:after="0"/>
              <w:rPr>
                <w:sz w:val="14"/>
                <w:szCs w:val="14"/>
                <w:color w:val="auto"/>
              </w:rPr>
            </w:pPr>
          </w:p>
        </w:tc>
        <w:tc>
          <w:tcPr>
            <w:tcW w:w="182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420" w:type="dxa"/>
            <w:vAlign w:val="bottom"/>
          </w:tcPr>
          <w:p>
            <w:pPr>
              <w:jc w:val="center"/>
              <w:ind w:right="143"/>
              <w:spacing w:after="0"/>
              <w:rPr>
                <w:sz w:val="20"/>
                <w:szCs w:val="20"/>
                <w:color w:val="auto"/>
              </w:rPr>
            </w:pPr>
            <w:r>
              <w:rPr>
                <w:rFonts w:ascii="Arial" w:cs="Arial" w:eastAsia="Arial" w:hAnsi="Arial"/>
                <w:sz w:val="14"/>
                <w:szCs w:val="14"/>
                <w:b w:val="1"/>
                <w:bCs w:val="1"/>
                <w:color w:val="auto"/>
              </w:rPr>
              <w:t>Pension and</w:t>
            </w:r>
          </w:p>
        </w:tc>
        <w:tc>
          <w:tcPr>
            <w:tcW w:w="300" w:type="dxa"/>
            <w:vAlign w:val="bottom"/>
          </w:tcPr>
          <w:p>
            <w:pPr>
              <w:spacing w:after="0"/>
              <w:rPr>
                <w:sz w:val="14"/>
                <w:szCs w:val="14"/>
                <w:color w:val="auto"/>
              </w:rPr>
            </w:pPr>
          </w:p>
        </w:tc>
        <w:tc>
          <w:tcPr>
            <w:tcW w:w="1380" w:type="dxa"/>
            <w:vAlign w:val="bottom"/>
          </w:tcPr>
          <w:p>
            <w:pPr>
              <w:spacing w:after="0"/>
              <w:rPr>
                <w:sz w:val="14"/>
                <w:szCs w:val="14"/>
                <w:color w:val="auto"/>
              </w:rPr>
            </w:pPr>
          </w:p>
        </w:tc>
      </w:tr>
      <w:tr>
        <w:trPr>
          <w:trHeight w:val="162"/>
        </w:trPr>
        <w:tc>
          <w:tcPr>
            <w:tcW w:w="4840" w:type="dxa"/>
            <w:vAlign w:val="bottom"/>
          </w:tcPr>
          <w:p>
            <w:pPr>
              <w:spacing w:after="0"/>
              <w:rPr>
                <w:sz w:val="14"/>
                <w:szCs w:val="14"/>
                <w:color w:val="auto"/>
              </w:rPr>
            </w:pPr>
          </w:p>
        </w:tc>
        <w:tc>
          <w:tcPr>
            <w:tcW w:w="1820" w:type="dxa"/>
            <w:vAlign w:val="bottom"/>
          </w:tcPr>
          <w:p>
            <w:pPr>
              <w:spacing w:after="0"/>
              <w:rPr>
                <w:sz w:val="14"/>
                <w:szCs w:val="14"/>
                <w:color w:val="auto"/>
              </w:rPr>
            </w:pPr>
          </w:p>
        </w:tc>
        <w:tc>
          <w:tcPr>
            <w:tcW w:w="1400" w:type="dxa"/>
            <w:vAlign w:val="bottom"/>
          </w:tcPr>
          <w:p>
            <w:pPr>
              <w:jc w:val="right"/>
              <w:ind w:right="341"/>
              <w:spacing w:after="0"/>
              <w:rPr>
                <w:sz w:val="20"/>
                <w:szCs w:val="20"/>
                <w:color w:val="auto"/>
              </w:rPr>
            </w:pPr>
            <w:r>
              <w:rPr>
                <w:rFonts w:ascii="Arial" w:cs="Arial" w:eastAsia="Arial" w:hAnsi="Arial"/>
                <w:sz w:val="14"/>
                <w:szCs w:val="14"/>
                <w:b w:val="1"/>
                <w:bCs w:val="1"/>
                <w:color w:val="auto"/>
              </w:rPr>
              <w:t>Income from</w:t>
            </w:r>
          </w:p>
        </w:tc>
        <w:tc>
          <w:tcPr>
            <w:tcW w:w="260" w:type="dxa"/>
            <w:vAlign w:val="bottom"/>
          </w:tcPr>
          <w:p>
            <w:pPr>
              <w:spacing w:after="0"/>
              <w:rPr>
                <w:sz w:val="14"/>
                <w:szCs w:val="14"/>
                <w:color w:val="auto"/>
              </w:rPr>
            </w:pPr>
          </w:p>
        </w:tc>
        <w:tc>
          <w:tcPr>
            <w:tcW w:w="1420" w:type="dxa"/>
            <w:vAlign w:val="bottom"/>
          </w:tcPr>
          <w:p>
            <w:pPr>
              <w:jc w:val="center"/>
              <w:ind w:right="143"/>
              <w:spacing w:after="0"/>
              <w:rPr>
                <w:sz w:val="20"/>
                <w:szCs w:val="20"/>
                <w:color w:val="auto"/>
              </w:rPr>
            </w:pPr>
            <w:r>
              <w:rPr>
                <w:rFonts w:ascii="Arial" w:cs="Arial" w:eastAsia="Arial" w:hAnsi="Arial"/>
                <w:sz w:val="14"/>
                <w:szCs w:val="14"/>
                <w:b w:val="1"/>
                <w:bCs w:val="1"/>
                <w:color w:val="auto"/>
              </w:rPr>
              <w:t>Postretirement</w:t>
            </w:r>
          </w:p>
        </w:tc>
        <w:tc>
          <w:tcPr>
            <w:tcW w:w="300" w:type="dxa"/>
            <w:vAlign w:val="bottom"/>
          </w:tcPr>
          <w:p>
            <w:pPr>
              <w:spacing w:after="0"/>
              <w:rPr>
                <w:sz w:val="14"/>
                <w:szCs w:val="14"/>
                <w:color w:val="auto"/>
              </w:rPr>
            </w:pPr>
          </w:p>
        </w:tc>
        <w:tc>
          <w:tcPr>
            <w:tcW w:w="1380" w:type="dxa"/>
            <w:vAlign w:val="bottom"/>
          </w:tcPr>
          <w:p>
            <w:pPr>
              <w:jc w:val="right"/>
              <w:ind w:right="221"/>
              <w:spacing w:after="0"/>
              <w:rPr>
                <w:sz w:val="20"/>
                <w:szCs w:val="20"/>
                <w:color w:val="auto"/>
              </w:rPr>
            </w:pPr>
            <w:r>
              <w:rPr>
                <w:rFonts w:ascii="Arial" w:cs="Arial" w:eastAsia="Arial" w:hAnsi="Arial"/>
                <w:sz w:val="14"/>
                <w:szCs w:val="14"/>
                <w:b w:val="1"/>
                <w:bCs w:val="1"/>
                <w:color w:val="auto"/>
              </w:rPr>
              <w:t>Income Before</w:t>
            </w:r>
          </w:p>
        </w:tc>
      </w:tr>
      <w:tr>
        <w:trPr>
          <w:trHeight w:val="196"/>
        </w:trPr>
        <w:tc>
          <w:tcPr>
            <w:tcW w:w="484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(in thousands)</w:t>
            </w:r>
          </w:p>
        </w:tc>
        <w:tc>
          <w:tcPr>
            <w:tcW w:w="1820" w:type="dxa"/>
            <w:vAlign w:val="bottom"/>
            <w:tcBorders>
              <w:bottom w:val="single" w:sz="8" w:color="auto"/>
            </w:tcBorders>
          </w:tcPr>
          <w:p>
            <w:pPr>
              <w:spacing w:after="0"/>
              <w:rPr>
                <w:sz w:val="17"/>
                <w:szCs w:val="17"/>
                <w:color w:val="auto"/>
              </w:rPr>
            </w:pPr>
          </w:p>
        </w:tc>
        <w:tc>
          <w:tcPr>
            <w:tcW w:w="1400" w:type="dxa"/>
            <w:vAlign w:val="bottom"/>
            <w:tcBorders>
              <w:bottom w:val="single" w:sz="8" w:color="auto"/>
            </w:tcBorders>
          </w:tcPr>
          <w:p>
            <w:pPr>
              <w:jc w:val="right"/>
              <w:ind w:right="381"/>
              <w:spacing w:after="0"/>
              <w:rPr>
                <w:sz w:val="20"/>
                <w:szCs w:val="20"/>
                <w:color w:val="auto"/>
              </w:rPr>
            </w:pPr>
            <w:r>
              <w:rPr>
                <w:rFonts w:ascii="Arial" w:cs="Arial" w:eastAsia="Arial" w:hAnsi="Arial"/>
                <w:sz w:val="14"/>
                <w:szCs w:val="14"/>
                <w:b w:val="1"/>
                <w:bCs w:val="1"/>
                <w:color w:val="auto"/>
              </w:rPr>
              <w:t>Operations</w:t>
            </w:r>
          </w:p>
        </w:tc>
        <w:tc>
          <w:tcPr>
            <w:tcW w:w="260" w:type="dxa"/>
            <w:vAlign w:val="bottom"/>
            <w:tcBorders>
              <w:bottom w:val="single" w:sz="8" w:color="auto"/>
            </w:tcBorders>
          </w:tcPr>
          <w:p>
            <w:pPr>
              <w:spacing w:after="0"/>
              <w:rPr>
                <w:sz w:val="17"/>
                <w:szCs w:val="17"/>
                <w:color w:val="auto"/>
              </w:rPr>
            </w:pPr>
          </w:p>
        </w:tc>
        <w:tc>
          <w:tcPr>
            <w:tcW w:w="1420" w:type="dxa"/>
            <w:vAlign w:val="bottom"/>
            <w:tcBorders>
              <w:bottom w:val="single" w:sz="8" w:color="auto"/>
            </w:tcBorders>
          </w:tcPr>
          <w:p>
            <w:pPr>
              <w:jc w:val="center"/>
              <w:ind w:right="143"/>
              <w:spacing w:after="0"/>
              <w:rPr>
                <w:sz w:val="20"/>
                <w:szCs w:val="20"/>
                <w:color w:val="auto"/>
              </w:rPr>
            </w:pPr>
            <w:r>
              <w:rPr>
                <w:rFonts w:ascii="Arial" w:cs="Arial" w:eastAsia="Arial" w:hAnsi="Arial"/>
                <w:sz w:val="14"/>
                <w:szCs w:val="14"/>
                <w:b w:val="1"/>
                <w:bCs w:val="1"/>
                <w:color w:val="auto"/>
              </w:rPr>
              <w:t>Benefit Income</w:t>
            </w:r>
          </w:p>
        </w:tc>
        <w:tc>
          <w:tcPr>
            <w:tcW w:w="300" w:type="dxa"/>
            <w:vAlign w:val="bottom"/>
            <w:tcBorders>
              <w:bottom w:val="single" w:sz="8" w:color="auto"/>
            </w:tcBorders>
          </w:tcPr>
          <w:p>
            <w:pPr>
              <w:spacing w:after="0"/>
              <w:rPr>
                <w:sz w:val="17"/>
                <w:szCs w:val="17"/>
                <w:color w:val="auto"/>
              </w:rPr>
            </w:pPr>
          </w:p>
        </w:tc>
        <w:tc>
          <w:tcPr>
            <w:tcW w:w="1380" w:type="dxa"/>
            <w:vAlign w:val="bottom"/>
            <w:tcBorders>
              <w:bottom w:val="single" w:sz="8" w:color="auto"/>
            </w:tcBorders>
          </w:tcPr>
          <w:p>
            <w:pPr>
              <w:jc w:val="right"/>
              <w:ind w:right="241"/>
              <w:spacing w:after="0"/>
              <w:rPr>
                <w:sz w:val="20"/>
                <w:szCs w:val="20"/>
                <w:color w:val="auto"/>
              </w:rPr>
            </w:pPr>
            <w:r>
              <w:rPr>
                <w:rFonts w:ascii="Arial" w:cs="Arial" w:eastAsia="Arial" w:hAnsi="Arial"/>
                <w:sz w:val="14"/>
                <w:szCs w:val="14"/>
                <w:b w:val="1"/>
                <w:bCs w:val="1"/>
                <w:color w:val="auto"/>
              </w:rPr>
              <w:t>Income Taxes</w:t>
            </w:r>
          </w:p>
        </w:tc>
      </w:tr>
      <w:tr>
        <w:trPr>
          <w:trHeight w:val="250"/>
        </w:trPr>
        <w:tc>
          <w:tcPr>
            <w:tcW w:w="4840" w:type="dxa"/>
            <w:vAlign w:val="bottom"/>
          </w:tcPr>
          <w:p>
            <w:pPr>
              <w:ind w:left="40"/>
              <w:spacing w:after="0"/>
              <w:rPr>
                <w:sz w:val="20"/>
                <w:szCs w:val="20"/>
                <w:color w:val="auto"/>
              </w:rPr>
            </w:pPr>
            <w:r>
              <w:rPr>
                <w:rFonts w:ascii="Arial" w:cs="Arial" w:eastAsia="Arial" w:hAnsi="Arial"/>
                <w:sz w:val="16"/>
                <w:szCs w:val="16"/>
                <w:b w:val="1"/>
                <w:bCs w:val="1"/>
                <w:color w:val="auto"/>
              </w:rPr>
              <w:t>Twelve Months Ended December 31, 2017</w:t>
            </w:r>
          </w:p>
        </w:tc>
        <w:tc>
          <w:tcPr>
            <w:tcW w:w="1820" w:type="dxa"/>
            <w:vAlign w:val="bottom"/>
          </w:tcPr>
          <w:p>
            <w:pPr>
              <w:spacing w:after="0"/>
              <w:rPr>
                <w:sz w:val="21"/>
                <w:szCs w:val="21"/>
                <w:color w:val="auto"/>
              </w:rPr>
            </w:pPr>
          </w:p>
        </w:tc>
        <w:tc>
          <w:tcPr>
            <w:tcW w:w="14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4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380" w:type="dxa"/>
            <w:vAlign w:val="bottom"/>
          </w:tcPr>
          <w:p>
            <w:pPr>
              <w:spacing w:after="0"/>
              <w:rPr>
                <w:sz w:val="21"/>
                <w:szCs w:val="21"/>
                <w:color w:val="auto"/>
              </w:rPr>
            </w:pPr>
          </w:p>
        </w:tc>
      </w:tr>
      <w:tr>
        <w:trPr>
          <w:trHeight w:val="270"/>
        </w:trPr>
        <w:tc>
          <w:tcPr>
            <w:tcW w:w="4840" w:type="dxa"/>
            <w:vAlign w:val="bottom"/>
          </w:tcPr>
          <w:p>
            <w:pPr>
              <w:ind w:left="40"/>
              <w:spacing w:after="0"/>
              <w:rPr>
                <w:sz w:val="20"/>
                <w:szCs w:val="20"/>
                <w:color w:val="auto"/>
              </w:rPr>
            </w:pPr>
            <w:r>
              <w:rPr>
                <w:rFonts w:ascii="Arial" w:cs="Arial" w:eastAsia="Arial" w:hAnsi="Arial"/>
                <w:sz w:val="16"/>
                <w:szCs w:val="16"/>
                <w:color w:val="auto"/>
              </w:rPr>
              <w:t>As Reported</w:t>
            </w:r>
          </w:p>
        </w:tc>
        <w:tc>
          <w:tcPr>
            <w:tcW w:w="182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1400" w:type="dxa"/>
            <w:vAlign w:val="bottom"/>
          </w:tcPr>
          <w:p>
            <w:pPr>
              <w:jc w:val="right"/>
              <w:ind w:right="81"/>
              <w:spacing w:after="0"/>
              <w:rPr>
                <w:sz w:val="20"/>
                <w:szCs w:val="20"/>
                <w:color w:val="auto"/>
              </w:rPr>
            </w:pPr>
            <w:r>
              <w:rPr>
                <w:rFonts w:ascii="Arial" w:cs="Arial" w:eastAsia="Arial" w:hAnsi="Arial"/>
                <w:sz w:val="16"/>
                <w:szCs w:val="16"/>
                <w:color w:val="auto"/>
              </w:rPr>
              <w:t>209,102</w:t>
            </w:r>
          </w:p>
        </w:tc>
        <w:tc>
          <w:tcPr>
            <w:tcW w:w="260" w:type="dxa"/>
            <w:vAlign w:val="bottom"/>
          </w:tcPr>
          <w:p>
            <w:pPr>
              <w:jc w:val="right"/>
              <w:spacing w:after="0"/>
              <w:rPr>
                <w:sz w:val="20"/>
                <w:szCs w:val="20"/>
                <w:color w:val="auto"/>
              </w:rPr>
            </w:pPr>
            <w:r>
              <w:rPr>
                <w:rFonts w:ascii="Arial" w:cs="Arial" w:eastAsia="Arial" w:hAnsi="Arial"/>
                <w:sz w:val="16"/>
                <w:szCs w:val="16"/>
                <w:color w:val="auto"/>
              </w:rPr>
              <w:t>$</w:t>
            </w:r>
          </w:p>
        </w:tc>
        <w:tc>
          <w:tcPr>
            <w:tcW w:w="1420" w:type="dxa"/>
            <w:vAlign w:val="bottom"/>
          </w:tcPr>
          <w:p>
            <w:pPr>
              <w:jc w:val="right"/>
              <w:ind w:right="43"/>
              <w:spacing w:after="0"/>
              <w:rPr>
                <w:sz w:val="20"/>
                <w:szCs w:val="20"/>
                <w:color w:val="auto"/>
              </w:rPr>
            </w:pPr>
            <w:r>
              <w:rPr>
                <w:rFonts w:ascii="Arial" w:cs="Arial" w:eastAsia="Arial" w:hAnsi="Arial"/>
                <w:sz w:val="16"/>
                <w:szCs w:val="16"/>
                <w:color w:val="auto"/>
              </w:rPr>
              <w:t>—</w:t>
            </w:r>
          </w:p>
        </w:tc>
        <w:tc>
          <w:tcPr>
            <w:tcW w:w="30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1380" w:type="dxa"/>
            <w:vAlign w:val="bottom"/>
          </w:tcPr>
          <w:p>
            <w:pPr>
              <w:jc w:val="right"/>
              <w:ind w:right="21"/>
              <w:spacing w:after="0"/>
              <w:rPr>
                <w:sz w:val="20"/>
                <w:szCs w:val="20"/>
                <w:color w:val="auto"/>
              </w:rPr>
            </w:pPr>
            <w:r>
              <w:rPr>
                <w:rFonts w:ascii="Arial" w:cs="Arial" w:eastAsia="Arial" w:hAnsi="Arial"/>
                <w:sz w:val="16"/>
                <w:szCs w:val="16"/>
                <w:color w:val="auto"/>
              </w:rPr>
              <w:t>182,789</w:t>
            </w:r>
          </w:p>
        </w:tc>
      </w:tr>
      <w:tr>
        <w:trPr>
          <w:trHeight w:val="270"/>
        </w:trPr>
        <w:tc>
          <w:tcPr>
            <w:tcW w:w="4840" w:type="dxa"/>
            <w:vAlign w:val="bottom"/>
          </w:tcPr>
          <w:p>
            <w:pPr>
              <w:ind w:left="40"/>
              <w:spacing w:after="0"/>
              <w:rPr>
                <w:sz w:val="20"/>
                <w:szCs w:val="20"/>
                <w:color w:val="auto"/>
              </w:rPr>
            </w:pPr>
            <w:r>
              <w:rPr>
                <w:rFonts w:ascii="Arial" w:cs="Arial" w:eastAsia="Arial" w:hAnsi="Arial"/>
                <w:sz w:val="16"/>
                <w:szCs w:val="16"/>
                <w:color w:val="auto"/>
              </w:rPr>
              <w:t>Adjustment</w:t>
            </w:r>
          </w:p>
        </w:tc>
        <w:tc>
          <w:tcPr>
            <w:tcW w:w="1820" w:type="dxa"/>
            <w:vAlign w:val="bottom"/>
          </w:tcPr>
          <w:p>
            <w:pPr>
              <w:spacing w:after="0"/>
              <w:rPr>
                <w:sz w:val="23"/>
                <w:szCs w:val="23"/>
                <w:color w:val="auto"/>
              </w:rPr>
            </w:pPr>
          </w:p>
        </w:tc>
        <w:tc>
          <w:tcPr>
            <w:tcW w:w="1400" w:type="dxa"/>
            <w:vAlign w:val="bottom"/>
          </w:tcPr>
          <w:p>
            <w:pPr>
              <w:jc w:val="right"/>
              <w:ind w:right="21"/>
              <w:spacing w:after="0"/>
              <w:rPr>
                <w:sz w:val="20"/>
                <w:szCs w:val="20"/>
                <w:color w:val="auto"/>
              </w:rPr>
            </w:pPr>
            <w:r>
              <w:rPr>
                <w:rFonts w:ascii="Arial" w:cs="Arial" w:eastAsia="Arial" w:hAnsi="Arial"/>
                <w:sz w:val="16"/>
                <w:szCs w:val="16"/>
                <w:color w:val="auto"/>
              </w:rPr>
              <w:t>(72,699)</w:t>
            </w:r>
          </w:p>
        </w:tc>
        <w:tc>
          <w:tcPr>
            <w:tcW w:w="260" w:type="dxa"/>
            <w:vAlign w:val="bottom"/>
          </w:tcPr>
          <w:p>
            <w:pPr>
              <w:spacing w:after="0"/>
              <w:rPr>
                <w:sz w:val="23"/>
                <w:szCs w:val="23"/>
                <w:color w:val="auto"/>
              </w:rPr>
            </w:pPr>
          </w:p>
        </w:tc>
        <w:tc>
          <w:tcPr>
            <w:tcW w:w="1420" w:type="dxa"/>
            <w:vAlign w:val="bottom"/>
          </w:tcPr>
          <w:p>
            <w:pPr>
              <w:jc w:val="right"/>
              <w:ind w:right="43"/>
              <w:spacing w:after="0"/>
              <w:rPr>
                <w:sz w:val="20"/>
                <w:szCs w:val="20"/>
                <w:color w:val="auto"/>
              </w:rPr>
            </w:pPr>
            <w:r>
              <w:rPr>
                <w:rFonts w:ascii="Arial" w:cs="Arial" w:eastAsia="Arial" w:hAnsi="Arial"/>
                <w:sz w:val="16"/>
                <w:szCs w:val="16"/>
                <w:color w:val="auto"/>
              </w:rPr>
              <w:t>72,699</w:t>
            </w:r>
          </w:p>
        </w:tc>
        <w:tc>
          <w:tcPr>
            <w:tcW w:w="300" w:type="dxa"/>
            <w:vAlign w:val="bottom"/>
          </w:tcPr>
          <w:p>
            <w:pPr>
              <w:spacing w:after="0"/>
              <w:rPr>
                <w:sz w:val="23"/>
                <w:szCs w:val="23"/>
                <w:color w:val="auto"/>
              </w:rPr>
            </w:pPr>
          </w:p>
        </w:tc>
        <w:tc>
          <w:tcPr>
            <w:tcW w:w="1380" w:type="dxa"/>
            <w:vAlign w:val="bottom"/>
          </w:tcPr>
          <w:p>
            <w:pPr>
              <w:jc w:val="right"/>
              <w:ind w:right="21"/>
              <w:spacing w:after="0"/>
              <w:rPr>
                <w:sz w:val="20"/>
                <w:szCs w:val="20"/>
                <w:color w:val="auto"/>
              </w:rPr>
            </w:pPr>
            <w:r>
              <w:rPr>
                <w:rFonts w:ascii="Arial" w:cs="Arial" w:eastAsia="Arial" w:hAnsi="Arial"/>
                <w:sz w:val="16"/>
                <w:szCs w:val="16"/>
                <w:color w:val="auto"/>
              </w:rPr>
              <w:t>—</w:t>
            </w:r>
          </w:p>
        </w:tc>
      </w:tr>
      <w:tr>
        <w:trPr>
          <w:trHeight w:val="270"/>
        </w:trPr>
        <w:tc>
          <w:tcPr>
            <w:tcW w:w="4840" w:type="dxa"/>
            <w:vAlign w:val="bottom"/>
          </w:tcPr>
          <w:p>
            <w:pPr>
              <w:ind w:left="40"/>
              <w:spacing w:after="0"/>
              <w:rPr>
                <w:sz w:val="20"/>
                <w:szCs w:val="20"/>
                <w:color w:val="auto"/>
              </w:rPr>
            </w:pPr>
            <w:r>
              <w:rPr>
                <w:rFonts w:ascii="Arial" w:cs="Arial" w:eastAsia="Arial" w:hAnsi="Arial"/>
                <w:sz w:val="16"/>
                <w:szCs w:val="16"/>
                <w:color w:val="auto"/>
              </w:rPr>
              <w:t>Upon Adoption</w:t>
            </w:r>
          </w:p>
        </w:tc>
        <w:tc>
          <w:tcPr>
            <w:tcW w:w="1820" w:type="dxa"/>
            <w:vAlign w:val="bottom"/>
          </w:tcPr>
          <w:p>
            <w:pPr>
              <w:spacing w:after="0"/>
              <w:rPr>
                <w:sz w:val="23"/>
                <w:szCs w:val="23"/>
                <w:color w:val="auto"/>
              </w:rPr>
            </w:pPr>
          </w:p>
        </w:tc>
        <w:tc>
          <w:tcPr>
            <w:tcW w:w="1400" w:type="dxa"/>
            <w:vAlign w:val="bottom"/>
          </w:tcPr>
          <w:p>
            <w:pPr>
              <w:jc w:val="right"/>
              <w:ind w:right="81"/>
              <w:spacing w:after="0"/>
              <w:rPr>
                <w:sz w:val="20"/>
                <w:szCs w:val="20"/>
                <w:color w:val="auto"/>
              </w:rPr>
            </w:pPr>
            <w:r>
              <w:rPr>
                <w:rFonts w:ascii="Arial" w:cs="Arial" w:eastAsia="Arial" w:hAnsi="Arial"/>
                <w:sz w:val="16"/>
                <w:szCs w:val="16"/>
                <w:color w:val="auto"/>
              </w:rPr>
              <w:t>136,403</w:t>
            </w:r>
          </w:p>
        </w:tc>
        <w:tc>
          <w:tcPr>
            <w:tcW w:w="260" w:type="dxa"/>
            <w:vAlign w:val="bottom"/>
          </w:tcPr>
          <w:p>
            <w:pPr>
              <w:spacing w:after="0"/>
              <w:rPr>
                <w:sz w:val="23"/>
                <w:szCs w:val="23"/>
                <w:color w:val="auto"/>
              </w:rPr>
            </w:pPr>
          </w:p>
        </w:tc>
        <w:tc>
          <w:tcPr>
            <w:tcW w:w="1420" w:type="dxa"/>
            <w:vAlign w:val="bottom"/>
          </w:tcPr>
          <w:p>
            <w:pPr>
              <w:jc w:val="right"/>
              <w:ind w:right="43"/>
              <w:spacing w:after="0"/>
              <w:rPr>
                <w:sz w:val="20"/>
                <w:szCs w:val="20"/>
                <w:color w:val="auto"/>
              </w:rPr>
            </w:pPr>
            <w:r>
              <w:rPr>
                <w:rFonts w:ascii="Arial" w:cs="Arial" w:eastAsia="Arial" w:hAnsi="Arial"/>
                <w:sz w:val="16"/>
                <w:szCs w:val="16"/>
                <w:color w:val="auto"/>
              </w:rPr>
              <w:t>72,699</w:t>
            </w:r>
          </w:p>
        </w:tc>
        <w:tc>
          <w:tcPr>
            <w:tcW w:w="300" w:type="dxa"/>
            <w:vAlign w:val="bottom"/>
          </w:tcPr>
          <w:p>
            <w:pPr>
              <w:spacing w:after="0"/>
              <w:rPr>
                <w:sz w:val="23"/>
                <w:szCs w:val="23"/>
                <w:color w:val="auto"/>
              </w:rPr>
            </w:pPr>
          </w:p>
        </w:tc>
        <w:tc>
          <w:tcPr>
            <w:tcW w:w="1380" w:type="dxa"/>
            <w:vAlign w:val="bottom"/>
          </w:tcPr>
          <w:p>
            <w:pPr>
              <w:jc w:val="right"/>
              <w:ind w:right="21"/>
              <w:spacing w:after="0"/>
              <w:rPr>
                <w:sz w:val="20"/>
                <w:szCs w:val="20"/>
                <w:color w:val="auto"/>
              </w:rPr>
            </w:pPr>
            <w:r>
              <w:rPr>
                <w:rFonts w:ascii="Arial" w:cs="Arial" w:eastAsia="Arial" w:hAnsi="Arial"/>
                <w:sz w:val="16"/>
                <w:szCs w:val="16"/>
                <w:color w:val="auto"/>
              </w:rPr>
              <w:t>182,789</w:t>
            </w:r>
          </w:p>
        </w:tc>
      </w:tr>
      <w:tr>
        <w:trPr>
          <w:trHeight w:val="513"/>
        </w:trPr>
        <w:tc>
          <w:tcPr>
            <w:tcW w:w="4840" w:type="dxa"/>
            <w:vAlign w:val="bottom"/>
          </w:tcPr>
          <w:p>
            <w:pPr>
              <w:ind w:left="40"/>
              <w:spacing w:after="0"/>
              <w:rPr>
                <w:sz w:val="20"/>
                <w:szCs w:val="20"/>
                <w:color w:val="auto"/>
              </w:rPr>
            </w:pPr>
            <w:r>
              <w:rPr>
                <w:rFonts w:ascii="Arial" w:cs="Arial" w:eastAsia="Arial" w:hAnsi="Arial"/>
                <w:sz w:val="16"/>
                <w:szCs w:val="16"/>
                <w:b w:val="1"/>
                <w:bCs w:val="1"/>
                <w:color w:val="auto"/>
              </w:rPr>
              <w:t>Twelve Months Ended December 31, 2016</w:t>
            </w:r>
          </w:p>
        </w:tc>
        <w:tc>
          <w:tcPr>
            <w:tcW w:w="18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380" w:type="dxa"/>
            <w:vAlign w:val="bottom"/>
          </w:tcPr>
          <w:p>
            <w:pPr>
              <w:spacing w:after="0"/>
              <w:rPr>
                <w:sz w:val="24"/>
                <w:szCs w:val="24"/>
                <w:color w:val="auto"/>
              </w:rPr>
            </w:pPr>
          </w:p>
        </w:tc>
      </w:tr>
      <w:tr>
        <w:trPr>
          <w:trHeight w:val="270"/>
        </w:trPr>
        <w:tc>
          <w:tcPr>
            <w:tcW w:w="4840" w:type="dxa"/>
            <w:vAlign w:val="bottom"/>
          </w:tcPr>
          <w:p>
            <w:pPr>
              <w:ind w:left="180"/>
              <w:spacing w:after="0"/>
              <w:rPr>
                <w:sz w:val="20"/>
                <w:szCs w:val="20"/>
                <w:color w:val="auto"/>
              </w:rPr>
            </w:pPr>
            <w:r>
              <w:rPr>
                <w:rFonts w:ascii="Arial" w:cs="Arial" w:eastAsia="Arial" w:hAnsi="Arial"/>
                <w:sz w:val="16"/>
                <w:szCs w:val="16"/>
                <w:color w:val="auto"/>
              </w:rPr>
              <w:t>As Reported</w:t>
            </w:r>
          </w:p>
        </w:tc>
        <w:tc>
          <w:tcPr>
            <w:tcW w:w="182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1400" w:type="dxa"/>
            <w:vAlign w:val="bottom"/>
          </w:tcPr>
          <w:p>
            <w:pPr>
              <w:jc w:val="right"/>
              <w:ind w:right="81"/>
              <w:spacing w:after="0"/>
              <w:rPr>
                <w:sz w:val="20"/>
                <w:szCs w:val="20"/>
                <w:color w:val="auto"/>
              </w:rPr>
            </w:pPr>
            <w:r>
              <w:rPr>
                <w:rFonts w:ascii="Arial" w:cs="Arial" w:eastAsia="Arial" w:hAnsi="Arial"/>
                <w:sz w:val="16"/>
                <w:szCs w:val="16"/>
                <w:color w:val="auto"/>
              </w:rPr>
              <w:t>303,534</w:t>
            </w:r>
          </w:p>
        </w:tc>
        <w:tc>
          <w:tcPr>
            <w:tcW w:w="260" w:type="dxa"/>
            <w:vAlign w:val="bottom"/>
          </w:tcPr>
          <w:p>
            <w:pPr>
              <w:jc w:val="right"/>
              <w:spacing w:after="0"/>
              <w:rPr>
                <w:sz w:val="20"/>
                <w:szCs w:val="20"/>
                <w:color w:val="auto"/>
              </w:rPr>
            </w:pPr>
            <w:r>
              <w:rPr>
                <w:rFonts w:ascii="Arial" w:cs="Arial" w:eastAsia="Arial" w:hAnsi="Arial"/>
                <w:sz w:val="16"/>
                <w:szCs w:val="16"/>
                <w:color w:val="auto"/>
              </w:rPr>
              <w:t>$</w:t>
            </w:r>
          </w:p>
        </w:tc>
        <w:tc>
          <w:tcPr>
            <w:tcW w:w="1420" w:type="dxa"/>
            <w:vAlign w:val="bottom"/>
          </w:tcPr>
          <w:p>
            <w:pPr>
              <w:jc w:val="right"/>
              <w:ind w:right="43"/>
              <w:spacing w:after="0"/>
              <w:rPr>
                <w:sz w:val="20"/>
                <w:szCs w:val="20"/>
                <w:color w:val="auto"/>
              </w:rPr>
            </w:pPr>
            <w:r>
              <w:rPr>
                <w:rFonts w:ascii="Arial" w:cs="Arial" w:eastAsia="Arial" w:hAnsi="Arial"/>
                <w:sz w:val="16"/>
                <w:szCs w:val="16"/>
                <w:color w:val="auto"/>
              </w:rPr>
              <w:t>—</w:t>
            </w:r>
          </w:p>
        </w:tc>
        <w:tc>
          <w:tcPr>
            <w:tcW w:w="30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1380" w:type="dxa"/>
            <w:vAlign w:val="bottom"/>
          </w:tcPr>
          <w:p>
            <w:pPr>
              <w:jc w:val="right"/>
              <w:ind w:right="21"/>
              <w:spacing w:after="0"/>
              <w:rPr>
                <w:sz w:val="20"/>
                <w:szCs w:val="20"/>
                <w:color w:val="auto"/>
              </w:rPr>
            </w:pPr>
            <w:r>
              <w:rPr>
                <w:rFonts w:ascii="Arial" w:cs="Arial" w:eastAsia="Arial" w:hAnsi="Arial"/>
                <w:sz w:val="16"/>
                <w:szCs w:val="16"/>
                <w:color w:val="auto"/>
              </w:rPr>
              <w:t>250,658</w:t>
            </w:r>
          </w:p>
        </w:tc>
      </w:tr>
      <w:tr>
        <w:trPr>
          <w:trHeight w:val="270"/>
        </w:trPr>
        <w:tc>
          <w:tcPr>
            <w:tcW w:w="4840" w:type="dxa"/>
            <w:vAlign w:val="bottom"/>
          </w:tcPr>
          <w:p>
            <w:pPr>
              <w:ind w:left="180"/>
              <w:spacing w:after="0"/>
              <w:rPr>
                <w:sz w:val="20"/>
                <w:szCs w:val="20"/>
                <w:color w:val="auto"/>
              </w:rPr>
            </w:pPr>
            <w:r>
              <w:rPr>
                <w:rFonts w:ascii="Arial" w:cs="Arial" w:eastAsia="Arial" w:hAnsi="Arial"/>
                <w:sz w:val="16"/>
                <w:szCs w:val="16"/>
                <w:color w:val="auto"/>
              </w:rPr>
              <w:t>Adjustment</w:t>
            </w:r>
          </w:p>
        </w:tc>
        <w:tc>
          <w:tcPr>
            <w:tcW w:w="1820" w:type="dxa"/>
            <w:vAlign w:val="bottom"/>
          </w:tcPr>
          <w:p>
            <w:pPr>
              <w:spacing w:after="0"/>
              <w:rPr>
                <w:sz w:val="23"/>
                <w:szCs w:val="23"/>
                <w:color w:val="auto"/>
              </w:rPr>
            </w:pPr>
          </w:p>
        </w:tc>
        <w:tc>
          <w:tcPr>
            <w:tcW w:w="1400" w:type="dxa"/>
            <w:vAlign w:val="bottom"/>
          </w:tcPr>
          <w:p>
            <w:pPr>
              <w:jc w:val="right"/>
              <w:ind w:right="21"/>
              <w:spacing w:after="0"/>
              <w:rPr>
                <w:sz w:val="20"/>
                <w:szCs w:val="20"/>
                <w:color w:val="auto"/>
              </w:rPr>
            </w:pPr>
            <w:r>
              <w:rPr>
                <w:rFonts w:ascii="Arial" w:cs="Arial" w:eastAsia="Arial" w:hAnsi="Arial"/>
                <w:sz w:val="16"/>
                <w:szCs w:val="16"/>
                <w:color w:val="auto"/>
              </w:rPr>
              <w:t>(80,665)</w:t>
            </w:r>
          </w:p>
        </w:tc>
        <w:tc>
          <w:tcPr>
            <w:tcW w:w="260" w:type="dxa"/>
            <w:vAlign w:val="bottom"/>
          </w:tcPr>
          <w:p>
            <w:pPr>
              <w:spacing w:after="0"/>
              <w:rPr>
                <w:sz w:val="23"/>
                <w:szCs w:val="23"/>
                <w:color w:val="auto"/>
              </w:rPr>
            </w:pPr>
          </w:p>
        </w:tc>
        <w:tc>
          <w:tcPr>
            <w:tcW w:w="1420" w:type="dxa"/>
            <w:vAlign w:val="bottom"/>
          </w:tcPr>
          <w:p>
            <w:pPr>
              <w:jc w:val="right"/>
              <w:ind w:right="43"/>
              <w:spacing w:after="0"/>
              <w:rPr>
                <w:sz w:val="20"/>
                <w:szCs w:val="20"/>
                <w:color w:val="auto"/>
              </w:rPr>
            </w:pPr>
            <w:r>
              <w:rPr>
                <w:rFonts w:ascii="Arial" w:cs="Arial" w:eastAsia="Arial" w:hAnsi="Arial"/>
                <w:sz w:val="16"/>
                <w:szCs w:val="16"/>
                <w:color w:val="auto"/>
              </w:rPr>
              <w:t>80,665</w:t>
            </w:r>
          </w:p>
        </w:tc>
        <w:tc>
          <w:tcPr>
            <w:tcW w:w="300" w:type="dxa"/>
            <w:vAlign w:val="bottom"/>
          </w:tcPr>
          <w:p>
            <w:pPr>
              <w:spacing w:after="0"/>
              <w:rPr>
                <w:sz w:val="23"/>
                <w:szCs w:val="23"/>
                <w:color w:val="auto"/>
              </w:rPr>
            </w:pPr>
          </w:p>
        </w:tc>
        <w:tc>
          <w:tcPr>
            <w:tcW w:w="1380" w:type="dxa"/>
            <w:vAlign w:val="bottom"/>
          </w:tcPr>
          <w:p>
            <w:pPr>
              <w:jc w:val="right"/>
              <w:ind w:right="21"/>
              <w:spacing w:after="0"/>
              <w:rPr>
                <w:sz w:val="20"/>
                <w:szCs w:val="20"/>
                <w:color w:val="auto"/>
              </w:rPr>
            </w:pPr>
            <w:r>
              <w:rPr>
                <w:rFonts w:ascii="Arial" w:cs="Arial" w:eastAsia="Arial" w:hAnsi="Arial"/>
                <w:sz w:val="16"/>
                <w:szCs w:val="16"/>
                <w:color w:val="auto"/>
              </w:rPr>
              <w:t>—</w:t>
            </w:r>
          </w:p>
        </w:tc>
      </w:tr>
      <w:tr>
        <w:trPr>
          <w:trHeight w:val="270"/>
        </w:trPr>
        <w:tc>
          <w:tcPr>
            <w:tcW w:w="4840" w:type="dxa"/>
            <w:vAlign w:val="bottom"/>
          </w:tcPr>
          <w:p>
            <w:pPr>
              <w:ind w:left="180"/>
              <w:spacing w:after="0"/>
              <w:rPr>
                <w:sz w:val="20"/>
                <w:szCs w:val="20"/>
                <w:color w:val="auto"/>
              </w:rPr>
            </w:pPr>
            <w:r>
              <w:rPr>
                <w:rFonts w:ascii="Arial" w:cs="Arial" w:eastAsia="Arial" w:hAnsi="Arial"/>
                <w:sz w:val="16"/>
                <w:szCs w:val="16"/>
                <w:color w:val="auto"/>
              </w:rPr>
              <w:t>Upon Adoption</w:t>
            </w:r>
          </w:p>
        </w:tc>
        <w:tc>
          <w:tcPr>
            <w:tcW w:w="1820" w:type="dxa"/>
            <w:vAlign w:val="bottom"/>
          </w:tcPr>
          <w:p>
            <w:pPr>
              <w:spacing w:after="0"/>
              <w:rPr>
                <w:sz w:val="23"/>
                <w:szCs w:val="23"/>
                <w:color w:val="auto"/>
              </w:rPr>
            </w:pPr>
          </w:p>
        </w:tc>
        <w:tc>
          <w:tcPr>
            <w:tcW w:w="1400" w:type="dxa"/>
            <w:vAlign w:val="bottom"/>
          </w:tcPr>
          <w:p>
            <w:pPr>
              <w:jc w:val="right"/>
              <w:ind w:right="81"/>
              <w:spacing w:after="0"/>
              <w:rPr>
                <w:sz w:val="20"/>
                <w:szCs w:val="20"/>
                <w:color w:val="auto"/>
              </w:rPr>
            </w:pPr>
            <w:r>
              <w:rPr>
                <w:rFonts w:ascii="Arial" w:cs="Arial" w:eastAsia="Arial" w:hAnsi="Arial"/>
                <w:sz w:val="16"/>
                <w:szCs w:val="16"/>
                <w:color w:val="auto"/>
              </w:rPr>
              <w:t>222,869</w:t>
            </w:r>
          </w:p>
        </w:tc>
        <w:tc>
          <w:tcPr>
            <w:tcW w:w="260" w:type="dxa"/>
            <w:vAlign w:val="bottom"/>
          </w:tcPr>
          <w:p>
            <w:pPr>
              <w:spacing w:after="0"/>
              <w:rPr>
                <w:sz w:val="23"/>
                <w:szCs w:val="23"/>
                <w:color w:val="auto"/>
              </w:rPr>
            </w:pPr>
          </w:p>
        </w:tc>
        <w:tc>
          <w:tcPr>
            <w:tcW w:w="1420" w:type="dxa"/>
            <w:vAlign w:val="bottom"/>
          </w:tcPr>
          <w:p>
            <w:pPr>
              <w:jc w:val="right"/>
              <w:ind w:right="43"/>
              <w:spacing w:after="0"/>
              <w:rPr>
                <w:sz w:val="20"/>
                <w:szCs w:val="20"/>
                <w:color w:val="auto"/>
              </w:rPr>
            </w:pPr>
            <w:r>
              <w:rPr>
                <w:rFonts w:ascii="Arial" w:cs="Arial" w:eastAsia="Arial" w:hAnsi="Arial"/>
                <w:sz w:val="16"/>
                <w:szCs w:val="16"/>
                <w:color w:val="auto"/>
              </w:rPr>
              <w:t>80,665</w:t>
            </w:r>
          </w:p>
        </w:tc>
        <w:tc>
          <w:tcPr>
            <w:tcW w:w="300" w:type="dxa"/>
            <w:vAlign w:val="bottom"/>
          </w:tcPr>
          <w:p>
            <w:pPr>
              <w:spacing w:after="0"/>
              <w:rPr>
                <w:sz w:val="23"/>
                <w:szCs w:val="23"/>
                <w:color w:val="auto"/>
              </w:rPr>
            </w:pPr>
          </w:p>
        </w:tc>
        <w:tc>
          <w:tcPr>
            <w:tcW w:w="1380" w:type="dxa"/>
            <w:vAlign w:val="bottom"/>
          </w:tcPr>
          <w:p>
            <w:pPr>
              <w:jc w:val="right"/>
              <w:ind w:right="21"/>
              <w:spacing w:after="0"/>
              <w:rPr>
                <w:sz w:val="20"/>
                <w:szCs w:val="20"/>
                <w:color w:val="auto"/>
              </w:rPr>
            </w:pPr>
            <w:r>
              <w:rPr>
                <w:rFonts w:ascii="Arial" w:cs="Arial" w:eastAsia="Arial" w:hAnsi="Arial"/>
                <w:sz w:val="16"/>
                <w:szCs w:val="16"/>
                <w:color w:val="auto"/>
              </w:rPr>
              <w:t>250,658</w:t>
            </w:r>
          </w:p>
        </w:tc>
      </w:tr>
    </w:tbl>
    <w:p>
      <w:pPr>
        <w:spacing w:after="0" w:line="167" w:lineRule="exact"/>
        <w:rPr>
          <w:sz w:val="20"/>
          <w:szCs w:val="20"/>
          <w:color w:val="auto"/>
        </w:rPr>
      </w:pPr>
    </w:p>
    <w:p>
      <w:pPr>
        <w:ind w:right="20"/>
        <w:spacing w:after="0" w:line="223" w:lineRule="auto"/>
        <w:rPr>
          <w:sz w:val="20"/>
          <w:szCs w:val="20"/>
          <w:color w:val="auto"/>
        </w:rPr>
      </w:pPr>
      <w:r>
        <w:rPr>
          <w:rFonts w:ascii="Arial" w:cs="Arial" w:eastAsia="Arial" w:hAnsi="Arial"/>
          <w:sz w:val="18"/>
          <w:szCs w:val="18"/>
          <w:color w:val="auto"/>
        </w:rPr>
        <w:t>In February 2018, the FASB issued new guidance that allows an entity to elect to reclassify stranded tax effects resulting from the Tax Cuts and Jobs Act (the Tax Act) from accumulated other comprehensive income to retained earnings. If elected, the amount of the reclassification shall include the effect of the change in the U.S. federal corporate income tax rate on the gross deferred tax amount and related valuation allowances at the date of enactment of the Tax Act as well as other income tax effects of the Tax Act on items remaining in accumulated other comprehensive income. The guidance is effective for interim and fiscal years beginning after December 15, 2018, with early adoption permitted. The Company early adopted this guidance in the fourth quarter of 2017, and elected to reclassify the income tax effects of the Tax Act of $70.9 million from accumulated other comprehensive income to retained earnings. No other income tax effects related to the application of the Tax Act were reclassified.</w:t>
      </w:r>
    </w:p>
    <w:p>
      <w:pPr>
        <w:spacing w:after="0" w:line="136" w:lineRule="exact"/>
        <w:rPr>
          <w:sz w:val="20"/>
          <w:szCs w:val="20"/>
          <w:color w:val="auto"/>
        </w:rPr>
      </w:pPr>
    </w:p>
    <w:p>
      <w:pPr>
        <w:ind w:right="820"/>
        <w:spacing w:after="0" w:line="235" w:lineRule="auto"/>
        <w:rPr>
          <w:sz w:val="20"/>
          <w:szCs w:val="20"/>
          <w:color w:val="auto"/>
        </w:rPr>
      </w:pPr>
      <w:r>
        <w:rPr>
          <w:rFonts w:ascii="Arial" w:cs="Arial" w:eastAsia="Arial" w:hAnsi="Arial"/>
          <w:sz w:val="18"/>
          <w:szCs w:val="18"/>
          <w:color w:val="auto"/>
        </w:rPr>
        <w:t>Other new pronouncements issued but not effective until after December 31, 2017, are not expected to have a material impact on the Company’s Consolidated Financial Statements.</w:t>
      </w:r>
    </w:p>
    <w:p>
      <w:pPr>
        <w:spacing w:after="0" w:line="200" w:lineRule="exact"/>
        <w:rPr>
          <w:sz w:val="20"/>
          <w:szCs w:val="20"/>
          <w:color w:val="auto"/>
        </w:rPr>
      </w:pPr>
    </w:p>
    <w:p>
      <w:pPr>
        <w:spacing w:after="0" w:line="3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82</w:t>
      </w:r>
    </w:p>
    <w:p>
      <w:pPr>
        <w:sectPr>
          <w:pgSz w:w="11900" w:h="16838" w:orient="portrait"/>
          <w:cols w:equalWidth="0" w:num="1">
            <w:col w:w="11420"/>
          </w:cols>
          <w:pgMar w:left="240" w:top="746" w:right="239" w:bottom="1440" w:gutter="0" w:footer="0" w:header="0"/>
        </w:sectPr>
      </w:pPr>
    </w:p>
    <w:bookmarkStart w:id="85" w:name="page86"/>
    <w:bookmarkEnd w:id="85"/>
    <w:p>
      <w:pPr>
        <w:ind w:left="500" w:hanging="492"/>
        <w:spacing w:after="0"/>
        <w:tabs>
          <w:tab w:leader="none" w:pos="500" w:val="left"/>
        </w:tabs>
        <w:numPr>
          <w:ilvl w:val="0"/>
          <w:numId w:val="58"/>
        </w:numPr>
        <w:rPr>
          <w:rFonts w:ascii="Arial" w:cs="Arial" w:eastAsia="Arial" w:hAnsi="Arial"/>
          <w:sz w:val="18"/>
          <w:szCs w:val="18"/>
          <w:b w:val="1"/>
          <w:bCs w:val="1"/>
          <w:color w:val="auto"/>
        </w:rPr>
      </w:pPr>
      <w:r>
        <w:rPr>
          <w:rFonts w:ascii="Arial" w:cs="Arial" w:eastAsia="Arial" w:hAnsi="Arial"/>
          <w:sz w:val="18"/>
          <w:szCs w:val="18"/>
          <w:b w:val="1"/>
          <w:bCs w:val="1"/>
          <w:color w:val="auto"/>
        </w:rPr>
        <w:t>ACQUISITIONS AND DISPOSITIONS OF BUSINESSES</w:t>
      </w:r>
    </w:p>
    <w:p>
      <w:pPr>
        <w:spacing w:after="0" w:line="144" w:lineRule="exact"/>
        <w:rPr>
          <w:sz w:val="20"/>
          <w:szCs w:val="20"/>
          <w:color w:val="auto"/>
        </w:rPr>
      </w:pPr>
    </w:p>
    <w:p>
      <w:pPr>
        <w:ind w:right="40"/>
        <w:spacing w:after="0" w:line="233" w:lineRule="auto"/>
        <w:rPr>
          <w:sz w:val="20"/>
          <w:szCs w:val="20"/>
          <w:color w:val="auto"/>
        </w:rPr>
      </w:pPr>
      <w:r>
        <w:rPr>
          <w:rFonts w:ascii="Arial" w:cs="Arial" w:eastAsia="Arial" w:hAnsi="Arial"/>
          <w:sz w:val="18"/>
          <w:szCs w:val="18"/>
          <w:b w:val="1"/>
          <w:bCs w:val="1"/>
          <w:color w:val="auto"/>
        </w:rPr>
        <w:t xml:space="preserve">Acquisitions. </w:t>
      </w:r>
      <w:r>
        <w:rPr>
          <w:rFonts w:ascii="Arial" w:cs="Arial" w:eastAsia="Arial" w:hAnsi="Arial"/>
          <w:sz w:val="18"/>
          <w:szCs w:val="18"/>
          <w:color w:val="auto"/>
        </w:rPr>
        <w:t>During 2017, the Company acquired six businesses, two in its education division, two in its television broadcasting division and</w:t>
      </w:r>
      <w:r>
        <w:rPr>
          <w:rFonts w:ascii="Arial" w:cs="Arial" w:eastAsia="Arial" w:hAnsi="Arial"/>
          <w:sz w:val="18"/>
          <w:szCs w:val="18"/>
          <w:b w:val="1"/>
          <w:bCs w:val="1"/>
          <w:color w:val="auto"/>
        </w:rPr>
        <w:t xml:space="preserve"> </w:t>
      </w:r>
      <w:r>
        <w:rPr>
          <w:rFonts w:ascii="Arial" w:cs="Arial" w:eastAsia="Arial" w:hAnsi="Arial"/>
          <w:sz w:val="18"/>
          <w:szCs w:val="18"/>
          <w:color w:val="auto"/>
        </w:rPr>
        <w:t>two in other businesses for $318.9 million in cash and contingent consideration, and the assumption of $59.1 million in certain pension and postretirement obligations. The assets and liabilities of the companies acquired have been recorded at their estimated fair values at the date of acquisition.</w:t>
      </w:r>
    </w:p>
    <w:p>
      <w:pPr>
        <w:spacing w:after="0" w:line="137" w:lineRule="exact"/>
        <w:rPr>
          <w:sz w:val="20"/>
          <w:szCs w:val="20"/>
          <w:color w:val="auto"/>
        </w:rPr>
      </w:pPr>
    </w:p>
    <w:p>
      <w:pPr>
        <w:spacing w:after="0" w:line="227" w:lineRule="auto"/>
        <w:rPr>
          <w:sz w:val="20"/>
          <w:szCs w:val="20"/>
          <w:color w:val="auto"/>
        </w:rPr>
      </w:pPr>
      <w:r>
        <w:rPr>
          <w:rFonts w:ascii="Arial" w:cs="Arial" w:eastAsia="Arial" w:hAnsi="Arial"/>
          <w:sz w:val="18"/>
          <w:szCs w:val="18"/>
          <w:color w:val="auto"/>
        </w:rPr>
        <w:t>On January 17, 2017, the Company closed on its agreement with Nexstar Broadcasting Group, Inc. and Media General, Inc. to acquire the assets of WCWJ, a CW affiliate television station in Jacksonville, FL, and WSLS, an NBC affiliate television station in Roanoke, VA, for cash and the assumption of certain pension obligations. The acquisition of WCWJ and WSLS will complement the other stations that GMG operates. Both of these acquisitions are included in television broadcasting.</w:t>
      </w:r>
    </w:p>
    <w:p>
      <w:pPr>
        <w:spacing w:after="0" w:line="135" w:lineRule="exact"/>
        <w:rPr>
          <w:sz w:val="20"/>
          <w:szCs w:val="20"/>
          <w:color w:val="auto"/>
        </w:rPr>
      </w:pPr>
    </w:p>
    <w:p>
      <w:pPr>
        <w:ind w:right="120"/>
        <w:spacing w:after="0" w:line="227" w:lineRule="auto"/>
        <w:rPr>
          <w:sz w:val="20"/>
          <w:szCs w:val="20"/>
          <w:color w:val="auto"/>
        </w:rPr>
      </w:pPr>
      <w:r>
        <w:rPr>
          <w:rFonts w:ascii="Arial" w:cs="Arial" w:eastAsia="Arial" w:hAnsi="Arial"/>
          <w:sz w:val="18"/>
          <w:szCs w:val="18"/>
          <w:color w:val="auto"/>
        </w:rPr>
        <w:t>In February 2017, Kaplan acquired a 100% interest in Genesis Training Institute, a Dubai-based provider of professional development training in the United Arab Emirates, by purchasing all of its issued and outstanding shares. Additionally, Kaplan acquired a 100% interest in Red Marker Pty Ltd., an Australia-based regulatory technology company by purchasing all of its outstanding shares. These acquisitions are expected to provide certain strategic benefits in the future. Both of these acquisitions are included in Kaplan International.</w:t>
      </w:r>
    </w:p>
    <w:p>
      <w:pPr>
        <w:spacing w:after="0" w:line="135" w:lineRule="exact"/>
        <w:rPr>
          <w:sz w:val="20"/>
          <w:szCs w:val="20"/>
          <w:color w:val="auto"/>
        </w:rPr>
      </w:pPr>
    </w:p>
    <w:p>
      <w:pPr>
        <w:ind w:right="140"/>
        <w:spacing w:after="0" w:line="223" w:lineRule="auto"/>
        <w:rPr>
          <w:sz w:val="20"/>
          <w:szCs w:val="20"/>
          <w:color w:val="auto"/>
        </w:rPr>
      </w:pPr>
      <w:r>
        <w:rPr>
          <w:rFonts w:ascii="Arial" w:cs="Arial" w:eastAsia="Arial" w:hAnsi="Arial"/>
          <w:sz w:val="18"/>
          <w:szCs w:val="18"/>
          <w:color w:val="auto"/>
        </w:rPr>
        <w:t>In April 2017, the Company acquired 97.72% of the issued and outstanding shares of Hoover Treated Wood Products, Inc., a Thomson, GA-based supplier of pressure impregnated kiln-dried lumber and plywood products for fire retardant and preservative applications for $206.8 million, net of cash acquired. The fair value of the redeemable noncontrolling interest in Hoover was $3.7 million at the acquisition date, determined using a market approach. The minority shareholders have an option to put some of their shares to the Company starting in 2019 and the remaining shares starting in 2021. The Company has an option to buy the shares of minority shareholders starting in 2027. This acquisition is consistent with the Company’s ongoing strategy of investing in companies with a history of profitability and strong management. Hoover is included in other businesses.</w:t>
      </w:r>
    </w:p>
    <w:p>
      <w:pPr>
        <w:spacing w:after="0" w:line="139" w:lineRule="exact"/>
        <w:rPr>
          <w:sz w:val="20"/>
          <w:szCs w:val="20"/>
          <w:color w:val="auto"/>
        </w:rPr>
      </w:pPr>
    </w:p>
    <w:p>
      <w:pPr>
        <w:ind w:right="200"/>
        <w:spacing w:after="0" w:line="229" w:lineRule="auto"/>
        <w:rPr>
          <w:sz w:val="20"/>
          <w:szCs w:val="20"/>
          <w:color w:val="auto"/>
        </w:rPr>
      </w:pPr>
      <w:r>
        <w:rPr>
          <w:rFonts w:ascii="Arial" w:cs="Arial" w:eastAsia="Arial" w:hAnsi="Arial"/>
          <w:sz w:val="18"/>
          <w:szCs w:val="18"/>
          <w:color w:val="auto"/>
        </w:rPr>
        <w:t>At the end of June 2017, Graham Healthcare Group (GHG) acquired a 100% interest in Hometown Home Health and Hospice, a Lapeer, MI-based healthcare services provider by purchasing all of its issued and outstanding shares. This acquisition expands GHG’s service area in Michigan. GHG is included in other businesses.</w:t>
      </w:r>
    </w:p>
    <w:p>
      <w:pPr>
        <w:spacing w:after="0" w:line="137" w:lineRule="exact"/>
        <w:rPr>
          <w:sz w:val="20"/>
          <w:szCs w:val="20"/>
          <w:color w:val="auto"/>
        </w:rPr>
      </w:pPr>
    </w:p>
    <w:p>
      <w:pPr>
        <w:ind w:right="160"/>
        <w:spacing w:after="0" w:line="223" w:lineRule="auto"/>
        <w:rPr>
          <w:sz w:val="20"/>
          <w:szCs w:val="20"/>
          <w:color w:val="auto"/>
        </w:rPr>
      </w:pPr>
      <w:r>
        <w:rPr>
          <w:rFonts w:ascii="Arial" w:cs="Arial" w:eastAsia="Arial" w:hAnsi="Arial"/>
          <w:sz w:val="18"/>
          <w:szCs w:val="18"/>
          <w:color w:val="auto"/>
        </w:rPr>
        <w:t>During 2016, the Company acquired five businesses, three businesses included in its education division and two businesses in other businesses for $258.0 million. The assets and liabilities of the companies acquired were recorded at their estimated fair values at the date of acquisition. In January 2016, Kaplan acquired a 100% interest in Mander Portman Woodward, a leading provider of high-quality, bespoke education to United Kingdom (U.K.) and international students in London, Cambridge and Birmingham, by purchasing all of its issued and outstanding shares. In February 2016, Kaplan acquired a 100% interest in Osborne Books, an educational publisher of learning resources for accounting qualifications in the U.K., by purchasing all of its issued and outstanding shares. The primary reason for these acquisitions was based on several strategic benefits expected to be realized in the future. Both of these acquisitions are included in Kaplan International.</w:t>
      </w:r>
    </w:p>
    <w:p>
      <w:pPr>
        <w:spacing w:after="0" w:line="139" w:lineRule="exact"/>
        <w:rPr>
          <w:sz w:val="20"/>
          <w:szCs w:val="20"/>
          <w:color w:val="auto"/>
        </w:rPr>
      </w:pPr>
    </w:p>
    <w:p>
      <w:pPr>
        <w:ind w:right="180"/>
        <w:spacing w:after="0" w:line="227" w:lineRule="auto"/>
        <w:rPr>
          <w:sz w:val="20"/>
          <w:szCs w:val="20"/>
          <w:color w:val="auto"/>
        </w:rPr>
      </w:pPr>
      <w:r>
        <w:rPr>
          <w:rFonts w:ascii="Arial" w:cs="Arial" w:eastAsia="Arial" w:hAnsi="Arial"/>
          <w:sz w:val="18"/>
          <w:szCs w:val="18"/>
          <w:color w:val="auto"/>
        </w:rPr>
        <w:t>In September 2016, Group Dekko, Inc. (Dekko) acquired a 100% interest in Electri-Cable Assemblies (ECA), a Shelton, CT-based manufacturer of power, data and electrical solutions for the office furniture industry, by purchasing all of its issued and outstanding shares. Dekko’s primary reasons for the acquisition were to complement existing product offerings and provide opportunities for synergies across the businesses. This acquisition is included in other businesses.</w:t>
      </w:r>
    </w:p>
    <w:p>
      <w:pPr>
        <w:spacing w:after="0" w:line="135" w:lineRule="exact"/>
        <w:rPr>
          <w:sz w:val="20"/>
          <w:szCs w:val="20"/>
          <w:color w:val="auto"/>
        </w:rPr>
      </w:pPr>
    </w:p>
    <w:p>
      <w:pPr>
        <w:ind w:right="220"/>
        <w:spacing w:after="0" w:line="224" w:lineRule="auto"/>
        <w:rPr>
          <w:sz w:val="20"/>
          <w:szCs w:val="20"/>
          <w:color w:val="auto"/>
        </w:rPr>
      </w:pPr>
      <w:r>
        <w:rPr>
          <w:rFonts w:ascii="Arial" w:cs="Arial" w:eastAsia="Arial" w:hAnsi="Arial"/>
          <w:sz w:val="18"/>
          <w:szCs w:val="18"/>
          <w:color w:val="auto"/>
        </w:rPr>
        <w:t>During 2015, the Company acquired two businesses for $163.3 million. The assets and liabilities of the companies acquired have been recorded at their estimated fair values at the date of acquisition. On November 13, 2015, the Company acquired a 100% interest in Dekko, a Garrett, IN-based manufacturer of electrical solutions for applications across three business lines: workspace power solutions, architectural lighting and electrical components and assemblies, by purchasing all of the issued and outstanding shares. Dekko is included in other businesses. On December 22, 2015, Kaplan acquired a 100% interest in SmartPros, a provider of accredited professional education and training, primarily in accountancy, which is included in Higher Education.</w:t>
      </w:r>
    </w:p>
    <w:p>
      <w:pPr>
        <w:spacing w:after="0" w:line="200" w:lineRule="exact"/>
        <w:rPr>
          <w:sz w:val="20"/>
          <w:szCs w:val="20"/>
          <w:color w:val="auto"/>
        </w:rPr>
      </w:pPr>
    </w:p>
    <w:p>
      <w:pPr>
        <w:spacing w:after="0" w:line="30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83</w:t>
      </w:r>
    </w:p>
    <w:p>
      <w:pPr>
        <w:sectPr>
          <w:pgSz w:w="11900" w:h="16838" w:orient="portrait"/>
          <w:cols w:equalWidth="0" w:num="1">
            <w:col w:w="11380"/>
          </w:cols>
          <w:pgMar w:left="240" w:top="724" w:right="279" w:bottom="1440" w:gutter="0" w:footer="0" w:header="0"/>
        </w:sectPr>
      </w:pPr>
    </w:p>
    <w:bookmarkStart w:id="86" w:name="page87"/>
    <w:bookmarkEnd w:id="86"/>
    <w:p>
      <w:pPr>
        <w:spacing w:after="0" w:line="227" w:lineRule="auto"/>
        <w:rPr>
          <w:sz w:val="20"/>
          <w:szCs w:val="20"/>
          <w:color w:val="auto"/>
        </w:rPr>
      </w:pPr>
      <w:r>
        <w:rPr>
          <w:rFonts w:ascii="Arial" w:cs="Arial" w:eastAsia="Arial" w:hAnsi="Arial"/>
          <w:sz w:val="18"/>
          <w:szCs w:val="18"/>
          <w:color w:val="auto"/>
        </w:rPr>
        <w:t>Acquisition-related costs for acquisitions that closed during 2017 and 2016 were $4.1 million and $1.5 million, respectively, and expensed as incurred. Acquisition-related costs were not significant for 2015 and were expensed as incurred. The aggregate purchase price of these acquisitions was allocated as follows, based on acquisition date fair values to the following assets and liabilities (excluding measurement period adjustments recorded in subsequent years):</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7200" w:type="dxa"/>
            <w:vAlign w:val="bottom"/>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2940" w:type="dxa"/>
            <w:vAlign w:val="bottom"/>
            <w:tcBorders>
              <w:bottom w:val="single" w:sz="8" w:color="auto"/>
            </w:tcBorders>
            <w:gridSpan w:val="4"/>
          </w:tcPr>
          <w:p>
            <w:pPr>
              <w:jc w:val="right"/>
              <w:ind w:right="159"/>
              <w:spacing w:after="0"/>
              <w:rPr>
                <w:sz w:val="20"/>
                <w:szCs w:val="20"/>
                <w:color w:val="auto"/>
              </w:rPr>
            </w:pPr>
            <w:r>
              <w:rPr>
                <w:rFonts w:ascii="Arial" w:cs="Arial" w:eastAsia="Arial" w:hAnsi="Arial"/>
                <w:sz w:val="14"/>
                <w:szCs w:val="14"/>
                <w:b w:val="1"/>
                <w:bCs w:val="1"/>
                <w:color w:val="auto"/>
              </w:rPr>
              <w:t>Purchase Price Allocation</w:t>
            </w:r>
          </w:p>
        </w:tc>
        <w:tc>
          <w:tcPr>
            <w:tcW w:w="960" w:type="dxa"/>
            <w:vAlign w:val="bottom"/>
            <w:tcBorders>
              <w:bottom w:val="single" w:sz="8" w:color="auto"/>
            </w:tcBorders>
          </w:tcPr>
          <w:p>
            <w:pPr>
              <w:spacing w:after="0"/>
              <w:rPr>
                <w:sz w:val="17"/>
                <w:szCs w:val="17"/>
                <w:color w:val="auto"/>
              </w:rPr>
            </w:pPr>
          </w:p>
        </w:tc>
      </w:tr>
      <w:tr>
        <w:trPr>
          <w:trHeight w:val="250"/>
        </w:trPr>
        <w:tc>
          <w:tcPr>
            <w:tcW w:w="7200" w:type="dxa"/>
            <w:vAlign w:val="bottom"/>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266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Year Ended December 31</w:t>
            </w:r>
          </w:p>
        </w:tc>
        <w:tc>
          <w:tcPr>
            <w:tcW w:w="280" w:type="dxa"/>
            <w:vAlign w:val="bottom"/>
            <w:tcBorders>
              <w:bottom w:val="single" w:sz="8" w:color="auto"/>
            </w:tcBorders>
          </w:tcPr>
          <w:p>
            <w:pPr>
              <w:spacing w:after="0"/>
              <w:rPr>
                <w:sz w:val="21"/>
                <w:szCs w:val="21"/>
                <w:color w:val="auto"/>
              </w:rPr>
            </w:pPr>
          </w:p>
        </w:tc>
        <w:tc>
          <w:tcPr>
            <w:tcW w:w="960" w:type="dxa"/>
            <w:vAlign w:val="bottom"/>
            <w:tcBorders>
              <w:bottom w:val="single" w:sz="8" w:color="auto"/>
            </w:tcBorders>
          </w:tcPr>
          <w:p>
            <w:pPr>
              <w:spacing w:after="0"/>
              <w:rPr>
                <w:sz w:val="21"/>
                <w:szCs w:val="21"/>
                <w:color w:val="auto"/>
              </w:rPr>
            </w:pPr>
          </w:p>
        </w:tc>
      </w:tr>
      <w:tr>
        <w:trPr>
          <w:trHeight w:val="264"/>
        </w:trPr>
        <w:tc>
          <w:tcPr>
            <w:tcW w:w="720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(in thousands)</w:t>
            </w:r>
          </w:p>
        </w:tc>
        <w:tc>
          <w:tcPr>
            <w:tcW w:w="32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tcPr>
          <w:p>
            <w:pPr>
              <w:jc w:val="right"/>
              <w:ind w:right="481"/>
              <w:spacing w:after="0"/>
              <w:rPr>
                <w:sz w:val="20"/>
                <w:szCs w:val="20"/>
                <w:color w:val="auto"/>
              </w:rPr>
            </w:pPr>
            <w:r>
              <w:rPr>
                <w:rFonts w:ascii="Arial" w:cs="Arial" w:eastAsia="Arial" w:hAnsi="Arial"/>
                <w:sz w:val="14"/>
                <w:szCs w:val="14"/>
                <w:b w:val="1"/>
                <w:bCs w:val="1"/>
                <w:color w:val="auto"/>
              </w:rPr>
              <w:t>2017</w:t>
            </w:r>
          </w:p>
        </w:tc>
        <w:tc>
          <w:tcPr>
            <w:tcW w:w="400" w:type="dxa"/>
            <w:vAlign w:val="bottom"/>
            <w:tcBorders>
              <w:bottom w:val="single" w:sz="8" w:color="auto"/>
            </w:tcBorders>
          </w:tcPr>
          <w:p>
            <w:pPr>
              <w:spacing w:after="0"/>
              <w:rPr>
                <w:sz w:val="22"/>
                <w:szCs w:val="22"/>
                <w:color w:val="auto"/>
              </w:rPr>
            </w:pPr>
          </w:p>
        </w:tc>
        <w:tc>
          <w:tcPr>
            <w:tcW w:w="1160" w:type="dxa"/>
            <w:vAlign w:val="bottom"/>
            <w:tcBorders>
              <w:bottom w:val="single" w:sz="8" w:color="auto"/>
            </w:tcBorders>
          </w:tcPr>
          <w:p>
            <w:pPr>
              <w:jc w:val="right"/>
              <w:ind w:right="560"/>
              <w:spacing w:after="0"/>
              <w:rPr>
                <w:sz w:val="20"/>
                <w:szCs w:val="20"/>
                <w:color w:val="auto"/>
              </w:rPr>
            </w:pPr>
            <w:r>
              <w:rPr>
                <w:rFonts w:ascii="Arial" w:cs="Arial" w:eastAsia="Arial" w:hAnsi="Arial"/>
                <w:sz w:val="14"/>
                <w:szCs w:val="14"/>
                <w:color w:val="auto"/>
              </w:rPr>
              <w:t>2016</w:t>
            </w:r>
          </w:p>
        </w:tc>
        <w:tc>
          <w:tcPr>
            <w:tcW w:w="28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380"/>
              <w:spacing w:after="0"/>
              <w:rPr>
                <w:sz w:val="20"/>
                <w:szCs w:val="20"/>
                <w:color w:val="auto"/>
              </w:rPr>
            </w:pPr>
            <w:r>
              <w:rPr>
                <w:rFonts w:ascii="Arial" w:cs="Arial" w:eastAsia="Arial" w:hAnsi="Arial"/>
                <w:sz w:val="14"/>
                <w:szCs w:val="14"/>
                <w:color w:val="auto"/>
              </w:rPr>
              <w:t>2015</w:t>
            </w:r>
          </w:p>
        </w:tc>
      </w:tr>
      <w:tr>
        <w:trPr>
          <w:trHeight w:val="250"/>
        </w:trPr>
        <w:tc>
          <w:tcPr>
            <w:tcW w:w="7200" w:type="dxa"/>
            <w:vAlign w:val="bottom"/>
          </w:tcPr>
          <w:p>
            <w:pPr>
              <w:ind w:left="40"/>
              <w:spacing w:after="0"/>
              <w:rPr>
                <w:sz w:val="20"/>
                <w:szCs w:val="20"/>
                <w:color w:val="auto"/>
              </w:rPr>
            </w:pPr>
            <w:r>
              <w:rPr>
                <w:rFonts w:ascii="Arial" w:cs="Arial" w:eastAsia="Arial" w:hAnsi="Arial"/>
                <w:sz w:val="16"/>
                <w:szCs w:val="16"/>
                <w:color w:val="auto"/>
              </w:rPr>
              <w:t>Accounts receivable</w:t>
            </w:r>
          </w:p>
        </w:tc>
        <w:tc>
          <w:tcPr>
            <w:tcW w:w="320" w:type="dxa"/>
            <w:vAlign w:val="bottom"/>
          </w:tcPr>
          <w:p>
            <w:pPr>
              <w:jc w:val="right"/>
              <w:ind w:right="119"/>
              <w:spacing w:after="0"/>
              <w:rPr>
                <w:sz w:val="20"/>
                <w:szCs w:val="20"/>
                <w:color w:val="auto"/>
              </w:rPr>
            </w:pPr>
            <w:r>
              <w:rPr>
                <w:rFonts w:ascii="Arial" w:cs="Arial" w:eastAsia="Arial" w:hAnsi="Arial"/>
                <w:sz w:val="16"/>
                <w:szCs w:val="16"/>
                <w:b w:val="1"/>
                <w:bCs w:val="1"/>
                <w:color w:val="auto"/>
              </w:rPr>
              <w:t>$</w:t>
            </w:r>
          </w:p>
        </w:tc>
        <w:tc>
          <w:tcPr>
            <w:tcW w:w="1100" w:type="dxa"/>
            <w:vAlign w:val="bottom"/>
          </w:tcPr>
          <w:p>
            <w:pPr>
              <w:jc w:val="right"/>
              <w:ind w:right="61"/>
              <w:spacing w:after="0"/>
              <w:rPr>
                <w:sz w:val="20"/>
                <w:szCs w:val="20"/>
                <w:color w:val="auto"/>
              </w:rPr>
            </w:pPr>
            <w:r>
              <w:rPr>
                <w:rFonts w:ascii="Arial" w:cs="Arial" w:eastAsia="Arial" w:hAnsi="Arial"/>
                <w:sz w:val="16"/>
                <w:szCs w:val="16"/>
                <w:b w:val="1"/>
                <w:bCs w:val="1"/>
                <w:color w:val="auto"/>
              </w:rPr>
              <w:t>12,502</w:t>
            </w:r>
          </w:p>
        </w:tc>
        <w:tc>
          <w:tcPr>
            <w:tcW w:w="400" w:type="dxa"/>
            <w:vAlign w:val="bottom"/>
          </w:tcPr>
          <w:p>
            <w:pPr>
              <w:jc w:val="right"/>
              <w:ind w:right="139"/>
              <w:spacing w:after="0"/>
              <w:rPr>
                <w:sz w:val="20"/>
                <w:szCs w:val="20"/>
                <w:color w:val="auto"/>
              </w:rPr>
            </w:pPr>
            <w:r>
              <w:rPr>
                <w:rFonts w:ascii="Arial" w:cs="Arial" w:eastAsia="Arial" w:hAnsi="Arial"/>
                <w:sz w:val="16"/>
                <w:szCs w:val="16"/>
                <w:color w:val="auto"/>
              </w:rPr>
              <w:t>$</w:t>
            </w:r>
          </w:p>
        </w:tc>
        <w:tc>
          <w:tcPr>
            <w:tcW w:w="1160" w:type="dxa"/>
            <w:vAlign w:val="bottom"/>
          </w:tcPr>
          <w:p>
            <w:pPr>
              <w:jc w:val="right"/>
              <w:ind w:right="160"/>
              <w:spacing w:after="0"/>
              <w:rPr>
                <w:sz w:val="20"/>
                <w:szCs w:val="20"/>
                <w:color w:val="auto"/>
              </w:rPr>
            </w:pPr>
            <w:r>
              <w:rPr>
                <w:rFonts w:ascii="Arial" w:cs="Arial" w:eastAsia="Arial" w:hAnsi="Arial"/>
                <w:sz w:val="16"/>
                <w:szCs w:val="16"/>
                <w:color w:val="auto"/>
              </w:rPr>
              <w:t>8,538</w:t>
            </w:r>
          </w:p>
        </w:tc>
        <w:tc>
          <w:tcPr>
            <w:tcW w:w="280" w:type="dxa"/>
            <w:vAlign w:val="bottom"/>
          </w:tcPr>
          <w:p>
            <w:pPr>
              <w:jc w:val="right"/>
              <w:ind w:right="99"/>
              <w:spacing w:after="0"/>
              <w:rPr>
                <w:sz w:val="20"/>
                <w:szCs w:val="20"/>
                <w:color w:val="auto"/>
              </w:rPr>
            </w:pPr>
            <w:r>
              <w:rPr>
                <w:rFonts w:ascii="Arial" w:cs="Arial" w:eastAsia="Arial" w:hAnsi="Arial"/>
                <w:sz w:val="16"/>
                <w:szCs w:val="16"/>
                <w:color w:val="auto"/>
                <w:w w:val="89"/>
              </w:rPr>
              <w:t>$</w:t>
            </w:r>
          </w:p>
        </w:tc>
        <w:tc>
          <w:tcPr>
            <w:tcW w:w="960" w:type="dxa"/>
            <w:vAlign w:val="bottom"/>
          </w:tcPr>
          <w:p>
            <w:pPr>
              <w:jc w:val="right"/>
              <w:ind w:right="20"/>
              <w:spacing w:after="0"/>
              <w:rPr>
                <w:sz w:val="20"/>
                <w:szCs w:val="20"/>
                <w:color w:val="auto"/>
              </w:rPr>
            </w:pPr>
            <w:r>
              <w:rPr>
                <w:rFonts w:ascii="Arial" w:cs="Arial" w:eastAsia="Arial" w:hAnsi="Arial"/>
                <w:sz w:val="16"/>
                <w:szCs w:val="16"/>
                <w:color w:val="auto"/>
              </w:rPr>
              <w:t>30,537</w:t>
            </w:r>
          </w:p>
        </w:tc>
      </w:tr>
      <w:tr>
        <w:trPr>
          <w:trHeight w:val="270"/>
        </w:trPr>
        <w:tc>
          <w:tcPr>
            <w:tcW w:w="7200" w:type="dxa"/>
            <w:vAlign w:val="bottom"/>
          </w:tcPr>
          <w:p>
            <w:pPr>
              <w:ind w:left="40"/>
              <w:spacing w:after="0"/>
              <w:rPr>
                <w:sz w:val="20"/>
                <w:szCs w:val="20"/>
                <w:color w:val="auto"/>
              </w:rPr>
            </w:pPr>
            <w:r>
              <w:rPr>
                <w:rFonts w:ascii="Arial" w:cs="Arial" w:eastAsia="Arial" w:hAnsi="Arial"/>
                <w:sz w:val="16"/>
                <w:szCs w:val="16"/>
                <w:color w:val="auto"/>
              </w:rPr>
              <w:t>Inventory</w:t>
            </w:r>
          </w:p>
        </w:tc>
        <w:tc>
          <w:tcPr>
            <w:tcW w:w="320" w:type="dxa"/>
            <w:vAlign w:val="bottom"/>
          </w:tcPr>
          <w:p>
            <w:pPr>
              <w:spacing w:after="0"/>
              <w:rPr>
                <w:sz w:val="23"/>
                <w:szCs w:val="23"/>
                <w:color w:val="auto"/>
              </w:rPr>
            </w:pPr>
          </w:p>
        </w:tc>
        <w:tc>
          <w:tcPr>
            <w:tcW w:w="1100" w:type="dxa"/>
            <w:vAlign w:val="bottom"/>
          </w:tcPr>
          <w:p>
            <w:pPr>
              <w:jc w:val="right"/>
              <w:ind w:right="61"/>
              <w:spacing w:after="0"/>
              <w:rPr>
                <w:sz w:val="20"/>
                <w:szCs w:val="20"/>
                <w:color w:val="auto"/>
              </w:rPr>
            </w:pPr>
            <w:r>
              <w:rPr>
                <w:rFonts w:ascii="Arial" w:cs="Arial" w:eastAsia="Arial" w:hAnsi="Arial"/>
                <w:sz w:val="16"/>
                <w:szCs w:val="16"/>
                <w:b w:val="1"/>
                <w:bCs w:val="1"/>
                <w:color w:val="auto"/>
              </w:rPr>
              <w:t>25,253</w:t>
            </w:r>
          </w:p>
        </w:tc>
        <w:tc>
          <w:tcPr>
            <w:tcW w:w="400" w:type="dxa"/>
            <w:vAlign w:val="bottom"/>
          </w:tcPr>
          <w:p>
            <w:pPr>
              <w:spacing w:after="0"/>
              <w:rPr>
                <w:sz w:val="23"/>
                <w:szCs w:val="23"/>
                <w:color w:val="auto"/>
              </w:rPr>
            </w:pPr>
          </w:p>
        </w:tc>
        <w:tc>
          <w:tcPr>
            <w:tcW w:w="1160" w:type="dxa"/>
            <w:vAlign w:val="bottom"/>
          </w:tcPr>
          <w:p>
            <w:pPr>
              <w:jc w:val="right"/>
              <w:ind w:right="160"/>
              <w:spacing w:after="0"/>
              <w:rPr>
                <w:sz w:val="20"/>
                <w:szCs w:val="20"/>
                <w:color w:val="auto"/>
              </w:rPr>
            </w:pPr>
            <w:r>
              <w:rPr>
                <w:rFonts w:ascii="Arial" w:cs="Arial" w:eastAsia="Arial" w:hAnsi="Arial"/>
                <w:sz w:val="16"/>
                <w:szCs w:val="16"/>
                <w:color w:val="auto"/>
              </w:rPr>
              <w:t>878</w:t>
            </w:r>
          </w:p>
        </w:tc>
        <w:tc>
          <w:tcPr>
            <w:tcW w:w="280" w:type="dxa"/>
            <w:vAlign w:val="bottom"/>
          </w:tcPr>
          <w:p>
            <w:pPr>
              <w:spacing w:after="0"/>
              <w:rPr>
                <w:sz w:val="23"/>
                <w:szCs w:val="23"/>
                <w:color w:val="auto"/>
              </w:rPr>
            </w:pPr>
          </w:p>
        </w:tc>
        <w:tc>
          <w:tcPr>
            <w:tcW w:w="960" w:type="dxa"/>
            <w:vAlign w:val="bottom"/>
          </w:tcPr>
          <w:p>
            <w:pPr>
              <w:jc w:val="right"/>
              <w:ind w:right="20"/>
              <w:spacing w:after="0"/>
              <w:rPr>
                <w:sz w:val="20"/>
                <w:szCs w:val="20"/>
                <w:color w:val="auto"/>
              </w:rPr>
            </w:pPr>
            <w:r>
              <w:rPr>
                <w:rFonts w:ascii="Arial" w:cs="Arial" w:eastAsia="Arial" w:hAnsi="Arial"/>
                <w:sz w:val="16"/>
                <w:szCs w:val="16"/>
                <w:color w:val="auto"/>
              </w:rPr>
              <w:t>20,593</w:t>
            </w:r>
          </w:p>
        </w:tc>
      </w:tr>
      <w:tr>
        <w:trPr>
          <w:trHeight w:val="270"/>
        </w:trPr>
        <w:tc>
          <w:tcPr>
            <w:tcW w:w="7200" w:type="dxa"/>
            <w:vAlign w:val="bottom"/>
          </w:tcPr>
          <w:p>
            <w:pPr>
              <w:ind w:left="40"/>
              <w:spacing w:after="0"/>
              <w:rPr>
                <w:sz w:val="20"/>
                <w:szCs w:val="20"/>
                <w:color w:val="auto"/>
              </w:rPr>
            </w:pPr>
            <w:r>
              <w:rPr>
                <w:rFonts w:ascii="Arial" w:cs="Arial" w:eastAsia="Arial" w:hAnsi="Arial"/>
                <w:sz w:val="16"/>
                <w:szCs w:val="16"/>
                <w:color w:val="auto"/>
              </w:rPr>
              <w:t>Property, plant and equipment</w:t>
            </w:r>
          </w:p>
        </w:tc>
        <w:tc>
          <w:tcPr>
            <w:tcW w:w="320" w:type="dxa"/>
            <w:vAlign w:val="bottom"/>
          </w:tcPr>
          <w:p>
            <w:pPr>
              <w:spacing w:after="0"/>
              <w:rPr>
                <w:sz w:val="23"/>
                <w:szCs w:val="23"/>
                <w:color w:val="auto"/>
              </w:rPr>
            </w:pPr>
          </w:p>
        </w:tc>
        <w:tc>
          <w:tcPr>
            <w:tcW w:w="1100" w:type="dxa"/>
            <w:vAlign w:val="bottom"/>
          </w:tcPr>
          <w:p>
            <w:pPr>
              <w:jc w:val="right"/>
              <w:ind w:right="61"/>
              <w:spacing w:after="0"/>
              <w:rPr>
                <w:sz w:val="20"/>
                <w:szCs w:val="20"/>
                <w:color w:val="auto"/>
              </w:rPr>
            </w:pPr>
            <w:r>
              <w:rPr>
                <w:rFonts w:ascii="Arial" w:cs="Arial" w:eastAsia="Arial" w:hAnsi="Arial"/>
                <w:sz w:val="16"/>
                <w:szCs w:val="16"/>
                <w:b w:val="1"/>
                <w:bCs w:val="1"/>
                <w:color w:val="auto"/>
              </w:rPr>
              <w:t>29,921</w:t>
            </w:r>
          </w:p>
        </w:tc>
        <w:tc>
          <w:tcPr>
            <w:tcW w:w="400" w:type="dxa"/>
            <w:vAlign w:val="bottom"/>
          </w:tcPr>
          <w:p>
            <w:pPr>
              <w:spacing w:after="0"/>
              <w:rPr>
                <w:sz w:val="23"/>
                <w:szCs w:val="23"/>
                <w:color w:val="auto"/>
              </w:rPr>
            </w:pPr>
          </w:p>
        </w:tc>
        <w:tc>
          <w:tcPr>
            <w:tcW w:w="1160" w:type="dxa"/>
            <w:vAlign w:val="bottom"/>
          </w:tcPr>
          <w:p>
            <w:pPr>
              <w:jc w:val="right"/>
              <w:ind w:right="160"/>
              <w:spacing w:after="0"/>
              <w:rPr>
                <w:sz w:val="20"/>
                <w:szCs w:val="20"/>
                <w:color w:val="auto"/>
              </w:rPr>
            </w:pPr>
            <w:r>
              <w:rPr>
                <w:rFonts w:ascii="Arial" w:cs="Arial" w:eastAsia="Arial" w:hAnsi="Arial"/>
                <w:sz w:val="16"/>
                <w:szCs w:val="16"/>
                <w:color w:val="auto"/>
              </w:rPr>
              <w:t>3,940</w:t>
            </w:r>
          </w:p>
        </w:tc>
        <w:tc>
          <w:tcPr>
            <w:tcW w:w="280" w:type="dxa"/>
            <w:vAlign w:val="bottom"/>
          </w:tcPr>
          <w:p>
            <w:pPr>
              <w:spacing w:after="0"/>
              <w:rPr>
                <w:sz w:val="23"/>
                <w:szCs w:val="23"/>
                <w:color w:val="auto"/>
              </w:rPr>
            </w:pPr>
          </w:p>
        </w:tc>
        <w:tc>
          <w:tcPr>
            <w:tcW w:w="960" w:type="dxa"/>
            <w:vAlign w:val="bottom"/>
          </w:tcPr>
          <w:p>
            <w:pPr>
              <w:jc w:val="right"/>
              <w:ind w:right="20"/>
              <w:spacing w:after="0"/>
              <w:rPr>
                <w:sz w:val="20"/>
                <w:szCs w:val="20"/>
                <w:color w:val="auto"/>
              </w:rPr>
            </w:pPr>
            <w:r>
              <w:rPr>
                <w:rFonts w:ascii="Arial" w:cs="Arial" w:eastAsia="Arial" w:hAnsi="Arial"/>
                <w:sz w:val="16"/>
                <w:szCs w:val="16"/>
                <w:color w:val="auto"/>
              </w:rPr>
              <w:t>28,872</w:t>
            </w:r>
          </w:p>
        </w:tc>
      </w:tr>
      <w:tr>
        <w:trPr>
          <w:trHeight w:val="270"/>
        </w:trPr>
        <w:tc>
          <w:tcPr>
            <w:tcW w:w="7200" w:type="dxa"/>
            <w:vAlign w:val="bottom"/>
          </w:tcPr>
          <w:p>
            <w:pPr>
              <w:ind w:left="40"/>
              <w:spacing w:after="0"/>
              <w:rPr>
                <w:sz w:val="20"/>
                <w:szCs w:val="20"/>
                <w:color w:val="auto"/>
              </w:rPr>
            </w:pPr>
            <w:r>
              <w:rPr>
                <w:rFonts w:ascii="Arial" w:cs="Arial" w:eastAsia="Arial" w:hAnsi="Arial"/>
                <w:sz w:val="16"/>
                <w:szCs w:val="16"/>
                <w:color w:val="auto"/>
              </w:rPr>
              <w:t>Goodwill</w:t>
            </w:r>
          </w:p>
        </w:tc>
        <w:tc>
          <w:tcPr>
            <w:tcW w:w="320" w:type="dxa"/>
            <w:vAlign w:val="bottom"/>
          </w:tcPr>
          <w:p>
            <w:pPr>
              <w:spacing w:after="0"/>
              <w:rPr>
                <w:sz w:val="23"/>
                <w:szCs w:val="23"/>
                <w:color w:val="auto"/>
              </w:rPr>
            </w:pPr>
          </w:p>
        </w:tc>
        <w:tc>
          <w:tcPr>
            <w:tcW w:w="1100" w:type="dxa"/>
            <w:vAlign w:val="bottom"/>
          </w:tcPr>
          <w:p>
            <w:pPr>
              <w:jc w:val="right"/>
              <w:ind w:right="61"/>
              <w:spacing w:after="0"/>
              <w:rPr>
                <w:sz w:val="20"/>
                <w:szCs w:val="20"/>
                <w:color w:val="auto"/>
              </w:rPr>
            </w:pPr>
            <w:r>
              <w:rPr>
                <w:rFonts w:ascii="Arial" w:cs="Arial" w:eastAsia="Arial" w:hAnsi="Arial"/>
                <w:sz w:val="16"/>
                <w:szCs w:val="16"/>
                <w:b w:val="1"/>
                <w:bCs w:val="1"/>
                <w:color w:val="auto"/>
              </w:rPr>
              <w:t>143,149</w:t>
            </w:r>
          </w:p>
        </w:tc>
        <w:tc>
          <w:tcPr>
            <w:tcW w:w="400" w:type="dxa"/>
            <w:vAlign w:val="bottom"/>
          </w:tcPr>
          <w:p>
            <w:pPr>
              <w:spacing w:after="0"/>
              <w:rPr>
                <w:sz w:val="23"/>
                <w:szCs w:val="23"/>
                <w:color w:val="auto"/>
              </w:rPr>
            </w:pPr>
          </w:p>
        </w:tc>
        <w:tc>
          <w:tcPr>
            <w:tcW w:w="1160" w:type="dxa"/>
            <w:vAlign w:val="bottom"/>
          </w:tcPr>
          <w:p>
            <w:pPr>
              <w:jc w:val="right"/>
              <w:ind w:right="160"/>
              <w:spacing w:after="0"/>
              <w:rPr>
                <w:sz w:val="20"/>
                <w:szCs w:val="20"/>
                <w:color w:val="auto"/>
              </w:rPr>
            </w:pPr>
            <w:r>
              <w:rPr>
                <w:rFonts w:ascii="Arial" w:cs="Arial" w:eastAsia="Arial" w:hAnsi="Arial"/>
                <w:sz w:val="16"/>
                <w:szCs w:val="16"/>
                <w:color w:val="auto"/>
              </w:rPr>
              <w:t>184,118</w:t>
            </w:r>
          </w:p>
        </w:tc>
        <w:tc>
          <w:tcPr>
            <w:tcW w:w="280" w:type="dxa"/>
            <w:vAlign w:val="bottom"/>
          </w:tcPr>
          <w:p>
            <w:pPr>
              <w:spacing w:after="0"/>
              <w:rPr>
                <w:sz w:val="23"/>
                <w:szCs w:val="23"/>
                <w:color w:val="auto"/>
              </w:rPr>
            </w:pPr>
          </w:p>
        </w:tc>
        <w:tc>
          <w:tcPr>
            <w:tcW w:w="960" w:type="dxa"/>
            <w:vAlign w:val="bottom"/>
          </w:tcPr>
          <w:p>
            <w:pPr>
              <w:jc w:val="right"/>
              <w:ind w:right="20"/>
              <w:spacing w:after="0"/>
              <w:rPr>
                <w:sz w:val="20"/>
                <w:szCs w:val="20"/>
                <w:color w:val="auto"/>
              </w:rPr>
            </w:pPr>
            <w:r>
              <w:rPr>
                <w:rFonts w:ascii="Arial" w:cs="Arial" w:eastAsia="Arial" w:hAnsi="Arial"/>
                <w:sz w:val="16"/>
                <w:szCs w:val="16"/>
                <w:color w:val="auto"/>
              </w:rPr>
              <w:t>76,156</w:t>
            </w:r>
          </w:p>
        </w:tc>
      </w:tr>
      <w:tr>
        <w:trPr>
          <w:trHeight w:val="270"/>
        </w:trPr>
        <w:tc>
          <w:tcPr>
            <w:tcW w:w="7200" w:type="dxa"/>
            <w:vAlign w:val="bottom"/>
          </w:tcPr>
          <w:p>
            <w:pPr>
              <w:ind w:left="40"/>
              <w:spacing w:after="0"/>
              <w:rPr>
                <w:sz w:val="20"/>
                <w:szCs w:val="20"/>
                <w:color w:val="auto"/>
              </w:rPr>
            </w:pPr>
            <w:r>
              <w:rPr>
                <w:rFonts w:ascii="Arial" w:cs="Arial" w:eastAsia="Arial" w:hAnsi="Arial"/>
                <w:sz w:val="16"/>
                <w:szCs w:val="16"/>
                <w:color w:val="auto"/>
              </w:rPr>
              <w:t>Indefinite-lived intangible assets</w:t>
            </w:r>
          </w:p>
        </w:tc>
        <w:tc>
          <w:tcPr>
            <w:tcW w:w="320" w:type="dxa"/>
            <w:vAlign w:val="bottom"/>
          </w:tcPr>
          <w:p>
            <w:pPr>
              <w:spacing w:after="0"/>
              <w:rPr>
                <w:sz w:val="23"/>
                <w:szCs w:val="23"/>
                <w:color w:val="auto"/>
              </w:rPr>
            </w:pPr>
          </w:p>
        </w:tc>
        <w:tc>
          <w:tcPr>
            <w:tcW w:w="1100" w:type="dxa"/>
            <w:vAlign w:val="bottom"/>
          </w:tcPr>
          <w:p>
            <w:pPr>
              <w:jc w:val="right"/>
              <w:ind w:right="61"/>
              <w:spacing w:after="0"/>
              <w:rPr>
                <w:sz w:val="20"/>
                <w:szCs w:val="20"/>
                <w:color w:val="auto"/>
              </w:rPr>
            </w:pPr>
            <w:r>
              <w:rPr>
                <w:rFonts w:ascii="Arial" w:cs="Arial" w:eastAsia="Arial" w:hAnsi="Arial"/>
                <w:sz w:val="16"/>
                <w:szCs w:val="16"/>
                <w:b w:val="1"/>
                <w:bCs w:val="1"/>
                <w:color w:val="auto"/>
              </w:rPr>
              <w:t>33,800</w:t>
            </w:r>
          </w:p>
        </w:tc>
        <w:tc>
          <w:tcPr>
            <w:tcW w:w="400" w:type="dxa"/>
            <w:vAlign w:val="bottom"/>
          </w:tcPr>
          <w:p>
            <w:pPr>
              <w:spacing w:after="0"/>
              <w:rPr>
                <w:sz w:val="23"/>
                <w:szCs w:val="23"/>
                <w:color w:val="auto"/>
              </w:rPr>
            </w:pPr>
          </w:p>
        </w:tc>
        <w:tc>
          <w:tcPr>
            <w:tcW w:w="1160" w:type="dxa"/>
            <w:vAlign w:val="bottom"/>
          </w:tcPr>
          <w:p>
            <w:pPr>
              <w:jc w:val="right"/>
              <w:ind w:right="160"/>
              <w:spacing w:after="0"/>
              <w:rPr>
                <w:sz w:val="20"/>
                <w:szCs w:val="20"/>
                <w:color w:val="auto"/>
              </w:rPr>
            </w:pPr>
            <w:r>
              <w:rPr>
                <w:rFonts w:ascii="Arial" w:cs="Arial" w:eastAsia="Arial" w:hAnsi="Arial"/>
                <w:sz w:val="16"/>
                <w:szCs w:val="16"/>
                <w:color w:val="auto"/>
              </w:rPr>
              <w:t>53,110</w:t>
            </w:r>
          </w:p>
        </w:tc>
        <w:tc>
          <w:tcPr>
            <w:tcW w:w="280" w:type="dxa"/>
            <w:vAlign w:val="bottom"/>
          </w:tcPr>
          <w:p>
            <w:pPr>
              <w:spacing w:after="0"/>
              <w:rPr>
                <w:sz w:val="23"/>
                <w:szCs w:val="23"/>
                <w:color w:val="auto"/>
              </w:rPr>
            </w:pPr>
          </w:p>
        </w:tc>
        <w:tc>
          <w:tcPr>
            <w:tcW w:w="960" w:type="dxa"/>
            <w:vAlign w:val="bottom"/>
          </w:tcPr>
          <w:p>
            <w:pPr>
              <w:jc w:val="right"/>
              <w:ind w:right="20"/>
              <w:spacing w:after="0"/>
              <w:rPr>
                <w:sz w:val="20"/>
                <w:szCs w:val="20"/>
                <w:color w:val="auto"/>
              </w:rPr>
            </w:pPr>
            <w:r>
              <w:rPr>
                <w:rFonts w:ascii="Arial" w:cs="Arial" w:eastAsia="Arial" w:hAnsi="Arial"/>
                <w:sz w:val="16"/>
                <w:szCs w:val="16"/>
                <w:color w:val="auto"/>
              </w:rPr>
              <w:t>7,400</w:t>
            </w:r>
          </w:p>
        </w:tc>
      </w:tr>
      <w:tr>
        <w:trPr>
          <w:trHeight w:val="270"/>
        </w:trPr>
        <w:tc>
          <w:tcPr>
            <w:tcW w:w="7200" w:type="dxa"/>
            <w:vAlign w:val="bottom"/>
          </w:tcPr>
          <w:p>
            <w:pPr>
              <w:ind w:left="40"/>
              <w:spacing w:after="0"/>
              <w:rPr>
                <w:sz w:val="20"/>
                <w:szCs w:val="20"/>
                <w:color w:val="auto"/>
              </w:rPr>
            </w:pPr>
            <w:r>
              <w:rPr>
                <w:rFonts w:ascii="Arial" w:cs="Arial" w:eastAsia="Arial" w:hAnsi="Arial"/>
                <w:sz w:val="16"/>
                <w:szCs w:val="16"/>
                <w:color w:val="auto"/>
              </w:rPr>
              <w:t>Amortized intangible assets</w:t>
            </w:r>
          </w:p>
        </w:tc>
        <w:tc>
          <w:tcPr>
            <w:tcW w:w="320" w:type="dxa"/>
            <w:vAlign w:val="bottom"/>
          </w:tcPr>
          <w:p>
            <w:pPr>
              <w:spacing w:after="0"/>
              <w:rPr>
                <w:sz w:val="23"/>
                <w:szCs w:val="23"/>
                <w:color w:val="auto"/>
              </w:rPr>
            </w:pPr>
          </w:p>
        </w:tc>
        <w:tc>
          <w:tcPr>
            <w:tcW w:w="1100" w:type="dxa"/>
            <w:vAlign w:val="bottom"/>
          </w:tcPr>
          <w:p>
            <w:pPr>
              <w:jc w:val="right"/>
              <w:ind w:right="61"/>
              <w:spacing w:after="0"/>
              <w:rPr>
                <w:sz w:val="20"/>
                <w:szCs w:val="20"/>
                <w:color w:val="auto"/>
              </w:rPr>
            </w:pPr>
            <w:r>
              <w:rPr>
                <w:rFonts w:ascii="Arial" w:cs="Arial" w:eastAsia="Arial" w:hAnsi="Arial"/>
                <w:sz w:val="16"/>
                <w:szCs w:val="16"/>
                <w:b w:val="1"/>
                <w:bCs w:val="1"/>
                <w:color w:val="auto"/>
              </w:rPr>
              <w:t>170,658</w:t>
            </w:r>
          </w:p>
        </w:tc>
        <w:tc>
          <w:tcPr>
            <w:tcW w:w="400" w:type="dxa"/>
            <w:vAlign w:val="bottom"/>
          </w:tcPr>
          <w:p>
            <w:pPr>
              <w:spacing w:after="0"/>
              <w:rPr>
                <w:sz w:val="23"/>
                <w:szCs w:val="23"/>
                <w:color w:val="auto"/>
              </w:rPr>
            </w:pPr>
          </w:p>
        </w:tc>
        <w:tc>
          <w:tcPr>
            <w:tcW w:w="1160" w:type="dxa"/>
            <w:vAlign w:val="bottom"/>
          </w:tcPr>
          <w:p>
            <w:pPr>
              <w:jc w:val="right"/>
              <w:ind w:right="160"/>
              <w:spacing w:after="0"/>
              <w:rPr>
                <w:sz w:val="20"/>
                <w:szCs w:val="20"/>
                <w:color w:val="auto"/>
              </w:rPr>
            </w:pPr>
            <w:r>
              <w:rPr>
                <w:rFonts w:ascii="Arial" w:cs="Arial" w:eastAsia="Arial" w:hAnsi="Arial"/>
                <w:sz w:val="16"/>
                <w:szCs w:val="16"/>
                <w:color w:val="auto"/>
              </w:rPr>
              <w:t>28,267</w:t>
            </w:r>
          </w:p>
        </w:tc>
        <w:tc>
          <w:tcPr>
            <w:tcW w:w="280" w:type="dxa"/>
            <w:vAlign w:val="bottom"/>
          </w:tcPr>
          <w:p>
            <w:pPr>
              <w:spacing w:after="0"/>
              <w:rPr>
                <w:sz w:val="23"/>
                <w:szCs w:val="23"/>
                <w:color w:val="auto"/>
              </w:rPr>
            </w:pPr>
          </w:p>
        </w:tc>
        <w:tc>
          <w:tcPr>
            <w:tcW w:w="960" w:type="dxa"/>
            <w:vAlign w:val="bottom"/>
          </w:tcPr>
          <w:p>
            <w:pPr>
              <w:jc w:val="right"/>
              <w:ind w:right="20"/>
              <w:spacing w:after="0"/>
              <w:rPr>
                <w:sz w:val="20"/>
                <w:szCs w:val="20"/>
                <w:color w:val="auto"/>
              </w:rPr>
            </w:pPr>
            <w:r>
              <w:rPr>
                <w:rFonts w:ascii="Arial" w:cs="Arial" w:eastAsia="Arial" w:hAnsi="Arial"/>
                <w:sz w:val="16"/>
                <w:szCs w:val="16"/>
                <w:color w:val="auto"/>
              </w:rPr>
              <w:t>31,900</w:t>
            </w:r>
          </w:p>
        </w:tc>
      </w:tr>
      <w:tr>
        <w:trPr>
          <w:trHeight w:val="270"/>
        </w:trPr>
        <w:tc>
          <w:tcPr>
            <w:tcW w:w="7200" w:type="dxa"/>
            <w:vAlign w:val="bottom"/>
          </w:tcPr>
          <w:p>
            <w:pPr>
              <w:ind w:left="40"/>
              <w:spacing w:after="0"/>
              <w:rPr>
                <w:sz w:val="20"/>
                <w:szCs w:val="20"/>
                <w:color w:val="auto"/>
              </w:rPr>
            </w:pPr>
            <w:r>
              <w:rPr>
                <w:rFonts w:ascii="Arial" w:cs="Arial" w:eastAsia="Arial" w:hAnsi="Arial"/>
                <w:sz w:val="16"/>
                <w:szCs w:val="16"/>
                <w:color w:val="auto"/>
              </w:rPr>
              <w:t>Other assets</w:t>
            </w:r>
          </w:p>
        </w:tc>
        <w:tc>
          <w:tcPr>
            <w:tcW w:w="320" w:type="dxa"/>
            <w:vAlign w:val="bottom"/>
          </w:tcPr>
          <w:p>
            <w:pPr>
              <w:spacing w:after="0"/>
              <w:rPr>
                <w:sz w:val="23"/>
                <w:szCs w:val="23"/>
                <w:color w:val="auto"/>
              </w:rPr>
            </w:pPr>
          </w:p>
        </w:tc>
        <w:tc>
          <w:tcPr>
            <w:tcW w:w="1100" w:type="dxa"/>
            <w:vAlign w:val="bottom"/>
          </w:tcPr>
          <w:p>
            <w:pPr>
              <w:jc w:val="right"/>
              <w:ind w:right="61"/>
              <w:spacing w:after="0"/>
              <w:rPr>
                <w:sz w:val="20"/>
                <w:szCs w:val="20"/>
                <w:color w:val="auto"/>
              </w:rPr>
            </w:pPr>
            <w:r>
              <w:rPr>
                <w:rFonts w:ascii="Arial" w:cs="Arial" w:eastAsia="Arial" w:hAnsi="Arial"/>
                <w:sz w:val="16"/>
                <w:szCs w:val="16"/>
                <w:b w:val="1"/>
                <w:bCs w:val="1"/>
                <w:color w:val="auto"/>
              </w:rPr>
              <w:t>1,880</w:t>
            </w:r>
          </w:p>
        </w:tc>
        <w:tc>
          <w:tcPr>
            <w:tcW w:w="400" w:type="dxa"/>
            <w:vAlign w:val="bottom"/>
          </w:tcPr>
          <w:p>
            <w:pPr>
              <w:spacing w:after="0"/>
              <w:rPr>
                <w:sz w:val="23"/>
                <w:szCs w:val="23"/>
                <w:color w:val="auto"/>
              </w:rPr>
            </w:pPr>
          </w:p>
        </w:tc>
        <w:tc>
          <w:tcPr>
            <w:tcW w:w="1160" w:type="dxa"/>
            <w:vAlign w:val="bottom"/>
          </w:tcPr>
          <w:p>
            <w:pPr>
              <w:jc w:val="right"/>
              <w:ind w:right="160"/>
              <w:spacing w:after="0"/>
              <w:rPr>
                <w:sz w:val="20"/>
                <w:szCs w:val="20"/>
                <w:color w:val="auto"/>
              </w:rPr>
            </w:pPr>
            <w:r>
              <w:rPr>
                <w:rFonts w:ascii="Arial" w:cs="Arial" w:eastAsia="Arial" w:hAnsi="Arial"/>
                <w:sz w:val="16"/>
                <w:szCs w:val="16"/>
                <w:color w:val="auto"/>
              </w:rPr>
              <w:t>1,420</w:t>
            </w:r>
          </w:p>
        </w:tc>
        <w:tc>
          <w:tcPr>
            <w:tcW w:w="280" w:type="dxa"/>
            <w:vAlign w:val="bottom"/>
          </w:tcPr>
          <w:p>
            <w:pPr>
              <w:spacing w:after="0"/>
              <w:rPr>
                <w:sz w:val="23"/>
                <w:szCs w:val="23"/>
                <w:color w:val="auto"/>
              </w:rPr>
            </w:pPr>
          </w:p>
        </w:tc>
        <w:tc>
          <w:tcPr>
            <w:tcW w:w="960" w:type="dxa"/>
            <w:vAlign w:val="bottom"/>
          </w:tcPr>
          <w:p>
            <w:pPr>
              <w:jc w:val="right"/>
              <w:ind w:right="20"/>
              <w:spacing w:after="0"/>
              <w:rPr>
                <w:sz w:val="20"/>
                <w:szCs w:val="20"/>
                <w:color w:val="auto"/>
              </w:rPr>
            </w:pPr>
            <w:r>
              <w:rPr>
                <w:rFonts w:ascii="Arial" w:cs="Arial" w:eastAsia="Arial" w:hAnsi="Arial"/>
                <w:sz w:val="16"/>
                <w:szCs w:val="16"/>
                <w:color w:val="auto"/>
              </w:rPr>
              <w:t>1,213</w:t>
            </w:r>
          </w:p>
        </w:tc>
      </w:tr>
      <w:tr>
        <w:trPr>
          <w:trHeight w:val="270"/>
        </w:trPr>
        <w:tc>
          <w:tcPr>
            <w:tcW w:w="7200" w:type="dxa"/>
            <w:vAlign w:val="bottom"/>
          </w:tcPr>
          <w:p>
            <w:pPr>
              <w:ind w:left="40"/>
              <w:spacing w:after="0"/>
              <w:rPr>
                <w:sz w:val="20"/>
                <w:szCs w:val="20"/>
                <w:color w:val="auto"/>
              </w:rPr>
            </w:pPr>
            <w:r>
              <w:rPr>
                <w:rFonts w:ascii="Arial" w:cs="Arial" w:eastAsia="Arial" w:hAnsi="Arial"/>
                <w:sz w:val="16"/>
                <w:szCs w:val="16"/>
                <w:color w:val="auto"/>
              </w:rPr>
              <w:t>Pension and other postretirement benefits liabilities</w:t>
            </w:r>
          </w:p>
        </w:tc>
        <w:tc>
          <w:tcPr>
            <w:tcW w:w="320" w:type="dxa"/>
            <w:vAlign w:val="bottom"/>
          </w:tcPr>
          <w:p>
            <w:pPr>
              <w:spacing w:after="0"/>
              <w:rPr>
                <w:sz w:val="23"/>
                <w:szCs w:val="23"/>
                <w:color w:val="auto"/>
              </w:rPr>
            </w:pPr>
          </w:p>
        </w:tc>
        <w:tc>
          <w:tcPr>
            <w:tcW w:w="1100" w:type="dxa"/>
            <w:vAlign w:val="bottom"/>
          </w:tcPr>
          <w:p>
            <w:pPr>
              <w:jc w:val="right"/>
              <w:ind w:right="21"/>
              <w:spacing w:after="0"/>
              <w:rPr>
                <w:sz w:val="20"/>
                <w:szCs w:val="20"/>
                <w:color w:val="auto"/>
              </w:rPr>
            </w:pPr>
            <w:r>
              <w:rPr>
                <w:rFonts w:ascii="Arial" w:cs="Arial" w:eastAsia="Arial" w:hAnsi="Arial"/>
                <w:sz w:val="16"/>
                <w:szCs w:val="16"/>
                <w:b w:val="1"/>
                <w:bCs w:val="1"/>
                <w:color w:val="auto"/>
              </w:rPr>
              <w:t>(59,116)</w:t>
            </w:r>
          </w:p>
        </w:tc>
        <w:tc>
          <w:tcPr>
            <w:tcW w:w="400" w:type="dxa"/>
            <w:vAlign w:val="bottom"/>
          </w:tcPr>
          <w:p>
            <w:pPr>
              <w:spacing w:after="0"/>
              <w:rPr>
                <w:sz w:val="23"/>
                <w:szCs w:val="23"/>
                <w:color w:val="auto"/>
              </w:rPr>
            </w:pPr>
          </w:p>
        </w:tc>
        <w:tc>
          <w:tcPr>
            <w:tcW w:w="1160" w:type="dxa"/>
            <w:vAlign w:val="bottom"/>
          </w:tcPr>
          <w:p>
            <w:pPr>
              <w:jc w:val="right"/>
              <w:ind w:right="160"/>
              <w:spacing w:after="0"/>
              <w:rPr>
                <w:sz w:val="20"/>
                <w:szCs w:val="20"/>
                <w:color w:val="auto"/>
              </w:rPr>
            </w:pPr>
            <w:r>
              <w:rPr>
                <w:rFonts w:ascii="Arial" w:cs="Arial" w:eastAsia="Arial" w:hAnsi="Arial"/>
                <w:sz w:val="16"/>
                <w:szCs w:val="16"/>
                <w:color w:val="auto"/>
              </w:rPr>
              <w:t>—</w:t>
            </w:r>
          </w:p>
        </w:tc>
        <w:tc>
          <w:tcPr>
            <w:tcW w:w="280" w:type="dxa"/>
            <w:vAlign w:val="bottom"/>
          </w:tcPr>
          <w:p>
            <w:pPr>
              <w:spacing w:after="0"/>
              <w:rPr>
                <w:sz w:val="23"/>
                <w:szCs w:val="23"/>
                <w:color w:val="auto"/>
              </w:rPr>
            </w:pPr>
          </w:p>
        </w:tc>
        <w:tc>
          <w:tcPr>
            <w:tcW w:w="960" w:type="dxa"/>
            <w:vAlign w:val="bottom"/>
          </w:tcPr>
          <w:p>
            <w:pPr>
              <w:jc w:val="right"/>
              <w:ind w:right="20"/>
              <w:spacing w:after="0"/>
              <w:rPr>
                <w:sz w:val="20"/>
                <w:szCs w:val="20"/>
                <w:color w:val="auto"/>
              </w:rPr>
            </w:pPr>
            <w:r>
              <w:rPr>
                <w:rFonts w:ascii="Arial" w:cs="Arial" w:eastAsia="Arial" w:hAnsi="Arial"/>
                <w:sz w:val="16"/>
                <w:szCs w:val="16"/>
                <w:color w:val="auto"/>
              </w:rPr>
              <w:t>—</w:t>
            </w:r>
          </w:p>
        </w:tc>
      </w:tr>
      <w:tr>
        <w:trPr>
          <w:trHeight w:val="270"/>
        </w:trPr>
        <w:tc>
          <w:tcPr>
            <w:tcW w:w="7200" w:type="dxa"/>
            <w:vAlign w:val="bottom"/>
          </w:tcPr>
          <w:p>
            <w:pPr>
              <w:ind w:left="40"/>
              <w:spacing w:after="0"/>
              <w:rPr>
                <w:sz w:val="20"/>
                <w:szCs w:val="20"/>
                <w:color w:val="auto"/>
              </w:rPr>
            </w:pPr>
            <w:r>
              <w:rPr>
                <w:rFonts w:ascii="Arial" w:cs="Arial" w:eastAsia="Arial" w:hAnsi="Arial"/>
                <w:sz w:val="16"/>
                <w:szCs w:val="16"/>
                <w:color w:val="auto"/>
              </w:rPr>
              <w:t>Other liabilities</w:t>
            </w:r>
          </w:p>
        </w:tc>
        <w:tc>
          <w:tcPr>
            <w:tcW w:w="320" w:type="dxa"/>
            <w:vAlign w:val="bottom"/>
          </w:tcPr>
          <w:p>
            <w:pPr>
              <w:spacing w:after="0"/>
              <w:rPr>
                <w:sz w:val="23"/>
                <w:szCs w:val="23"/>
                <w:color w:val="auto"/>
              </w:rPr>
            </w:pPr>
          </w:p>
        </w:tc>
        <w:tc>
          <w:tcPr>
            <w:tcW w:w="1100" w:type="dxa"/>
            <w:vAlign w:val="bottom"/>
          </w:tcPr>
          <w:p>
            <w:pPr>
              <w:jc w:val="right"/>
              <w:ind w:right="21"/>
              <w:spacing w:after="0"/>
              <w:rPr>
                <w:sz w:val="20"/>
                <w:szCs w:val="20"/>
                <w:color w:val="auto"/>
              </w:rPr>
            </w:pPr>
            <w:r>
              <w:rPr>
                <w:rFonts w:ascii="Arial" w:cs="Arial" w:eastAsia="Arial" w:hAnsi="Arial"/>
                <w:sz w:val="16"/>
                <w:szCs w:val="16"/>
                <w:b w:val="1"/>
                <w:bCs w:val="1"/>
                <w:color w:val="auto"/>
              </w:rPr>
              <w:t>(12,177)</w:t>
            </w:r>
          </w:p>
        </w:tc>
        <w:tc>
          <w:tcPr>
            <w:tcW w:w="400" w:type="dxa"/>
            <w:vAlign w:val="bottom"/>
          </w:tcPr>
          <w:p>
            <w:pPr>
              <w:spacing w:after="0"/>
              <w:rPr>
                <w:sz w:val="23"/>
                <w:szCs w:val="23"/>
                <w:color w:val="auto"/>
              </w:rPr>
            </w:pPr>
          </w:p>
        </w:tc>
        <w:tc>
          <w:tcPr>
            <w:tcW w:w="1160" w:type="dxa"/>
            <w:vAlign w:val="bottom"/>
          </w:tcPr>
          <w:p>
            <w:pPr>
              <w:jc w:val="right"/>
              <w:ind w:right="100"/>
              <w:spacing w:after="0"/>
              <w:rPr>
                <w:sz w:val="20"/>
                <w:szCs w:val="20"/>
                <w:color w:val="auto"/>
              </w:rPr>
            </w:pPr>
            <w:r>
              <w:rPr>
                <w:rFonts w:ascii="Arial" w:cs="Arial" w:eastAsia="Arial" w:hAnsi="Arial"/>
                <w:sz w:val="16"/>
                <w:szCs w:val="16"/>
                <w:color w:val="auto"/>
              </w:rPr>
              <w:t>(21,892)</w:t>
            </w:r>
          </w:p>
        </w:tc>
        <w:tc>
          <w:tcPr>
            <w:tcW w:w="280" w:type="dxa"/>
            <w:vAlign w:val="bottom"/>
          </w:tcPr>
          <w:p>
            <w:pPr>
              <w:spacing w:after="0"/>
              <w:rPr>
                <w:sz w:val="23"/>
                <w:szCs w:val="23"/>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(28,880)</w:t>
            </w:r>
          </w:p>
        </w:tc>
      </w:tr>
      <w:tr>
        <w:trPr>
          <w:trHeight w:val="270"/>
        </w:trPr>
        <w:tc>
          <w:tcPr>
            <w:tcW w:w="7200" w:type="dxa"/>
            <w:vAlign w:val="bottom"/>
          </w:tcPr>
          <w:p>
            <w:pPr>
              <w:ind w:left="40"/>
              <w:spacing w:after="0"/>
              <w:rPr>
                <w:sz w:val="20"/>
                <w:szCs w:val="20"/>
                <w:color w:val="auto"/>
              </w:rPr>
            </w:pPr>
            <w:r>
              <w:rPr>
                <w:rFonts w:ascii="Arial" w:cs="Arial" w:eastAsia="Arial" w:hAnsi="Arial"/>
                <w:sz w:val="16"/>
                <w:szCs w:val="16"/>
                <w:color w:val="auto"/>
              </w:rPr>
              <w:t>Deferred income taxes</w:t>
            </w:r>
          </w:p>
        </w:tc>
        <w:tc>
          <w:tcPr>
            <w:tcW w:w="320" w:type="dxa"/>
            <w:vAlign w:val="bottom"/>
          </w:tcPr>
          <w:p>
            <w:pPr>
              <w:spacing w:after="0"/>
              <w:rPr>
                <w:sz w:val="23"/>
                <w:szCs w:val="23"/>
                <w:color w:val="auto"/>
              </w:rPr>
            </w:pPr>
          </w:p>
        </w:tc>
        <w:tc>
          <w:tcPr>
            <w:tcW w:w="1100" w:type="dxa"/>
            <w:vAlign w:val="bottom"/>
          </w:tcPr>
          <w:p>
            <w:pPr>
              <w:jc w:val="right"/>
              <w:ind w:right="21"/>
              <w:spacing w:after="0"/>
              <w:rPr>
                <w:sz w:val="20"/>
                <w:szCs w:val="20"/>
                <w:color w:val="auto"/>
              </w:rPr>
            </w:pPr>
            <w:r>
              <w:rPr>
                <w:rFonts w:ascii="Arial" w:cs="Arial" w:eastAsia="Arial" w:hAnsi="Arial"/>
                <w:sz w:val="16"/>
                <w:szCs w:val="16"/>
                <w:b w:val="1"/>
                <w:bCs w:val="1"/>
                <w:color w:val="auto"/>
              </w:rPr>
              <w:t>(37,289)</w:t>
            </w:r>
          </w:p>
        </w:tc>
        <w:tc>
          <w:tcPr>
            <w:tcW w:w="400" w:type="dxa"/>
            <w:vAlign w:val="bottom"/>
          </w:tcPr>
          <w:p>
            <w:pPr>
              <w:spacing w:after="0"/>
              <w:rPr>
                <w:sz w:val="23"/>
                <w:szCs w:val="23"/>
                <w:color w:val="auto"/>
              </w:rPr>
            </w:pPr>
          </w:p>
        </w:tc>
        <w:tc>
          <w:tcPr>
            <w:tcW w:w="1160" w:type="dxa"/>
            <w:vAlign w:val="bottom"/>
          </w:tcPr>
          <w:p>
            <w:pPr>
              <w:jc w:val="right"/>
              <w:ind w:right="100"/>
              <w:spacing w:after="0"/>
              <w:rPr>
                <w:sz w:val="20"/>
                <w:szCs w:val="20"/>
                <w:color w:val="auto"/>
              </w:rPr>
            </w:pPr>
            <w:r>
              <w:rPr>
                <w:rFonts w:ascii="Arial" w:cs="Arial" w:eastAsia="Arial" w:hAnsi="Arial"/>
                <w:sz w:val="16"/>
                <w:szCs w:val="16"/>
                <w:color w:val="auto"/>
              </w:rPr>
              <w:t>(11,009)</w:t>
            </w:r>
          </w:p>
        </w:tc>
        <w:tc>
          <w:tcPr>
            <w:tcW w:w="280" w:type="dxa"/>
            <w:vAlign w:val="bottom"/>
          </w:tcPr>
          <w:p>
            <w:pPr>
              <w:spacing w:after="0"/>
              <w:rPr>
                <w:sz w:val="23"/>
                <w:szCs w:val="23"/>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(8,012)</w:t>
            </w:r>
          </w:p>
        </w:tc>
      </w:tr>
      <w:tr>
        <w:trPr>
          <w:trHeight w:val="283"/>
        </w:trPr>
        <w:tc>
          <w:tcPr>
            <w:tcW w:w="7200" w:type="dxa"/>
            <w:vAlign w:val="bottom"/>
          </w:tcPr>
          <w:p>
            <w:pPr>
              <w:ind w:left="40"/>
              <w:spacing w:after="0"/>
              <w:rPr>
                <w:sz w:val="20"/>
                <w:szCs w:val="20"/>
                <w:color w:val="auto"/>
              </w:rPr>
            </w:pPr>
            <w:r>
              <w:rPr>
                <w:rFonts w:ascii="Arial" w:cs="Arial" w:eastAsia="Arial" w:hAnsi="Arial"/>
                <w:sz w:val="16"/>
                <w:szCs w:val="16"/>
                <w:color w:val="auto"/>
              </w:rPr>
              <w:t>Redeemable noncontrolling interest</w:t>
            </w:r>
          </w:p>
        </w:tc>
        <w:tc>
          <w:tcPr>
            <w:tcW w:w="32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jc w:val="right"/>
              <w:ind w:right="21"/>
              <w:spacing w:after="0"/>
              <w:rPr>
                <w:sz w:val="20"/>
                <w:szCs w:val="20"/>
                <w:color w:val="auto"/>
              </w:rPr>
            </w:pPr>
            <w:r>
              <w:rPr>
                <w:rFonts w:ascii="Arial" w:cs="Arial" w:eastAsia="Arial" w:hAnsi="Arial"/>
                <w:sz w:val="16"/>
                <w:szCs w:val="16"/>
                <w:b w:val="1"/>
                <w:bCs w:val="1"/>
                <w:color w:val="auto"/>
              </w:rPr>
              <w:t>(3,666)</w:t>
            </w:r>
          </w:p>
        </w:tc>
        <w:tc>
          <w:tcPr>
            <w:tcW w:w="40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tcPr>
          <w:p>
            <w:pPr>
              <w:jc w:val="right"/>
              <w:ind w:right="160"/>
              <w:spacing w:after="0"/>
              <w:rPr>
                <w:sz w:val="20"/>
                <w:szCs w:val="20"/>
                <w:color w:val="auto"/>
              </w:rPr>
            </w:pPr>
            <w:r>
              <w:rPr>
                <w:rFonts w:ascii="Arial" w:cs="Arial" w:eastAsia="Arial" w:hAnsi="Arial"/>
                <w:sz w:val="16"/>
                <w:szCs w:val="16"/>
                <w:color w:val="auto"/>
              </w:rPr>
              <w:t>—</w:t>
            </w:r>
          </w:p>
        </w:tc>
        <w:tc>
          <w:tcPr>
            <w:tcW w:w="28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w:t>
            </w:r>
          </w:p>
        </w:tc>
      </w:tr>
      <w:tr>
        <w:trPr>
          <w:trHeight w:val="267"/>
        </w:trPr>
        <w:tc>
          <w:tcPr>
            <w:tcW w:w="7200" w:type="dxa"/>
            <w:vAlign w:val="bottom"/>
          </w:tcPr>
          <w:p>
            <w:pPr>
              <w:ind w:left="40"/>
              <w:spacing w:after="0"/>
              <w:rPr>
                <w:sz w:val="20"/>
                <w:szCs w:val="20"/>
                <w:color w:val="auto"/>
              </w:rPr>
            </w:pPr>
            <w:r>
              <w:rPr>
                <w:rFonts w:ascii="Arial" w:cs="Arial" w:eastAsia="Arial" w:hAnsi="Arial"/>
                <w:sz w:val="16"/>
                <w:szCs w:val="16"/>
                <w:color w:val="auto"/>
              </w:rPr>
              <w:t>Aggregate purchase price, net of cash acquired</w:t>
            </w:r>
          </w:p>
        </w:tc>
        <w:tc>
          <w:tcPr>
            <w:tcW w:w="32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b w:val="1"/>
                <w:bCs w:val="1"/>
                <w:color w:val="auto"/>
              </w:rPr>
              <w:t>$</w:t>
            </w:r>
          </w:p>
        </w:tc>
        <w:tc>
          <w:tcPr>
            <w:tcW w:w="1100" w:type="dxa"/>
            <w:vAlign w:val="bottom"/>
            <w:tcBorders>
              <w:bottom w:val="single" w:sz="8" w:color="auto"/>
            </w:tcBorders>
          </w:tcPr>
          <w:p>
            <w:pPr>
              <w:jc w:val="right"/>
              <w:ind w:right="61"/>
              <w:spacing w:after="0"/>
              <w:rPr>
                <w:sz w:val="20"/>
                <w:szCs w:val="20"/>
                <w:color w:val="auto"/>
              </w:rPr>
            </w:pPr>
            <w:r>
              <w:rPr>
                <w:rFonts w:ascii="Arial" w:cs="Arial" w:eastAsia="Arial" w:hAnsi="Arial"/>
                <w:sz w:val="16"/>
                <w:szCs w:val="16"/>
                <w:b w:val="1"/>
                <w:bCs w:val="1"/>
                <w:color w:val="auto"/>
              </w:rPr>
              <w:t>304,915</w:t>
            </w:r>
          </w:p>
        </w:tc>
        <w:tc>
          <w:tcPr>
            <w:tcW w:w="40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color w:val="auto"/>
              </w:rPr>
              <w:t>$</w:t>
            </w:r>
          </w:p>
        </w:tc>
        <w:tc>
          <w:tcPr>
            <w:tcW w:w="1160" w:type="dxa"/>
            <w:vAlign w:val="bottom"/>
            <w:tcBorders>
              <w:bottom w:val="single" w:sz="8" w:color="auto"/>
            </w:tcBorders>
          </w:tcPr>
          <w:p>
            <w:pPr>
              <w:jc w:val="right"/>
              <w:ind w:right="160"/>
              <w:spacing w:after="0"/>
              <w:rPr>
                <w:sz w:val="20"/>
                <w:szCs w:val="20"/>
                <w:color w:val="auto"/>
              </w:rPr>
            </w:pPr>
            <w:r>
              <w:rPr>
                <w:rFonts w:ascii="Arial" w:cs="Arial" w:eastAsia="Arial" w:hAnsi="Arial"/>
                <w:sz w:val="16"/>
                <w:szCs w:val="16"/>
                <w:color w:val="auto"/>
              </w:rPr>
              <w:t>247,370</w:t>
            </w:r>
          </w:p>
        </w:tc>
        <w:tc>
          <w:tcPr>
            <w:tcW w:w="28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w w:val="89"/>
              </w:rPr>
              <w:t>$</w:t>
            </w:r>
          </w:p>
        </w:tc>
        <w:tc>
          <w:tcPr>
            <w:tcW w:w="96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159,779</w:t>
            </w:r>
          </w:p>
        </w:tc>
      </w:tr>
      <w:tr>
        <w:trPr>
          <w:trHeight w:val="20"/>
        </w:trPr>
        <w:tc>
          <w:tcPr>
            <w:tcW w:w="72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ind w:right="80"/>
        <w:spacing w:after="0" w:line="225" w:lineRule="auto"/>
        <w:rPr>
          <w:sz w:val="20"/>
          <w:szCs w:val="20"/>
          <w:color w:val="auto"/>
        </w:rPr>
      </w:pPr>
      <w:r>
        <w:rPr>
          <w:rFonts w:ascii="Arial" w:cs="Arial" w:eastAsia="Arial" w:hAnsi="Arial"/>
          <w:sz w:val="18"/>
          <w:szCs w:val="18"/>
          <w:color w:val="auto"/>
        </w:rPr>
        <w:t>The fair values recorded were based upon valuations. Goodwill is calculated as the excess of the consideration transferred over the net assets recognized and represents the estimated future economic benefits arising from other assets acquired that could not be individually identified and separately recognized. The goodwill recorded due to these acquisitions is attributable to the assembled workforces of the acquired companies and expected synergies. The Company expects to deduct $11.0 million, $22.2 million and $20.0 million of goodwill for income tax purposes for the acquisitions completed in 2017, 2016 and 2015, respectively.</w:t>
      </w:r>
    </w:p>
    <w:p>
      <w:pPr>
        <w:spacing w:after="0" w:line="137" w:lineRule="exact"/>
        <w:rPr>
          <w:sz w:val="20"/>
          <w:szCs w:val="20"/>
          <w:color w:val="auto"/>
        </w:rPr>
      </w:pPr>
    </w:p>
    <w:p>
      <w:pPr>
        <w:ind w:right="300"/>
        <w:spacing w:after="0" w:line="235" w:lineRule="auto"/>
        <w:rPr>
          <w:sz w:val="20"/>
          <w:szCs w:val="20"/>
          <w:color w:val="auto"/>
        </w:rPr>
      </w:pPr>
      <w:r>
        <w:rPr>
          <w:rFonts w:ascii="Arial" w:cs="Arial" w:eastAsia="Arial" w:hAnsi="Arial"/>
          <w:sz w:val="18"/>
          <w:szCs w:val="18"/>
          <w:color w:val="auto"/>
        </w:rPr>
        <w:t>In 2016, the Company recorded adjustments to the deferred taxes included in the preliminary purchase accounting of Dekko and SmartPros acquired in the fourth quarter of 2015. These adjustments resulted in a $20.0 million decrease to goodwill.</w:t>
      </w:r>
    </w:p>
    <w:p>
      <w:pPr>
        <w:spacing w:after="0" w:line="135" w:lineRule="exact"/>
        <w:rPr>
          <w:sz w:val="20"/>
          <w:szCs w:val="20"/>
          <w:color w:val="auto"/>
        </w:rPr>
      </w:pPr>
    </w:p>
    <w:p>
      <w:pPr>
        <w:ind w:right="160"/>
        <w:spacing w:after="0" w:line="225" w:lineRule="auto"/>
        <w:rPr>
          <w:sz w:val="20"/>
          <w:szCs w:val="20"/>
          <w:color w:val="auto"/>
        </w:rPr>
      </w:pPr>
      <w:r>
        <w:rPr>
          <w:rFonts w:ascii="Arial" w:cs="Arial" w:eastAsia="Arial" w:hAnsi="Arial"/>
          <w:sz w:val="18"/>
          <w:szCs w:val="18"/>
          <w:color w:val="auto"/>
        </w:rPr>
        <w:t>The acquired companies were consolidated into the Company’s financial statements starting on their respective acquisition dates. The Company’s Consolidated Statements of Operations include aggregate revenues and operating income for the companies acquired in 2017 of $199.4 million and $4.5 million, respectively. The following unaudited pro forma financial information presents the Company’s results as if the current year acquisitions had occurred at the beginning of 2016. The unaudited pro forma information also includes the 2016 acquisitions as if they occurred at the beginning of 2015 and the 2015 acquisitions as if they had occurred at the beginning of 2014:</w:t>
      </w:r>
    </w:p>
    <w:p>
      <w:pPr>
        <w:spacing w:after="0" w:line="192"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7780" w:type="dxa"/>
            <w:vAlign w:val="bottom"/>
          </w:tcPr>
          <w:p>
            <w:pPr>
              <w:spacing w:after="0"/>
              <w:rPr>
                <w:sz w:val="17"/>
                <w:szCs w:val="17"/>
                <w:color w:val="auto"/>
              </w:rPr>
            </w:pPr>
          </w:p>
        </w:tc>
        <w:tc>
          <w:tcPr>
            <w:tcW w:w="278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Year Ended December 31</w:t>
            </w:r>
          </w:p>
        </w:tc>
        <w:tc>
          <w:tcPr>
            <w:tcW w:w="860" w:type="dxa"/>
            <w:vAlign w:val="bottom"/>
            <w:tcBorders>
              <w:bottom w:val="single" w:sz="8" w:color="auto"/>
            </w:tcBorders>
          </w:tcPr>
          <w:p>
            <w:pPr>
              <w:spacing w:after="0"/>
              <w:rPr>
                <w:sz w:val="17"/>
                <w:szCs w:val="17"/>
                <w:color w:val="auto"/>
              </w:rPr>
            </w:pPr>
          </w:p>
        </w:tc>
      </w:tr>
      <w:tr>
        <w:trPr>
          <w:trHeight w:val="264"/>
        </w:trPr>
        <w:tc>
          <w:tcPr>
            <w:tcW w:w="778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(in thousands)</w:t>
            </w:r>
          </w:p>
        </w:tc>
        <w:tc>
          <w:tcPr>
            <w:tcW w:w="1160" w:type="dxa"/>
            <w:vAlign w:val="bottom"/>
            <w:tcBorders>
              <w:bottom w:val="single" w:sz="8" w:color="auto"/>
            </w:tcBorders>
          </w:tcPr>
          <w:p>
            <w:pPr>
              <w:jc w:val="right"/>
              <w:ind w:right="343"/>
              <w:spacing w:after="0"/>
              <w:rPr>
                <w:sz w:val="20"/>
                <w:szCs w:val="20"/>
                <w:color w:val="auto"/>
              </w:rPr>
            </w:pPr>
            <w:r>
              <w:rPr>
                <w:rFonts w:ascii="Arial" w:cs="Arial" w:eastAsia="Arial" w:hAnsi="Arial"/>
                <w:sz w:val="14"/>
                <w:szCs w:val="14"/>
                <w:b w:val="1"/>
                <w:bCs w:val="1"/>
                <w:color w:val="auto"/>
              </w:rPr>
              <w:t>2017</w:t>
            </w:r>
          </w:p>
        </w:tc>
        <w:tc>
          <w:tcPr>
            <w:tcW w:w="1260" w:type="dxa"/>
            <w:vAlign w:val="bottom"/>
            <w:tcBorders>
              <w:bottom w:val="single" w:sz="8" w:color="auto"/>
            </w:tcBorders>
          </w:tcPr>
          <w:p>
            <w:pPr>
              <w:jc w:val="right"/>
              <w:ind w:right="342"/>
              <w:spacing w:after="0"/>
              <w:rPr>
                <w:sz w:val="20"/>
                <w:szCs w:val="20"/>
                <w:color w:val="auto"/>
              </w:rPr>
            </w:pPr>
            <w:r>
              <w:rPr>
                <w:rFonts w:ascii="Arial" w:cs="Arial" w:eastAsia="Arial" w:hAnsi="Arial"/>
                <w:sz w:val="14"/>
                <w:szCs w:val="14"/>
                <w:color w:val="auto"/>
              </w:rPr>
              <w:t>2016</w:t>
            </w:r>
          </w:p>
        </w:tc>
        <w:tc>
          <w:tcPr>
            <w:tcW w:w="36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jc w:val="right"/>
              <w:ind w:right="322"/>
              <w:spacing w:after="0"/>
              <w:rPr>
                <w:sz w:val="20"/>
                <w:szCs w:val="20"/>
                <w:color w:val="auto"/>
              </w:rPr>
            </w:pPr>
            <w:r>
              <w:rPr>
                <w:rFonts w:ascii="Arial" w:cs="Arial" w:eastAsia="Arial" w:hAnsi="Arial"/>
                <w:sz w:val="14"/>
                <w:szCs w:val="14"/>
                <w:color w:val="auto"/>
              </w:rPr>
              <w:t>2015</w:t>
            </w:r>
          </w:p>
        </w:tc>
      </w:tr>
      <w:tr>
        <w:trPr>
          <w:trHeight w:val="250"/>
        </w:trPr>
        <w:tc>
          <w:tcPr>
            <w:tcW w:w="7780" w:type="dxa"/>
            <w:vAlign w:val="bottom"/>
          </w:tcPr>
          <w:p>
            <w:pPr>
              <w:ind w:left="40"/>
              <w:spacing w:after="0"/>
              <w:rPr>
                <w:sz w:val="20"/>
                <w:szCs w:val="20"/>
                <w:color w:val="auto"/>
              </w:rPr>
            </w:pPr>
            <w:r>
              <w:rPr>
                <w:rFonts w:ascii="Arial" w:cs="Arial" w:eastAsia="Arial" w:hAnsi="Arial"/>
                <w:sz w:val="16"/>
                <w:szCs w:val="16"/>
                <w:color w:val="auto"/>
              </w:rPr>
              <w:t>Operating revenues</w:t>
            </w:r>
          </w:p>
        </w:tc>
        <w:tc>
          <w:tcPr>
            <w:tcW w:w="1160" w:type="dxa"/>
            <w:vAlign w:val="bottom"/>
          </w:tcPr>
          <w:p>
            <w:pPr>
              <w:jc w:val="right"/>
              <w:ind w:right="43"/>
              <w:spacing w:after="0"/>
              <w:rPr>
                <w:sz w:val="20"/>
                <w:szCs w:val="20"/>
                <w:color w:val="auto"/>
              </w:rPr>
            </w:pPr>
            <w:r>
              <w:rPr>
                <w:rFonts w:ascii="Arial" w:cs="Arial" w:eastAsia="Arial" w:hAnsi="Arial"/>
                <w:sz w:val="16"/>
                <w:szCs w:val="16"/>
                <w:b w:val="1"/>
                <w:bCs w:val="1"/>
                <w:color w:val="auto"/>
              </w:rPr>
              <w:t>$   2,655,601</w:t>
            </w:r>
          </w:p>
        </w:tc>
        <w:tc>
          <w:tcPr>
            <w:tcW w:w="1260" w:type="dxa"/>
            <w:vAlign w:val="bottom"/>
          </w:tcPr>
          <w:p>
            <w:pPr>
              <w:jc w:val="right"/>
              <w:ind w:right="62"/>
              <w:spacing w:after="0"/>
              <w:rPr>
                <w:sz w:val="20"/>
                <w:szCs w:val="20"/>
                <w:color w:val="auto"/>
              </w:rPr>
            </w:pPr>
            <w:r>
              <w:rPr>
                <w:rFonts w:ascii="Arial" w:cs="Arial" w:eastAsia="Arial" w:hAnsi="Arial"/>
                <w:sz w:val="16"/>
                <w:szCs w:val="16"/>
                <w:color w:val="auto"/>
              </w:rPr>
              <w:t>$  2,750,416</w:t>
            </w:r>
          </w:p>
        </w:tc>
        <w:tc>
          <w:tcPr>
            <w:tcW w:w="36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860" w:type="dxa"/>
            <w:vAlign w:val="bottom"/>
          </w:tcPr>
          <w:p>
            <w:pPr>
              <w:jc w:val="right"/>
              <w:ind w:right="22"/>
              <w:spacing w:after="0"/>
              <w:rPr>
                <w:sz w:val="20"/>
                <w:szCs w:val="20"/>
                <w:color w:val="auto"/>
              </w:rPr>
            </w:pPr>
            <w:r>
              <w:rPr>
                <w:rFonts w:ascii="Arial" w:cs="Arial" w:eastAsia="Arial" w:hAnsi="Arial"/>
                <w:sz w:val="16"/>
                <w:szCs w:val="16"/>
                <w:color w:val="auto"/>
              </w:rPr>
              <w:t>2,804,663</w:t>
            </w:r>
          </w:p>
        </w:tc>
      </w:tr>
      <w:tr>
        <w:trPr>
          <w:trHeight w:val="270"/>
        </w:trPr>
        <w:tc>
          <w:tcPr>
            <w:tcW w:w="7780" w:type="dxa"/>
            <w:vAlign w:val="bottom"/>
          </w:tcPr>
          <w:p>
            <w:pPr>
              <w:ind w:left="40"/>
              <w:spacing w:after="0"/>
              <w:rPr>
                <w:sz w:val="20"/>
                <w:szCs w:val="20"/>
                <w:color w:val="auto"/>
              </w:rPr>
            </w:pPr>
            <w:r>
              <w:rPr>
                <w:rFonts w:ascii="Arial" w:cs="Arial" w:eastAsia="Arial" w:hAnsi="Arial"/>
                <w:sz w:val="16"/>
                <w:szCs w:val="16"/>
                <w:color w:val="auto"/>
              </w:rPr>
              <w:t>Net income (loss)</w:t>
            </w:r>
          </w:p>
        </w:tc>
        <w:tc>
          <w:tcPr>
            <w:tcW w:w="1160" w:type="dxa"/>
            <w:vAlign w:val="bottom"/>
          </w:tcPr>
          <w:p>
            <w:pPr>
              <w:jc w:val="right"/>
              <w:ind w:right="43"/>
              <w:spacing w:after="0"/>
              <w:rPr>
                <w:sz w:val="20"/>
                <w:szCs w:val="20"/>
                <w:color w:val="auto"/>
              </w:rPr>
            </w:pPr>
            <w:r>
              <w:rPr>
                <w:rFonts w:ascii="Arial" w:cs="Arial" w:eastAsia="Arial" w:hAnsi="Arial"/>
                <w:sz w:val="16"/>
                <w:szCs w:val="16"/>
                <w:b w:val="1"/>
                <w:bCs w:val="1"/>
                <w:color w:val="auto"/>
              </w:rPr>
              <w:t>311,274</w:t>
            </w:r>
          </w:p>
        </w:tc>
        <w:tc>
          <w:tcPr>
            <w:tcW w:w="1260" w:type="dxa"/>
            <w:vAlign w:val="bottom"/>
          </w:tcPr>
          <w:p>
            <w:pPr>
              <w:jc w:val="right"/>
              <w:ind w:right="62"/>
              <w:spacing w:after="0"/>
              <w:rPr>
                <w:sz w:val="20"/>
                <w:szCs w:val="20"/>
                <w:color w:val="auto"/>
              </w:rPr>
            </w:pPr>
            <w:r>
              <w:rPr>
                <w:rFonts w:ascii="Arial" w:cs="Arial" w:eastAsia="Arial" w:hAnsi="Arial"/>
                <w:sz w:val="16"/>
                <w:szCs w:val="16"/>
                <w:color w:val="auto"/>
              </w:rPr>
              <w:t>175,021</w:t>
            </w:r>
          </w:p>
        </w:tc>
        <w:tc>
          <w:tcPr>
            <w:tcW w:w="360" w:type="dxa"/>
            <w:vAlign w:val="bottom"/>
          </w:tcPr>
          <w:p>
            <w:pPr>
              <w:spacing w:after="0"/>
              <w:rPr>
                <w:sz w:val="23"/>
                <w:szCs w:val="23"/>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(84,209)</w:t>
            </w:r>
          </w:p>
        </w:tc>
      </w:tr>
    </w:tbl>
    <w:p>
      <w:pPr>
        <w:spacing w:after="0" w:line="167" w:lineRule="exact"/>
        <w:rPr>
          <w:sz w:val="20"/>
          <w:szCs w:val="20"/>
          <w:color w:val="auto"/>
        </w:rPr>
      </w:pPr>
    </w:p>
    <w:p>
      <w:pPr>
        <w:ind w:right="80"/>
        <w:spacing w:after="0" w:line="224" w:lineRule="auto"/>
        <w:rPr>
          <w:sz w:val="20"/>
          <w:szCs w:val="20"/>
          <w:color w:val="auto"/>
        </w:rPr>
      </w:pPr>
      <w:r>
        <w:rPr>
          <w:rFonts w:ascii="Arial" w:cs="Arial" w:eastAsia="Arial" w:hAnsi="Arial"/>
          <w:sz w:val="18"/>
          <w:szCs w:val="18"/>
          <w:color w:val="auto"/>
        </w:rPr>
        <w:t>These pro forma results were based on estimates and assumptions, which the Company believes are reasonable, and include the historical results of operations of the acquired companies and adjustments for depreciation and amortization of identified assets and the effect of pre-acquisition transaction related expenses incurred by the Company and the acquired entities. The pro forma information does not include efficiencies, cost reductions and synergies expected to result from the acquisitions. They are not the results that would have been realized had these entities been part of the Company during the periods presented and are not necessarily indicative of the Company’s consolidated results of operations in future periods.</w:t>
      </w:r>
    </w:p>
    <w:p>
      <w:pPr>
        <w:spacing w:after="0" w:line="115" w:lineRule="exact"/>
        <w:rPr>
          <w:sz w:val="20"/>
          <w:szCs w:val="20"/>
          <w:color w:val="auto"/>
        </w:rPr>
      </w:pPr>
    </w:p>
    <w:p>
      <w:pPr>
        <w:ind w:right="40"/>
        <w:spacing w:after="0" w:line="256" w:lineRule="auto"/>
        <w:rPr>
          <w:sz w:val="20"/>
          <w:szCs w:val="20"/>
          <w:color w:val="auto"/>
        </w:rPr>
      </w:pPr>
      <w:r>
        <w:rPr>
          <w:rFonts w:ascii="Arial" w:cs="Arial" w:eastAsia="Arial" w:hAnsi="Arial"/>
          <w:sz w:val="18"/>
          <w:szCs w:val="18"/>
          <w:b w:val="1"/>
          <w:bCs w:val="1"/>
          <w:color w:val="auto"/>
        </w:rPr>
        <w:t xml:space="preserve">Spin-Off. </w:t>
      </w:r>
      <w:r>
        <w:rPr>
          <w:rFonts w:ascii="Arial" w:cs="Arial" w:eastAsia="Arial" w:hAnsi="Arial"/>
          <w:sz w:val="18"/>
          <w:szCs w:val="18"/>
          <w:color w:val="auto"/>
        </w:rPr>
        <w:t>On July 1, 2015, the Company completed the spin-off of Cable ONE, by way of a distribution of all the issued and outstanding shares</w:t>
      </w:r>
      <w:r>
        <w:rPr>
          <w:rFonts w:ascii="Arial" w:cs="Arial" w:eastAsia="Arial" w:hAnsi="Arial"/>
          <w:sz w:val="18"/>
          <w:szCs w:val="18"/>
          <w:b w:val="1"/>
          <w:bCs w:val="1"/>
          <w:color w:val="auto"/>
        </w:rPr>
        <w:t xml:space="preserve"> </w:t>
      </w:r>
      <w:r>
        <w:rPr>
          <w:rFonts w:ascii="Arial" w:cs="Arial" w:eastAsia="Arial" w:hAnsi="Arial"/>
          <w:sz w:val="18"/>
          <w:szCs w:val="18"/>
          <w:color w:val="auto"/>
        </w:rPr>
        <w:t>of Cable ONE common stock, on a pro rata basis, to the Company’s stockholders (see Note 4).</w:t>
      </w:r>
    </w:p>
    <w:p>
      <w:pPr>
        <w:spacing w:after="0" w:line="99" w:lineRule="exact"/>
        <w:rPr>
          <w:sz w:val="20"/>
          <w:szCs w:val="20"/>
          <w:color w:val="auto"/>
        </w:rPr>
      </w:pPr>
    </w:p>
    <w:p>
      <w:pPr>
        <w:ind w:right="440"/>
        <w:spacing w:after="0" w:line="256" w:lineRule="auto"/>
        <w:rPr>
          <w:sz w:val="20"/>
          <w:szCs w:val="20"/>
          <w:color w:val="auto"/>
        </w:rPr>
      </w:pPr>
      <w:r>
        <w:rPr>
          <w:rFonts w:ascii="Arial" w:cs="Arial" w:eastAsia="Arial" w:hAnsi="Arial"/>
          <w:sz w:val="18"/>
          <w:szCs w:val="18"/>
          <w:b w:val="1"/>
          <w:bCs w:val="1"/>
          <w:color w:val="auto"/>
        </w:rPr>
        <w:t xml:space="preserve">Sale of Businesses. </w:t>
      </w:r>
      <w:r>
        <w:rPr>
          <w:rFonts w:ascii="Arial" w:cs="Arial" w:eastAsia="Arial" w:hAnsi="Arial"/>
          <w:sz w:val="18"/>
          <w:szCs w:val="18"/>
          <w:color w:val="auto"/>
        </w:rPr>
        <w:t>In the fourth quarter of 2017, Kaplan Australia completed the sale of a small business, which was included in Kaplan</w:t>
      </w:r>
      <w:r>
        <w:rPr>
          <w:rFonts w:ascii="Arial" w:cs="Arial" w:eastAsia="Arial" w:hAnsi="Arial"/>
          <w:sz w:val="18"/>
          <w:szCs w:val="18"/>
          <w:b w:val="1"/>
          <w:bCs w:val="1"/>
          <w:color w:val="auto"/>
        </w:rPr>
        <w:t xml:space="preserve"> </w:t>
      </w:r>
      <w:r>
        <w:rPr>
          <w:rFonts w:ascii="Arial" w:cs="Arial" w:eastAsia="Arial" w:hAnsi="Arial"/>
          <w:sz w:val="18"/>
          <w:szCs w:val="18"/>
          <w:color w:val="auto"/>
        </w:rPr>
        <w:t>International. In February 2017, GHG completed the sale of Celtic Healthcare of Maryland.</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color w:val="auto"/>
        </w:rPr>
        <w:t>In January 2016, Kaplan completed the sale of Colloquy, which was included in Kaplan Corporate and Other.</w:t>
      </w:r>
    </w:p>
    <w:p>
      <w:pPr>
        <w:spacing w:after="0" w:line="212" w:lineRule="exact"/>
        <w:rPr>
          <w:sz w:val="20"/>
          <w:szCs w:val="20"/>
          <w:color w:val="auto"/>
        </w:rPr>
      </w:pPr>
    </w:p>
    <w:p>
      <w:pPr>
        <w:ind w:right="140"/>
        <w:spacing w:after="0" w:line="235" w:lineRule="auto"/>
        <w:rPr>
          <w:sz w:val="20"/>
          <w:szCs w:val="20"/>
          <w:color w:val="auto"/>
        </w:rPr>
      </w:pPr>
      <w:r>
        <w:rPr>
          <w:rFonts w:ascii="Arial" w:cs="Arial" w:eastAsia="Arial" w:hAnsi="Arial"/>
          <w:sz w:val="18"/>
          <w:szCs w:val="18"/>
          <w:color w:val="auto"/>
        </w:rPr>
        <w:t>On September 3, 2015, Kaplan completed the sale of substantially all of the assets of its KHE Campuses business, consisting of 38 nationally accredited ground campuses and certain related assets, in exchange for a preferred</w:t>
      </w:r>
    </w:p>
    <w:p>
      <w:pPr>
        <w:sectPr>
          <w:pgSz w:w="11900" w:h="16838" w:orient="portrait"/>
          <w:cols w:equalWidth="0" w:num="1">
            <w:col w:w="11420"/>
          </w:cols>
          <w:pgMar w:left="240" w:top="746" w:right="239" w:bottom="1440" w:gutter="0" w:footer="0" w:header="0"/>
        </w:sectPr>
      </w:pPr>
    </w:p>
    <w:p>
      <w:pPr>
        <w:spacing w:after="0" w:line="200" w:lineRule="exact"/>
        <w:rPr>
          <w:sz w:val="20"/>
          <w:szCs w:val="20"/>
          <w:color w:val="auto"/>
        </w:rPr>
      </w:pPr>
    </w:p>
    <w:p>
      <w:pPr>
        <w:spacing w:after="0" w:line="300"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84</w:t>
      </w:r>
    </w:p>
    <w:p>
      <w:pPr>
        <w:sectPr>
          <w:pgSz w:w="11900" w:h="16838" w:orient="portrait"/>
          <w:cols w:equalWidth="0" w:num="1">
            <w:col w:w="11420"/>
          </w:cols>
          <w:pgMar w:left="240" w:top="746" w:right="239" w:bottom="1440" w:gutter="0" w:footer="0" w:header="0"/>
          <w:type w:val="continuous"/>
        </w:sectPr>
      </w:pPr>
    </w:p>
    <w:bookmarkStart w:id="87" w:name="page88"/>
    <w:bookmarkEnd w:id="87"/>
    <w:p>
      <w:pPr>
        <w:jc w:val="both"/>
        <w:ind w:right="60"/>
        <w:spacing w:after="0" w:line="235" w:lineRule="auto"/>
        <w:rPr>
          <w:sz w:val="20"/>
          <w:szCs w:val="20"/>
          <w:color w:val="auto"/>
        </w:rPr>
      </w:pPr>
      <w:r>
        <w:rPr>
          <w:rFonts w:ascii="Arial" w:cs="Arial" w:eastAsia="Arial" w:hAnsi="Arial"/>
          <w:sz w:val="18"/>
          <w:szCs w:val="18"/>
          <w:color w:val="auto"/>
        </w:rPr>
        <w:t>equity interest in a vocational school company. KHE Campuses schools that were closed or were in the process of closing were not included in the sale transaction.</w:t>
      </w:r>
    </w:p>
    <w:p>
      <w:pPr>
        <w:spacing w:after="0" w:line="135" w:lineRule="exact"/>
        <w:rPr>
          <w:sz w:val="20"/>
          <w:szCs w:val="20"/>
          <w:color w:val="auto"/>
        </w:rPr>
      </w:pPr>
    </w:p>
    <w:p>
      <w:pPr>
        <w:spacing w:after="0"/>
        <w:rPr>
          <w:sz w:val="20"/>
          <w:szCs w:val="20"/>
          <w:color w:val="auto"/>
        </w:rPr>
      </w:pPr>
      <w:r>
        <w:rPr>
          <w:rFonts w:ascii="Arial" w:cs="Arial" w:eastAsia="Arial" w:hAnsi="Arial"/>
          <w:sz w:val="18"/>
          <w:szCs w:val="18"/>
          <w:color w:val="auto"/>
        </w:rPr>
        <w:t>The revenue and operating losses related to schools that were sold as part of the KHE Campuses sale are as follows:</w:t>
      </w:r>
    </w:p>
    <w:p>
      <w:pPr>
        <w:spacing w:after="0" w:line="199"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5300" w:type="dxa"/>
            <w:vAlign w:val="bottom"/>
          </w:tcPr>
          <w:p>
            <w:pPr>
              <w:spacing w:after="0"/>
              <w:rPr>
                <w:sz w:val="16"/>
                <w:szCs w:val="16"/>
                <w:color w:val="auto"/>
              </w:rPr>
            </w:pPr>
          </w:p>
        </w:tc>
        <w:tc>
          <w:tcPr>
            <w:tcW w:w="4400" w:type="dxa"/>
            <w:vAlign w:val="bottom"/>
          </w:tcPr>
          <w:p>
            <w:pPr>
              <w:spacing w:after="0"/>
              <w:rPr>
                <w:sz w:val="16"/>
                <w:szCs w:val="16"/>
                <w:color w:val="auto"/>
              </w:rPr>
            </w:pPr>
          </w:p>
        </w:tc>
        <w:tc>
          <w:tcPr>
            <w:tcW w:w="1720" w:type="dxa"/>
            <w:vAlign w:val="bottom"/>
          </w:tcPr>
          <w:p>
            <w:pPr>
              <w:jc w:val="right"/>
              <w:ind w:right="503"/>
              <w:spacing w:after="0"/>
              <w:rPr>
                <w:sz w:val="20"/>
                <w:szCs w:val="20"/>
                <w:color w:val="auto"/>
              </w:rPr>
            </w:pPr>
            <w:r>
              <w:rPr>
                <w:rFonts w:ascii="Arial" w:cs="Arial" w:eastAsia="Arial" w:hAnsi="Arial"/>
                <w:sz w:val="14"/>
                <w:szCs w:val="14"/>
                <w:b w:val="1"/>
                <w:bCs w:val="1"/>
                <w:color w:val="auto"/>
              </w:rPr>
              <w:t>Year Ended</w:t>
            </w:r>
          </w:p>
        </w:tc>
      </w:tr>
      <w:tr>
        <w:trPr>
          <w:trHeight w:val="222"/>
        </w:trPr>
        <w:tc>
          <w:tcPr>
            <w:tcW w:w="530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(in thousands)</w:t>
            </w:r>
          </w:p>
        </w:tc>
        <w:tc>
          <w:tcPr>
            <w:tcW w:w="4400" w:type="dxa"/>
            <w:vAlign w:val="bottom"/>
            <w:tcBorders>
              <w:bottom w:val="single" w:sz="8" w:color="auto"/>
            </w:tcBorders>
          </w:tcPr>
          <w:p>
            <w:pPr>
              <w:spacing w:after="0"/>
              <w:rPr>
                <w:sz w:val="19"/>
                <w:szCs w:val="19"/>
                <w:color w:val="auto"/>
              </w:rPr>
            </w:pPr>
          </w:p>
        </w:tc>
        <w:tc>
          <w:tcPr>
            <w:tcW w:w="1720" w:type="dxa"/>
            <w:vAlign w:val="bottom"/>
            <w:tcBorders>
              <w:bottom w:val="single" w:sz="8" w:color="auto"/>
            </w:tcBorders>
          </w:tcPr>
          <w:p>
            <w:pPr>
              <w:jc w:val="right"/>
              <w:ind w:right="243"/>
              <w:spacing w:after="0"/>
              <w:rPr>
                <w:sz w:val="20"/>
                <w:szCs w:val="20"/>
                <w:color w:val="auto"/>
              </w:rPr>
            </w:pPr>
            <w:r>
              <w:rPr>
                <w:rFonts w:ascii="Arial" w:cs="Arial" w:eastAsia="Arial" w:hAnsi="Arial"/>
                <w:sz w:val="14"/>
                <w:szCs w:val="14"/>
                <w:b w:val="1"/>
                <w:bCs w:val="1"/>
                <w:color w:val="auto"/>
              </w:rPr>
              <w:t>December 31, 2015</w:t>
            </w:r>
          </w:p>
        </w:tc>
      </w:tr>
      <w:tr>
        <w:trPr>
          <w:trHeight w:val="223"/>
        </w:trPr>
        <w:tc>
          <w:tcPr>
            <w:tcW w:w="5300" w:type="dxa"/>
            <w:vAlign w:val="bottom"/>
          </w:tcPr>
          <w:p>
            <w:pPr>
              <w:ind w:left="40"/>
              <w:spacing w:after="0"/>
              <w:rPr>
                <w:sz w:val="20"/>
                <w:szCs w:val="20"/>
                <w:color w:val="auto"/>
              </w:rPr>
            </w:pPr>
            <w:r>
              <w:rPr>
                <w:rFonts w:ascii="Arial" w:cs="Arial" w:eastAsia="Arial" w:hAnsi="Arial"/>
                <w:sz w:val="16"/>
                <w:szCs w:val="16"/>
                <w:color w:val="auto"/>
              </w:rPr>
              <w:t>Revenue</w:t>
            </w:r>
          </w:p>
        </w:tc>
        <w:tc>
          <w:tcPr>
            <w:tcW w:w="440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1720" w:type="dxa"/>
            <w:vAlign w:val="bottom"/>
          </w:tcPr>
          <w:p>
            <w:pPr>
              <w:jc w:val="right"/>
              <w:ind w:right="23"/>
              <w:spacing w:after="0"/>
              <w:rPr>
                <w:sz w:val="20"/>
                <w:szCs w:val="20"/>
                <w:color w:val="auto"/>
              </w:rPr>
            </w:pPr>
            <w:r>
              <w:rPr>
                <w:rFonts w:ascii="Arial" w:cs="Arial" w:eastAsia="Arial" w:hAnsi="Arial"/>
                <w:sz w:val="16"/>
                <w:szCs w:val="16"/>
                <w:color w:val="auto"/>
              </w:rPr>
              <w:t>167,093</w:t>
            </w:r>
          </w:p>
        </w:tc>
      </w:tr>
      <w:tr>
        <w:trPr>
          <w:trHeight w:val="243"/>
        </w:trPr>
        <w:tc>
          <w:tcPr>
            <w:tcW w:w="5300" w:type="dxa"/>
            <w:vAlign w:val="bottom"/>
          </w:tcPr>
          <w:p>
            <w:pPr>
              <w:ind w:left="40"/>
              <w:spacing w:after="0"/>
              <w:rPr>
                <w:sz w:val="20"/>
                <w:szCs w:val="20"/>
                <w:color w:val="auto"/>
              </w:rPr>
            </w:pPr>
            <w:r>
              <w:rPr>
                <w:rFonts w:ascii="Arial" w:cs="Arial" w:eastAsia="Arial" w:hAnsi="Arial"/>
                <w:sz w:val="16"/>
                <w:szCs w:val="16"/>
                <w:color w:val="auto"/>
              </w:rPr>
              <w:t>Operating loss</w:t>
            </w:r>
          </w:p>
        </w:tc>
        <w:tc>
          <w:tcPr>
            <w:tcW w:w="4400" w:type="dxa"/>
            <w:vAlign w:val="bottom"/>
          </w:tcPr>
          <w:p>
            <w:pPr>
              <w:spacing w:after="0"/>
              <w:rPr>
                <w:sz w:val="21"/>
                <w:szCs w:val="21"/>
                <w:color w:val="auto"/>
              </w:rPr>
            </w:pPr>
          </w:p>
        </w:tc>
        <w:tc>
          <w:tcPr>
            <w:tcW w:w="1720" w:type="dxa"/>
            <w:vAlign w:val="bottom"/>
          </w:tcPr>
          <w:p>
            <w:pPr>
              <w:jc w:val="right"/>
              <w:spacing w:after="0"/>
              <w:rPr>
                <w:sz w:val="20"/>
                <w:szCs w:val="20"/>
                <w:color w:val="auto"/>
              </w:rPr>
            </w:pPr>
            <w:r>
              <w:rPr>
                <w:rFonts w:ascii="Arial" w:cs="Arial" w:eastAsia="Arial" w:hAnsi="Arial"/>
                <w:sz w:val="16"/>
                <w:szCs w:val="16"/>
                <w:color w:val="auto"/>
              </w:rPr>
              <w:t>(6,264)</w:t>
            </w:r>
          </w:p>
        </w:tc>
      </w:tr>
    </w:tbl>
    <w:p>
      <w:pPr>
        <w:spacing w:after="0" w:line="167" w:lineRule="exact"/>
        <w:rPr>
          <w:sz w:val="20"/>
          <w:szCs w:val="20"/>
          <w:color w:val="auto"/>
        </w:rPr>
      </w:pPr>
    </w:p>
    <w:p>
      <w:pPr>
        <w:ind w:right="100"/>
        <w:spacing w:after="0" w:line="235" w:lineRule="auto"/>
        <w:rPr>
          <w:sz w:val="20"/>
          <w:szCs w:val="20"/>
          <w:color w:val="auto"/>
        </w:rPr>
      </w:pPr>
      <w:r>
        <w:rPr>
          <w:rFonts w:ascii="Arial" w:cs="Arial" w:eastAsia="Arial" w:hAnsi="Arial"/>
          <w:sz w:val="18"/>
          <w:szCs w:val="18"/>
          <w:color w:val="auto"/>
        </w:rPr>
        <w:t>In the second quarter of 2015, Kaplan also recorded a $6.9 million long-lived assets impairment charge in connection with the KHE Campuses business (this amount is included in the above table).</w:t>
      </w:r>
    </w:p>
    <w:p>
      <w:pPr>
        <w:spacing w:after="0" w:line="135" w:lineRule="exact"/>
        <w:rPr>
          <w:sz w:val="20"/>
          <w:szCs w:val="20"/>
          <w:color w:val="auto"/>
        </w:rPr>
      </w:pPr>
    </w:p>
    <w:p>
      <w:pPr>
        <w:jc w:val="both"/>
        <w:ind w:right="80"/>
        <w:spacing w:after="0" w:line="227" w:lineRule="auto"/>
        <w:rPr>
          <w:sz w:val="20"/>
          <w:szCs w:val="20"/>
          <w:color w:val="auto"/>
        </w:rPr>
      </w:pPr>
      <w:r>
        <w:rPr>
          <w:rFonts w:ascii="Arial" w:cs="Arial" w:eastAsia="Arial" w:hAnsi="Arial"/>
          <w:sz w:val="18"/>
          <w:szCs w:val="18"/>
          <w:color w:val="auto"/>
        </w:rPr>
        <w:t>In the third quarter of 2015, Kaplan sold Franklyn Scholar, which was part of Kaplan International. In the second quarter of 2015, the Company sold The Root, a component of Slate, and Kaplan sold two small businesses, Structuralia, which was part of Kaplan International, and Fire and EMS Training, which was part of Kaplan Higher Education. As a result of these sales, the Company reported net losses in other non-operating income (expense) (see Note 16).</w:t>
      </w:r>
    </w:p>
    <w:p>
      <w:pPr>
        <w:spacing w:after="0" w:line="113" w:lineRule="exact"/>
        <w:rPr>
          <w:sz w:val="20"/>
          <w:szCs w:val="20"/>
          <w:color w:val="auto"/>
        </w:rPr>
      </w:pPr>
    </w:p>
    <w:p>
      <w:pPr>
        <w:ind w:right="60"/>
        <w:spacing w:after="0" w:line="230" w:lineRule="auto"/>
        <w:rPr>
          <w:sz w:val="20"/>
          <w:szCs w:val="20"/>
          <w:color w:val="auto"/>
        </w:rPr>
      </w:pPr>
      <w:r>
        <w:rPr>
          <w:rFonts w:ascii="Arial" w:cs="Arial" w:eastAsia="Arial" w:hAnsi="Arial"/>
          <w:sz w:val="18"/>
          <w:szCs w:val="18"/>
          <w:b w:val="1"/>
          <w:bCs w:val="1"/>
          <w:color w:val="auto"/>
        </w:rPr>
        <w:t xml:space="preserve">Other. </w:t>
      </w:r>
      <w:r>
        <w:rPr>
          <w:rFonts w:ascii="Arial" w:cs="Arial" w:eastAsia="Arial" w:hAnsi="Arial"/>
          <w:sz w:val="18"/>
          <w:szCs w:val="18"/>
          <w:color w:val="auto"/>
        </w:rPr>
        <w:t>In June 2016, Residential Healthcare (Residential) and a Michigan hospital formed a joint venture to provide home health services to</w:t>
      </w:r>
      <w:r>
        <w:rPr>
          <w:rFonts w:ascii="Arial" w:cs="Arial" w:eastAsia="Arial" w:hAnsi="Arial"/>
          <w:sz w:val="18"/>
          <w:szCs w:val="18"/>
          <w:b w:val="1"/>
          <w:bCs w:val="1"/>
          <w:color w:val="auto"/>
        </w:rPr>
        <w:t xml:space="preserve"> </w:t>
      </w:r>
      <w:r>
        <w:rPr>
          <w:rFonts w:ascii="Arial" w:cs="Arial" w:eastAsia="Arial" w:hAnsi="Arial"/>
          <w:sz w:val="18"/>
          <w:szCs w:val="18"/>
          <w:color w:val="auto"/>
        </w:rPr>
        <w:t>patients in western Michigan. In connection with this transaction, Residential contributed its western Michigan home health operations to the joint venture and then sold 60% of the newly formed venture to its Michigan hospital partner. Although Residential manages the operations of the joint venture, Residential holds a 40% interest in the joint venture, so the operating results of the joint venture are not consolidated, and the pro rata operating results are included in the Company’s equity in earnings of affiliates.</w:t>
      </w:r>
    </w:p>
    <w:p>
      <w:pPr>
        <w:spacing w:after="0" w:line="138" w:lineRule="exact"/>
        <w:rPr>
          <w:sz w:val="20"/>
          <w:szCs w:val="20"/>
          <w:color w:val="auto"/>
        </w:rPr>
      </w:pPr>
    </w:p>
    <w:p>
      <w:pPr>
        <w:ind w:right="20"/>
        <w:spacing w:after="0" w:line="222" w:lineRule="auto"/>
        <w:rPr>
          <w:sz w:val="20"/>
          <w:szCs w:val="20"/>
          <w:color w:val="auto"/>
        </w:rPr>
      </w:pPr>
      <w:r>
        <w:rPr>
          <w:rFonts w:ascii="Arial" w:cs="Arial" w:eastAsia="Arial" w:hAnsi="Arial"/>
          <w:sz w:val="18"/>
          <w:szCs w:val="18"/>
          <w:color w:val="auto"/>
        </w:rPr>
        <w:t>In June 2016, the Company purchased the outstanding 20% redeemable noncontrolling interest in Residential. At that time, the Company recorded an increase to redeemable noncontrolling interest of $3.0 million, with a corresponding decrease to capital in excess of par value, to reflect the redemption value of the redeemable noncontrolling interest at $24.0 million. Following this transaction, Celtic Healthcare (Celtic) and Residential combined their business operations to form GHG. The redeemable noncontrolling interest shareholders in Celtic exchanged their 20% interest in Celtic for a 10% mandatorily redeemable noncontrolling interest in the combined entity, and the Company recorded a $4.1 million net increase to the mandatorily redeemable noncontrolling interest to reflect the estimated fair value of the mandatorily redeemable noncontrolling interest. The minority shareholders have an option to put their shares to the Company starting in 2020 and are required to put a percentage of their shares in 2022 and 2024, with the remaining shares required to be put by the minority shareholders in 2026. The redemption value is based on an EBITDA multiple, adjusted for working capital and other items, computed annually, with no limit on the amount payable. The Company now owns 90% of GHG. Because the noncontrolling interest is now mandatorily redeemable by the Company by 2026, it is reported as a noncurrent liability at December 31, 2017.</w:t>
      </w:r>
    </w:p>
    <w:p>
      <w:pPr>
        <w:spacing w:after="0" w:line="136" w:lineRule="exact"/>
        <w:rPr>
          <w:sz w:val="20"/>
          <w:szCs w:val="20"/>
          <w:color w:val="auto"/>
        </w:rPr>
      </w:pPr>
    </w:p>
    <w:p>
      <w:pPr>
        <w:ind w:right="140"/>
        <w:spacing w:after="0" w:line="227" w:lineRule="auto"/>
        <w:rPr>
          <w:sz w:val="20"/>
          <w:szCs w:val="20"/>
          <w:color w:val="auto"/>
        </w:rPr>
      </w:pPr>
      <w:r>
        <w:rPr>
          <w:rFonts w:ascii="Arial" w:cs="Arial" w:eastAsia="Arial" w:hAnsi="Arial"/>
          <w:sz w:val="18"/>
          <w:szCs w:val="18"/>
          <w:color w:val="auto"/>
        </w:rPr>
        <w:t>In January 2015, Celtic and Allegheny Health Network closed on the formation of a joint venture to combine each other’s home health and hospice assets in the western Pennsylvania region. Although Celtic manages the operations of the joint venture, Celtic holds a 40% interest in the joint venture, so the operating results of the joint venture are not consolidated, and the pro rata operating results are included in the Company’s equity in earnings of affiliates.</w:t>
      </w:r>
    </w:p>
    <w:p>
      <w:pPr>
        <w:spacing w:after="0" w:line="135" w:lineRule="exact"/>
        <w:rPr>
          <w:sz w:val="20"/>
          <w:szCs w:val="20"/>
          <w:color w:val="auto"/>
        </w:rPr>
      </w:pPr>
    </w:p>
    <w:p>
      <w:pPr>
        <w:ind w:right="300"/>
        <w:spacing w:after="0" w:line="235" w:lineRule="auto"/>
        <w:rPr>
          <w:sz w:val="20"/>
          <w:szCs w:val="20"/>
          <w:color w:val="auto"/>
        </w:rPr>
      </w:pPr>
      <w:r>
        <w:rPr>
          <w:rFonts w:ascii="Arial" w:cs="Arial" w:eastAsia="Arial" w:hAnsi="Arial"/>
          <w:sz w:val="18"/>
          <w:szCs w:val="18"/>
          <w:color w:val="auto"/>
        </w:rPr>
        <w:t>The Company’s income from continuing operations excludes Cable ONE and the sold Kaplan China school, which have been reclassified to discontinued operations (see Note 4).</w:t>
      </w:r>
    </w:p>
    <w:p>
      <w:pPr>
        <w:spacing w:after="0" w:line="113" w:lineRule="exact"/>
        <w:rPr>
          <w:sz w:val="20"/>
          <w:szCs w:val="20"/>
          <w:color w:val="auto"/>
        </w:rPr>
      </w:pPr>
    </w:p>
    <w:p>
      <w:pPr>
        <w:ind w:right="60"/>
        <w:spacing w:after="0" w:line="227" w:lineRule="auto"/>
        <w:rPr>
          <w:sz w:val="20"/>
          <w:szCs w:val="20"/>
          <w:color w:val="auto"/>
        </w:rPr>
      </w:pPr>
      <w:r>
        <w:rPr>
          <w:rFonts w:ascii="Arial" w:cs="Arial" w:eastAsia="Arial" w:hAnsi="Arial"/>
          <w:sz w:val="18"/>
          <w:szCs w:val="18"/>
          <w:b w:val="1"/>
          <w:bCs w:val="1"/>
          <w:color w:val="auto"/>
        </w:rPr>
        <w:t xml:space="preserve">Kaplan University Transaction. </w:t>
      </w:r>
      <w:r>
        <w:rPr>
          <w:rFonts w:ascii="Arial" w:cs="Arial" w:eastAsia="Arial" w:hAnsi="Arial"/>
          <w:sz w:val="18"/>
          <w:szCs w:val="18"/>
          <w:color w:val="auto"/>
        </w:rPr>
        <w:t>On April 27, 2017, certain Kaplan subsidiaries entered into a Contribution and Transfer Agreement (Transfer</w:t>
      </w:r>
      <w:r>
        <w:rPr>
          <w:rFonts w:ascii="Arial" w:cs="Arial" w:eastAsia="Arial" w:hAnsi="Arial"/>
          <w:sz w:val="18"/>
          <w:szCs w:val="18"/>
          <w:b w:val="1"/>
          <w:bCs w:val="1"/>
          <w:color w:val="auto"/>
        </w:rPr>
        <w:t xml:space="preserve"> </w:t>
      </w:r>
      <w:r>
        <w:rPr>
          <w:rFonts w:ascii="Arial" w:cs="Arial" w:eastAsia="Arial" w:hAnsi="Arial"/>
          <w:sz w:val="18"/>
          <w:szCs w:val="18"/>
          <w:color w:val="auto"/>
        </w:rPr>
        <w:t>Agreement) to contribute Kaplan University (KU), its institutional assets and operations to a new, non-profit, public-benefit corporation affiliated with Purdue University (Purdue) in exchange for a Transition and Operations Support Agreement (TOSA) to provide key non-academic operations support to the new university for an initial term of 30 years with a buy-out option after six years. The transfer does not include any of the assets of Kaplan University School of Professional and Continuing Education (KU-PACE), which provides professional training and exam preparation for professional certifications and licensures, nor does it include the transfer of other Kaplan businesses, such as Kaplan Test Preparation and Kaplan International.</w:t>
      </w:r>
    </w:p>
    <w:p>
      <w:pPr>
        <w:spacing w:after="0" w:line="137" w:lineRule="exact"/>
        <w:rPr>
          <w:sz w:val="20"/>
          <w:szCs w:val="20"/>
          <w:color w:val="auto"/>
        </w:rPr>
      </w:pPr>
    </w:p>
    <w:p>
      <w:pPr>
        <w:ind w:right="140"/>
        <w:spacing w:after="0" w:line="225" w:lineRule="auto"/>
        <w:rPr>
          <w:sz w:val="20"/>
          <w:szCs w:val="20"/>
          <w:color w:val="auto"/>
        </w:rPr>
      </w:pPr>
      <w:r>
        <w:rPr>
          <w:rFonts w:ascii="Arial" w:cs="Arial" w:eastAsia="Arial" w:hAnsi="Arial"/>
          <w:sz w:val="18"/>
          <w:szCs w:val="18"/>
          <w:color w:val="auto"/>
        </w:rPr>
        <w:t>Consummation of the transactions contemplated by the Transfer Agreement is subject to various closing conditions, including, among others, regulatory approvals from the U.S. Department of Education (ED), the Indiana Commission for Higher Education (ICHE) and the Higher Learning Commission (HLC), which is the regional accreditor of both Purdue and KU, and certain other state educational agencies and accreditors of programs. In the third quarter of 2017, ICHE granted its approval, and the ED provided preliminary approval based on its review of a pre-acquisition application, subject to certain conditions. Kaplan is unable to predict with certainty when and if HLC</w:t>
      </w:r>
    </w:p>
    <w:p>
      <w:pPr>
        <w:spacing w:after="0" w:line="200" w:lineRule="exact"/>
        <w:rPr>
          <w:sz w:val="20"/>
          <w:szCs w:val="20"/>
          <w:color w:val="auto"/>
        </w:rPr>
      </w:pPr>
    </w:p>
    <w:p>
      <w:pPr>
        <w:spacing w:after="0" w:line="3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85</w:t>
      </w:r>
    </w:p>
    <w:p>
      <w:pPr>
        <w:sectPr>
          <w:pgSz w:w="11900" w:h="16838" w:orient="portrait"/>
          <w:cols w:equalWidth="0" w:num="1">
            <w:col w:w="11420"/>
          </w:cols>
          <w:pgMar w:left="240" w:top="746" w:right="239" w:bottom="1440" w:gutter="0" w:footer="0" w:header="0"/>
        </w:sectPr>
      </w:pPr>
    </w:p>
    <w:bookmarkStart w:id="88" w:name="page89"/>
    <w:bookmarkEnd w:id="88"/>
    <w:p>
      <w:pPr>
        <w:ind w:right="480"/>
        <w:spacing w:after="0" w:line="235" w:lineRule="auto"/>
        <w:rPr>
          <w:sz w:val="20"/>
          <w:szCs w:val="20"/>
          <w:color w:val="auto"/>
        </w:rPr>
      </w:pPr>
      <w:r>
        <w:rPr>
          <w:rFonts w:ascii="Arial" w:cs="Arial" w:eastAsia="Arial" w:hAnsi="Arial"/>
          <w:sz w:val="18"/>
          <w:szCs w:val="18"/>
          <w:color w:val="auto"/>
        </w:rPr>
        <w:t>approval will be obtained; however, a decision is not expected to be received until later in the first quarter of 2018. If the transaction is not consummated by April 30, 2018, either party may terminate the Transfer Agreement.</w:t>
      </w:r>
    </w:p>
    <w:p>
      <w:pPr>
        <w:spacing w:after="0" w:line="113" w:lineRule="exact"/>
        <w:rPr>
          <w:sz w:val="20"/>
          <w:szCs w:val="20"/>
          <w:color w:val="auto"/>
        </w:rPr>
      </w:pPr>
    </w:p>
    <w:p>
      <w:pPr>
        <w:ind w:right="580"/>
        <w:spacing w:after="0" w:line="256" w:lineRule="auto"/>
        <w:rPr>
          <w:sz w:val="20"/>
          <w:szCs w:val="20"/>
          <w:color w:val="auto"/>
        </w:rPr>
      </w:pPr>
      <w:r>
        <w:rPr>
          <w:rFonts w:ascii="Arial" w:cs="Arial" w:eastAsia="Arial" w:hAnsi="Arial"/>
          <w:sz w:val="18"/>
          <w:szCs w:val="18"/>
          <w:b w:val="1"/>
          <w:bCs w:val="1"/>
          <w:color w:val="auto"/>
        </w:rPr>
        <w:t xml:space="preserve">Other Transactions. </w:t>
      </w:r>
      <w:r>
        <w:rPr>
          <w:rFonts w:ascii="Arial" w:cs="Arial" w:eastAsia="Arial" w:hAnsi="Arial"/>
          <w:sz w:val="18"/>
          <w:szCs w:val="18"/>
          <w:color w:val="auto"/>
        </w:rPr>
        <w:t>In the fourth quarter of 2017, Kaplan entered into an agreement to acquire the College for Financial Planning. The</w:t>
      </w:r>
      <w:r>
        <w:rPr>
          <w:rFonts w:ascii="Arial" w:cs="Arial" w:eastAsia="Arial" w:hAnsi="Arial"/>
          <w:sz w:val="18"/>
          <w:szCs w:val="18"/>
          <w:b w:val="1"/>
          <w:bCs w:val="1"/>
          <w:color w:val="auto"/>
        </w:rPr>
        <w:t xml:space="preserve"> </w:t>
      </w:r>
      <w:r>
        <w:rPr>
          <w:rFonts w:ascii="Arial" w:cs="Arial" w:eastAsia="Arial" w:hAnsi="Arial"/>
          <w:sz w:val="18"/>
          <w:szCs w:val="18"/>
          <w:color w:val="auto"/>
        </w:rPr>
        <w:t>acquisition is subject to regulatory approval from the HLC, which is not expected before June 2018.</w:t>
      </w:r>
    </w:p>
    <w:p>
      <w:pPr>
        <w:spacing w:after="0" w:line="99" w:lineRule="exact"/>
        <w:rPr>
          <w:sz w:val="20"/>
          <w:szCs w:val="20"/>
          <w:color w:val="auto"/>
        </w:rPr>
      </w:pPr>
    </w:p>
    <w:p>
      <w:pPr>
        <w:ind w:left="500" w:hanging="492"/>
        <w:spacing w:after="0"/>
        <w:tabs>
          <w:tab w:leader="none" w:pos="500" w:val="left"/>
        </w:tabs>
        <w:numPr>
          <w:ilvl w:val="0"/>
          <w:numId w:val="59"/>
        </w:numPr>
        <w:rPr>
          <w:rFonts w:ascii="Arial" w:cs="Arial" w:eastAsia="Arial" w:hAnsi="Arial"/>
          <w:sz w:val="18"/>
          <w:szCs w:val="18"/>
          <w:b w:val="1"/>
          <w:bCs w:val="1"/>
          <w:color w:val="auto"/>
        </w:rPr>
      </w:pPr>
      <w:r>
        <w:rPr>
          <w:rFonts w:ascii="Arial" w:cs="Arial" w:eastAsia="Arial" w:hAnsi="Arial"/>
          <w:sz w:val="18"/>
          <w:szCs w:val="18"/>
          <w:b w:val="1"/>
          <w:bCs w:val="1"/>
          <w:color w:val="auto"/>
        </w:rPr>
        <w:t>DISCONTINUED OPERATIONS</w:t>
      </w:r>
    </w:p>
    <w:p>
      <w:pPr>
        <w:spacing w:after="0" w:line="144" w:lineRule="exact"/>
        <w:rPr>
          <w:sz w:val="20"/>
          <w:szCs w:val="20"/>
          <w:color w:val="auto"/>
        </w:rPr>
      </w:pPr>
    </w:p>
    <w:p>
      <w:pPr>
        <w:spacing w:after="0" w:line="230" w:lineRule="auto"/>
        <w:rPr>
          <w:sz w:val="20"/>
          <w:szCs w:val="20"/>
          <w:color w:val="auto"/>
        </w:rPr>
      </w:pPr>
      <w:r>
        <w:rPr>
          <w:rFonts w:ascii="Arial" w:cs="Arial" w:eastAsia="Arial" w:hAnsi="Arial"/>
          <w:sz w:val="18"/>
          <w:szCs w:val="18"/>
          <w:b w:val="1"/>
          <w:bCs w:val="1"/>
          <w:color w:val="auto"/>
        </w:rPr>
        <w:t xml:space="preserve">Cable ONE Spin-Off. </w:t>
      </w:r>
      <w:r>
        <w:rPr>
          <w:rFonts w:ascii="Arial" w:cs="Arial" w:eastAsia="Arial" w:hAnsi="Arial"/>
          <w:sz w:val="18"/>
          <w:szCs w:val="18"/>
          <w:color w:val="auto"/>
        </w:rPr>
        <w:t>On July 1, 2015 (the Distribution Date), the Company completed the spin-off of Cable ONE as an independent, publicly</w:t>
      </w:r>
      <w:r>
        <w:rPr>
          <w:rFonts w:ascii="Arial" w:cs="Arial" w:eastAsia="Arial" w:hAnsi="Arial"/>
          <w:sz w:val="18"/>
          <w:szCs w:val="18"/>
          <w:b w:val="1"/>
          <w:bCs w:val="1"/>
          <w:color w:val="auto"/>
        </w:rPr>
        <w:t xml:space="preserve"> </w:t>
      </w:r>
      <w:r>
        <w:rPr>
          <w:rFonts w:ascii="Arial" w:cs="Arial" w:eastAsia="Arial" w:hAnsi="Arial"/>
          <w:sz w:val="18"/>
          <w:szCs w:val="18"/>
          <w:color w:val="auto"/>
        </w:rPr>
        <w:t>traded company. The transaction was structured as a tax-free spin-off of Cable ONE to the stockholders of the Company as one share of Cable ONE common stock was distributed for every share of Class A and Class B common stock of Graham Holdings outstanding on the June 15, 2015, record date. Cable ONE is now an independent public company trading on the New York Stock Exchange under the symbol “CABO”. After the spin-off, the Company does not beneficially own any shares of Cable ONE common stock.</w:t>
      </w:r>
    </w:p>
    <w:p>
      <w:pPr>
        <w:spacing w:after="0" w:line="138" w:lineRule="exact"/>
        <w:rPr>
          <w:sz w:val="20"/>
          <w:szCs w:val="20"/>
          <w:color w:val="auto"/>
        </w:rPr>
      </w:pPr>
    </w:p>
    <w:p>
      <w:pPr>
        <w:ind w:right="220"/>
        <w:spacing w:after="0" w:line="235" w:lineRule="auto"/>
        <w:rPr>
          <w:sz w:val="20"/>
          <w:szCs w:val="20"/>
          <w:color w:val="auto"/>
        </w:rPr>
      </w:pPr>
      <w:r>
        <w:rPr>
          <w:rFonts w:ascii="Arial" w:cs="Arial" w:eastAsia="Arial" w:hAnsi="Arial"/>
          <w:sz w:val="18"/>
          <w:szCs w:val="18"/>
          <w:color w:val="auto"/>
        </w:rPr>
        <w:t>The results of operations of Cable ONE are included in the Company’s Consolidated Statements of Operations as income from discontinued operations, net of tax, for all periods presented.</w:t>
      </w:r>
    </w:p>
    <w:p>
      <w:pPr>
        <w:spacing w:after="0" w:line="135" w:lineRule="exact"/>
        <w:rPr>
          <w:sz w:val="20"/>
          <w:szCs w:val="20"/>
          <w:color w:val="auto"/>
        </w:rPr>
      </w:pPr>
    </w:p>
    <w:p>
      <w:pPr>
        <w:ind w:right="20"/>
        <w:spacing w:after="0" w:line="223" w:lineRule="auto"/>
        <w:rPr>
          <w:sz w:val="20"/>
          <w:szCs w:val="20"/>
          <w:color w:val="auto"/>
        </w:rPr>
      </w:pPr>
      <w:r>
        <w:rPr>
          <w:rFonts w:ascii="Arial" w:cs="Arial" w:eastAsia="Arial" w:hAnsi="Arial"/>
          <w:sz w:val="18"/>
          <w:szCs w:val="18"/>
          <w:color w:val="auto"/>
        </w:rPr>
        <w:t>In order to implement the spin-off, the Company entered into certain agreements with Cable ONE to give effect to the legal and structural separation and to allocate various assets, liabilities and obligations between the Company and Cable ONE. In addition to executing the spin-off in the manner provided in the agreements, Cable ONE distributed $450 million in cash to the Company in June 2015 using the proceeds from their issuance of unsecured notes of $ 450 million. Also, in connection with the spin-off, the Company modified the terms of 10,830 restricted stock awards in the second quarter of 2015 affecting 21 Cable ONE employees. The modification resulted in the acceleration of the vesting period of 6,324 restricted stock awards and the forfeiture of 4,506 restricted stock awards. The Company recorded incremental stock compensation expense, net of forfeitures, in the second quarter of 2015 amounting to $3.7 million, which is reflected as discontinued operations in the Company’s Consolidated Financial Statements.</w:t>
      </w:r>
    </w:p>
    <w:p>
      <w:pPr>
        <w:spacing w:after="0" w:line="136" w:lineRule="exact"/>
        <w:rPr>
          <w:sz w:val="20"/>
          <w:szCs w:val="20"/>
          <w:color w:val="auto"/>
        </w:rPr>
      </w:pPr>
    </w:p>
    <w:p>
      <w:pPr>
        <w:spacing w:after="0" w:line="222" w:lineRule="auto"/>
        <w:rPr>
          <w:sz w:val="20"/>
          <w:szCs w:val="20"/>
          <w:color w:val="auto"/>
        </w:rPr>
      </w:pPr>
      <w:r>
        <w:rPr>
          <w:rFonts w:ascii="Arial" w:cs="Arial" w:eastAsia="Arial" w:hAnsi="Arial"/>
          <w:sz w:val="18"/>
          <w:szCs w:val="18"/>
          <w:color w:val="auto"/>
        </w:rPr>
        <w:t>The spin-off resulted in a modification of some of the Company’s outstanding restricted stock awards and stock options due to the equity restructuring on July 1, 2015. The holders of restricted stock awards received Cable ONE restricted common stock, on a pro rata basis, as part of the distribution, while the stock options were modified to add an antidilution provision. The modification of the restricted stock awards resulted in an estimated incremental stock compensation expense of $3.0 million that is being recognized over the remaining service periods of the unvested restricted stock awards through the end of 2018. The modification of some of the stock options resulted in an incremental stock compensation expense of $23.5 million, of which $18.8 million related to fully vested stock options was recognized as a one-time expense in the third quarter of 2015, with the remaining $4.7 million to be recognized over the remaining service periods of the unvested stock options through the end of 2018. The $18.8 million expense is included in the Company’s corporate office segment results and in selling, general and administrative in the Company’s Consolidated Statements of Operations.</w:t>
      </w:r>
    </w:p>
    <w:p>
      <w:pPr>
        <w:spacing w:after="0" w:line="141" w:lineRule="exact"/>
        <w:rPr>
          <w:sz w:val="20"/>
          <w:szCs w:val="20"/>
          <w:color w:val="auto"/>
        </w:rPr>
      </w:pPr>
    </w:p>
    <w:p>
      <w:pPr>
        <w:spacing w:after="0" w:line="227" w:lineRule="auto"/>
        <w:rPr>
          <w:sz w:val="20"/>
          <w:szCs w:val="20"/>
          <w:color w:val="auto"/>
        </w:rPr>
      </w:pPr>
      <w:r>
        <w:rPr>
          <w:rFonts w:ascii="Arial" w:cs="Arial" w:eastAsia="Arial" w:hAnsi="Arial"/>
          <w:sz w:val="18"/>
          <w:szCs w:val="18"/>
          <w:color w:val="auto"/>
        </w:rPr>
        <w:t>As a result of the spin-off, Cable ONE assumed the liability related to their employees participating in the Company’s Supplemental Executive Retirement Plan (SERP), and the Company eliminated the accrual of pension benefits for all Cable ONE employees related to their future service. As a result, the Company remeasured the accumulated and projected benefit obligation of the pension and SERP as of July 1, 2015. A pension curtailment gain of $2.2 million was recorded in the third quarter of 2015 in income from discontinued operations, net of tax.</w:t>
      </w:r>
    </w:p>
    <w:p>
      <w:pPr>
        <w:spacing w:after="0" w:line="200" w:lineRule="exact"/>
        <w:rPr>
          <w:sz w:val="20"/>
          <w:szCs w:val="20"/>
          <w:color w:val="auto"/>
        </w:rPr>
      </w:pPr>
    </w:p>
    <w:p>
      <w:pPr>
        <w:spacing w:after="0" w:line="30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86</w:t>
      </w:r>
    </w:p>
    <w:p>
      <w:pPr>
        <w:sectPr>
          <w:pgSz w:w="11900" w:h="16838" w:orient="portrait"/>
          <w:cols w:equalWidth="0" w:num="1">
            <w:col w:w="11380"/>
          </w:cols>
          <w:pgMar w:left="240" w:top="746" w:right="279" w:bottom="1440" w:gutter="0" w:footer="0" w:header="0"/>
        </w:sectPr>
      </w:pPr>
    </w:p>
    <w:bookmarkStart w:id="89" w:name="page90"/>
    <w:bookmarkEnd w:id="89"/>
    <w:p>
      <w:pPr>
        <w:spacing w:after="0"/>
        <w:rPr>
          <w:sz w:val="20"/>
          <w:szCs w:val="20"/>
          <w:color w:val="auto"/>
        </w:rPr>
      </w:pPr>
      <w:r>
        <w:rPr>
          <w:rFonts w:ascii="Arial" w:cs="Arial" w:eastAsia="Arial" w:hAnsi="Arial"/>
          <w:sz w:val="18"/>
          <w:szCs w:val="18"/>
          <w:color w:val="auto"/>
        </w:rPr>
        <w:t>On July 1, 2015, the Company divested the following assets and liabilities which net to $406.5 million, or $312.3 million net of cash retained by</w:t>
      </w:r>
    </w:p>
    <w:p>
      <w:pPr>
        <w:spacing w:after="0"/>
        <w:rPr>
          <w:sz w:val="20"/>
          <w:szCs w:val="20"/>
          <w:color w:val="auto"/>
        </w:rPr>
      </w:pPr>
      <w:r>
        <w:rPr>
          <w:rFonts w:ascii="Arial" w:cs="Arial" w:eastAsia="Arial" w:hAnsi="Arial"/>
          <w:sz w:val="18"/>
          <w:szCs w:val="18"/>
          <w:color w:val="auto"/>
        </w:rPr>
        <w:t>Cable ONE on the Distribution Date:</w:t>
      </w:r>
    </w:p>
    <w:p>
      <w:pPr>
        <w:sectPr>
          <w:pgSz w:w="11900" w:h="16838" w:orient="portrait"/>
          <w:cols w:equalWidth="0" w:num="1">
            <w:col w:w="11420"/>
          </w:cols>
          <w:pgMar w:left="240" w:top="728" w:right="239" w:bottom="206" w:gutter="0" w:footer="0" w:header="0"/>
        </w:sectPr>
      </w:pPr>
    </w:p>
    <w:p>
      <w:pPr>
        <w:spacing w:after="0" w:line="200" w:lineRule="exact"/>
        <w:rPr>
          <w:sz w:val="20"/>
          <w:szCs w:val="20"/>
          <w:color w:val="auto"/>
        </w:rPr>
      </w:pPr>
    </w:p>
    <w:p>
      <w:pPr>
        <w:spacing w:after="0" w:line="287" w:lineRule="exact"/>
        <w:rPr>
          <w:sz w:val="20"/>
          <w:szCs w:val="20"/>
          <w:color w:val="auto"/>
        </w:rPr>
      </w:pPr>
    </w:p>
    <w:p>
      <w:pPr>
        <w:ind w:left="40"/>
        <w:spacing w:after="0"/>
        <w:rPr>
          <w:sz w:val="20"/>
          <w:szCs w:val="20"/>
          <w:color w:val="auto"/>
        </w:rPr>
      </w:pPr>
      <w:r>
        <w:rPr>
          <w:rFonts w:ascii="Arial" w:cs="Arial" w:eastAsia="Arial" w:hAnsi="Arial"/>
          <w:sz w:val="14"/>
          <w:szCs w:val="14"/>
          <w:color w:val="auto"/>
        </w:rPr>
        <w:t>(in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1233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32">
                      <a:extLst>
                        <a:ext uri="{28A0092B-C50C-407E-A947-70E740481C1C}"/>
                      </a:extLst>
                    </a:blip>
                    <a:srcRect/>
                    <a:stretch>
                      <a:fillRect/>
                    </a:stretch>
                  </pic:blipFill>
                  <pic:spPr bwMode="auto">
                    <a:xfrm>
                      <a:off x="0" y="0"/>
                      <a:ext cx="7212330" cy="8890"/>
                    </a:xfrm>
                    <a:prstGeom prst="rect">
                      <a:avLst/>
                    </a:prstGeom>
                    <a:noFill/>
                  </pic:spPr>
                </pic:pic>
              </a:graphicData>
            </a:graphic>
          </wp:anchor>
        </w:drawing>
      </w:r>
    </w:p>
    <w:p>
      <w:pPr>
        <w:spacing w:after="0" w:line="73" w:lineRule="exact"/>
        <w:rPr>
          <w:sz w:val="20"/>
          <w:szCs w:val="20"/>
          <w:color w:val="auto"/>
        </w:rPr>
      </w:pPr>
    </w:p>
    <w:p>
      <w:pPr>
        <w:ind w:left="40"/>
        <w:spacing w:after="0"/>
        <w:rPr>
          <w:sz w:val="20"/>
          <w:szCs w:val="20"/>
          <w:color w:val="auto"/>
        </w:rPr>
      </w:pPr>
      <w:r>
        <w:rPr>
          <w:rFonts w:ascii="Arial" w:cs="Arial" w:eastAsia="Arial" w:hAnsi="Arial"/>
          <w:sz w:val="16"/>
          <w:szCs w:val="16"/>
          <w:color w:val="auto"/>
        </w:rPr>
        <w:t>Cash and cash equivalents</w:t>
      </w:r>
    </w:p>
    <w:p>
      <w:pPr>
        <w:spacing w:after="0" w:line="86" w:lineRule="exact"/>
        <w:rPr>
          <w:sz w:val="20"/>
          <w:szCs w:val="20"/>
          <w:color w:val="auto"/>
        </w:rPr>
      </w:pPr>
    </w:p>
    <w:p>
      <w:pPr>
        <w:ind w:left="40"/>
        <w:spacing w:after="0"/>
        <w:rPr>
          <w:sz w:val="20"/>
          <w:szCs w:val="20"/>
          <w:color w:val="auto"/>
        </w:rPr>
      </w:pPr>
      <w:r>
        <w:rPr>
          <w:rFonts w:ascii="Arial" w:cs="Arial" w:eastAsia="Arial" w:hAnsi="Arial"/>
          <w:sz w:val="16"/>
          <w:szCs w:val="16"/>
          <w:color w:val="auto"/>
        </w:rPr>
        <w:t>Accounts receivable, net</w:t>
      </w:r>
    </w:p>
    <w:p>
      <w:pPr>
        <w:spacing w:after="0" w:line="86" w:lineRule="exact"/>
        <w:rPr>
          <w:sz w:val="20"/>
          <w:szCs w:val="20"/>
          <w:color w:val="auto"/>
        </w:rPr>
      </w:pPr>
    </w:p>
    <w:p>
      <w:pPr>
        <w:ind w:left="40"/>
        <w:spacing w:after="0"/>
        <w:rPr>
          <w:sz w:val="20"/>
          <w:szCs w:val="20"/>
          <w:color w:val="auto"/>
        </w:rPr>
      </w:pPr>
      <w:r>
        <w:rPr>
          <w:rFonts w:ascii="Arial" w:cs="Arial" w:eastAsia="Arial" w:hAnsi="Arial"/>
          <w:sz w:val="16"/>
          <w:szCs w:val="16"/>
          <w:color w:val="auto"/>
        </w:rPr>
        <w:t>Other current assets</w:t>
      </w:r>
    </w:p>
    <w:p>
      <w:pPr>
        <w:spacing w:after="0" w:line="66" w:lineRule="exact"/>
        <w:rPr>
          <w:sz w:val="20"/>
          <w:szCs w:val="20"/>
          <w:color w:val="auto"/>
        </w:rPr>
      </w:pPr>
    </w:p>
    <w:p>
      <w:pPr>
        <w:ind w:left="280"/>
        <w:spacing w:after="0"/>
        <w:rPr>
          <w:sz w:val="20"/>
          <w:szCs w:val="20"/>
          <w:color w:val="auto"/>
        </w:rPr>
      </w:pPr>
      <w:r>
        <w:rPr>
          <w:rFonts w:ascii="Arial" w:cs="Arial" w:eastAsia="Arial" w:hAnsi="Arial"/>
          <w:sz w:val="16"/>
          <w:szCs w:val="16"/>
          <w:b w:val="1"/>
          <w:bCs w:val="1"/>
          <w:color w:val="auto"/>
        </w:rPr>
        <w:t>Total current assets</w:t>
      </w:r>
    </w:p>
    <w:p>
      <w:pPr>
        <w:spacing w:after="0" w:line="106" w:lineRule="exact"/>
        <w:rPr>
          <w:sz w:val="20"/>
          <w:szCs w:val="20"/>
          <w:color w:val="auto"/>
        </w:rPr>
      </w:pPr>
    </w:p>
    <w:p>
      <w:pPr>
        <w:ind w:left="40"/>
        <w:spacing w:after="0"/>
        <w:rPr>
          <w:sz w:val="20"/>
          <w:szCs w:val="20"/>
          <w:color w:val="auto"/>
        </w:rPr>
      </w:pPr>
      <w:r>
        <w:rPr>
          <w:rFonts w:ascii="Arial" w:cs="Arial" w:eastAsia="Arial" w:hAnsi="Arial"/>
          <w:sz w:val="16"/>
          <w:szCs w:val="16"/>
          <w:color w:val="auto"/>
        </w:rPr>
        <w:t>Property, plant and equipment, net</w:t>
      </w:r>
    </w:p>
    <w:p>
      <w:pPr>
        <w:spacing w:after="0" w:line="86" w:lineRule="exact"/>
        <w:rPr>
          <w:sz w:val="20"/>
          <w:szCs w:val="20"/>
          <w:color w:val="auto"/>
        </w:rPr>
      </w:pPr>
    </w:p>
    <w:p>
      <w:pPr>
        <w:ind w:left="40"/>
        <w:spacing w:after="0"/>
        <w:rPr>
          <w:sz w:val="20"/>
          <w:szCs w:val="20"/>
          <w:color w:val="auto"/>
        </w:rPr>
      </w:pPr>
      <w:r>
        <w:rPr>
          <w:rFonts w:ascii="Arial" w:cs="Arial" w:eastAsia="Arial" w:hAnsi="Arial"/>
          <w:sz w:val="16"/>
          <w:szCs w:val="16"/>
          <w:color w:val="auto"/>
        </w:rPr>
        <w:t>Goodwill, net</w:t>
      </w:r>
    </w:p>
    <w:p>
      <w:pPr>
        <w:spacing w:after="0" w:line="86" w:lineRule="exact"/>
        <w:rPr>
          <w:sz w:val="20"/>
          <w:szCs w:val="20"/>
          <w:color w:val="auto"/>
        </w:rPr>
      </w:pPr>
    </w:p>
    <w:p>
      <w:pPr>
        <w:ind w:left="40"/>
        <w:spacing w:after="0"/>
        <w:rPr>
          <w:sz w:val="20"/>
          <w:szCs w:val="20"/>
          <w:color w:val="auto"/>
        </w:rPr>
      </w:pPr>
      <w:r>
        <w:rPr>
          <w:rFonts w:ascii="Arial" w:cs="Arial" w:eastAsia="Arial" w:hAnsi="Arial"/>
          <w:sz w:val="16"/>
          <w:szCs w:val="16"/>
          <w:color w:val="auto"/>
        </w:rPr>
        <w:t>Indefinite-lived intangible assets, net</w:t>
      </w:r>
    </w:p>
    <w:p>
      <w:pPr>
        <w:spacing w:after="0" w:line="86" w:lineRule="exact"/>
        <w:rPr>
          <w:sz w:val="20"/>
          <w:szCs w:val="20"/>
          <w:color w:val="auto"/>
        </w:rPr>
      </w:pPr>
    </w:p>
    <w:p>
      <w:pPr>
        <w:ind w:left="40"/>
        <w:spacing w:after="0"/>
        <w:rPr>
          <w:sz w:val="20"/>
          <w:szCs w:val="20"/>
          <w:color w:val="auto"/>
        </w:rPr>
      </w:pPr>
      <w:r>
        <w:rPr>
          <w:rFonts w:ascii="Arial" w:cs="Arial" w:eastAsia="Arial" w:hAnsi="Arial"/>
          <w:sz w:val="16"/>
          <w:szCs w:val="16"/>
          <w:color w:val="auto"/>
        </w:rPr>
        <w:t>Amortized intangible assets, net</w:t>
      </w:r>
    </w:p>
    <w:p>
      <w:pPr>
        <w:spacing w:after="0" w:line="86" w:lineRule="exact"/>
        <w:rPr>
          <w:sz w:val="20"/>
          <w:szCs w:val="20"/>
          <w:color w:val="auto"/>
        </w:rPr>
      </w:pPr>
    </w:p>
    <w:p>
      <w:pPr>
        <w:ind w:left="40"/>
        <w:spacing w:after="0"/>
        <w:rPr>
          <w:sz w:val="20"/>
          <w:szCs w:val="20"/>
          <w:color w:val="auto"/>
        </w:rPr>
      </w:pPr>
      <w:r>
        <w:rPr>
          <w:rFonts w:ascii="Arial" w:cs="Arial" w:eastAsia="Arial" w:hAnsi="Arial"/>
          <w:sz w:val="16"/>
          <w:szCs w:val="16"/>
          <w:color w:val="auto"/>
        </w:rPr>
        <w:t>Deferred charges and other assets</w:t>
      </w:r>
    </w:p>
    <w:p>
      <w:pPr>
        <w:spacing w:after="0" w:line="66" w:lineRule="exact"/>
        <w:rPr>
          <w:sz w:val="20"/>
          <w:szCs w:val="20"/>
          <w:color w:val="auto"/>
        </w:rPr>
      </w:pPr>
    </w:p>
    <w:p>
      <w:pPr>
        <w:ind w:left="280"/>
        <w:spacing w:after="0"/>
        <w:rPr>
          <w:sz w:val="20"/>
          <w:szCs w:val="20"/>
          <w:color w:val="auto"/>
        </w:rPr>
      </w:pPr>
      <w:r>
        <w:rPr>
          <w:rFonts w:ascii="Arial" w:cs="Arial" w:eastAsia="Arial" w:hAnsi="Arial"/>
          <w:sz w:val="16"/>
          <w:szCs w:val="16"/>
          <w:b w:val="1"/>
          <w:bCs w:val="1"/>
          <w:color w:val="auto"/>
        </w:rPr>
        <w:t>Total Assets</w:t>
      </w:r>
    </w:p>
    <w:p>
      <w:pPr>
        <w:spacing w:after="0" w:line="363" w:lineRule="exact"/>
        <w:rPr>
          <w:sz w:val="20"/>
          <w:szCs w:val="20"/>
          <w:color w:val="auto"/>
        </w:rPr>
      </w:pPr>
    </w:p>
    <w:p>
      <w:pPr>
        <w:ind w:left="40"/>
        <w:spacing w:after="0"/>
        <w:rPr>
          <w:sz w:val="20"/>
          <w:szCs w:val="20"/>
          <w:color w:val="auto"/>
        </w:rPr>
      </w:pPr>
      <w:r>
        <w:rPr>
          <w:rFonts w:ascii="Arial" w:cs="Arial" w:eastAsia="Arial" w:hAnsi="Arial"/>
          <w:sz w:val="16"/>
          <w:szCs w:val="16"/>
          <w:color w:val="auto"/>
        </w:rPr>
        <w:t>Accounts payable and accrued liabilities</w:t>
      </w:r>
    </w:p>
    <w:p>
      <w:pPr>
        <w:spacing w:after="0" w:line="86" w:lineRule="exact"/>
        <w:rPr>
          <w:sz w:val="20"/>
          <w:szCs w:val="20"/>
          <w:color w:val="auto"/>
        </w:rPr>
      </w:pPr>
    </w:p>
    <w:p>
      <w:pPr>
        <w:ind w:left="40"/>
        <w:spacing w:after="0"/>
        <w:rPr>
          <w:sz w:val="20"/>
          <w:szCs w:val="20"/>
          <w:color w:val="auto"/>
        </w:rPr>
      </w:pPr>
      <w:r>
        <w:rPr>
          <w:rFonts w:ascii="Arial" w:cs="Arial" w:eastAsia="Arial" w:hAnsi="Arial"/>
          <w:sz w:val="16"/>
          <w:szCs w:val="16"/>
          <w:color w:val="auto"/>
        </w:rPr>
        <w:t>Income taxes payable</w:t>
      </w:r>
    </w:p>
    <w:p>
      <w:pPr>
        <w:spacing w:after="0" w:line="86" w:lineRule="exact"/>
        <w:rPr>
          <w:sz w:val="20"/>
          <w:szCs w:val="20"/>
          <w:color w:val="auto"/>
        </w:rPr>
      </w:pPr>
    </w:p>
    <w:p>
      <w:pPr>
        <w:ind w:left="40"/>
        <w:spacing w:after="0"/>
        <w:rPr>
          <w:sz w:val="20"/>
          <w:szCs w:val="20"/>
          <w:color w:val="auto"/>
        </w:rPr>
      </w:pPr>
      <w:r>
        <w:rPr>
          <w:rFonts w:ascii="Arial" w:cs="Arial" w:eastAsia="Arial" w:hAnsi="Arial"/>
          <w:sz w:val="16"/>
          <w:szCs w:val="16"/>
          <w:color w:val="auto"/>
        </w:rPr>
        <w:t>Deferred revenue</w:t>
      </w:r>
    </w:p>
    <w:p>
      <w:pPr>
        <w:spacing w:after="0" w:line="86" w:lineRule="exact"/>
        <w:rPr>
          <w:sz w:val="20"/>
          <w:szCs w:val="20"/>
          <w:color w:val="auto"/>
        </w:rPr>
      </w:pPr>
    </w:p>
    <w:p>
      <w:pPr>
        <w:ind w:left="40"/>
        <w:spacing w:after="0"/>
        <w:rPr>
          <w:sz w:val="20"/>
          <w:szCs w:val="20"/>
          <w:color w:val="auto"/>
        </w:rPr>
      </w:pPr>
      <w:r>
        <w:rPr>
          <w:rFonts w:ascii="Arial" w:cs="Arial" w:eastAsia="Arial" w:hAnsi="Arial"/>
          <w:sz w:val="16"/>
          <w:szCs w:val="16"/>
          <w:color w:val="auto"/>
        </w:rPr>
        <w:t>Short-term borrowings</w:t>
      </w:r>
    </w:p>
    <w:p>
      <w:pPr>
        <w:spacing w:after="0" w:line="66" w:lineRule="exact"/>
        <w:rPr>
          <w:sz w:val="20"/>
          <w:szCs w:val="20"/>
          <w:color w:val="auto"/>
        </w:rPr>
      </w:pPr>
    </w:p>
    <w:p>
      <w:pPr>
        <w:ind w:left="280"/>
        <w:spacing w:after="0"/>
        <w:rPr>
          <w:sz w:val="20"/>
          <w:szCs w:val="20"/>
          <w:color w:val="auto"/>
        </w:rPr>
      </w:pPr>
      <w:r>
        <w:rPr>
          <w:rFonts w:ascii="Arial" w:cs="Arial" w:eastAsia="Arial" w:hAnsi="Arial"/>
          <w:sz w:val="16"/>
          <w:szCs w:val="16"/>
          <w:b w:val="1"/>
          <w:bCs w:val="1"/>
          <w:color w:val="auto"/>
        </w:rPr>
        <w:t>Total current liabilities</w:t>
      </w:r>
    </w:p>
    <w:p>
      <w:pPr>
        <w:spacing w:after="0" w:line="106" w:lineRule="exact"/>
        <w:rPr>
          <w:sz w:val="20"/>
          <w:szCs w:val="20"/>
          <w:color w:val="auto"/>
        </w:rPr>
      </w:pPr>
    </w:p>
    <w:p>
      <w:pPr>
        <w:ind w:left="40"/>
        <w:spacing w:after="0"/>
        <w:rPr>
          <w:sz w:val="20"/>
          <w:szCs w:val="20"/>
          <w:color w:val="auto"/>
        </w:rPr>
      </w:pPr>
      <w:r>
        <w:rPr>
          <w:rFonts w:ascii="Arial" w:cs="Arial" w:eastAsia="Arial" w:hAnsi="Arial"/>
          <w:sz w:val="16"/>
          <w:szCs w:val="16"/>
          <w:color w:val="auto"/>
        </w:rPr>
        <w:t>Accrued compensation and related benefits</w:t>
      </w:r>
    </w:p>
    <w:p>
      <w:pPr>
        <w:spacing w:after="0" w:line="86" w:lineRule="exact"/>
        <w:rPr>
          <w:sz w:val="20"/>
          <w:szCs w:val="20"/>
          <w:color w:val="auto"/>
        </w:rPr>
      </w:pPr>
    </w:p>
    <w:p>
      <w:pPr>
        <w:ind w:left="40"/>
        <w:spacing w:after="0"/>
        <w:rPr>
          <w:sz w:val="20"/>
          <w:szCs w:val="20"/>
          <w:color w:val="auto"/>
        </w:rPr>
      </w:pPr>
      <w:r>
        <w:rPr>
          <w:rFonts w:ascii="Arial" w:cs="Arial" w:eastAsia="Arial" w:hAnsi="Arial"/>
          <w:sz w:val="16"/>
          <w:szCs w:val="16"/>
          <w:color w:val="auto"/>
        </w:rPr>
        <w:t>Other liabilities</w:t>
      </w:r>
    </w:p>
    <w:p>
      <w:pPr>
        <w:spacing w:after="0" w:line="86" w:lineRule="exact"/>
        <w:rPr>
          <w:sz w:val="20"/>
          <w:szCs w:val="20"/>
          <w:color w:val="auto"/>
        </w:rPr>
      </w:pPr>
    </w:p>
    <w:p>
      <w:pPr>
        <w:ind w:left="40"/>
        <w:spacing w:after="0"/>
        <w:rPr>
          <w:sz w:val="20"/>
          <w:szCs w:val="20"/>
          <w:color w:val="auto"/>
        </w:rPr>
      </w:pPr>
      <w:r>
        <w:rPr>
          <w:rFonts w:ascii="Arial" w:cs="Arial" w:eastAsia="Arial" w:hAnsi="Arial"/>
          <w:sz w:val="16"/>
          <w:szCs w:val="16"/>
          <w:color w:val="auto"/>
        </w:rPr>
        <w:t>Deferred income taxes</w:t>
      </w:r>
    </w:p>
    <w:p>
      <w:pPr>
        <w:spacing w:after="0" w:line="86" w:lineRule="exact"/>
        <w:rPr>
          <w:sz w:val="20"/>
          <w:szCs w:val="20"/>
          <w:color w:val="auto"/>
        </w:rPr>
      </w:pPr>
    </w:p>
    <w:p>
      <w:pPr>
        <w:ind w:left="40"/>
        <w:spacing w:after="0"/>
        <w:rPr>
          <w:sz w:val="20"/>
          <w:szCs w:val="20"/>
          <w:color w:val="auto"/>
        </w:rPr>
      </w:pPr>
      <w:r>
        <w:rPr>
          <w:rFonts w:ascii="Arial" w:cs="Arial" w:eastAsia="Arial" w:hAnsi="Arial"/>
          <w:sz w:val="16"/>
          <w:szCs w:val="16"/>
          <w:color w:val="auto"/>
        </w:rPr>
        <w:t>Long-term debt</w:t>
      </w:r>
    </w:p>
    <w:p>
      <w:pPr>
        <w:spacing w:after="0" w:line="66" w:lineRule="exact"/>
        <w:rPr>
          <w:sz w:val="20"/>
          <w:szCs w:val="20"/>
          <w:color w:val="auto"/>
        </w:rPr>
      </w:pPr>
    </w:p>
    <w:p>
      <w:pPr>
        <w:ind w:left="280"/>
        <w:spacing w:after="0"/>
        <w:rPr>
          <w:sz w:val="20"/>
          <w:szCs w:val="20"/>
          <w:color w:val="auto"/>
        </w:rPr>
      </w:pPr>
      <w:r>
        <w:rPr>
          <w:rFonts w:ascii="Arial" w:cs="Arial" w:eastAsia="Arial" w:hAnsi="Arial"/>
          <w:sz w:val="16"/>
          <w:szCs w:val="16"/>
          <w:b w:val="1"/>
          <w:bCs w:val="1"/>
          <w:color w:val="auto"/>
        </w:rPr>
        <w:t>Total Liabilities</w:t>
      </w:r>
    </w:p>
    <w:p>
      <w:pPr>
        <w:spacing w:after="0" w:line="343" w:lineRule="exact"/>
        <w:rPr>
          <w:sz w:val="20"/>
          <w:szCs w:val="20"/>
          <w:color w:val="auto"/>
        </w:rPr>
      </w:pPr>
    </w:p>
    <w:p>
      <w:pPr>
        <w:ind w:left="40"/>
        <w:spacing w:after="0"/>
        <w:rPr>
          <w:sz w:val="20"/>
          <w:szCs w:val="20"/>
          <w:color w:val="auto"/>
        </w:rPr>
      </w:pPr>
      <w:r>
        <w:rPr>
          <w:rFonts w:ascii="Arial" w:cs="Arial" w:eastAsia="Arial" w:hAnsi="Arial"/>
          <w:sz w:val="16"/>
          <w:szCs w:val="16"/>
          <w:b w:val="1"/>
          <w:bCs w:val="1"/>
          <w:color w:val="auto"/>
        </w:rPr>
        <w:t>Net assets divested in the Spin-Off</w:t>
      </w:r>
    </w:p>
    <w:p>
      <w:pPr>
        <w:spacing w:after="0" w:line="20" w:lineRule="exact"/>
        <w:rPr>
          <w:sz w:val="20"/>
          <w:szCs w:val="20"/>
          <w:color w:val="auto"/>
        </w:rPr>
      </w:pPr>
      <w:r>
        <w:rPr>
          <w:sz w:val="20"/>
          <w:szCs w:val="20"/>
          <w:color w:val="auto"/>
        </w:rPr>
        <w:br w:type="column"/>
      </w:r>
    </w:p>
    <w:p>
      <w:pPr>
        <w:spacing w:after="0" w:line="197" w:lineRule="exact"/>
        <w:rPr>
          <w:sz w:val="20"/>
          <w:szCs w:val="20"/>
          <w:color w:val="auto"/>
        </w:rPr>
      </w:pPr>
    </w:p>
    <w:p>
      <w:pPr>
        <w:jc w:val="center"/>
        <w:ind w:right="80"/>
        <w:spacing w:after="0"/>
        <w:rPr>
          <w:sz w:val="20"/>
          <w:szCs w:val="20"/>
          <w:color w:val="auto"/>
        </w:rPr>
      </w:pPr>
      <w:r>
        <w:rPr>
          <w:rFonts w:ascii="Arial" w:cs="Arial" w:eastAsia="Arial" w:hAnsi="Arial"/>
          <w:sz w:val="14"/>
          <w:szCs w:val="14"/>
          <w:color w:val="auto"/>
        </w:rPr>
        <w:t>As of</w:t>
      </w:r>
    </w:p>
    <w:p>
      <w:pPr>
        <w:spacing w:after="0" w:line="109" w:lineRule="exact"/>
        <w:rPr>
          <w:sz w:val="20"/>
          <w:szCs w:val="20"/>
          <w:color w:val="auto"/>
        </w:rPr>
      </w:pPr>
    </w:p>
    <w:p>
      <w:pPr>
        <w:jc w:val="center"/>
        <w:ind w:right="80"/>
        <w:spacing w:after="0"/>
        <w:rPr>
          <w:sz w:val="20"/>
          <w:szCs w:val="20"/>
          <w:color w:val="auto"/>
        </w:rPr>
      </w:pPr>
      <w:r>
        <w:rPr>
          <w:rFonts w:ascii="Arial" w:cs="Arial" w:eastAsia="Arial" w:hAnsi="Arial"/>
          <w:sz w:val="14"/>
          <w:szCs w:val="14"/>
          <w:color w:val="auto"/>
        </w:rPr>
        <w:t>July 1, 2015</w:t>
      </w:r>
    </w:p>
    <w:p>
      <w:pPr>
        <w:spacing w:after="0" w:line="93" w:lineRule="exact"/>
        <w:rPr>
          <w:sz w:val="20"/>
          <w:szCs w:val="20"/>
          <w:color w:val="auto"/>
        </w:rPr>
      </w:pPr>
    </w:p>
    <w:p>
      <w:pPr>
        <w:ind w:left="840" w:hanging="839"/>
        <w:spacing w:after="0"/>
        <w:tabs>
          <w:tab w:leader="none" w:pos="840" w:val="left"/>
        </w:tabs>
        <w:numPr>
          <w:ilvl w:val="0"/>
          <w:numId w:val="60"/>
        </w:numPr>
        <w:rPr>
          <w:rFonts w:ascii="Arial" w:cs="Arial" w:eastAsia="Arial" w:hAnsi="Arial"/>
          <w:sz w:val="16"/>
          <w:szCs w:val="16"/>
          <w:color w:val="auto"/>
        </w:rPr>
      </w:pPr>
      <w:r>
        <w:rPr>
          <w:rFonts w:ascii="Arial" w:cs="Arial" w:eastAsia="Arial" w:hAnsi="Arial"/>
          <w:sz w:val="16"/>
          <w:szCs w:val="16"/>
          <w:color w:val="auto"/>
        </w:rPr>
        <w:t>94,115</w:t>
      </w:r>
    </w:p>
    <w:p>
      <w:pPr>
        <w:spacing w:after="0" w:line="86" w:lineRule="exact"/>
        <w:rPr>
          <w:rFonts w:ascii="Arial" w:cs="Arial" w:eastAsia="Arial" w:hAnsi="Arial"/>
          <w:sz w:val="16"/>
          <w:szCs w:val="16"/>
          <w:color w:val="auto"/>
        </w:rPr>
      </w:pPr>
    </w:p>
    <w:p>
      <w:pPr>
        <w:ind w:left="840"/>
        <w:spacing w:after="0"/>
        <w:rPr>
          <w:rFonts w:ascii="Arial" w:cs="Arial" w:eastAsia="Arial" w:hAnsi="Arial"/>
          <w:sz w:val="16"/>
          <w:szCs w:val="16"/>
          <w:color w:val="auto"/>
        </w:rPr>
      </w:pPr>
      <w:r>
        <w:rPr>
          <w:rFonts w:ascii="Arial" w:cs="Arial" w:eastAsia="Arial" w:hAnsi="Arial"/>
          <w:sz w:val="16"/>
          <w:szCs w:val="16"/>
          <w:color w:val="auto"/>
        </w:rPr>
        <w:t>29,778</w:t>
      </w:r>
    </w:p>
    <w:p>
      <w:pPr>
        <w:spacing w:after="0" w:line="86" w:lineRule="exact"/>
        <w:rPr>
          <w:rFonts w:ascii="Arial" w:cs="Arial" w:eastAsia="Arial" w:hAnsi="Arial"/>
          <w:sz w:val="16"/>
          <w:szCs w:val="16"/>
          <w:color w:val="auto"/>
        </w:rPr>
      </w:pPr>
    </w:p>
    <w:p>
      <w:pPr>
        <w:ind w:left="840"/>
        <w:spacing w:after="0"/>
        <w:rPr>
          <w:rFonts w:ascii="Arial" w:cs="Arial" w:eastAsia="Arial" w:hAnsi="Arial"/>
          <w:sz w:val="16"/>
          <w:szCs w:val="16"/>
          <w:color w:val="auto"/>
        </w:rPr>
      </w:pPr>
      <w:r>
        <w:rPr>
          <w:rFonts w:ascii="Arial" w:cs="Arial" w:eastAsia="Arial" w:hAnsi="Arial"/>
          <w:sz w:val="16"/>
          <w:szCs w:val="16"/>
          <w:color w:val="auto"/>
        </w:rPr>
        <w:t>14,182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-15875</wp:posOffset>
            </wp:positionH>
            <wp:positionV relativeFrom="paragraph">
              <wp:posOffset>19050</wp:posOffset>
            </wp:positionV>
            <wp:extent cx="9347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33">
                      <a:extLst>
                        <a:ext uri="{28A0092B-C50C-407E-A947-70E740481C1C}"/>
                      </a:extLst>
                    </a:blip>
                    <a:srcRect/>
                    <a:stretch>
                      <a:fillRect/>
                    </a:stretch>
                  </pic:blipFill>
                  <pic:spPr bwMode="auto">
                    <a:xfrm>
                      <a:off x="0" y="0"/>
                      <a:ext cx="934720" cy="8890"/>
                    </a:xfrm>
                    <a:prstGeom prst="rect">
                      <a:avLst/>
                    </a:prstGeom>
                    <a:noFill/>
                  </pic:spPr>
                </pic:pic>
              </a:graphicData>
            </a:graphic>
          </wp:anchor>
        </w:drawing>
      </w:r>
    </w:p>
    <w:p>
      <w:pPr>
        <w:spacing w:after="0" w:line="66" w:lineRule="exact"/>
        <w:rPr>
          <w:sz w:val="20"/>
          <w:szCs w:val="20"/>
          <w:color w:val="auto"/>
        </w:rPr>
      </w:pPr>
    </w:p>
    <w:p>
      <w:pPr>
        <w:jc w:val="right"/>
        <w:ind w:right="160"/>
        <w:spacing w:after="0"/>
        <w:rPr>
          <w:sz w:val="20"/>
          <w:szCs w:val="20"/>
          <w:color w:val="auto"/>
        </w:rPr>
      </w:pPr>
      <w:r>
        <w:rPr>
          <w:rFonts w:ascii="Arial" w:cs="Arial" w:eastAsia="Arial" w:hAnsi="Arial"/>
          <w:sz w:val="16"/>
          <w:szCs w:val="16"/>
          <w:color w:val="auto"/>
        </w:rPr>
        <w:t>138,075</w:t>
      </w:r>
    </w:p>
    <w:p>
      <w:pPr>
        <w:spacing w:after="0" w:line="86" w:lineRule="exact"/>
        <w:rPr>
          <w:sz w:val="20"/>
          <w:szCs w:val="20"/>
          <w:color w:val="auto"/>
        </w:rPr>
      </w:pPr>
    </w:p>
    <w:p>
      <w:pPr>
        <w:jc w:val="right"/>
        <w:ind w:right="160"/>
        <w:spacing w:after="0"/>
        <w:rPr>
          <w:sz w:val="20"/>
          <w:szCs w:val="20"/>
          <w:color w:val="auto"/>
        </w:rPr>
      </w:pPr>
      <w:r>
        <w:rPr>
          <w:rFonts w:ascii="Arial" w:cs="Arial" w:eastAsia="Arial" w:hAnsi="Arial"/>
          <w:sz w:val="16"/>
          <w:szCs w:val="16"/>
          <w:color w:val="auto"/>
        </w:rPr>
        <w:t>612,812</w:t>
      </w:r>
    </w:p>
    <w:p>
      <w:pPr>
        <w:spacing w:after="0" w:line="86" w:lineRule="exact"/>
        <w:rPr>
          <w:sz w:val="20"/>
          <w:szCs w:val="20"/>
          <w:color w:val="auto"/>
        </w:rPr>
      </w:pPr>
    </w:p>
    <w:p>
      <w:pPr>
        <w:jc w:val="right"/>
        <w:ind w:right="160"/>
        <w:spacing w:after="0"/>
        <w:rPr>
          <w:sz w:val="20"/>
          <w:szCs w:val="20"/>
          <w:color w:val="auto"/>
        </w:rPr>
      </w:pPr>
      <w:r>
        <w:rPr>
          <w:rFonts w:ascii="Arial" w:cs="Arial" w:eastAsia="Arial" w:hAnsi="Arial"/>
          <w:sz w:val="16"/>
          <w:szCs w:val="16"/>
          <w:color w:val="auto"/>
        </w:rPr>
        <w:t>85,488</w:t>
      </w:r>
    </w:p>
    <w:p>
      <w:pPr>
        <w:spacing w:after="0" w:line="86" w:lineRule="exact"/>
        <w:rPr>
          <w:sz w:val="20"/>
          <w:szCs w:val="20"/>
          <w:color w:val="auto"/>
        </w:rPr>
      </w:pPr>
    </w:p>
    <w:p>
      <w:pPr>
        <w:jc w:val="right"/>
        <w:ind w:right="160"/>
        <w:spacing w:after="0"/>
        <w:rPr>
          <w:sz w:val="20"/>
          <w:szCs w:val="20"/>
          <w:color w:val="auto"/>
        </w:rPr>
      </w:pPr>
      <w:r>
        <w:rPr>
          <w:rFonts w:ascii="Arial" w:cs="Arial" w:eastAsia="Arial" w:hAnsi="Arial"/>
          <w:sz w:val="16"/>
          <w:szCs w:val="16"/>
          <w:color w:val="auto"/>
        </w:rPr>
        <w:t>496,321</w:t>
      </w:r>
    </w:p>
    <w:p>
      <w:pPr>
        <w:spacing w:after="0" w:line="86" w:lineRule="exact"/>
        <w:rPr>
          <w:sz w:val="20"/>
          <w:szCs w:val="20"/>
          <w:color w:val="auto"/>
        </w:rPr>
      </w:pPr>
    </w:p>
    <w:p>
      <w:pPr>
        <w:jc w:val="right"/>
        <w:ind w:right="160"/>
        <w:spacing w:after="0"/>
        <w:rPr>
          <w:sz w:val="20"/>
          <w:szCs w:val="20"/>
          <w:color w:val="auto"/>
        </w:rPr>
      </w:pPr>
      <w:r>
        <w:rPr>
          <w:rFonts w:ascii="Arial" w:cs="Arial" w:eastAsia="Arial" w:hAnsi="Arial"/>
          <w:sz w:val="16"/>
          <w:szCs w:val="16"/>
          <w:color w:val="auto"/>
        </w:rPr>
        <w:t>510</w:t>
      </w:r>
    </w:p>
    <w:p>
      <w:pPr>
        <w:spacing w:after="0" w:line="86" w:lineRule="exact"/>
        <w:rPr>
          <w:sz w:val="20"/>
          <w:szCs w:val="20"/>
          <w:color w:val="auto"/>
        </w:rPr>
      </w:pPr>
    </w:p>
    <w:p>
      <w:pPr>
        <w:jc w:val="right"/>
        <w:ind w:right="160"/>
        <w:spacing w:after="0"/>
        <w:rPr>
          <w:sz w:val="20"/>
          <w:szCs w:val="20"/>
          <w:color w:val="auto"/>
        </w:rPr>
      </w:pPr>
      <w:r>
        <w:rPr>
          <w:rFonts w:ascii="Arial" w:cs="Arial" w:eastAsia="Arial" w:hAnsi="Arial"/>
          <w:sz w:val="16"/>
          <w:szCs w:val="16"/>
          <w:color w:val="auto"/>
        </w:rPr>
        <w:t>22,541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-15875</wp:posOffset>
            </wp:positionH>
            <wp:positionV relativeFrom="paragraph">
              <wp:posOffset>19050</wp:posOffset>
            </wp:positionV>
            <wp:extent cx="93472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34">
                      <a:extLst>
                        <a:ext uri="{28A0092B-C50C-407E-A947-70E740481C1C}"/>
                      </a:extLst>
                    </a:blip>
                    <a:srcRect/>
                    <a:stretch>
                      <a:fillRect/>
                    </a:stretch>
                  </pic:blipFill>
                  <pic:spPr bwMode="auto">
                    <a:xfrm>
                      <a:off x="0" y="0"/>
                      <a:ext cx="934720" cy="8890"/>
                    </a:xfrm>
                    <a:prstGeom prst="rect">
                      <a:avLst/>
                    </a:prstGeom>
                    <a:noFill/>
                  </pic:spPr>
                </pic:pic>
              </a:graphicData>
            </a:graphic>
          </wp:anchor>
        </w:drawing>
      </w:r>
    </w:p>
    <w:p>
      <w:pPr>
        <w:spacing w:after="0" w:line="46" w:lineRule="exact"/>
        <w:rPr>
          <w:sz w:val="20"/>
          <w:szCs w:val="20"/>
          <w:color w:val="auto"/>
        </w:rPr>
      </w:pPr>
    </w:p>
    <w:p>
      <w:pPr>
        <w:ind w:left="620" w:hanging="619"/>
        <w:spacing w:after="0"/>
        <w:tabs>
          <w:tab w:leader="none" w:pos="620" w:val="left"/>
        </w:tabs>
        <w:numPr>
          <w:ilvl w:val="0"/>
          <w:numId w:val="61"/>
        </w:numPr>
        <w:rPr>
          <w:rFonts w:ascii="Arial" w:cs="Arial" w:eastAsia="Arial" w:hAnsi="Arial"/>
          <w:sz w:val="16"/>
          <w:szCs w:val="16"/>
          <w:b w:val="1"/>
          <w:bCs w:val="1"/>
          <w:color w:val="auto"/>
        </w:rPr>
      </w:pPr>
      <w:r>
        <w:rPr>
          <w:rFonts w:ascii="Arial" w:cs="Arial" w:eastAsia="Arial" w:hAnsi="Arial"/>
          <w:sz w:val="16"/>
          <w:szCs w:val="16"/>
          <w:b w:val="1"/>
          <w:bCs w:val="1"/>
          <w:color w:val="auto"/>
        </w:rPr>
        <w:t>1,355,747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-15875</wp:posOffset>
            </wp:positionH>
            <wp:positionV relativeFrom="paragraph">
              <wp:posOffset>31750</wp:posOffset>
            </wp:positionV>
            <wp:extent cx="93472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35">
                      <a:extLst>
                        <a:ext uri="{28A0092B-C50C-407E-A947-70E740481C1C}"/>
                      </a:extLst>
                    </a:blip>
                    <a:srcRect/>
                    <a:stretch>
                      <a:fillRect/>
                    </a:stretch>
                  </pic:blipFill>
                  <pic:spPr bwMode="auto">
                    <a:xfrm>
                      <a:off x="0" y="0"/>
                      <a:ext cx="934720" cy="8890"/>
                    </a:xfrm>
                    <a:prstGeom prst="rect">
                      <a:avLst/>
                    </a:prstGeom>
                    <a:noFill/>
                  </pic:spPr>
                </pic:pic>
              </a:graphicData>
            </a:graphic>
          </wp:anchor>
        </w:drawing>
      </w:r>
    </w:p>
    <w:p>
      <w:pPr>
        <w:spacing w:after="0" w:line="343" w:lineRule="exact"/>
        <w:rPr>
          <w:sz w:val="20"/>
          <w:szCs w:val="20"/>
          <w:color w:val="auto"/>
        </w:rPr>
      </w:pPr>
    </w:p>
    <w:p>
      <w:pPr>
        <w:ind w:left="840" w:hanging="839"/>
        <w:spacing w:after="0"/>
        <w:tabs>
          <w:tab w:leader="none" w:pos="840" w:val="left"/>
        </w:tabs>
        <w:numPr>
          <w:ilvl w:val="0"/>
          <w:numId w:val="62"/>
        </w:numPr>
        <w:rPr>
          <w:rFonts w:ascii="Arial" w:cs="Arial" w:eastAsia="Arial" w:hAnsi="Arial"/>
          <w:sz w:val="16"/>
          <w:szCs w:val="16"/>
          <w:color w:val="auto"/>
        </w:rPr>
      </w:pPr>
      <w:r>
        <w:rPr>
          <w:rFonts w:ascii="Arial" w:cs="Arial" w:eastAsia="Arial" w:hAnsi="Arial"/>
          <w:sz w:val="16"/>
          <w:szCs w:val="16"/>
          <w:color w:val="auto"/>
        </w:rPr>
        <w:t>70,920</w:t>
      </w:r>
    </w:p>
    <w:p>
      <w:pPr>
        <w:spacing w:after="0" w:line="86" w:lineRule="exact"/>
        <w:rPr>
          <w:rFonts w:ascii="Arial" w:cs="Arial" w:eastAsia="Arial" w:hAnsi="Arial"/>
          <w:sz w:val="16"/>
          <w:szCs w:val="16"/>
          <w:color w:val="auto"/>
        </w:rPr>
      </w:pPr>
    </w:p>
    <w:p>
      <w:pPr>
        <w:ind w:left="940"/>
        <w:spacing w:after="0"/>
        <w:rPr>
          <w:rFonts w:ascii="Arial" w:cs="Arial" w:eastAsia="Arial" w:hAnsi="Arial"/>
          <w:sz w:val="16"/>
          <w:szCs w:val="16"/>
          <w:color w:val="auto"/>
        </w:rPr>
      </w:pPr>
      <w:r>
        <w:rPr>
          <w:rFonts w:ascii="Arial" w:cs="Arial" w:eastAsia="Arial" w:hAnsi="Arial"/>
          <w:sz w:val="15"/>
          <w:szCs w:val="15"/>
          <w:color w:val="auto"/>
        </w:rPr>
        <w:t>2,962</w:t>
      </w:r>
    </w:p>
    <w:p>
      <w:pPr>
        <w:spacing w:after="0" w:line="98" w:lineRule="exact"/>
        <w:rPr>
          <w:sz w:val="20"/>
          <w:szCs w:val="20"/>
          <w:color w:val="auto"/>
        </w:rPr>
      </w:pPr>
    </w:p>
    <w:p>
      <w:pPr>
        <w:jc w:val="right"/>
        <w:ind w:right="160"/>
        <w:spacing w:after="0"/>
        <w:rPr>
          <w:sz w:val="20"/>
          <w:szCs w:val="20"/>
          <w:color w:val="auto"/>
        </w:rPr>
      </w:pPr>
      <w:r>
        <w:rPr>
          <w:rFonts w:ascii="Arial" w:cs="Arial" w:eastAsia="Arial" w:hAnsi="Arial"/>
          <w:sz w:val="16"/>
          <w:szCs w:val="16"/>
          <w:color w:val="auto"/>
        </w:rPr>
        <w:t>21,883</w:t>
      </w:r>
    </w:p>
    <w:p>
      <w:pPr>
        <w:spacing w:after="0" w:line="86" w:lineRule="exact"/>
        <w:rPr>
          <w:sz w:val="20"/>
          <w:szCs w:val="20"/>
          <w:color w:val="auto"/>
        </w:rPr>
      </w:pPr>
    </w:p>
    <w:p>
      <w:pPr>
        <w:jc w:val="right"/>
        <w:ind w:right="160"/>
        <w:spacing w:after="0"/>
        <w:rPr>
          <w:sz w:val="20"/>
          <w:szCs w:val="20"/>
          <w:color w:val="auto"/>
        </w:rPr>
      </w:pPr>
      <w:r>
        <w:rPr>
          <w:rFonts w:ascii="Arial" w:cs="Arial" w:eastAsia="Arial" w:hAnsi="Arial"/>
          <w:sz w:val="16"/>
          <w:szCs w:val="16"/>
          <w:color w:val="auto"/>
        </w:rPr>
        <w:t>2,500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-15875</wp:posOffset>
            </wp:positionH>
            <wp:positionV relativeFrom="paragraph">
              <wp:posOffset>19050</wp:posOffset>
            </wp:positionV>
            <wp:extent cx="93472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36">
                      <a:extLst>
                        <a:ext uri="{28A0092B-C50C-407E-A947-70E740481C1C}"/>
                      </a:extLst>
                    </a:blip>
                    <a:srcRect/>
                    <a:stretch>
                      <a:fillRect/>
                    </a:stretch>
                  </pic:blipFill>
                  <pic:spPr bwMode="auto">
                    <a:xfrm>
                      <a:off x="0" y="0"/>
                      <a:ext cx="934720" cy="8890"/>
                    </a:xfrm>
                    <a:prstGeom prst="rect">
                      <a:avLst/>
                    </a:prstGeom>
                    <a:noFill/>
                  </pic:spPr>
                </pic:pic>
              </a:graphicData>
            </a:graphic>
          </wp:anchor>
        </w:drawing>
      </w:r>
    </w:p>
    <w:p>
      <w:pPr>
        <w:spacing w:after="0" w:line="66" w:lineRule="exact"/>
        <w:rPr>
          <w:sz w:val="20"/>
          <w:szCs w:val="20"/>
          <w:color w:val="auto"/>
        </w:rPr>
      </w:pPr>
    </w:p>
    <w:p>
      <w:pPr>
        <w:jc w:val="right"/>
        <w:ind w:right="160"/>
        <w:spacing w:after="0"/>
        <w:rPr>
          <w:sz w:val="20"/>
          <w:szCs w:val="20"/>
          <w:color w:val="auto"/>
        </w:rPr>
      </w:pPr>
      <w:r>
        <w:rPr>
          <w:rFonts w:ascii="Arial" w:cs="Arial" w:eastAsia="Arial" w:hAnsi="Arial"/>
          <w:sz w:val="16"/>
          <w:szCs w:val="16"/>
          <w:color w:val="auto"/>
        </w:rPr>
        <w:t>98,265</w:t>
      </w:r>
    </w:p>
    <w:p>
      <w:pPr>
        <w:spacing w:after="0" w:line="86" w:lineRule="exact"/>
        <w:rPr>
          <w:sz w:val="20"/>
          <w:szCs w:val="20"/>
          <w:color w:val="auto"/>
        </w:rPr>
      </w:pPr>
    </w:p>
    <w:p>
      <w:pPr>
        <w:jc w:val="right"/>
        <w:ind w:right="160"/>
        <w:spacing w:after="0"/>
        <w:rPr>
          <w:sz w:val="20"/>
          <w:szCs w:val="20"/>
          <w:color w:val="auto"/>
        </w:rPr>
      </w:pPr>
      <w:r>
        <w:rPr>
          <w:rFonts w:ascii="Arial" w:cs="Arial" w:eastAsia="Arial" w:hAnsi="Arial"/>
          <w:sz w:val="16"/>
          <w:szCs w:val="16"/>
          <w:color w:val="auto"/>
        </w:rPr>
        <w:t>24,227</w:t>
      </w:r>
    </w:p>
    <w:p>
      <w:pPr>
        <w:spacing w:after="0" w:line="86" w:lineRule="exact"/>
        <w:rPr>
          <w:sz w:val="20"/>
          <w:szCs w:val="20"/>
          <w:color w:val="auto"/>
        </w:rPr>
      </w:pPr>
    </w:p>
    <w:p>
      <w:pPr>
        <w:jc w:val="right"/>
        <w:ind w:right="160"/>
        <w:spacing w:after="0"/>
        <w:rPr>
          <w:sz w:val="20"/>
          <w:szCs w:val="20"/>
          <w:color w:val="auto"/>
        </w:rPr>
      </w:pPr>
      <w:r>
        <w:rPr>
          <w:rFonts w:ascii="Arial" w:cs="Arial" w:eastAsia="Arial" w:hAnsi="Arial"/>
          <w:sz w:val="16"/>
          <w:szCs w:val="16"/>
          <w:color w:val="auto"/>
        </w:rPr>
        <w:t>57</w:t>
      </w:r>
    </w:p>
    <w:p>
      <w:pPr>
        <w:spacing w:after="0" w:line="86" w:lineRule="exact"/>
        <w:rPr>
          <w:sz w:val="20"/>
          <w:szCs w:val="20"/>
          <w:color w:val="auto"/>
        </w:rPr>
      </w:pPr>
    </w:p>
    <w:p>
      <w:pPr>
        <w:jc w:val="right"/>
        <w:ind w:right="160"/>
        <w:spacing w:after="0"/>
        <w:rPr>
          <w:sz w:val="20"/>
          <w:szCs w:val="20"/>
          <w:color w:val="auto"/>
        </w:rPr>
      </w:pPr>
      <w:r>
        <w:rPr>
          <w:rFonts w:ascii="Arial" w:cs="Arial" w:eastAsia="Arial" w:hAnsi="Arial"/>
          <w:sz w:val="16"/>
          <w:szCs w:val="16"/>
          <w:color w:val="auto"/>
        </w:rPr>
        <w:t>279,245</w:t>
      </w:r>
    </w:p>
    <w:p>
      <w:pPr>
        <w:spacing w:after="0" w:line="86" w:lineRule="exact"/>
        <w:rPr>
          <w:sz w:val="20"/>
          <w:szCs w:val="20"/>
          <w:color w:val="auto"/>
        </w:rPr>
      </w:pPr>
    </w:p>
    <w:p>
      <w:pPr>
        <w:jc w:val="right"/>
        <w:ind w:right="160"/>
        <w:spacing w:after="0"/>
        <w:rPr>
          <w:sz w:val="20"/>
          <w:szCs w:val="20"/>
          <w:color w:val="auto"/>
        </w:rPr>
      </w:pPr>
      <w:r>
        <w:rPr>
          <w:rFonts w:ascii="Arial" w:cs="Arial" w:eastAsia="Arial" w:hAnsi="Arial"/>
          <w:sz w:val="16"/>
          <w:szCs w:val="16"/>
          <w:color w:val="auto"/>
        </w:rPr>
        <w:t>547,500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-15875</wp:posOffset>
            </wp:positionH>
            <wp:positionV relativeFrom="paragraph">
              <wp:posOffset>19050</wp:posOffset>
            </wp:positionV>
            <wp:extent cx="93472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37">
                      <a:extLst>
                        <a:ext uri="{28A0092B-C50C-407E-A947-70E740481C1C}"/>
                      </a:extLst>
                    </a:blip>
                    <a:srcRect/>
                    <a:stretch>
                      <a:fillRect/>
                    </a:stretch>
                  </pic:blipFill>
                  <pic:spPr bwMode="auto">
                    <a:xfrm>
                      <a:off x="0" y="0"/>
                      <a:ext cx="934720" cy="8890"/>
                    </a:xfrm>
                    <a:prstGeom prst="rect">
                      <a:avLst/>
                    </a:prstGeom>
                    <a:noFill/>
                  </pic:spPr>
                </pic:pic>
              </a:graphicData>
            </a:graphic>
          </wp:anchor>
        </w:drawing>
      </w:r>
    </w:p>
    <w:p>
      <w:pPr>
        <w:spacing w:after="0" w:line="46" w:lineRule="exact"/>
        <w:rPr>
          <w:sz w:val="20"/>
          <w:szCs w:val="20"/>
          <w:color w:val="auto"/>
        </w:rPr>
      </w:pPr>
    </w:p>
    <w:p>
      <w:pPr>
        <w:ind w:left="760" w:hanging="759"/>
        <w:spacing w:after="0"/>
        <w:tabs>
          <w:tab w:leader="none" w:pos="760" w:val="left"/>
        </w:tabs>
        <w:numPr>
          <w:ilvl w:val="0"/>
          <w:numId w:val="63"/>
        </w:numPr>
        <w:rPr>
          <w:rFonts w:ascii="Arial" w:cs="Arial" w:eastAsia="Arial" w:hAnsi="Arial"/>
          <w:sz w:val="16"/>
          <w:szCs w:val="16"/>
          <w:b w:val="1"/>
          <w:bCs w:val="1"/>
          <w:color w:val="auto"/>
        </w:rPr>
      </w:pPr>
      <w:r>
        <w:rPr>
          <w:rFonts w:ascii="Arial" w:cs="Arial" w:eastAsia="Arial" w:hAnsi="Arial"/>
          <w:sz w:val="16"/>
          <w:szCs w:val="16"/>
          <w:b w:val="1"/>
          <w:bCs w:val="1"/>
          <w:color w:val="auto"/>
        </w:rPr>
        <w:t>949,294</w:t>
      </w:r>
    </w:p>
    <w:p>
      <w:pPr>
        <w:spacing w:after="0" w:line="329" w:lineRule="exact"/>
        <w:rPr>
          <w:rFonts w:ascii="Arial" w:cs="Arial" w:eastAsia="Arial" w:hAnsi="Arial"/>
          <w:sz w:val="16"/>
          <w:szCs w:val="16"/>
          <w:b w:val="1"/>
          <w:bCs w:val="1"/>
          <w:color w:val="auto"/>
        </w:rPr>
      </w:pPr>
    </w:p>
    <w:p>
      <w:pPr>
        <w:ind w:left="760" w:hanging="759"/>
        <w:spacing w:after="0"/>
        <w:tabs>
          <w:tab w:leader="none" w:pos="760" w:val="left"/>
        </w:tabs>
        <w:numPr>
          <w:ilvl w:val="0"/>
          <w:numId w:val="63"/>
        </w:numPr>
        <w:rPr>
          <w:rFonts w:ascii="Arial" w:cs="Arial" w:eastAsia="Arial" w:hAnsi="Arial"/>
          <w:sz w:val="16"/>
          <w:szCs w:val="16"/>
          <w:b w:val="1"/>
          <w:bCs w:val="1"/>
          <w:color w:val="auto"/>
        </w:rPr>
      </w:pPr>
      <w:r>
        <w:rPr>
          <w:rFonts w:ascii="Arial" w:cs="Arial" w:eastAsia="Arial" w:hAnsi="Arial"/>
          <w:sz w:val="16"/>
          <w:szCs w:val="16"/>
          <w:b w:val="1"/>
          <w:bCs w:val="1"/>
          <w:color w:val="auto"/>
        </w:rPr>
        <w:t>406,453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-15875</wp:posOffset>
            </wp:positionH>
            <wp:positionV relativeFrom="paragraph">
              <wp:posOffset>31750</wp:posOffset>
            </wp:positionV>
            <wp:extent cx="93472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38">
                      <a:extLst>
                        <a:ext uri="{28A0092B-C50C-407E-A947-70E740481C1C}"/>
                      </a:extLst>
                    </a:blip>
                    <a:srcRect/>
                    <a:stretch>
                      <a:fillRect/>
                    </a:stretch>
                  </pic:blipFill>
                  <pic:spPr bwMode="auto">
                    <a:xfrm>
                      <a:off x="0" y="0"/>
                      <a:ext cx="934720" cy="8890"/>
                    </a:xfrm>
                    <a:prstGeom prst="rect">
                      <a:avLst/>
                    </a:prstGeom>
                    <a:noFill/>
                  </pic:spPr>
                </pic:pic>
              </a:graphicData>
            </a:graphic>
          </wp:anchor>
        </w:drawing>
        <w:drawing>
          <wp:anchor simplePos="0" relativeHeight="251657728" behindDoc="1" locked="0" layoutInCell="0" allowOverlap="1">
            <wp:simplePos x="0" y="0"/>
            <wp:positionH relativeFrom="column">
              <wp:posOffset>-15875</wp:posOffset>
            </wp:positionH>
            <wp:positionV relativeFrom="paragraph">
              <wp:posOffset>48895</wp:posOffset>
            </wp:positionV>
            <wp:extent cx="93472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39">
                      <a:extLst>
                        <a:ext uri="{28A0092B-C50C-407E-A947-70E740481C1C}"/>
                      </a:extLst>
                    </a:blip>
                    <a:srcRect/>
                    <a:stretch>
                      <a:fillRect/>
                    </a:stretch>
                  </pic:blipFill>
                  <pic:spPr bwMode="auto">
                    <a:xfrm>
                      <a:off x="0" y="0"/>
                      <a:ext cx="934720" cy="8890"/>
                    </a:xfrm>
                    <a:prstGeom prst="rect">
                      <a:avLst/>
                    </a:prstGeom>
                    <a:noFill/>
                  </pic:spPr>
                </pic:pic>
              </a:graphicData>
            </a:graphic>
          </wp:anchor>
        </w:drawing>
        <w:drawing>
          <wp:anchor simplePos="0" relativeHeight="251657728" behindDoc="1" locked="0" layoutInCell="0" allowOverlap="1">
            <wp:simplePos x="0" y="0"/>
            <wp:positionH relativeFrom="column">
              <wp:posOffset>-15875</wp:posOffset>
            </wp:positionH>
            <wp:positionV relativeFrom="paragraph">
              <wp:posOffset>-130175</wp:posOffset>
            </wp:positionV>
            <wp:extent cx="934720"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40">
                      <a:extLst>
                        <a:ext uri="{28A0092B-C50C-407E-A947-70E740481C1C}"/>
                      </a:extLst>
                    </a:blip>
                    <a:srcRect/>
                    <a:stretch>
                      <a:fillRect/>
                    </a:stretch>
                  </pic:blipFill>
                  <pic:spPr bwMode="auto">
                    <a:xfrm>
                      <a:off x="0" y="0"/>
                      <a:ext cx="934720" cy="8890"/>
                    </a:xfrm>
                    <a:prstGeom prst="rect">
                      <a:avLst/>
                    </a:prstGeom>
                    <a:noFill/>
                  </pic:spPr>
                </pic:pic>
              </a:graphicData>
            </a:graphic>
          </wp:anchor>
        </w:drawing>
        <w:drawing>
          <wp:anchor simplePos="0" relativeHeight="251657728" behindDoc="1" locked="0" layoutInCell="0" allowOverlap="1">
            <wp:simplePos x="0" y="0"/>
            <wp:positionH relativeFrom="column">
              <wp:posOffset>-15875</wp:posOffset>
            </wp:positionH>
            <wp:positionV relativeFrom="paragraph">
              <wp:posOffset>-293370</wp:posOffset>
            </wp:positionV>
            <wp:extent cx="934720"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41">
                      <a:extLst>
                        <a:ext uri="{28A0092B-C50C-407E-A947-70E740481C1C}"/>
                      </a:extLst>
                    </a:blip>
                    <a:srcRect/>
                    <a:stretch>
                      <a:fillRect/>
                    </a:stretch>
                  </pic:blipFill>
                  <pic:spPr bwMode="auto">
                    <a:xfrm>
                      <a:off x="0" y="0"/>
                      <a:ext cx="934720" cy="8890"/>
                    </a:xfrm>
                    <a:prstGeom prst="rect">
                      <a:avLst/>
                    </a:prstGeom>
                    <a:noFill/>
                  </pic:spPr>
                </pic:pic>
              </a:graphicData>
            </a:graphic>
          </wp:anchor>
        </w:drawing>
      </w:r>
    </w:p>
    <w:p>
      <w:pPr>
        <w:spacing w:after="0" w:line="213" w:lineRule="exact"/>
        <w:rPr>
          <w:sz w:val="20"/>
          <w:szCs w:val="20"/>
          <w:color w:val="auto"/>
        </w:rPr>
      </w:pPr>
    </w:p>
    <w:p>
      <w:pPr>
        <w:sectPr>
          <w:pgSz w:w="11900" w:h="16838" w:orient="portrait"/>
          <w:cols w:equalWidth="0" w:num="2">
            <w:col w:w="9200" w:space="720"/>
            <w:col w:w="1500"/>
          </w:cols>
          <w:pgMar w:left="240" w:top="728" w:right="239" w:bottom="206" w:gutter="0" w:footer="0" w:header="0"/>
          <w:type w:val="continuous"/>
        </w:sectPr>
      </w:pPr>
    </w:p>
    <w:p>
      <w:pPr>
        <w:spacing w:after="0" w:line="25" w:lineRule="exact"/>
        <w:rPr>
          <w:sz w:val="20"/>
          <w:szCs w:val="20"/>
          <w:color w:val="auto"/>
        </w:rPr>
      </w:pPr>
    </w:p>
    <w:p>
      <w:pPr>
        <w:jc w:val="both"/>
        <w:ind w:right="540"/>
        <w:spacing w:after="0" w:line="229" w:lineRule="auto"/>
        <w:rPr>
          <w:sz w:val="20"/>
          <w:szCs w:val="20"/>
          <w:color w:val="auto"/>
        </w:rPr>
      </w:pPr>
      <w:r>
        <w:rPr>
          <w:rFonts w:ascii="Arial" w:cs="Arial" w:eastAsia="Arial" w:hAnsi="Arial"/>
          <w:sz w:val="18"/>
          <w:szCs w:val="18"/>
          <w:color w:val="auto"/>
        </w:rPr>
        <w:t>Cash flows from Cable ONE for the year ended December 31, 2015 are combined with the cash flows from operations within each of the categories presented. Net Cash Provided by Operating Activities was $109.8 million and Net Cash Used in Investing Activities was $74.4 million.</w:t>
      </w:r>
    </w:p>
    <w:p>
      <w:pPr>
        <w:spacing w:after="0" w:line="119" w:lineRule="exact"/>
        <w:rPr>
          <w:sz w:val="20"/>
          <w:szCs w:val="20"/>
          <w:color w:val="auto"/>
        </w:rPr>
      </w:pPr>
    </w:p>
    <w:p>
      <w:pPr>
        <w:ind w:right="60"/>
        <w:spacing w:after="0" w:line="251" w:lineRule="auto"/>
        <w:rPr>
          <w:sz w:val="20"/>
          <w:szCs w:val="20"/>
          <w:color w:val="auto"/>
        </w:rPr>
      </w:pPr>
      <w:r>
        <w:rPr>
          <w:rFonts w:ascii="Arial" w:cs="Arial" w:eastAsia="Arial" w:hAnsi="Arial"/>
          <w:sz w:val="18"/>
          <w:szCs w:val="18"/>
          <w:i w:val="1"/>
          <w:iCs w:val="1"/>
          <w:color w:val="auto"/>
        </w:rPr>
        <w:t xml:space="preserve">Spin-Off Costs: </w:t>
      </w:r>
      <w:r>
        <w:rPr>
          <w:rFonts w:ascii="Arial" w:cs="Arial" w:eastAsia="Arial" w:hAnsi="Arial"/>
          <w:sz w:val="18"/>
          <w:szCs w:val="18"/>
          <w:color w:val="auto"/>
        </w:rPr>
        <w:t>One-time spin-off transaction, financing and related costs of $7.4 million in 2015 are included in discontinued operations, net of</w:t>
      </w:r>
      <w:r>
        <w:rPr>
          <w:rFonts w:ascii="Arial" w:cs="Arial" w:eastAsia="Arial" w:hAnsi="Arial"/>
          <w:sz w:val="18"/>
          <w:szCs w:val="18"/>
          <w:i w:val="1"/>
          <w:iCs w:val="1"/>
          <w:color w:val="auto"/>
        </w:rPr>
        <w:t xml:space="preserve"> </w:t>
      </w:r>
      <w:r>
        <w:rPr>
          <w:rFonts w:ascii="Arial" w:cs="Arial" w:eastAsia="Arial" w:hAnsi="Arial"/>
          <w:sz w:val="18"/>
          <w:szCs w:val="18"/>
          <w:color w:val="auto"/>
        </w:rPr>
        <w:t>tax.</w:t>
      </w:r>
    </w:p>
    <w:p>
      <w:pPr>
        <w:spacing w:after="0" w:line="103" w:lineRule="exact"/>
        <w:rPr>
          <w:sz w:val="20"/>
          <w:szCs w:val="20"/>
          <w:color w:val="auto"/>
        </w:rPr>
      </w:pPr>
    </w:p>
    <w:p>
      <w:pPr>
        <w:ind w:right="180"/>
        <w:spacing w:after="0" w:line="238" w:lineRule="auto"/>
        <w:rPr>
          <w:sz w:val="20"/>
          <w:szCs w:val="20"/>
          <w:color w:val="auto"/>
        </w:rPr>
      </w:pPr>
      <w:r>
        <w:rPr>
          <w:rFonts w:ascii="Arial" w:cs="Arial" w:eastAsia="Arial" w:hAnsi="Arial"/>
          <w:sz w:val="18"/>
          <w:szCs w:val="18"/>
          <w:b w:val="1"/>
          <w:bCs w:val="1"/>
          <w:color w:val="auto"/>
        </w:rPr>
        <w:t xml:space="preserve">Other Discontinued Operations. </w:t>
      </w:r>
      <w:r>
        <w:rPr>
          <w:rFonts w:ascii="Arial" w:cs="Arial" w:eastAsia="Arial" w:hAnsi="Arial"/>
          <w:sz w:val="18"/>
          <w:szCs w:val="18"/>
          <w:color w:val="auto"/>
        </w:rPr>
        <w:t>In the third quarter of 2014, Kaplan completed the sale of three of its schools in China that were previously</w:t>
      </w:r>
      <w:r>
        <w:rPr>
          <w:rFonts w:ascii="Arial" w:cs="Arial" w:eastAsia="Arial" w:hAnsi="Arial"/>
          <w:sz w:val="18"/>
          <w:szCs w:val="18"/>
          <w:b w:val="1"/>
          <w:bCs w:val="1"/>
          <w:color w:val="auto"/>
        </w:rPr>
        <w:t xml:space="preserve"> </w:t>
      </w:r>
      <w:r>
        <w:rPr>
          <w:rFonts w:ascii="Arial" w:cs="Arial" w:eastAsia="Arial" w:hAnsi="Arial"/>
          <w:sz w:val="18"/>
          <w:szCs w:val="18"/>
          <w:color w:val="auto"/>
        </w:rPr>
        <w:t>included as part of Kaplan International. An additional school in China was sold by Kaplan in January 2015 that resulted in a pre-tax loss of $0.7 million.</w:t>
      </w:r>
    </w:p>
    <w:p>
      <w:pPr>
        <w:spacing w:after="0" w:line="136" w:lineRule="exact"/>
        <w:rPr>
          <w:sz w:val="20"/>
          <w:szCs w:val="20"/>
          <w:color w:val="auto"/>
        </w:rPr>
      </w:pPr>
    </w:p>
    <w:p>
      <w:pPr>
        <w:ind w:right="180"/>
        <w:spacing w:after="0" w:line="229" w:lineRule="auto"/>
        <w:rPr>
          <w:sz w:val="20"/>
          <w:szCs w:val="20"/>
          <w:color w:val="auto"/>
        </w:rPr>
      </w:pPr>
      <w:r>
        <w:rPr>
          <w:rFonts w:ascii="Arial" w:cs="Arial" w:eastAsia="Arial" w:hAnsi="Arial"/>
          <w:sz w:val="18"/>
          <w:szCs w:val="18"/>
          <w:color w:val="auto"/>
        </w:rPr>
        <w:t>The results of operations of Cable ONE and the school in China for 2015, where applicable, are included in the Company’s Consolidated Statements of Operations as income from discontinued operations, net of tax. The Company did not reclassify its Consolidated Statements of Cash Flows to reflect the discontinued operations.</w:t>
      </w:r>
    </w:p>
    <w:p>
      <w:pPr>
        <w:spacing w:after="0" w:line="137" w:lineRule="exact"/>
        <w:rPr>
          <w:sz w:val="20"/>
          <w:szCs w:val="20"/>
          <w:color w:val="auto"/>
        </w:rPr>
      </w:pPr>
    </w:p>
    <w:p>
      <w:pPr>
        <w:spacing w:after="0"/>
        <w:rPr>
          <w:sz w:val="20"/>
          <w:szCs w:val="20"/>
          <w:color w:val="auto"/>
        </w:rPr>
      </w:pPr>
      <w:r>
        <w:rPr>
          <w:rFonts w:ascii="Arial" w:cs="Arial" w:eastAsia="Arial" w:hAnsi="Arial"/>
          <w:sz w:val="18"/>
          <w:szCs w:val="18"/>
          <w:color w:val="auto"/>
        </w:rPr>
        <w:t>The summarized income from discontinued operations, net of tax, is presented below:</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94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700" w:type="dxa"/>
            <w:vAlign w:val="bottom"/>
          </w:tcPr>
          <w:p>
            <w:pPr>
              <w:jc w:val="right"/>
              <w:ind w:right="520"/>
              <w:spacing w:after="0"/>
              <w:rPr>
                <w:sz w:val="20"/>
                <w:szCs w:val="20"/>
                <w:color w:val="auto"/>
              </w:rPr>
            </w:pPr>
            <w:r>
              <w:rPr>
                <w:rFonts w:ascii="Arial" w:cs="Arial" w:eastAsia="Arial" w:hAnsi="Arial"/>
                <w:sz w:val="14"/>
                <w:szCs w:val="14"/>
                <w:color w:val="auto"/>
              </w:rPr>
              <w:t>Year Ended</w:t>
            </w:r>
          </w:p>
        </w:tc>
      </w:tr>
      <w:tr>
        <w:trPr>
          <w:trHeight w:val="222"/>
        </w:trPr>
        <w:tc>
          <w:tcPr>
            <w:tcW w:w="948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(in thousands)</w:t>
            </w:r>
          </w:p>
        </w:tc>
        <w:tc>
          <w:tcPr>
            <w:tcW w:w="240" w:type="dxa"/>
            <w:vAlign w:val="bottom"/>
            <w:tcBorders>
              <w:bottom w:val="single" w:sz="8" w:color="auto"/>
            </w:tcBorders>
          </w:tcPr>
          <w:p>
            <w:pPr>
              <w:spacing w:after="0"/>
              <w:rPr>
                <w:sz w:val="19"/>
                <w:szCs w:val="19"/>
                <w:color w:val="auto"/>
              </w:rPr>
            </w:pPr>
          </w:p>
        </w:tc>
        <w:tc>
          <w:tcPr>
            <w:tcW w:w="1700" w:type="dxa"/>
            <w:vAlign w:val="bottom"/>
            <w:tcBorders>
              <w:bottom w:val="single" w:sz="8" w:color="auto"/>
            </w:tcBorders>
          </w:tcPr>
          <w:p>
            <w:pPr>
              <w:jc w:val="right"/>
              <w:ind w:right="260"/>
              <w:spacing w:after="0"/>
              <w:rPr>
                <w:sz w:val="20"/>
                <w:szCs w:val="20"/>
                <w:color w:val="auto"/>
              </w:rPr>
            </w:pPr>
            <w:r>
              <w:rPr>
                <w:rFonts w:ascii="Arial" w:cs="Arial" w:eastAsia="Arial" w:hAnsi="Arial"/>
                <w:sz w:val="14"/>
                <w:szCs w:val="14"/>
                <w:color w:val="auto"/>
              </w:rPr>
              <w:t>December 31, 2015</w:t>
            </w:r>
          </w:p>
        </w:tc>
      </w:tr>
      <w:tr>
        <w:trPr>
          <w:trHeight w:val="223"/>
        </w:trPr>
        <w:tc>
          <w:tcPr>
            <w:tcW w:w="9480" w:type="dxa"/>
            <w:vAlign w:val="bottom"/>
          </w:tcPr>
          <w:p>
            <w:pPr>
              <w:ind w:left="40"/>
              <w:spacing w:after="0"/>
              <w:rPr>
                <w:sz w:val="20"/>
                <w:szCs w:val="20"/>
                <w:color w:val="auto"/>
              </w:rPr>
            </w:pPr>
            <w:r>
              <w:rPr>
                <w:rFonts w:ascii="Arial" w:cs="Arial" w:eastAsia="Arial" w:hAnsi="Arial"/>
                <w:sz w:val="16"/>
                <w:szCs w:val="16"/>
                <w:color w:val="auto"/>
              </w:rPr>
              <w:t>Operating revenues</w:t>
            </w:r>
          </w:p>
        </w:tc>
        <w:tc>
          <w:tcPr>
            <w:tcW w:w="24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1700" w:type="dxa"/>
            <w:vAlign w:val="bottom"/>
          </w:tcPr>
          <w:p>
            <w:pPr>
              <w:jc w:val="right"/>
              <w:ind w:right="20"/>
              <w:spacing w:after="0"/>
              <w:rPr>
                <w:sz w:val="20"/>
                <w:szCs w:val="20"/>
                <w:color w:val="auto"/>
              </w:rPr>
            </w:pPr>
            <w:r>
              <w:rPr>
                <w:rFonts w:ascii="Arial" w:cs="Arial" w:eastAsia="Arial" w:hAnsi="Arial"/>
                <w:sz w:val="16"/>
                <w:szCs w:val="16"/>
                <w:color w:val="auto"/>
              </w:rPr>
              <w:t>397,404</w:t>
            </w:r>
          </w:p>
        </w:tc>
      </w:tr>
      <w:tr>
        <w:trPr>
          <w:trHeight w:val="256"/>
        </w:trPr>
        <w:tc>
          <w:tcPr>
            <w:tcW w:w="9480" w:type="dxa"/>
            <w:vAlign w:val="bottom"/>
          </w:tcPr>
          <w:p>
            <w:pPr>
              <w:ind w:left="40"/>
              <w:spacing w:after="0"/>
              <w:rPr>
                <w:sz w:val="20"/>
                <w:szCs w:val="20"/>
                <w:color w:val="auto"/>
              </w:rPr>
            </w:pPr>
            <w:r>
              <w:rPr>
                <w:rFonts w:ascii="Arial" w:cs="Arial" w:eastAsia="Arial" w:hAnsi="Arial"/>
                <w:sz w:val="16"/>
                <w:szCs w:val="16"/>
                <w:color w:val="auto"/>
              </w:rPr>
              <w:t>Operating costs and expenses</w:t>
            </w:r>
          </w:p>
        </w:tc>
        <w:tc>
          <w:tcPr>
            <w:tcW w:w="240" w:type="dxa"/>
            <w:vAlign w:val="bottom"/>
            <w:tcBorders>
              <w:bottom w:val="single" w:sz="8" w:color="auto"/>
            </w:tcBorders>
          </w:tcPr>
          <w:p>
            <w:pPr>
              <w:spacing w:after="0"/>
              <w:rPr>
                <w:sz w:val="22"/>
                <w:szCs w:val="22"/>
                <w:color w:val="auto"/>
              </w:rPr>
            </w:pPr>
          </w:p>
        </w:tc>
        <w:tc>
          <w:tcPr>
            <w:tcW w:w="17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(325,379)</w:t>
            </w:r>
          </w:p>
        </w:tc>
      </w:tr>
      <w:tr>
        <w:trPr>
          <w:trHeight w:val="224"/>
        </w:trPr>
        <w:tc>
          <w:tcPr>
            <w:tcW w:w="9480" w:type="dxa"/>
            <w:vAlign w:val="bottom"/>
          </w:tcPr>
          <w:p>
            <w:pPr>
              <w:ind w:left="40"/>
              <w:spacing w:after="0"/>
              <w:rPr>
                <w:sz w:val="20"/>
                <w:szCs w:val="20"/>
                <w:color w:val="auto"/>
              </w:rPr>
            </w:pPr>
            <w:r>
              <w:rPr>
                <w:rFonts w:ascii="Arial" w:cs="Arial" w:eastAsia="Arial" w:hAnsi="Arial"/>
                <w:sz w:val="16"/>
                <w:szCs w:val="16"/>
                <w:color w:val="auto"/>
              </w:rPr>
              <w:t>Operating income</w:t>
            </w:r>
          </w:p>
        </w:tc>
        <w:tc>
          <w:tcPr>
            <w:tcW w:w="240" w:type="dxa"/>
            <w:vAlign w:val="bottom"/>
          </w:tcPr>
          <w:p>
            <w:pPr>
              <w:spacing w:after="0"/>
              <w:rPr>
                <w:sz w:val="19"/>
                <w:szCs w:val="19"/>
                <w:color w:val="auto"/>
              </w:rPr>
            </w:pPr>
          </w:p>
        </w:tc>
        <w:tc>
          <w:tcPr>
            <w:tcW w:w="1700" w:type="dxa"/>
            <w:vAlign w:val="bottom"/>
          </w:tcPr>
          <w:p>
            <w:pPr>
              <w:jc w:val="right"/>
              <w:ind w:right="20"/>
              <w:spacing w:after="0"/>
              <w:rPr>
                <w:sz w:val="20"/>
                <w:szCs w:val="20"/>
                <w:color w:val="auto"/>
              </w:rPr>
            </w:pPr>
            <w:r>
              <w:rPr>
                <w:rFonts w:ascii="Arial" w:cs="Arial" w:eastAsia="Arial" w:hAnsi="Arial"/>
                <w:sz w:val="16"/>
                <w:szCs w:val="16"/>
                <w:color w:val="auto"/>
              </w:rPr>
              <w:t>72,025</w:t>
            </w:r>
          </w:p>
        </w:tc>
      </w:tr>
      <w:tr>
        <w:trPr>
          <w:trHeight w:val="256"/>
        </w:trPr>
        <w:tc>
          <w:tcPr>
            <w:tcW w:w="9480" w:type="dxa"/>
            <w:vAlign w:val="bottom"/>
          </w:tcPr>
          <w:p>
            <w:pPr>
              <w:ind w:left="40"/>
              <w:spacing w:after="0"/>
              <w:rPr>
                <w:sz w:val="20"/>
                <w:szCs w:val="20"/>
                <w:color w:val="auto"/>
              </w:rPr>
            </w:pPr>
            <w:r>
              <w:rPr>
                <w:rFonts w:ascii="Arial" w:cs="Arial" w:eastAsia="Arial" w:hAnsi="Arial"/>
                <w:sz w:val="16"/>
                <w:szCs w:val="16"/>
                <w:color w:val="auto"/>
              </w:rPr>
              <w:t>Non-operating expense</w:t>
            </w:r>
          </w:p>
        </w:tc>
        <w:tc>
          <w:tcPr>
            <w:tcW w:w="240" w:type="dxa"/>
            <w:vAlign w:val="bottom"/>
            <w:tcBorders>
              <w:bottom w:val="single" w:sz="8" w:color="auto"/>
            </w:tcBorders>
          </w:tcPr>
          <w:p>
            <w:pPr>
              <w:spacing w:after="0"/>
              <w:rPr>
                <w:sz w:val="22"/>
                <w:szCs w:val="22"/>
                <w:color w:val="auto"/>
              </w:rPr>
            </w:pPr>
          </w:p>
        </w:tc>
        <w:tc>
          <w:tcPr>
            <w:tcW w:w="17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(1,288)</w:t>
            </w:r>
          </w:p>
        </w:tc>
      </w:tr>
      <w:tr>
        <w:trPr>
          <w:trHeight w:val="224"/>
        </w:trPr>
        <w:tc>
          <w:tcPr>
            <w:tcW w:w="9480" w:type="dxa"/>
            <w:vAlign w:val="bottom"/>
          </w:tcPr>
          <w:p>
            <w:pPr>
              <w:ind w:left="40"/>
              <w:spacing w:after="0"/>
              <w:rPr>
                <w:sz w:val="20"/>
                <w:szCs w:val="20"/>
                <w:color w:val="auto"/>
              </w:rPr>
            </w:pPr>
            <w:r>
              <w:rPr>
                <w:rFonts w:ascii="Arial" w:cs="Arial" w:eastAsia="Arial" w:hAnsi="Arial"/>
                <w:sz w:val="16"/>
                <w:szCs w:val="16"/>
                <w:color w:val="auto"/>
              </w:rPr>
              <w:t>Income from discontinued operations</w:t>
            </w:r>
          </w:p>
        </w:tc>
        <w:tc>
          <w:tcPr>
            <w:tcW w:w="240" w:type="dxa"/>
            <w:vAlign w:val="bottom"/>
          </w:tcPr>
          <w:p>
            <w:pPr>
              <w:spacing w:after="0"/>
              <w:rPr>
                <w:sz w:val="19"/>
                <w:szCs w:val="19"/>
                <w:color w:val="auto"/>
              </w:rPr>
            </w:pPr>
          </w:p>
        </w:tc>
        <w:tc>
          <w:tcPr>
            <w:tcW w:w="1700" w:type="dxa"/>
            <w:vAlign w:val="bottom"/>
          </w:tcPr>
          <w:p>
            <w:pPr>
              <w:jc w:val="right"/>
              <w:ind w:right="20"/>
              <w:spacing w:after="0"/>
              <w:rPr>
                <w:sz w:val="20"/>
                <w:szCs w:val="20"/>
                <w:color w:val="auto"/>
              </w:rPr>
            </w:pPr>
            <w:r>
              <w:rPr>
                <w:rFonts w:ascii="Arial" w:cs="Arial" w:eastAsia="Arial" w:hAnsi="Arial"/>
                <w:sz w:val="16"/>
                <w:szCs w:val="16"/>
                <w:color w:val="auto"/>
              </w:rPr>
              <w:t>70,737</w:t>
            </w:r>
          </w:p>
        </w:tc>
      </w:tr>
      <w:tr>
        <w:trPr>
          <w:trHeight w:val="256"/>
        </w:trPr>
        <w:tc>
          <w:tcPr>
            <w:tcW w:w="9480" w:type="dxa"/>
            <w:vAlign w:val="bottom"/>
          </w:tcPr>
          <w:p>
            <w:pPr>
              <w:ind w:left="40"/>
              <w:spacing w:after="0"/>
              <w:rPr>
                <w:sz w:val="20"/>
                <w:szCs w:val="20"/>
                <w:color w:val="auto"/>
              </w:rPr>
            </w:pPr>
            <w:r>
              <w:rPr>
                <w:rFonts w:ascii="Arial" w:cs="Arial" w:eastAsia="Arial" w:hAnsi="Arial"/>
                <w:sz w:val="16"/>
                <w:szCs w:val="16"/>
                <w:color w:val="auto"/>
              </w:rPr>
              <w:t>Provision for income taxes</w:t>
            </w:r>
          </w:p>
        </w:tc>
        <w:tc>
          <w:tcPr>
            <w:tcW w:w="240" w:type="dxa"/>
            <w:vAlign w:val="bottom"/>
            <w:tcBorders>
              <w:bottom w:val="single" w:sz="8" w:color="auto"/>
            </w:tcBorders>
          </w:tcPr>
          <w:p>
            <w:pPr>
              <w:spacing w:after="0"/>
              <w:rPr>
                <w:sz w:val="22"/>
                <w:szCs w:val="22"/>
                <w:color w:val="auto"/>
              </w:rPr>
            </w:pPr>
          </w:p>
        </w:tc>
        <w:tc>
          <w:tcPr>
            <w:tcW w:w="170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27,783</w:t>
            </w:r>
          </w:p>
        </w:tc>
      </w:tr>
      <w:tr>
        <w:trPr>
          <w:trHeight w:val="224"/>
        </w:trPr>
        <w:tc>
          <w:tcPr>
            <w:tcW w:w="9480" w:type="dxa"/>
            <w:vAlign w:val="bottom"/>
          </w:tcPr>
          <w:p>
            <w:pPr>
              <w:ind w:left="40"/>
              <w:spacing w:after="0"/>
              <w:rPr>
                <w:sz w:val="20"/>
                <w:szCs w:val="20"/>
                <w:color w:val="auto"/>
              </w:rPr>
            </w:pPr>
            <w:r>
              <w:rPr>
                <w:rFonts w:ascii="Arial" w:cs="Arial" w:eastAsia="Arial" w:hAnsi="Arial"/>
                <w:sz w:val="16"/>
                <w:szCs w:val="16"/>
                <w:b w:val="1"/>
                <w:bCs w:val="1"/>
                <w:color w:val="auto"/>
              </w:rPr>
              <w:t>Net Income from Discontinued Operations</w:t>
            </w:r>
          </w:p>
        </w:tc>
        <w:tc>
          <w:tcPr>
            <w:tcW w:w="240" w:type="dxa"/>
            <w:vAlign w:val="bottom"/>
          </w:tcPr>
          <w:p>
            <w:pPr>
              <w:spacing w:after="0"/>
              <w:rPr>
                <w:sz w:val="19"/>
                <w:szCs w:val="19"/>
                <w:color w:val="auto"/>
              </w:rPr>
            </w:pPr>
          </w:p>
        </w:tc>
        <w:tc>
          <w:tcPr>
            <w:tcW w:w="1700" w:type="dxa"/>
            <w:vAlign w:val="bottom"/>
          </w:tcPr>
          <w:p>
            <w:pPr>
              <w:jc w:val="right"/>
              <w:ind w:right="20"/>
              <w:spacing w:after="0"/>
              <w:rPr>
                <w:sz w:val="20"/>
                <w:szCs w:val="20"/>
                <w:color w:val="auto"/>
              </w:rPr>
            </w:pPr>
            <w:r>
              <w:rPr>
                <w:rFonts w:ascii="Arial" w:cs="Arial" w:eastAsia="Arial" w:hAnsi="Arial"/>
                <w:sz w:val="16"/>
                <w:szCs w:val="16"/>
                <w:color w:val="auto"/>
              </w:rPr>
              <w:t>42,954</w:t>
            </w:r>
          </w:p>
        </w:tc>
      </w:tr>
      <w:tr>
        <w:trPr>
          <w:trHeight w:val="243"/>
        </w:trPr>
        <w:tc>
          <w:tcPr>
            <w:tcW w:w="9480" w:type="dxa"/>
            <w:vAlign w:val="bottom"/>
          </w:tcPr>
          <w:p>
            <w:pPr>
              <w:ind w:left="40"/>
              <w:spacing w:after="0"/>
              <w:rPr>
                <w:sz w:val="20"/>
                <w:szCs w:val="20"/>
                <w:color w:val="auto"/>
              </w:rPr>
            </w:pPr>
            <w:r>
              <w:rPr>
                <w:rFonts w:ascii="Arial" w:cs="Arial" w:eastAsia="Arial" w:hAnsi="Arial"/>
                <w:sz w:val="16"/>
                <w:szCs w:val="16"/>
                <w:color w:val="auto"/>
              </w:rPr>
              <w:t>Loss on disposition of discontinued operations</w:t>
            </w:r>
          </w:p>
        </w:tc>
        <w:tc>
          <w:tcPr>
            <w:tcW w:w="240" w:type="dxa"/>
            <w:vAlign w:val="bottom"/>
          </w:tcPr>
          <w:p>
            <w:pPr>
              <w:spacing w:after="0"/>
              <w:rPr>
                <w:sz w:val="21"/>
                <w:szCs w:val="21"/>
                <w:color w:val="auto"/>
              </w:rPr>
            </w:pPr>
          </w:p>
        </w:tc>
        <w:tc>
          <w:tcPr>
            <w:tcW w:w="1700" w:type="dxa"/>
            <w:vAlign w:val="bottom"/>
          </w:tcPr>
          <w:p>
            <w:pPr>
              <w:jc w:val="right"/>
              <w:spacing w:after="0"/>
              <w:rPr>
                <w:sz w:val="20"/>
                <w:szCs w:val="20"/>
                <w:color w:val="auto"/>
              </w:rPr>
            </w:pPr>
            <w:r>
              <w:rPr>
                <w:rFonts w:ascii="Arial" w:cs="Arial" w:eastAsia="Arial" w:hAnsi="Arial"/>
                <w:sz w:val="16"/>
                <w:szCs w:val="16"/>
                <w:color w:val="auto"/>
              </w:rPr>
              <w:t>(732)</w:t>
            </w:r>
          </w:p>
        </w:tc>
      </w:tr>
      <w:tr>
        <w:trPr>
          <w:trHeight w:val="256"/>
        </w:trPr>
        <w:tc>
          <w:tcPr>
            <w:tcW w:w="9480" w:type="dxa"/>
            <w:vAlign w:val="bottom"/>
          </w:tcPr>
          <w:p>
            <w:pPr>
              <w:ind w:left="40"/>
              <w:spacing w:after="0"/>
              <w:rPr>
                <w:sz w:val="20"/>
                <w:szCs w:val="20"/>
                <w:color w:val="auto"/>
              </w:rPr>
            </w:pPr>
            <w:r>
              <w:rPr>
                <w:rFonts w:ascii="Arial" w:cs="Arial" w:eastAsia="Arial" w:hAnsi="Arial"/>
                <w:sz w:val="16"/>
                <w:szCs w:val="16"/>
                <w:color w:val="auto"/>
              </w:rPr>
              <w:t>Provision for income taxes on disposition of discontinued operations</w:t>
            </w:r>
          </w:p>
        </w:tc>
        <w:tc>
          <w:tcPr>
            <w:tcW w:w="240" w:type="dxa"/>
            <w:vAlign w:val="bottom"/>
            <w:tcBorders>
              <w:bottom w:val="single" w:sz="8" w:color="auto"/>
            </w:tcBorders>
          </w:tcPr>
          <w:p>
            <w:pPr>
              <w:spacing w:after="0"/>
              <w:rPr>
                <w:sz w:val="22"/>
                <w:szCs w:val="22"/>
                <w:color w:val="auto"/>
              </w:rPr>
            </w:pPr>
          </w:p>
        </w:tc>
        <w:tc>
          <w:tcPr>
            <w:tcW w:w="170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52</w:t>
            </w:r>
          </w:p>
        </w:tc>
      </w:tr>
      <w:tr>
        <w:trPr>
          <w:trHeight w:val="240"/>
        </w:trPr>
        <w:tc>
          <w:tcPr>
            <w:tcW w:w="9480" w:type="dxa"/>
            <w:vAlign w:val="bottom"/>
          </w:tcPr>
          <w:p>
            <w:pPr>
              <w:ind w:left="40"/>
              <w:spacing w:after="0"/>
              <w:rPr>
                <w:sz w:val="20"/>
                <w:szCs w:val="20"/>
                <w:color w:val="auto"/>
              </w:rPr>
            </w:pPr>
            <w:r>
              <w:rPr>
                <w:rFonts w:ascii="Arial" w:cs="Arial" w:eastAsia="Arial" w:hAnsi="Arial"/>
                <w:sz w:val="16"/>
                <w:szCs w:val="16"/>
                <w:b w:val="1"/>
                <w:bCs w:val="1"/>
                <w:color w:val="auto"/>
              </w:rPr>
              <w:t>Income from Discontinued Operations, Net of Tax</w:t>
            </w:r>
          </w:p>
        </w:tc>
        <w:tc>
          <w:tcPr>
            <w:tcW w:w="24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170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42,170</w:t>
            </w:r>
          </w:p>
        </w:tc>
      </w:tr>
      <w:tr>
        <w:trPr>
          <w:trHeight w:val="20"/>
        </w:trPr>
        <w:tc>
          <w:tcPr>
            <w:tcW w:w="94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r>
    </w:tbl>
    <w:p>
      <w:pPr>
        <w:spacing w:after="0" w:line="126" w:lineRule="exact"/>
        <w:rPr>
          <w:sz w:val="20"/>
          <w:szCs w:val="20"/>
          <w:color w:val="auto"/>
        </w:rPr>
      </w:pPr>
    </w:p>
    <w:p>
      <w:pPr>
        <w:ind w:left="500" w:hanging="492"/>
        <w:spacing w:after="0"/>
        <w:tabs>
          <w:tab w:leader="none" w:pos="500" w:val="left"/>
        </w:tabs>
        <w:numPr>
          <w:ilvl w:val="0"/>
          <w:numId w:val="64"/>
        </w:numPr>
        <w:rPr>
          <w:rFonts w:ascii="Arial" w:cs="Arial" w:eastAsia="Arial" w:hAnsi="Arial"/>
          <w:sz w:val="18"/>
          <w:szCs w:val="18"/>
          <w:b w:val="1"/>
          <w:bCs w:val="1"/>
          <w:color w:val="auto"/>
        </w:rPr>
      </w:pPr>
      <w:r>
        <w:rPr>
          <w:rFonts w:ascii="Arial" w:cs="Arial" w:eastAsia="Arial" w:hAnsi="Arial"/>
          <w:sz w:val="18"/>
          <w:szCs w:val="18"/>
          <w:b w:val="1"/>
          <w:bCs w:val="1"/>
          <w:color w:val="auto"/>
        </w:rPr>
        <w:t>INVESTMENTS</w:t>
      </w:r>
    </w:p>
    <w:p>
      <w:pPr>
        <w:spacing w:after="0" w:line="144" w:lineRule="exact"/>
        <w:rPr>
          <w:sz w:val="20"/>
          <w:szCs w:val="20"/>
          <w:color w:val="auto"/>
        </w:rPr>
      </w:pPr>
    </w:p>
    <w:p>
      <w:pPr>
        <w:jc w:val="both"/>
        <w:ind w:right="220"/>
        <w:spacing w:after="0" w:line="238" w:lineRule="auto"/>
        <w:rPr>
          <w:sz w:val="20"/>
          <w:szCs w:val="20"/>
          <w:color w:val="auto"/>
        </w:rPr>
      </w:pPr>
      <w:r>
        <w:rPr>
          <w:rFonts w:ascii="Arial" w:cs="Arial" w:eastAsia="Arial" w:hAnsi="Arial"/>
          <w:sz w:val="18"/>
          <w:szCs w:val="18"/>
          <w:b w:val="1"/>
          <w:bCs w:val="1"/>
          <w:color w:val="auto"/>
        </w:rPr>
        <w:t xml:space="preserve">Commercial Paper and Money Market Investments. </w:t>
      </w:r>
      <w:r>
        <w:rPr>
          <w:rFonts w:ascii="Arial" w:cs="Arial" w:eastAsia="Arial" w:hAnsi="Arial"/>
          <w:sz w:val="18"/>
          <w:szCs w:val="18"/>
          <w:color w:val="auto"/>
        </w:rPr>
        <w:t>As of December 31, 2017 and 2016, the Company had commercial paper and money</w:t>
      </w:r>
      <w:r>
        <w:rPr>
          <w:rFonts w:ascii="Arial" w:cs="Arial" w:eastAsia="Arial" w:hAnsi="Arial"/>
          <w:sz w:val="18"/>
          <w:szCs w:val="18"/>
          <w:b w:val="1"/>
          <w:bCs w:val="1"/>
          <w:color w:val="auto"/>
        </w:rPr>
        <w:t xml:space="preserve"> </w:t>
      </w:r>
      <w:r>
        <w:rPr>
          <w:rFonts w:ascii="Arial" w:cs="Arial" w:eastAsia="Arial" w:hAnsi="Arial"/>
          <w:sz w:val="18"/>
          <w:szCs w:val="18"/>
          <w:color w:val="auto"/>
        </w:rPr>
        <w:t>market investments of $217.6 million and $485.1 million, respectively, that are classified as cash, cash equivalents and restricted cash in the Company’s Consolidated Balance Sheets.</w:t>
      </w:r>
    </w:p>
    <w:p>
      <w:pPr>
        <w:sectPr>
          <w:pgSz w:w="11900" w:h="16838" w:orient="portrait"/>
          <w:cols w:equalWidth="0" w:num="1">
            <w:col w:w="11420"/>
          </w:cols>
          <w:pgMar w:left="240" w:top="728" w:right="239" w:bottom="206" w:gutter="0" w:footer="0" w:header="0"/>
          <w:type w:val="continuous"/>
        </w:sectPr>
      </w:pPr>
    </w:p>
    <w:p>
      <w:pPr>
        <w:spacing w:after="0" w:line="200" w:lineRule="exact"/>
        <w:rPr>
          <w:sz w:val="20"/>
          <w:szCs w:val="20"/>
          <w:color w:val="auto"/>
        </w:rPr>
      </w:pPr>
    </w:p>
    <w:p>
      <w:pPr>
        <w:spacing w:after="0" w:line="300"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87</w:t>
      </w:r>
    </w:p>
    <w:p>
      <w:pPr>
        <w:sectPr>
          <w:pgSz w:w="11900" w:h="16838" w:orient="portrait"/>
          <w:cols w:equalWidth="0" w:num="1">
            <w:col w:w="11420"/>
          </w:cols>
          <w:pgMar w:left="240" w:top="728" w:right="239" w:bottom="206" w:gutter="0" w:footer="0" w:header="0"/>
          <w:type w:val="continuous"/>
        </w:sectPr>
      </w:pPr>
    </w:p>
    <w:bookmarkStart w:id="90" w:name="page91"/>
    <w:bookmarkEnd w:id="90"/>
    <w:p>
      <w:pPr>
        <w:spacing w:after="0"/>
        <w:rPr>
          <w:sz w:val="20"/>
          <w:szCs w:val="20"/>
          <w:color w:val="auto"/>
        </w:rPr>
      </w:pPr>
      <w:r>
        <w:rPr>
          <w:rFonts w:ascii="Arial" w:cs="Arial" w:eastAsia="Arial" w:hAnsi="Arial"/>
          <w:sz w:val="18"/>
          <w:szCs w:val="18"/>
          <w:b w:val="1"/>
          <w:bCs w:val="1"/>
          <w:color w:val="auto"/>
        </w:rPr>
        <w:t xml:space="preserve">Investments in Marketable Equity Securities. </w:t>
      </w:r>
      <w:r>
        <w:rPr>
          <w:rFonts w:ascii="Arial" w:cs="Arial" w:eastAsia="Arial" w:hAnsi="Arial"/>
          <w:sz w:val="18"/>
          <w:szCs w:val="18"/>
          <w:color w:val="auto"/>
        </w:rPr>
        <w:t>Investments in marketable equity securities consist of the following:</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9020" w:type="dxa"/>
            <w:vAlign w:val="bottom"/>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2120" w:type="dxa"/>
            <w:vAlign w:val="bottom"/>
            <w:tcBorders>
              <w:bottom w:val="single" w:sz="8" w:color="auto"/>
            </w:tcBorders>
            <w:gridSpan w:val="3"/>
          </w:tcPr>
          <w:p>
            <w:pPr>
              <w:jc w:val="right"/>
              <w:ind w:right="461"/>
              <w:spacing w:after="0"/>
              <w:rPr>
                <w:sz w:val="20"/>
                <w:szCs w:val="20"/>
                <w:color w:val="auto"/>
              </w:rPr>
            </w:pPr>
            <w:r>
              <w:rPr>
                <w:rFonts w:ascii="Arial" w:cs="Arial" w:eastAsia="Arial" w:hAnsi="Arial"/>
                <w:sz w:val="14"/>
                <w:szCs w:val="14"/>
                <w:b w:val="1"/>
                <w:bCs w:val="1"/>
                <w:color w:val="auto"/>
              </w:rPr>
              <w:t>As of December 31</w:t>
            </w:r>
          </w:p>
        </w:tc>
      </w:tr>
      <w:tr>
        <w:trPr>
          <w:trHeight w:val="264"/>
        </w:trPr>
        <w:tc>
          <w:tcPr>
            <w:tcW w:w="902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(in thousands)</w:t>
            </w:r>
          </w:p>
        </w:tc>
        <w:tc>
          <w:tcPr>
            <w:tcW w:w="28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ind w:right="363"/>
              <w:spacing w:after="0"/>
              <w:rPr>
                <w:sz w:val="20"/>
                <w:szCs w:val="20"/>
                <w:color w:val="auto"/>
              </w:rPr>
            </w:pPr>
            <w:r>
              <w:rPr>
                <w:rFonts w:ascii="Arial" w:cs="Arial" w:eastAsia="Arial" w:hAnsi="Arial"/>
                <w:sz w:val="14"/>
                <w:szCs w:val="14"/>
                <w:b w:val="1"/>
                <w:bCs w:val="1"/>
                <w:color w:val="auto"/>
              </w:rPr>
              <w:t>2017</w:t>
            </w:r>
          </w:p>
        </w:tc>
        <w:tc>
          <w:tcPr>
            <w:tcW w:w="34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ind w:right="321"/>
              <w:spacing w:after="0"/>
              <w:rPr>
                <w:sz w:val="20"/>
                <w:szCs w:val="20"/>
                <w:color w:val="auto"/>
              </w:rPr>
            </w:pPr>
            <w:r>
              <w:rPr>
                <w:rFonts w:ascii="Arial" w:cs="Arial" w:eastAsia="Arial" w:hAnsi="Arial"/>
                <w:sz w:val="14"/>
                <w:szCs w:val="14"/>
                <w:color w:val="auto"/>
              </w:rPr>
              <w:t>2016</w:t>
            </w:r>
          </w:p>
        </w:tc>
      </w:tr>
      <w:tr>
        <w:trPr>
          <w:trHeight w:val="250"/>
        </w:trPr>
        <w:tc>
          <w:tcPr>
            <w:tcW w:w="9020" w:type="dxa"/>
            <w:vAlign w:val="bottom"/>
          </w:tcPr>
          <w:p>
            <w:pPr>
              <w:ind w:left="40"/>
              <w:spacing w:after="0"/>
              <w:rPr>
                <w:sz w:val="20"/>
                <w:szCs w:val="20"/>
                <w:color w:val="auto"/>
              </w:rPr>
            </w:pPr>
            <w:r>
              <w:rPr>
                <w:rFonts w:ascii="Arial" w:cs="Arial" w:eastAsia="Arial" w:hAnsi="Arial"/>
                <w:sz w:val="16"/>
                <w:szCs w:val="16"/>
                <w:color w:val="auto"/>
              </w:rPr>
              <w:t>Total cost</w:t>
            </w:r>
          </w:p>
        </w:tc>
        <w:tc>
          <w:tcPr>
            <w:tcW w:w="280" w:type="dxa"/>
            <w:vAlign w:val="bottom"/>
          </w:tcPr>
          <w:p>
            <w:pPr>
              <w:jc w:val="right"/>
              <w:ind w:right="79"/>
              <w:spacing w:after="0"/>
              <w:rPr>
                <w:sz w:val="20"/>
                <w:szCs w:val="20"/>
                <w:color w:val="auto"/>
              </w:rPr>
            </w:pPr>
            <w:r>
              <w:rPr>
                <w:rFonts w:ascii="Arial" w:cs="Arial" w:eastAsia="Arial" w:hAnsi="Arial"/>
                <w:sz w:val="16"/>
                <w:szCs w:val="16"/>
                <w:b w:val="1"/>
                <w:bCs w:val="1"/>
                <w:color w:val="auto"/>
              </w:rPr>
              <w:t>$</w:t>
            </w:r>
          </w:p>
        </w:tc>
        <w:tc>
          <w:tcPr>
            <w:tcW w:w="900" w:type="dxa"/>
            <w:vAlign w:val="bottom"/>
          </w:tcPr>
          <w:p>
            <w:pPr>
              <w:jc w:val="right"/>
              <w:ind w:right="63"/>
              <w:spacing w:after="0"/>
              <w:rPr>
                <w:sz w:val="20"/>
                <w:szCs w:val="20"/>
                <w:color w:val="auto"/>
              </w:rPr>
            </w:pPr>
            <w:r>
              <w:rPr>
                <w:rFonts w:ascii="Arial" w:cs="Arial" w:eastAsia="Arial" w:hAnsi="Arial"/>
                <w:sz w:val="16"/>
                <w:szCs w:val="16"/>
                <w:b w:val="1"/>
                <w:bCs w:val="1"/>
                <w:color w:val="auto"/>
              </w:rPr>
              <w:t>269,343</w:t>
            </w:r>
          </w:p>
        </w:tc>
        <w:tc>
          <w:tcPr>
            <w:tcW w:w="34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880" w:type="dxa"/>
            <w:vAlign w:val="bottom"/>
          </w:tcPr>
          <w:p>
            <w:pPr>
              <w:jc w:val="right"/>
              <w:ind w:right="21"/>
              <w:spacing w:after="0"/>
              <w:rPr>
                <w:sz w:val="20"/>
                <w:szCs w:val="20"/>
                <w:color w:val="auto"/>
              </w:rPr>
            </w:pPr>
            <w:r>
              <w:rPr>
                <w:rFonts w:ascii="Arial" w:cs="Arial" w:eastAsia="Arial" w:hAnsi="Arial"/>
                <w:sz w:val="16"/>
                <w:szCs w:val="16"/>
                <w:color w:val="auto"/>
              </w:rPr>
              <w:t>269,343</w:t>
            </w:r>
          </w:p>
        </w:tc>
      </w:tr>
      <w:tr>
        <w:trPr>
          <w:trHeight w:val="283"/>
        </w:trPr>
        <w:tc>
          <w:tcPr>
            <w:tcW w:w="9020" w:type="dxa"/>
            <w:vAlign w:val="bottom"/>
          </w:tcPr>
          <w:p>
            <w:pPr>
              <w:ind w:left="40"/>
              <w:spacing w:after="0"/>
              <w:rPr>
                <w:sz w:val="20"/>
                <w:szCs w:val="20"/>
                <w:color w:val="auto"/>
              </w:rPr>
            </w:pPr>
            <w:r>
              <w:rPr>
                <w:rFonts w:ascii="Arial" w:cs="Arial" w:eastAsia="Arial" w:hAnsi="Arial"/>
                <w:sz w:val="16"/>
                <w:szCs w:val="16"/>
                <w:color w:val="auto"/>
              </w:rPr>
              <w:t>Gross unrealized gains</w:t>
            </w:r>
          </w:p>
        </w:tc>
        <w:tc>
          <w:tcPr>
            <w:tcW w:w="28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jc w:val="right"/>
              <w:ind w:right="63"/>
              <w:spacing w:after="0"/>
              <w:rPr>
                <w:sz w:val="20"/>
                <w:szCs w:val="20"/>
                <w:color w:val="auto"/>
              </w:rPr>
            </w:pPr>
            <w:r>
              <w:rPr>
                <w:rFonts w:ascii="Arial" w:cs="Arial" w:eastAsia="Arial" w:hAnsi="Arial"/>
                <w:sz w:val="16"/>
                <w:szCs w:val="16"/>
                <w:b w:val="1"/>
                <w:bCs w:val="1"/>
                <w:color w:val="auto"/>
              </w:rPr>
              <w:t>266,972</w:t>
            </w:r>
          </w:p>
        </w:tc>
        <w:tc>
          <w:tcPr>
            <w:tcW w:w="34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jc w:val="right"/>
              <w:ind w:right="21"/>
              <w:spacing w:after="0"/>
              <w:rPr>
                <w:sz w:val="20"/>
                <w:szCs w:val="20"/>
                <w:color w:val="auto"/>
              </w:rPr>
            </w:pPr>
            <w:r>
              <w:rPr>
                <w:rFonts w:ascii="Arial" w:cs="Arial" w:eastAsia="Arial" w:hAnsi="Arial"/>
                <w:sz w:val="16"/>
                <w:szCs w:val="16"/>
                <w:color w:val="auto"/>
              </w:rPr>
              <w:t>154,886</w:t>
            </w:r>
          </w:p>
        </w:tc>
      </w:tr>
      <w:tr>
        <w:trPr>
          <w:trHeight w:val="267"/>
        </w:trPr>
        <w:tc>
          <w:tcPr>
            <w:tcW w:w="9020" w:type="dxa"/>
            <w:vAlign w:val="bottom"/>
          </w:tcPr>
          <w:p>
            <w:pPr>
              <w:ind w:left="40"/>
              <w:spacing w:after="0"/>
              <w:rPr>
                <w:sz w:val="20"/>
                <w:szCs w:val="20"/>
                <w:color w:val="auto"/>
              </w:rPr>
            </w:pPr>
            <w:r>
              <w:rPr>
                <w:rFonts w:ascii="Arial" w:cs="Arial" w:eastAsia="Arial" w:hAnsi="Arial"/>
                <w:sz w:val="16"/>
                <w:szCs w:val="16"/>
                <w:b w:val="1"/>
                <w:bCs w:val="1"/>
                <w:color w:val="auto"/>
              </w:rPr>
              <w:t>Total Fair Value</w:t>
            </w:r>
          </w:p>
        </w:tc>
        <w:tc>
          <w:tcPr>
            <w:tcW w:w="28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b w:val="1"/>
                <w:bCs w:val="1"/>
                <w:color w:val="auto"/>
              </w:rPr>
              <w:t>$</w:t>
            </w:r>
          </w:p>
        </w:tc>
        <w:tc>
          <w:tcPr>
            <w:tcW w:w="900" w:type="dxa"/>
            <w:vAlign w:val="bottom"/>
            <w:tcBorders>
              <w:bottom w:val="single" w:sz="8" w:color="auto"/>
            </w:tcBorders>
          </w:tcPr>
          <w:p>
            <w:pPr>
              <w:jc w:val="right"/>
              <w:ind w:right="63"/>
              <w:spacing w:after="0"/>
              <w:rPr>
                <w:sz w:val="20"/>
                <w:szCs w:val="20"/>
                <w:color w:val="auto"/>
              </w:rPr>
            </w:pPr>
            <w:r>
              <w:rPr>
                <w:rFonts w:ascii="Arial" w:cs="Arial" w:eastAsia="Arial" w:hAnsi="Arial"/>
                <w:sz w:val="16"/>
                <w:szCs w:val="16"/>
                <w:b w:val="1"/>
                <w:bCs w:val="1"/>
                <w:color w:val="auto"/>
              </w:rPr>
              <w:t>536,315</w:t>
            </w:r>
          </w:p>
        </w:tc>
        <w:tc>
          <w:tcPr>
            <w:tcW w:w="34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w:t>
            </w:r>
          </w:p>
        </w:tc>
        <w:tc>
          <w:tcPr>
            <w:tcW w:w="880" w:type="dxa"/>
            <w:vAlign w:val="bottom"/>
            <w:tcBorders>
              <w:bottom w:val="single" w:sz="8" w:color="auto"/>
            </w:tcBorders>
          </w:tcPr>
          <w:p>
            <w:pPr>
              <w:jc w:val="right"/>
              <w:ind w:right="21"/>
              <w:spacing w:after="0"/>
              <w:rPr>
                <w:sz w:val="20"/>
                <w:szCs w:val="20"/>
                <w:color w:val="auto"/>
              </w:rPr>
            </w:pPr>
            <w:r>
              <w:rPr>
                <w:rFonts w:ascii="Arial" w:cs="Arial" w:eastAsia="Arial" w:hAnsi="Arial"/>
                <w:sz w:val="16"/>
                <w:szCs w:val="16"/>
                <w:color w:val="auto"/>
              </w:rPr>
              <w:t>424,229</w:t>
            </w:r>
          </w:p>
        </w:tc>
      </w:tr>
      <w:tr>
        <w:trPr>
          <w:trHeight w:val="20"/>
        </w:trPr>
        <w:tc>
          <w:tcPr>
            <w:tcW w:w="90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ind w:right="80"/>
        <w:spacing w:after="0" w:line="235" w:lineRule="auto"/>
        <w:rPr>
          <w:sz w:val="20"/>
          <w:szCs w:val="20"/>
          <w:color w:val="auto"/>
        </w:rPr>
      </w:pPr>
      <w:r>
        <w:rPr>
          <w:rFonts w:ascii="Arial" w:cs="Arial" w:eastAsia="Arial" w:hAnsi="Arial"/>
          <w:sz w:val="18"/>
          <w:szCs w:val="18"/>
          <w:color w:val="auto"/>
        </w:rPr>
        <w:t>At December 31, 2017 and 2016, the Company owned 28,000 shares in Markel Corporation (Markel) valued at $31.9 million and $25.3 million, respectively. The Co-Chief Executive Officer of Markel, Mr. Thomas S. Gayner, is a member of the Company’s Board of Directors.</w:t>
      </w:r>
    </w:p>
    <w:p>
      <w:pPr>
        <w:spacing w:after="0" w:line="81" w:lineRule="exact"/>
        <w:rPr>
          <w:sz w:val="20"/>
          <w:szCs w:val="20"/>
          <w:color w:val="auto"/>
        </w:rPr>
      </w:pPr>
    </w:p>
    <w:p>
      <w:pPr>
        <w:ind w:right="160"/>
        <w:spacing w:after="0" w:line="227" w:lineRule="auto"/>
        <w:rPr>
          <w:sz w:val="20"/>
          <w:szCs w:val="20"/>
          <w:color w:val="auto"/>
        </w:rPr>
      </w:pPr>
      <w:r>
        <w:rPr>
          <w:rFonts w:ascii="Arial" w:cs="Arial" w:eastAsia="Arial" w:hAnsi="Arial"/>
          <w:sz w:val="18"/>
          <w:szCs w:val="18"/>
          <w:color w:val="auto"/>
        </w:rPr>
        <w:t>There were no purchases or sales of marketable equity securities during 2017. The Company settled on $48.3 million of marketable equity securities during 2016, of which $47.9 million was purchased during the year. The Company invested $146.2 million in marketable equity securities during 2015. During 2016, proceeds from sales of marketable equity securities were $29.7 million, resulting in gross realized losses of $8.1 million and gross realized gains of $6.2 million.</w:t>
      </w:r>
    </w:p>
    <w:p>
      <w:pPr>
        <w:spacing w:after="0" w:line="59" w:lineRule="exact"/>
        <w:rPr>
          <w:sz w:val="20"/>
          <w:szCs w:val="20"/>
          <w:color w:val="auto"/>
        </w:rPr>
      </w:pPr>
    </w:p>
    <w:p>
      <w:pPr>
        <w:ind w:right="40"/>
        <w:spacing w:after="0" w:line="227" w:lineRule="auto"/>
        <w:rPr>
          <w:sz w:val="20"/>
          <w:szCs w:val="20"/>
          <w:color w:val="auto"/>
        </w:rPr>
      </w:pPr>
      <w:r>
        <w:rPr>
          <w:rFonts w:ascii="Arial" w:cs="Arial" w:eastAsia="Arial" w:hAnsi="Arial"/>
          <w:sz w:val="18"/>
          <w:szCs w:val="18"/>
          <w:b w:val="1"/>
          <w:bCs w:val="1"/>
          <w:color w:val="auto"/>
        </w:rPr>
        <w:t xml:space="preserve">Investments in Affiliates. </w:t>
      </w:r>
      <w:r>
        <w:rPr>
          <w:rFonts w:ascii="Arial" w:cs="Arial" w:eastAsia="Arial" w:hAnsi="Arial"/>
          <w:sz w:val="18"/>
          <w:szCs w:val="18"/>
          <w:color w:val="auto"/>
        </w:rPr>
        <w:t>During 2017, the Company acquired approximately 11% of Intersection Holdings, LLC, a company that provides</w:t>
      </w:r>
      <w:r>
        <w:rPr>
          <w:rFonts w:ascii="Arial" w:cs="Arial" w:eastAsia="Arial" w:hAnsi="Arial"/>
          <w:sz w:val="18"/>
          <w:szCs w:val="18"/>
          <w:b w:val="1"/>
          <w:bCs w:val="1"/>
          <w:color w:val="auto"/>
        </w:rPr>
        <w:t xml:space="preserve"> </w:t>
      </w:r>
      <w:r>
        <w:rPr>
          <w:rFonts w:ascii="Arial" w:cs="Arial" w:eastAsia="Arial" w:hAnsi="Arial"/>
          <w:sz w:val="18"/>
          <w:szCs w:val="18"/>
          <w:color w:val="auto"/>
        </w:rPr>
        <w:t>digital marketing and advertising services and products for cities, transit systems, airports, and other public and private spaces, which is accounted for as an investment in affiliate. As of December 31, 2017, the Company held interests in several affiliates; GHG held a 40% interest in Residential Home Health Illinois, a 42.5% interest in Residential Hospice Illinois, a 40% interest in the joint venture formed between GHG and a Michigan hospital, and a 40% interest in the joint venture formed between GHG and Allegheny Health Network (AHN) (see Note 3). For the year ended December 31, 2017 and 2016, the Company recorded $18.3 million and $14.9 million, respectively, in revenue for services provided to the affiliates of GHG.</w:t>
      </w:r>
    </w:p>
    <w:p>
      <w:pPr>
        <w:spacing w:after="0" w:line="137" w:lineRule="exact"/>
        <w:rPr>
          <w:sz w:val="20"/>
          <w:szCs w:val="20"/>
          <w:color w:val="auto"/>
        </w:rPr>
      </w:pPr>
    </w:p>
    <w:p>
      <w:pPr>
        <w:ind w:right="40"/>
        <w:spacing w:after="0" w:line="222" w:lineRule="auto"/>
        <w:rPr>
          <w:sz w:val="20"/>
          <w:szCs w:val="20"/>
          <w:color w:val="auto"/>
        </w:rPr>
      </w:pPr>
      <w:r>
        <w:rPr>
          <w:rFonts w:ascii="Arial" w:cs="Arial" w:eastAsia="Arial" w:hAnsi="Arial"/>
          <w:sz w:val="18"/>
          <w:szCs w:val="18"/>
          <w:color w:val="auto"/>
        </w:rPr>
        <w:t>Additionally, Kaplan International Holdings Limited (KIHL) held a 45% interest in a joint venture formed with York University. In July 2016, Kaplan International Holdings Limited (KIHL) entered into an agreement with University of York International Pathway College LLP (York International College) to loan the LLP £25 million over the next eighteen months, to construct an academic building in the U.K. to be used by the College. York International College is a limited liability partnership joint venture between Kaplan York Limited (a subsidiary of Kaplan International Colleges U.K. Limited) and a subsidiary of the University of York, that operates a pathways college. The loan will be repayable over 25 years at an interest rate of 7% and the loan is guaranteed by the University of York. While there is no strict requirement to make annual principal and interest payments, interest will be rolled up and accrue interest at 7% if no such payments are made. The loan becomes due and payable if the partnership agreement with Kaplan is terminated. In the second half of 2016, KIHL advanced approximately £11.0 million to York International College. In 2017, an additional £5.0 million was advanced to York International College.</w:t>
      </w:r>
    </w:p>
    <w:p>
      <w:pPr>
        <w:spacing w:after="0" w:line="141" w:lineRule="exact"/>
        <w:rPr>
          <w:sz w:val="20"/>
          <w:szCs w:val="20"/>
          <w:color w:val="auto"/>
        </w:rPr>
      </w:pPr>
    </w:p>
    <w:p>
      <w:pPr>
        <w:ind w:right="200"/>
        <w:spacing w:after="0" w:line="229" w:lineRule="auto"/>
        <w:rPr>
          <w:sz w:val="20"/>
          <w:szCs w:val="20"/>
          <w:color w:val="auto"/>
        </w:rPr>
      </w:pPr>
      <w:r>
        <w:rPr>
          <w:rFonts w:ascii="Arial" w:cs="Arial" w:eastAsia="Arial" w:hAnsi="Arial"/>
          <w:sz w:val="18"/>
          <w:szCs w:val="18"/>
          <w:color w:val="auto"/>
        </w:rPr>
        <w:t>As a result of operating losses, in the fourth quarter of 2017, the Company recorded a $2.8 million write-down on its investment in an affiliate. As a result of the challenging industry operating environment and operating losses, in the fourth quarter of 2016, the Company recorded an $8.4 million write-down on its investment in HomeHero, a company that managed an online senior home care marketplace.</w:t>
      </w:r>
    </w:p>
    <w:p>
      <w:pPr>
        <w:spacing w:after="0" w:line="115" w:lineRule="exact"/>
        <w:rPr>
          <w:sz w:val="20"/>
          <w:szCs w:val="20"/>
          <w:color w:val="auto"/>
        </w:rPr>
      </w:pPr>
    </w:p>
    <w:p>
      <w:pPr>
        <w:ind w:left="500" w:hanging="492"/>
        <w:spacing w:after="0"/>
        <w:tabs>
          <w:tab w:leader="none" w:pos="500" w:val="left"/>
        </w:tabs>
        <w:numPr>
          <w:ilvl w:val="0"/>
          <w:numId w:val="65"/>
        </w:numPr>
        <w:rPr>
          <w:rFonts w:ascii="Arial" w:cs="Arial" w:eastAsia="Arial" w:hAnsi="Arial"/>
          <w:sz w:val="18"/>
          <w:szCs w:val="18"/>
          <w:b w:val="1"/>
          <w:bCs w:val="1"/>
          <w:color w:val="auto"/>
        </w:rPr>
      </w:pPr>
      <w:r>
        <w:rPr>
          <w:rFonts w:ascii="Arial" w:cs="Arial" w:eastAsia="Arial" w:hAnsi="Arial"/>
          <w:sz w:val="18"/>
          <w:szCs w:val="18"/>
          <w:b w:val="1"/>
          <w:bCs w:val="1"/>
          <w:color w:val="auto"/>
        </w:rPr>
        <w:t>ACCOUNTS RECEIVABLE, ACCOUNTS PAYABLE AND ACCRUED LIABILITIES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color w:val="auto"/>
        </w:rPr>
        <w:t>Accounts receivable consist of the following:</w:t>
      </w:r>
    </w:p>
    <w:p>
      <w:pPr>
        <w:spacing w:after="0" w:line="199"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9020" w:type="dxa"/>
            <w:vAlign w:val="bottom"/>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2120" w:type="dxa"/>
            <w:vAlign w:val="bottom"/>
            <w:tcBorders>
              <w:bottom w:val="single" w:sz="8" w:color="auto"/>
            </w:tcBorders>
            <w:gridSpan w:val="3"/>
          </w:tcPr>
          <w:p>
            <w:pPr>
              <w:jc w:val="right"/>
              <w:ind w:right="461"/>
              <w:spacing w:after="0"/>
              <w:rPr>
                <w:sz w:val="20"/>
                <w:szCs w:val="20"/>
                <w:color w:val="auto"/>
              </w:rPr>
            </w:pPr>
            <w:r>
              <w:rPr>
                <w:rFonts w:ascii="Arial" w:cs="Arial" w:eastAsia="Arial" w:hAnsi="Arial"/>
                <w:sz w:val="14"/>
                <w:szCs w:val="14"/>
                <w:b w:val="1"/>
                <w:bCs w:val="1"/>
                <w:color w:val="auto"/>
              </w:rPr>
              <w:t>As of December 31</w:t>
            </w:r>
          </w:p>
        </w:tc>
      </w:tr>
      <w:tr>
        <w:trPr>
          <w:trHeight w:val="264"/>
        </w:trPr>
        <w:tc>
          <w:tcPr>
            <w:tcW w:w="902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(in thousands)</w:t>
            </w:r>
          </w:p>
        </w:tc>
        <w:tc>
          <w:tcPr>
            <w:tcW w:w="28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ind w:right="363"/>
              <w:spacing w:after="0"/>
              <w:rPr>
                <w:sz w:val="20"/>
                <w:szCs w:val="20"/>
                <w:color w:val="auto"/>
              </w:rPr>
            </w:pPr>
            <w:r>
              <w:rPr>
                <w:rFonts w:ascii="Arial" w:cs="Arial" w:eastAsia="Arial" w:hAnsi="Arial"/>
                <w:sz w:val="14"/>
                <w:szCs w:val="14"/>
                <w:b w:val="1"/>
                <w:bCs w:val="1"/>
                <w:color w:val="auto"/>
              </w:rPr>
              <w:t>2017</w:t>
            </w:r>
          </w:p>
        </w:tc>
        <w:tc>
          <w:tcPr>
            <w:tcW w:w="34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ind w:right="321"/>
              <w:spacing w:after="0"/>
              <w:rPr>
                <w:sz w:val="20"/>
                <w:szCs w:val="20"/>
                <w:color w:val="auto"/>
              </w:rPr>
            </w:pPr>
            <w:r>
              <w:rPr>
                <w:rFonts w:ascii="Arial" w:cs="Arial" w:eastAsia="Arial" w:hAnsi="Arial"/>
                <w:sz w:val="14"/>
                <w:szCs w:val="14"/>
                <w:color w:val="auto"/>
              </w:rPr>
              <w:t>2016</w:t>
            </w:r>
          </w:p>
        </w:tc>
      </w:tr>
      <w:tr>
        <w:trPr>
          <w:trHeight w:val="250"/>
        </w:trPr>
        <w:tc>
          <w:tcPr>
            <w:tcW w:w="9020" w:type="dxa"/>
            <w:vAlign w:val="bottom"/>
          </w:tcPr>
          <w:p>
            <w:pPr>
              <w:ind w:left="40"/>
              <w:spacing w:after="0"/>
              <w:rPr>
                <w:sz w:val="20"/>
                <w:szCs w:val="20"/>
                <w:color w:val="auto"/>
              </w:rPr>
            </w:pPr>
            <w:r>
              <w:rPr>
                <w:rFonts w:ascii="Arial" w:cs="Arial" w:eastAsia="Arial" w:hAnsi="Arial"/>
                <w:sz w:val="16"/>
                <w:szCs w:val="16"/>
                <w:color w:val="auto"/>
              </w:rPr>
              <w:t>Trade accounts receivable, less doubtful accounts of $22,975 and $26,723</w:t>
            </w:r>
          </w:p>
        </w:tc>
        <w:tc>
          <w:tcPr>
            <w:tcW w:w="280" w:type="dxa"/>
            <w:vAlign w:val="bottom"/>
          </w:tcPr>
          <w:p>
            <w:pPr>
              <w:jc w:val="right"/>
              <w:ind w:right="79"/>
              <w:spacing w:after="0"/>
              <w:rPr>
                <w:sz w:val="20"/>
                <w:szCs w:val="20"/>
                <w:color w:val="auto"/>
              </w:rPr>
            </w:pPr>
            <w:r>
              <w:rPr>
                <w:rFonts w:ascii="Arial" w:cs="Arial" w:eastAsia="Arial" w:hAnsi="Arial"/>
                <w:sz w:val="16"/>
                <w:szCs w:val="16"/>
                <w:b w:val="1"/>
                <w:bCs w:val="1"/>
                <w:color w:val="auto"/>
              </w:rPr>
              <w:t>$</w:t>
            </w:r>
          </w:p>
        </w:tc>
        <w:tc>
          <w:tcPr>
            <w:tcW w:w="900" w:type="dxa"/>
            <w:vAlign w:val="bottom"/>
          </w:tcPr>
          <w:p>
            <w:pPr>
              <w:jc w:val="right"/>
              <w:ind w:right="63"/>
              <w:spacing w:after="0"/>
              <w:rPr>
                <w:sz w:val="20"/>
                <w:szCs w:val="20"/>
                <w:color w:val="auto"/>
              </w:rPr>
            </w:pPr>
            <w:r>
              <w:rPr>
                <w:rFonts w:ascii="Arial" w:cs="Arial" w:eastAsia="Arial" w:hAnsi="Arial"/>
                <w:sz w:val="16"/>
                <w:szCs w:val="16"/>
                <w:b w:val="1"/>
                <w:bCs w:val="1"/>
                <w:color w:val="auto"/>
              </w:rPr>
              <w:t>600,215</w:t>
            </w:r>
          </w:p>
        </w:tc>
        <w:tc>
          <w:tcPr>
            <w:tcW w:w="34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880" w:type="dxa"/>
            <w:vAlign w:val="bottom"/>
          </w:tcPr>
          <w:p>
            <w:pPr>
              <w:jc w:val="right"/>
              <w:ind w:right="21"/>
              <w:spacing w:after="0"/>
              <w:rPr>
                <w:sz w:val="20"/>
                <w:szCs w:val="20"/>
                <w:color w:val="auto"/>
              </w:rPr>
            </w:pPr>
            <w:r>
              <w:rPr>
                <w:rFonts w:ascii="Arial" w:cs="Arial" w:eastAsia="Arial" w:hAnsi="Arial"/>
                <w:sz w:val="16"/>
                <w:szCs w:val="16"/>
                <w:color w:val="auto"/>
              </w:rPr>
              <w:t>591,854</w:t>
            </w:r>
          </w:p>
        </w:tc>
      </w:tr>
      <w:tr>
        <w:trPr>
          <w:trHeight w:val="283"/>
        </w:trPr>
        <w:tc>
          <w:tcPr>
            <w:tcW w:w="9020" w:type="dxa"/>
            <w:vAlign w:val="bottom"/>
          </w:tcPr>
          <w:p>
            <w:pPr>
              <w:ind w:left="40"/>
              <w:spacing w:after="0"/>
              <w:rPr>
                <w:sz w:val="20"/>
                <w:szCs w:val="20"/>
                <w:color w:val="auto"/>
              </w:rPr>
            </w:pPr>
            <w:r>
              <w:rPr>
                <w:rFonts w:ascii="Arial" w:cs="Arial" w:eastAsia="Arial" w:hAnsi="Arial"/>
                <w:sz w:val="16"/>
                <w:szCs w:val="16"/>
                <w:color w:val="auto"/>
              </w:rPr>
              <w:t>Other receivables</w:t>
            </w:r>
          </w:p>
        </w:tc>
        <w:tc>
          <w:tcPr>
            <w:tcW w:w="28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jc w:val="right"/>
              <w:ind w:right="63"/>
              <w:spacing w:after="0"/>
              <w:rPr>
                <w:sz w:val="20"/>
                <w:szCs w:val="20"/>
                <w:color w:val="auto"/>
              </w:rPr>
            </w:pPr>
            <w:r>
              <w:rPr>
                <w:rFonts w:ascii="Arial" w:cs="Arial" w:eastAsia="Arial" w:hAnsi="Arial"/>
                <w:sz w:val="16"/>
                <w:szCs w:val="16"/>
                <w:b w:val="1"/>
                <w:bCs w:val="1"/>
                <w:color w:val="auto"/>
              </w:rPr>
              <w:t>20,104</w:t>
            </w:r>
          </w:p>
        </w:tc>
        <w:tc>
          <w:tcPr>
            <w:tcW w:w="34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jc w:val="right"/>
              <w:ind w:right="21"/>
              <w:spacing w:after="0"/>
              <w:rPr>
                <w:sz w:val="20"/>
                <w:szCs w:val="20"/>
                <w:color w:val="auto"/>
              </w:rPr>
            </w:pPr>
            <w:r>
              <w:rPr>
                <w:rFonts w:ascii="Arial" w:cs="Arial" w:eastAsia="Arial" w:hAnsi="Arial"/>
                <w:sz w:val="16"/>
                <w:szCs w:val="16"/>
                <w:color w:val="auto"/>
              </w:rPr>
              <w:t>23,247</w:t>
            </w:r>
          </w:p>
        </w:tc>
      </w:tr>
      <w:tr>
        <w:trPr>
          <w:trHeight w:val="264"/>
        </w:trPr>
        <w:tc>
          <w:tcPr>
            <w:tcW w:w="9020" w:type="dxa"/>
            <w:vAlign w:val="bottom"/>
          </w:tcPr>
          <w:p>
            <w:pPr>
              <w:spacing w:after="0"/>
              <w:rPr>
                <w:sz w:val="22"/>
                <w:szCs w:val="22"/>
                <w:color w:val="auto"/>
              </w:rPr>
            </w:pPr>
          </w:p>
        </w:tc>
        <w:tc>
          <w:tcPr>
            <w:tcW w:w="28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b w:val="1"/>
                <w:bCs w:val="1"/>
                <w:color w:val="auto"/>
              </w:rPr>
              <w:t>$</w:t>
            </w:r>
          </w:p>
        </w:tc>
        <w:tc>
          <w:tcPr>
            <w:tcW w:w="900" w:type="dxa"/>
            <w:vAlign w:val="bottom"/>
            <w:tcBorders>
              <w:bottom w:val="single" w:sz="8" w:color="auto"/>
            </w:tcBorders>
          </w:tcPr>
          <w:p>
            <w:pPr>
              <w:jc w:val="right"/>
              <w:ind w:right="63"/>
              <w:spacing w:after="0"/>
              <w:rPr>
                <w:sz w:val="20"/>
                <w:szCs w:val="20"/>
                <w:color w:val="auto"/>
              </w:rPr>
            </w:pPr>
            <w:r>
              <w:rPr>
                <w:rFonts w:ascii="Arial" w:cs="Arial" w:eastAsia="Arial" w:hAnsi="Arial"/>
                <w:sz w:val="16"/>
                <w:szCs w:val="16"/>
                <w:b w:val="1"/>
                <w:bCs w:val="1"/>
                <w:color w:val="auto"/>
              </w:rPr>
              <w:t>620,319</w:t>
            </w:r>
          </w:p>
        </w:tc>
        <w:tc>
          <w:tcPr>
            <w:tcW w:w="34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w:t>
            </w:r>
          </w:p>
        </w:tc>
        <w:tc>
          <w:tcPr>
            <w:tcW w:w="880" w:type="dxa"/>
            <w:vAlign w:val="bottom"/>
            <w:tcBorders>
              <w:bottom w:val="single" w:sz="8" w:color="auto"/>
            </w:tcBorders>
          </w:tcPr>
          <w:p>
            <w:pPr>
              <w:jc w:val="right"/>
              <w:ind w:right="21"/>
              <w:spacing w:after="0"/>
              <w:rPr>
                <w:sz w:val="20"/>
                <w:szCs w:val="20"/>
                <w:color w:val="auto"/>
              </w:rPr>
            </w:pPr>
            <w:r>
              <w:rPr>
                <w:rFonts w:ascii="Arial" w:cs="Arial" w:eastAsia="Arial" w:hAnsi="Arial"/>
                <w:sz w:val="16"/>
                <w:szCs w:val="16"/>
                <w:color w:val="auto"/>
              </w:rPr>
              <w:t>615,101</w:t>
            </w:r>
          </w:p>
        </w:tc>
      </w:tr>
      <w:tr>
        <w:trPr>
          <w:trHeight w:val="20"/>
        </w:trPr>
        <w:tc>
          <w:tcPr>
            <w:tcW w:w="90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spacing w:after="0"/>
        <w:rPr>
          <w:sz w:val="20"/>
          <w:szCs w:val="20"/>
          <w:color w:val="auto"/>
        </w:rPr>
      </w:pPr>
      <w:r>
        <w:rPr>
          <w:rFonts w:ascii="Arial" w:cs="Arial" w:eastAsia="Arial" w:hAnsi="Arial"/>
          <w:sz w:val="18"/>
          <w:szCs w:val="18"/>
          <w:color w:val="auto"/>
        </w:rPr>
        <w:t>The changes in allowance for doubtful accounts was as follows:</w:t>
      </w:r>
    </w:p>
    <w:p>
      <w:pPr>
        <w:spacing w:after="0" w:line="145"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3740" w:type="dxa"/>
            <w:vAlign w:val="bottom"/>
          </w:tcPr>
          <w:p>
            <w:pPr>
              <w:spacing w:after="0"/>
              <w:rPr>
                <w:sz w:val="14"/>
                <w:szCs w:val="14"/>
                <w:color w:val="auto"/>
              </w:rPr>
            </w:pPr>
          </w:p>
        </w:tc>
        <w:tc>
          <w:tcPr>
            <w:tcW w:w="294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00" w:type="dxa"/>
            <w:vAlign w:val="bottom"/>
          </w:tcPr>
          <w:p>
            <w:pPr>
              <w:jc w:val="center"/>
              <w:ind w:right="64"/>
              <w:spacing w:after="0"/>
              <w:rPr>
                <w:sz w:val="20"/>
                <w:szCs w:val="20"/>
                <w:color w:val="auto"/>
              </w:rPr>
            </w:pPr>
            <w:r>
              <w:rPr>
                <w:rFonts w:ascii="Arial" w:cs="Arial" w:eastAsia="Arial" w:hAnsi="Arial"/>
                <w:sz w:val="14"/>
                <w:szCs w:val="14"/>
                <w:b w:val="1"/>
                <w:bCs w:val="1"/>
                <w:color w:val="auto"/>
              </w:rPr>
              <w:t>Additions –</w:t>
            </w:r>
          </w:p>
        </w:tc>
        <w:tc>
          <w:tcPr>
            <w:tcW w:w="2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40" w:type="dxa"/>
            <w:vAlign w:val="bottom"/>
          </w:tcPr>
          <w:p>
            <w:pPr>
              <w:jc w:val="center"/>
              <w:ind w:right="124"/>
              <w:spacing w:after="0"/>
              <w:rPr>
                <w:sz w:val="20"/>
                <w:szCs w:val="20"/>
                <w:color w:val="auto"/>
              </w:rPr>
            </w:pPr>
            <w:r>
              <w:rPr>
                <w:rFonts w:ascii="Arial" w:cs="Arial" w:eastAsia="Arial" w:hAnsi="Arial"/>
                <w:sz w:val="14"/>
                <w:szCs w:val="14"/>
                <w:b w:val="1"/>
                <w:bCs w:val="1"/>
                <w:color w:val="auto"/>
              </w:rPr>
              <w:t>Balance</w:t>
            </w:r>
          </w:p>
        </w:tc>
      </w:tr>
      <w:tr>
        <w:trPr>
          <w:trHeight w:val="162"/>
        </w:trPr>
        <w:tc>
          <w:tcPr>
            <w:tcW w:w="3740" w:type="dxa"/>
            <w:vAlign w:val="bottom"/>
          </w:tcPr>
          <w:p>
            <w:pPr>
              <w:spacing w:after="0"/>
              <w:rPr>
                <w:sz w:val="14"/>
                <w:szCs w:val="14"/>
                <w:color w:val="auto"/>
              </w:rPr>
            </w:pPr>
          </w:p>
        </w:tc>
        <w:tc>
          <w:tcPr>
            <w:tcW w:w="2940" w:type="dxa"/>
            <w:vAlign w:val="bottom"/>
          </w:tcPr>
          <w:p>
            <w:pPr>
              <w:spacing w:after="0"/>
              <w:rPr>
                <w:sz w:val="14"/>
                <w:szCs w:val="14"/>
                <w:color w:val="auto"/>
              </w:rPr>
            </w:pPr>
          </w:p>
        </w:tc>
        <w:tc>
          <w:tcPr>
            <w:tcW w:w="1020" w:type="dxa"/>
            <w:vAlign w:val="bottom"/>
          </w:tcPr>
          <w:p>
            <w:pPr>
              <w:jc w:val="center"/>
              <w:ind w:right="103"/>
              <w:spacing w:after="0"/>
              <w:rPr>
                <w:sz w:val="20"/>
                <w:szCs w:val="20"/>
                <w:color w:val="auto"/>
              </w:rPr>
            </w:pPr>
            <w:r>
              <w:rPr>
                <w:rFonts w:ascii="Arial" w:cs="Arial" w:eastAsia="Arial" w:hAnsi="Arial"/>
                <w:sz w:val="14"/>
                <w:szCs w:val="14"/>
                <w:b w:val="1"/>
                <w:bCs w:val="1"/>
                <w:color w:val="auto"/>
              </w:rPr>
              <w:t>Balance at</w:t>
            </w:r>
          </w:p>
        </w:tc>
        <w:tc>
          <w:tcPr>
            <w:tcW w:w="240" w:type="dxa"/>
            <w:vAlign w:val="bottom"/>
          </w:tcPr>
          <w:p>
            <w:pPr>
              <w:spacing w:after="0"/>
              <w:rPr>
                <w:sz w:val="14"/>
                <w:szCs w:val="14"/>
                <w:color w:val="auto"/>
              </w:rPr>
            </w:pPr>
          </w:p>
        </w:tc>
        <w:tc>
          <w:tcPr>
            <w:tcW w:w="1000" w:type="dxa"/>
            <w:vAlign w:val="bottom"/>
          </w:tcPr>
          <w:p>
            <w:pPr>
              <w:jc w:val="center"/>
              <w:ind w:right="84"/>
              <w:spacing w:after="0"/>
              <w:rPr>
                <w:sz w:val="20"/>
                <w:szCs w:val="20"/>
                <w:color w:val="auto"/>
              </w:rPr>
            </w:pPr>
            <w:r>
              <w:rPr>
                <w:rFonts w:ascii="Arial" w:cs="Arial" w:eastAsia="Arial" w:hAnsi="Arial"/>
                <w:sz w:val="14"/>
                <w:szCs w:val="14"/>
                <w:b w:val="1"/>
                <w:bCs w:val="1"/>
                <w:color w:val="auto"/>
              </w:rPr>
              <w:t>Charged to</w:t>
            </w:r>
          </w:p>
        </w:tc>
        <w:tc>
          <w:tcPr>
            <w:tcW w:w="2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40" w:type="dxa"/>
            <w:vAlign w:val="bottom"/>
          </w:tcPr>
          <w:p>
            <w:pPr>
              <w:jc w:val="center"/>
              <w:ind w:right="124"/>
              <w:spacing w:after="0"/>
              <w:rPr>
                <w:sz w:val="20"/>
                <w:szCs w:val="20"/>
                <w:color w:val="auto"/>
              </w:rPr>
            </w:pPr>
            <w:r>
              <w:rPr>
                <w:rFonts w:ascii="Arial" w:cs="Arial" w:eastAsia="Arial" w:hAnsi="Arial"/>
                <w:sz w:val="14"/>
                <w:szCs w:val="14"/>
                <w:b w:val="1"/>
                <w:bCs w:val="1"/>
                <w:color w:val="auto"/>
              </w:rPr>
              <w:t>at</w:t>
            </w:r>
          </w:p>
        </w:tc>
      </w:tr>
      <w:tr>
        <w:trPr>
          <w:trHeight w:val="162"/>
        </w:trPr>
        <w:tc>
          <w:tcPr>
            <w:tcW w:w="3740" w:type="dxa"/>
            <w:vAlign w:val="bottom"/>
          </w:tcPr>
          <w:p>
            <w:pPr>
              <w:spacing w:after="0"/>
              <w:rPr>
                <w:sz w:val="14"/>
                <w:szCs w:val="14"/>
                <w:color w:val="auto"/>
              </w:rPr>
            </w:pPr>
          </w:p>
        </w:tc>
        <w:tc>
          <w:tcPr>
            <w:tcW w:w="2940" w:type="dxa"/>
            <w:vAlign w:val="bottom"/>
          </w:tcPr>
          <w:p>
            <w:pPr>
              <w:spacing w:after="0"/>
              <w:rPr>
                <w:sz w:val="14"/>
                <w:szCs w:val="14"/>
                <w:color w:val="auto"/>
              </w:rPr>
            </w:pPr>
          </w:p>
        </w:tc>
        <w:tc>
          <w:tcPr>
            <w:tcW w:w="1020" w:type="dxa"/>
            <w:vAlign w:val="bottom"/>
          </w:tcPr>
          <w:p>
            <w:pPr>
              <w:jc w:val="center"/>
              <w:ind w:right="83"/>
              <w:spacing w:after="0"/>
              <w:rPr>
                <w:sz w:val="20"/>
                <w:szCs w:val="20"/>
                <w:color w:val="auto"/>
              </w:rPr>
            </w:pPr>
            <w:r>
              <w:rPr>
                <w:rFonts w:ascii="Arial" w:cs="Arial" w:eastAsia="Arial" w:hAnsi="Arial"/>
                <w:sz w:val="14"/>
                <w:szCs w:val="14"/>
                <w:b w:val="1"/>
                <w:bCs w:val="1"/>
                <w:color w:val="auto"/>
              </w:rPr>
              <w:t>Beginning</w:t>
            </w:r>
          </w:p>
        </w:tc>
        <w:tc>
          <w:tcPr>
            <w:tcW w:w="240" w:type="dxa"/>
            <w:vAlign w:val="bottom"/>
          </w:tcPr>
          <w:p>
            <w:pPr>
              <w:spacing w:after="0"/>
              <w:rPr>
                <w:sz w:val="14"/>
                <w:szCs w:val="14"/>
                <w:color w:val="auto"/>
              </w:rPr>
            </w:pPr>
          </w:p>
        </w:tc>
        <w:tc>
          <w:tcPr>
            <w:tcW w:w="1000" w:type="dxa"/>
            <w:vAlign w:val="bottom"/>
          </w:tcPr>
          <w:p>
            <w:pPr>
              <w:jc w:val="center"/>
              <w:ind w:right="64"/>
              <w:spacing w:after="0"/>
              <w:rPr>
                <w:sz w:val="20"/>
                <w:szCs w:val="20"/>
                <w:color w:val="auto"/>
              </w:rPr>
            </w:pPr>
            <w:r>
              <w:rPr>
                <w:rFonts w:ascii="Arial" w:cs="Arial" w:eastAsia="Arial" w:hAnsi="Arial"/>
                <w:sz w:val="14"/>
                <w:szCs w:val="14"/>
                <w:b w:val="1"/>
                <w:bCs w:val="1"/>
                <w:color w:val="auto"/>
              </w:rPr>
              <w:t>Costs and</w:t>
            </w:r>
          </w:p>
        </w:tc>
        <w:tc>
          <w:tcPr>
            <w:tcW w:w="2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40" w:type="dxa"/>
            <w:vAlign w:val="bottom"/>
          </w:tcPr>
          <w:p>
            <w:pPr>
              <w:jc w:val="center"/>
              <w:ind w:right="124"/>
              <w:spacing w:after="0"/>
              <w:rPr>
                <w:sz w:val="20"/>
                <w:szCs w:val="20"/>
                <w:color w:val="auto"/>
              </w:rPr>
            </w:pPr>
            <w:r>
              <w:rPr>
                <w:rFonts w:ascii="Arial" w:cs="Arial" w:eastAsia="Arial" w:hAnsi="Arial"/>
                <w:sz w:val="14"/>
                <w:szCs w:val="14"/>
                <w:b w:val="1"/>
                <w:bCs w:val="1"/>
                <w:color w:val="auto"/>
              </w:rPr>
              <w:t>End of</w:t>
            </w:r>
          </w:p>
        </w:tc>
      </w:tr>
      <w:tr>
        <w:trPr>
          <w:trHeight w:val="196"/>
        </w:trPr>
        <w:tc>
          <w:tcPr>
            <w:tcW w:w="374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(in thousands)</w:t>
            </w:r>
          </w:p>
        </w:tc>
        <w:tc>
          <w:tcPr>
            <w:tcW w:w="294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center"/>
              <w:ind w:right="83"/>
              <w:spacing w:after="0"/>
              <w:rPr>
                <w:sz w:val="20"/>
                <w:szCs w:val="20"/>
                <w:color w:val="auto"/>
              </w:rPr>
            </w:pPr>
            <w:r>
              <w:rPr>
                <w:rFonts w:ascii="Arial" w:cs="Arial" w:eastAsia="Arial" w:hAnsi="Arial"/>
                <w:sz w:val="14"/>
                <w:szCs w:val="14"/>
                <w:b w:val="1"/>
                <w:bCs w:val="1"/>
                <w:color w:val="auto"/>
              </w:rPr>
              <w:t>of Period</w:t>
            </w:r>
          </w:p>
        </w:tc>
        <w:tc>
          <w:tcPr>
            <w:tcW w:w="24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center"/>
              <w:ind w:right="64"/>
              <w:spacing w:after="0"/>
              <w:rPr>
                <w:sz w:val="20"/>
                <w:szCs w:val="20"/>
                <w:color w:val="auto"/>
              </w:rPr>
            </w:pPr>
            <w:r>
              <w:rPr>
                <w:rFonts w:ascii="Arial" w:cs="Arial" w:eastAsia="Arial" w:hAnsi="Arial"/>
                <w:sz w:val="14"/>
                <w:szCs w:val="14"/>
                <w:b w:val="1"/>
                <w:bCs w:val="1"/>
                <w:color w:val="auto"/>
              </w:rPr>
              <w:t>Expenses</w:t>
            </w:r>
          </w:p>
        </w:tc>
        <w:tc>
          <w:tcPr>
            <w:tcW w:w="24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ind w:right="141"/>
              <w:spacing w:after="0"/>
              <w:rPr>
                <w:sz w:val="20"/>
                <w:szCs w:val="20"/>
                <w:color w:val="auto"/>
              </w:rPr>
            </w:pPr>
            <w:r>
              <w:rPr>
                <w:rFonts w:ascii="Arial" w:cs="Arial" w:eastAsia="Arial" w:hAnsi="Arial"/>
                <w:sz w:val="14"/>
                <w:szCs w:val="14"/>
                <w:b w:val="1"/>
                <w:bCs w:val="1"/>
                <w:color w:val="auto"/>
              </w:rPr>
              <w:t>Deductions</w:t>
            </w:r>
          </w:p>
        </w:tc>
        <w:tc>
          <w:tcPr>
            <w:tcW w:w="26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center"/>
              <w:ind w:right="124"/>
              <w:spacing w:after="0"/>
              <w:rPr>
                <w:sz w:val="20"/>
                <w:szCs w:val="20"/>
                <w:color w:val="auto"/>
              </w:rPr>
            </w:pPr>
            <w:r>
              <w:rPr>
                <w:rFonts w:ascii="Arial" w:cs="Arial" w:eastAsia="Arial" w:hAnsi="Arial"/>
                <w:sz w:val="14"/>
                <w:szCs w:val="14"/>
                <w:b w:val="1"/>
                <w:bCs w:val="1"/>
                <w:color w:val="auto"/>
              </w:rPr>
              <w:t>Period</w:t>
            </w:r>
          </w:p>
        </w:tc>
      </w:tr>
      <w:tr>
        <w:trPr>
          <w:trHeight w:val="250"/>
        </w:trPr>
        <w:tc>
          <w:tcPr>
            <w:tcW w:w="3740" w:type="dxa"/>
            <w:vAlign w:val="bottom"/>
          </w:tcPr>
          <w:p>
            <w:pPr>
              <w:ind w:left="40"/>
              <w:spacing w:after="0"/>
              <w:rPr>
                <w:sz w:val="20"/>
                <w:szCs w:val="20"/>
                <w:color w:val="auto"/>
              </w:rPr>
            </w:pPr>
            <w:r>
              <w:rPr>
                <w:rFonts w:ascii="Arial" w:cs="Arial" w:eastAsia="Arial" w:hAnsi="Arial"/>
                <w:sz w:val="16"/>
                <w:szCs w:val="16"/>
                <w:b w:val="1"/>
                <w:bCs w:val="1"/>
                <w:color w:val="auto"/>
              </w:rPr>
              <w:t>2017</w:t>
            </w:r>
          </w:p>
        </w:tc>
        <w:tc>
          <w:tcPr>
            <w:tcW w:w="2940" w:type="dxa"/>
            <w:vAlign w:val="bottom"/>
          </w:tcPr>
          <w:p>
            <w:pPr>
              <w:jc w:val="right"/>
              <w:spacing w:after="0"/>
              <w:rPr>
                <w:sz w:val="20"/>
                <w:szCs w:val="20"/>
                <w:color w:val="auto"/>
              </w:rPr>
            </w:pPr>
            <w:r>
              <w:rPr>
                <w:rFonts w:ascii="Arial" w:cs="Arial" w:eastAsia="Arial" w:hAnsi="Arial"/>
                <w:sz w:val="16"/>
                <w:szCs w:val="16"/>
                <w:b w:val="1"/>
                <w:bCs w:val="1"/>
                <w:color w:val="auto"/>
              </w:rPr>
              <w:t>$</w:t>
            </w:r>
          </w:p>
        </w:tc>
        <w:tc>
          <w:tcPr>
            <w:tcW w:w="1020" w:type="dxa"/>
            <w:vAlign w:val="bottom"/>
          </w:tcPr>
          <w:p>
            <w:pPr>
              <w:jc w:val="right"/>
              <w:ind w:right="43"/>
              <w:spacing w:after="0"/>
              <w:rPr>
                <w:sz w:val="20"/>
                <w:szCs w:val="20"/>
                <w:color w:val="auto"/>
              </w:rPr>
            </w:pPr>
            <w:r>
              <w:rPr>
                <w:rFonts w:ascii="Arial" w:cs="Arial" w:eastAsia="Arial" w:hAnsi="Arial"/>
                <w:sz w:val="16"/>
                <w:szCs w:val="16"/>
                <w:b w:val="1"/>
                <w:bCs w:val="1"/>
                <w:color w:val="auto"/>
              </w:rPr>
              <w:t>26,723</w:t>
            </w:r>
          </w:p>
        </w:tc>
        <w:tc>
          <w:tcPr>
            <w:tcW w:w="240" w:type="dxa"/>
            <w:vAlign w:val="bottom"/>
          </w:tcPr>
          <w:p>
            <w:pPr>
              <w:jc w:val="right"/>
              <w:spacing w:after="0"/>
              <w:rPr>
                <w:sz w:val="20"/>
                <w:szCs w:val="20"/>
                <w:color w:val="auto"/>
              </w:rPr>
            </w:pPr>
            <w:r>
              <w:rPr>
                <w:rFonts w:ascii="Arial" w:cs="Arial" w:eastAsia="Arial" w:hAnsi="Arial"/>
                <w:sz w:val="16"/>
                <w:szCs w:val="16"/>
                <w:b w:val="1"/>
                <w:bCs w:val="1"/>
                <w:color w:val="auto"/>
              </w:rPr>
              <w:t>$</w:t>
            </w:r>
          </w:p>
        </w:tc>
        <w:tc>
          <w:tcPr>
            <w:tcW w:w="1000" w:type="dxa"/>
            <w:vAlign w:val="bottom"/>
          </w:tcPr>
          <w:p>
            <w:pPr>
              <w:jc w:val="right"/>
              <w:ind w:right="44"/>
              <w:spacing w:after="0"/>
              <w:rPr>
                <w:sz w:val="20"/>
                <w:szCs w:val="20"/>
                <w:color w:val="auto"/>
              </w:rPr>
            </w:pPr>
            <w:r>
              <w:rPr>
                <w:rFonts w:ascii="Arial" w:cs="Arial" w:eastAsia="Arial" w:hAnsi="Arial"/>
                <w:sz w:val="16"/>
                <w:szCs w:val="16"/>
                <w:b w:val="1"/>
                <w:bCs w:val="1"/>
                <w:color w:val="auto"/>
              </w:rPr>
              <w:t>33,830</w:t>
            </w:r>
          </w:p>
        </w:tc>
        <w:tc>
          <w:tcPr>
            <w:tcW w:w="240" w:type="dxa"/>
            <w:vAlign w:val="bottom"/>
          </w:tcPr>
          <w:p>
            <w:pPr>
              <w:jc w:val="right"/>
              <w:spacing w:after="0"/>
              <w:rPr>
                <w:sz w:val="20"/>
                <w:szCs w:val="20"/>
                <w:color w:val="auto"/>
              </w:rPr>
            </w:pPr>
            <w:r>
              <w:rPr>
                <w:rFonts w:ascii="Arial" w:cs="Arial" w:eastAsia="Arial" w:hAnsi="Arial"/>
                <w:sz w:val="16"/>
                <w:szCs w:val="16"/>
                <w:b w:val="1"/>
                <w:bCs w:val="1"/>
                <w:color w:val="auto"/>
              </w:rPr>
              <w:t>$</w:t>
            </w:r>
          </w:p>
        </w:tc>
        <w:tc>
          <w:tcPr>
            <w:tcW w:w="1040" w:type="dxa"/>
            <w:vAlign w:val="bottom"/>
          </w:tcPr>
          <w:p>
            <w:pPr>
              <w:jc w:val="right"/>
              <w:ind w:right="21"/>
              <w:spacing w:after="0"/>
              <w:rPr>
                <w:sz w:val="20"/>
                <w:szCs w:val="20"/>
                <w:color w:val="auto"/>
              </w:rPr>
            </w:pPr>
            <w:r>
              <w:rPr>
                <w:rFonts w:ascii="Arial" w:cs="Arial" w:eastAsia="Arial" w:hAnsi="Arial"/>
                <w:sz w:val="16"/>
                <w:szCs w:val="16"/>
                <w:b w:val="1"/>
                <w:bCs w:val="1"/>
                <w:color w:val="auto"/>
              </w:rPr>
              <w:t>(37,578)</w:t>
            </w:r>
          </w:p>
        </w:tc>
        <w:tc>
          <w:tcPr>
            <w:tcW w:w="260" w:type="dxa"/>
            <w:vAlign w:val="bottom"/>
          </w:tcPr>
          <w:p>
            <w:pPr>
              <w:jc w:val="right"/>
              <w:spacing w:after="0"/>
              <w:rPr>
                <w:sz w:val="20"/>
                <w:szCs w:val="20"/>
                <w:color w:val="auto"/>
              </w:rPr>
            </w:pPr>
            <w:r>
              <w:rPr>
                <w:rFonts w:ascii="Arial" w:cs="Arial" w:eastAsia="Arial" w:hAnsi="Arial"/>
                <w:sz w:val="16"/>
                <w:szCs w:val="16"/>
                <w:b w:val="1"/>
                <w:bCs w:val="1"/>
                <w:color w:val="auto"/>
              </w:rPr>
              <w:t>$</w:t>
            </w:r>
          </w:p>
        </w:tc>
        <w:tc>
          <w:tcPr>
            <w:tcW w:w="940" w:type="dxa"/>
            <w:vAlign w:val="bottom"/>
          </w:tcPr>
          <w:p>
            <w:pPr>
              <w:jc w:val="right"/>
              <w:ind w:right="24"/>
              <w:spacing w:after="0"/>
              <w:rPr>
                <w:sz w:val="20"/>
                <w:szCs w:val="20"/>
                <w:color w:val="auto"/>
              </w:rPr>
            </w:pPr>
            <w:r>
              <w:rPr>
                <w:rFonts w:ascii="Arial" w:cs="Arial" w:eastAsia="Arial" w:hAnsi="Arial"/>
                <w:sz w:val="16"/>
                <w:szCs w:val="16"/>
                <w:b w:val="1"/>
                <w:bCs w:val="1"/>
                <w:color w:val="auto"/>
              </w:rPr>
              <w:t>22,975</w:t>
            </w:r>
          </w:p>
        </w:tc>
      </w:tr>
      <w:tr>
        <w:trPr>
          <w:trHeight w:val="270"/>
        </w:trPr>
        <w:tc>
          <w:tcPr>
            <w:tcW w:w="3740" w:type="dxa"/>
            <w:vAlign w:val="bottom"/>
          </w:tcPr>
          <w:p>
            <w:pPr>
              <w:ind w:left="40"/>
              <w:spacing w:after="0"/>
              <w:rPr>
                <w:sz w:val="20"/>
                <w:szCs w:val="20"/>
                <w:color w:val="auto"/>
              </w:rPr>
            </w:pPr>
            <w:r>
              <w:rPr>
                <w:rFonts w:ascii="Arial" w:cs="Arial" w:eastAsia="Arial" w:hAnsi="Arial"/>
                <w:sz w:val="16"/>
                <w:szCs w:val="16"/>
                <w:color w:val="auto"/>
              </w:rPr>
              <w:t>2016</w:t>
            </w:r>
          </w:p>
        </w:tc>
        <w:tc>
          <w:tcPr>
            <w:tcW w:w="2940" w:type="dxa"/>
            <w:vAlign w:val="bottom"/>
          </w:tcPr>
          <w:p>
            <w:pPr>
              <w:jc w:val="right"/>
              <w:spacing w:after="0"/>
              <w:rPr>
                <w:sz w:val="20"/>
                <w:szCs w:val="20"/>
                <w:color w:val="auto"/>
              </w:rPr>
            </w:pPr>
            <w:r>
              <w:rPr>
                <w:rFonts w:ascii="Arial" w:cs="Arial" w:eastAsia="Arial" w:hAnsi="Arial"/>
                <w:sz w:val="16"/>
                <w:szCs w:val="16"/>
                <w:color w:val="auto"/>
              </w:rPr>
              <w:t>$</w:t>
            </w:r>
          </w:p>
        </w:tc>
        <w:tc>
          <w:tcPr>
            <w:tcW w:w="1020" w:type="dxa"/>
            <w:vAlign w:val="bottom"/>
          </w:tcPr>
          <w:p>
            <w:pPr>
              <w:jc w:val="right"/>
              <w:ind w:right="43"/>
              <w:spacing w:after="0"/>
              <w:rPr>
                <w:sz w:val="20"/>
                <w:szCs w:val="20"/>
                <w:color w:val="auto"/>
              </w:rPr>
            </w:pPr>
            <w:r>
              <w:rPr>
                <w:rFonts w:ascii="Arial" w:cs="Arial" w:eastAsia="Arial" w:hAnsi="Arial"/>
                <w:sz w:val="16"/>
                <w:szCs w:val="16"/>
                <w:color w:val="auto"/>
              </w:rPr>
              <w:t>27,854</w:t>
            </w:r>
          </w:p>
        </w:tc>
        <w:tc>
          <w:tcPr>
            <w:tcW w:w="240" w:type="dxa"/>
            <w:vAlign w:val="bottom"/>
          </w:tcPr>
          <w:p>
            <w:pPr>
              <w:jc w:val="right"/>
              <w:spacing w:after="0"/>
              <w:rPr>
                <w:sz w:val="20"/>
                <w:szCs w:val="20"/>
                <w:color w:val="auto"/>
              </w:rPr>
            </w:pPr>
            <w:r>
              <w:rPr>
                <w:rFonts w:ascii="Arial" w:cs="Arial" w:eastAsia="Arial" w:hAnsi="Arial"/>
                <w:sz w:val="16"/>
                <w:szCs w:val="16"/>
                <w:color w:val="auto"/>
              </w:rPr>
              <w:t>$</w:t>
            </w:r>
          </w:p>
        </w:tc>
        <w:tc>
          <w:tcPr>
            <w:tcW w:w="1000" w:type="dxa"/>
            <w:vAlign w:val="bottom"/>
          </w:tcPr>
          <w:p>
            <w:pPr>
              <w:jc w:val="right"/>
              <w:ind w:right="44"/>
              <w:spacing w:after="0"/>
              <w:rPr>
                <w:sz w:val="20"/>
                <w:szCs w:val="20"/>
                <w:color w:val="auto"/>
              </w:rPr>
            </w:pPr>
            <w:r>
              <w:rPr>
                <w:rFonts w:ascii="Arial" w:cs="Arial" w:eastAsia="Arial" w:hAnsi="Arial"/>
                <w:sz w:val="16"/>
                <w:szCs w:val="16"/>
                <w:color w:val="auto"/>
              </w:rPr>
              <w:t>29,718</w:t>
            </w:r>
          </w:p>
        </w:tc>
        <w:tc>
          <w:tcPr>
            <w:tcW w:w="240" w:type="dxa"/>
            <w:vAlign w:val="bottom"/>
          </w:tcPr>
          <w:p>
            <w:pPr>
              <w:jc w:val="right"/>
              <w:spacing w:after="0"/>
              <w:rPr>
                <w:sz w:val="20"/>
                <w:szCs w:val="20"/>
                <w:color w:val="auto"/>
              </w:rPr>
            </w:pPr>
            <w:r>
              <w:rPr>
                <w:rFonts w:ascii="Arial" w:cs="Arial" w:eastAsia="Arial" w:hAnsi="Arial"/>
                <w:sz w:val="16"/>
                <w:szCs w:val="16"/>
                <w:color w:val="auto"/>
              </w:rPr>
              <w:t>$</w:t>
            </w:r>
          </w:p>
        </w:tc>
        <w:tc>
          <w:tcPr>
            <w:tcW w:w="1040" w:type="dxa"/>
            <w:vAlign w:val="bottom"/>
          </w:tcPr>
          <w:p>
            <w:pPr>
              <w:jc w:val="right"/>
              <w:ind w:right="21"/>
              <w:spacing w:after="0"/>
              <w:rPr>
                <w:sz w:val="20"/>
                <w:szCs w:val="20"/>
                <w:color w:val="auto"/>
              </w:rPr>
            </w:pPr>
            <w:r>
              <w:rPr>
                <w:rFonts w:ascii="Arial" w:cs="Arial" w:eastAsia="Arial" w:hAnsi="Arial"/>
                <w:sz w:val="16"/>
                <w:szCs w:val="16"/>
                <w:color w:val="auto"/>
              </w:rPr>
              <w:t>(30,849)</w:t>
            </w:r>
          </w:p>
        </w:tc>
        <w:tc>
          <w:tcPr>
            <w:tcW w:w="260" w:type="dxa"/>
            <w:vAlign w:val="bottom"/>
          </w:tcPr>
          <w:p>
            <w:pPr>
              <w:jc w:val="right"/>
              <w:spacing w:after="0"/>
              <w:rPr>
                <w:sz w:val="20"/>
                <w:szCs w:val="20"/>
                <w:color w:val="auto"/>
              </w:rPr>
            </w:pPr>
            <w:r>
              <w:rPr>
                <w:rFonts w:ascii="Arial" w:cs="Arial" w:eastAsia="Arial" w:hAnsi="Arial"/>
                <w:sz w:val="16"/>
                <w:szCs w:val="16"/>
                <w:color w:val="auto"/>
              </w:rPr>
              <w:t>$</w:t>
            </w:r>
          </w:p>
        </w:tc>
        <w:tc>
          <w:tcPr>
            <w:tcW w:w="940" w:type="dxa"/>
            <w:vAlign w:val="bottom"/>
          </w:tcPr>
          <w:p>
            <w:pPr>
              <w:jc w:val="right"/>
              <w:ind w:right="24"/>
              <w:spacing w:after="0"/>
              <w:rPr>
                <w:sz w:val="20"/>
                <w:szCs w:val="20"/>
                <w:color w:val="auto"/>
              </w:rPr>
            </w:pPr>
            <w:r>
              <w:rPr>
                <w:rFonts w:ascii="Arial" w:cs="Arial" w:eastAsia="Arial" w:hAnsi="Arial"/>
                <w:sz w:val="16"/>
                <w:szCs w:val="16"/>
                <w:color w:val="auto"/>
              </w:rPr>
              <w:t>26,723</w:t>
            </w:r>
          </w:p>
        </w:tc>
      </w:tr>
      <w:tr>
        <w:trPr>
          <w:trHeight w:val="270"/>
        </w:trPr>
        <w:tc>
          <w:tcPr>
            <w:tcW w:w="3740" w:type="dxa"/>
            <w:vAlign w:val="bottom"/>
          </w:tcPr>
          <w:p>
            <w:pPr>
              <w:ind w:left="40"/>
              <w:spacing w:after="0"/>
              <w:rPr>
                <w:sz w:val="20"/>
                <w:szCs w:val="20"/>
                <w:color w:val="auto"/>
              </w:rPr>
            </w:pPr>
            <w:r>
              <w:rPr>
                <w:rFonts w:ascii="Arial" w:cs="Arial" w:eastAsia="Arial" w:hAnsi="Arial"/>
                <w:sz w:val="16"/>
                <w:szCs w:val="16"/>
                <w:color w:val="auto"/>
              </w:rPr>
              <w:t>2015</w:t>
            </w:r>
          </w:p>
        </w:tc>
        <w:tc>
          <w:tcPr>
            <w:tcW w:w="2940" w:type="dxa"/>
            <w:vAlign w:val="bottom"/>
          </w:tcPr>
          <w:p>
            <w:pPr>
              <w:jc w:val="right"/>
              <w:spacing w:after="0"/>
              <w:rPr>
                <w:sz w:val="20"/>
                <w:szCs w:val="20"/>
                <w:color w:val="auto"/>
              </w:rPr>
            </w:pPr>
            <w:r>
              <w:rPr>
                <w:rFonts w:ascii="Arial" w:cs="Arial" w:eastAsia="Arial" w:hAnsi="Arial"/>
                <w:sz w:val="16"/>
                <w:szCs w:val="16"/>
                <w:color w:val="auto"/>
              </w:rPr>
              <w:t>$</w:t>
            </w:r>
          </w:p>
        </w:tc>
        <w:tc>
          <w:tcPr>
            <w:tcW w:w="1020" w:type="dxa"/>
            <w:vAlign w:val="bottom"/>
          </w:tcPr>
          <w:p>
            <w:pPr>
              <w:jc w:val="right"/>
              <w:ind w:right="43"/>
              <w:spacing w:after="0"/>
              <w:rPr>
                <w:sz w:val="20"/>
                <w:szCs w:val="20"/>
                <w:color w:val="auto"/>
              </w:rPr>
            </w:pPr>
            <w:r>
              <w:rPr>
                <w:rFonts w:ascii="Arial" w:cs="Arial" w:eastAsia="Arial" w:hAnsi="Arial"/>
                <w:sz w:val="16"/>
                <w:szCs w:val="16"/>
                <w:color w:val="auto"/>
              </w:rPr>
              <w:t>32,598</w:t>
            </w:r>
          </w:p>
        </w:tc>
        <w:tc>
          <w:tcPr>
            <w:tcW w:w="240" w:type="dxa"/>
            <w:vAlign w:val="bottom"/>
          </w:tcPr>
          <w:p>
            <w:pPr>
              <w:jc w:val="right"/>
              <w:spacing w:after="0"/>
              <w:rPr>
                <w:sz w:val="20"/>
                <w:szCs w:val="20"/>
                <w:color w:val="auto"/>
              </w:rPr>
            </w:pPr>
            <w:r>
              <w:rPr>
                <w:rFonts w:ascii="Arial" w:cs="Arial" w:eastAsia="Arial" w:hAnsi="Arial"/>
                <w:sz w:val="16"/>
                <w:szCs w:val="16"/>
                <w:color w:val="auto"/>
              </w:rPr>
              <w:t>$</w:t>
            </w:r>
          </w:p>
        </w:tc>
        <w:tc>
          <w:tcPr>
            <w:tcW w:w="1000" w:type="dxa"/>
            <w:vAlign w:val="bottom"/>
          </w:tcPr>
          <w:p>
            <w:pPr>
              <w:jc w:val="right"/>
              <w:ind w:right="44"/>
              <w:spacing w:after="0"/>
              <w:rPr>
                <w:sz w:val="20"/>
                <w:szCs w:val="20"/>
                <w:color w:val="auto"/>
              </w:rPr>
            </w:pPr>
            <w:r>
              <w:rPr>
                <w:rFonts w:ascii="Arial" w:cs="Arial" w:eastAsia="Arial" w:hAnsi="Arial"/>
                <w:sz w:val="16"/>
                <w:szCs w:val="16"/>
                <w:color w:val="auto"/>
              </w:rPr>
              <w:t>39,982</w:t>
            </w:r>
          </w:p>
        </w:tc>
        <w:tc>
          <w:tcPr>
            <w:tcW w:w="240" w:type="dxa"/>
            <w:vAlign w:val="bottom"/>
          </w:tcPr>
          <w:p>
            <w:pPr>
              <w:jc w:val="right"/>
              <w:spacing w:after="0"/>
              <w:rPr>
                <w:sz w:val="20"/>
                <w:szCs w:val="20"/>
                <w:color w:val="auto"/>
              </w:rPr>
            </w:pPr>
            <w:r>
              <w:rPr>
                <w:rFonts w:ascii="Arial" w:cs="Arial" w:eastAsia="Arial" w:hAnsi="Arial"/>
                <w:sz w:val="16"/>
                <w:szCs w:val="16"/>
                <w:color w:val="auto"/>
              </w:rPr>
              <w:t>$</w:t>
            </w:r>
          </w:p>
        </w:tc>
        <w:tc>
          <w:tcPr>
            <w:tcW w:w="1040" w:type="dxa"/>
            <w:vAlign w:val="bottom"/>
          </w:tcPr>
          <w:p>
            <w:pPr>
              <w:jc w:val="right"/>
              <w:ind w:right="21"/>
              <w:spacing w:after="0"/>
              <w:rPr>
                <w:sz w:val="20"/>
                <w:szCs w:val="20"/>
                <w:color w:val="auto"/>
              </w:rPr>
            </w:pPr>
            <w:r>
              <w:rPr>
                <w:rFonts w:ascii="Arial" w:cs="Arial" w:eastAsia="Arial" w:hAnsi="Arial"/>
                <w:sz w:val="16"/>
                <w:szCs w:val="16"/>
                <w:color w:val="auto"/>
              </w:rPr>
              <w:t>(44,726)</w:t>
            </w:r>
          </w:p>
        </w:tc>
        <w:tc>
          <w:tcPr>
            <w:tcW w:w="260" w:type="dxa"/>
            <w:vAlign w:val="bottom"/>
          </w:tcPr>
          <w:p>
            <w:pPr>
              <w:jc w:val="right"/>
              <w:spacing w:after="0"/>
              <w:rPr>
                <w:sz w:val="20"/>
                <w:szCs w:val="20"/>
                <w:color w:val="auto"/>
              </w:rPr>
            </w:pPr>
            <w:r>
              <w:rPr>
                <w:rFonts w:ascii="Arial" w:cs="Arial" w:eastAsia="Arial" w:hAnsi="Arial"/>
                <w:sz w:val="16"/>
                <w:szCs w:val="16"/>
                <w:color w:val="auto"/>
              </w:rPr>
              <w:t>$</w:t>
            </w:r>
          </w:p>
        </w:tc>
        <w:tc>
          <w:tcPr>
            <w:tcW w:w="940" w:type="dxa"/>
            <w:vAlign w:val="bottom"/>
          </w:tcPr>
          <w:p>
            <w:pPr>
              <w:jc w:val="right"/>
              <w:ind w:right="24"/>
              <w:spacing w:after="0"/>
              <w:rPr>
                <w:sz w:val="20"/>
                <w:szCs w:val="20"/>
                <w:color w:val="auto"/>
              </w:rPr>
            </w:pPr>
            <w:r>
              <w:rPr>
                <w:rFonts w:ascii="Arial" w:cs="Arial" w:eastAsia="Arial" w:hAnsi="Arial"/>
                <w:sz w:val="16"/>
                <w:szCs w:val="16"/>
                <w:color w:val="auto"/>
              </w:rPr>
              <w:t>27,854</w:t>
            </w:r>
          </w:p>
        </w:tc>
      </w:tr>
    </w:tbl>
    <w:p>
      <w:pPr>
        <w:spacing w:after="0" w:line="200" w:lineRule="exact"/>
        <w:rPr>
          <w:sz w:val="20"/>
          <w:szCs w:val="20"/>
          <w:color w:val="auto"/>
        </w:rPr>
      </w:pPr>
    </w:p>
    <w:p>
      <w:pPr>
        <w:spacing w:after="0" w:line="33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88</w:t>
      </w:r>
    </w:p>
    <w:p>
      <w:pPr>
        <w:sectPr>
          <w:pgSz w:w="11900" w:h="16838" w:orient="portrait"/>
          <w:cols w:equalWidth="0" w:num="1">
            <w:col w:w="11420"/>
          </w:cols>
          <w:pgMar w:left="240" w:top="724" w:right="239" w:bottom="1440" w:gutter="0" w:footer="0" w:header="0"/>
        </w:sectPr>
      </w:pPr>
    </w:p>
    <w:bookmarkStart w:id="91" w:name="page92"/>
    <w:bookmarkEnd w:id="91"/>
    <w:p>
      <w:pPr>
        <w:spacing w:after="0"/>
        <w:rPr>
          <w:sz w:val="20"/>
          <w:szCs w:val="20"/>
          <w:color w:val="auto"/>
        </w:rPr>
      </w:pPr>
      <w:r>
        <w:rPr>
          <w:rFonts w:ascii="Arial" w:cs="Arial" w:eastAsia="Arial" w:hAnsi="Arial"/>
          <w:sz w:val="18"/>
          <w:szCs w:val="18"/>
          <w:color w:val="auto"/>
        </w:rPr>
        <w:t>Accounts payable and accrued liabilities consist of the following:</w:t>
      </w:r>
    </w:p>
    <w:p>
      <w:pPr>
        <w:spacing w:after="0" w:line="199"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9020" w:type="dxa"/>
            <w:vAlign w:val="bottom"/>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2120" w:type="dxa"/>
            <w:vAlign w:val="bottom"/>
            <w:tcBorders>
              <w:bottom w:val="single" w:sz="8" w:color="auto"/>
            </w:tcBorders>
            <w:gridSpan w:val="3"/>
          </w:tcPr>
          <w:p>
            <w:pPr>
              <w:jc w:val="right"/>
              <w:ind w:right="461"/>
              <w:spacing w:after="0"/>
              <w:rPr>
                <w:sz w:val="20"/>
                <w:szCs w:val="20"/>
                <w:color w:val="auto"/>
              </w:rPr>
            </w:pPr>
            <w:r>
              <w:rPr>
                <w:rFonts w:ascii="Arial" w:cs="Arial" w:eastAsia="Arial" w:hAnsi="Arial"/>
                <w:sz w:val="14"/>
                <w:szCs w:val="14"/>
                <w:b w:val="1"/>
                <w:bCs w:val="1"/>
                <w:color w:val="auto"/>
              </w:rPr>
              <w:t>As of December 31</w:t>
            </w:r>
          </w:p>
        </w:tc>
      </w:tr>
      <w:tr>
        <w:trPr>
          <w:trHeight w:val="264"/>
        </w:trPr>
        <w:tc>
          <w:tcPr>
            <w:tcW w:w="902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(in thousands)</w:t>
            </w:r>
          </w:p>
        </w:tc>
        <w:tc>
          <w:tcPr>
            <w:tcW w:w="28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ind w:right="363"/>
              <w:spacing w:after="0"/>
              <w:rPr>
                <w:sz w:val="20"/>
                <w:szCs w:val="20"/>
                <w:color w:val="auto"/>
              </w:rPr>
            </w:pPr>
            <w:r>
              <w:rPr>
                <w:rFonts w:ascii="Arial" w:cs="Arial" w:eastAsia="Arial" w:hAnsi="Arial"/>
                <w:sz w:val="14"/>
                <w:szCs w:val="14"/>
                <w:b w:val="1"/>
                <w:bCs w:val="1"/>
                <w:color w:val="auto"/>
              </w:rPr>
              <w:t>2017</w:t>
            </w:r>
          </w:p>
        </w:tc>
        <w:tc>
          <w:tcPr>
            <w:tcW w:w="34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ind w:right="321"/>
              <w:spacing w:after="0"/>
              <w:rPr>
                <w:sz w:val="20"/>
                <w:szCs w:val="20"/>
                <w:color w:val="auto"/>
              </w:rPr>
            </w:pPr>
            <w:r>
              <w:rPr>
                <w:rFonts w:ascii="Arial" w:cs="Arial" w:eastAsia="Arial" w:hAnsi="Arial"/>
                <w:sz w:val="14"/>
                <w:szCs w:val="14"/>
                <w:color w:val="auto"/>
              </w:rPr>
              <w:t>2016</w:t>
            </w:r>
          </w:p>
        </w:tc>
      </w:tr>
      <w:tr>
        <w:trPr>
          <w:trHeight w:val="250"/>
        </w:trPr>
        <w:tc>
          <w:tcPr>
            <w:tcW w:w="9020" w:type="dxa"/>
            <w:vAlign w:val="bottom"/>
          </w:tcPr>
          <w:p>
            <w:pPr>
              <w:ind w:left="40"/>
              <w:spacing w:after="0"/>
              <w:rPr>
                <w:sz w:val="20"/>
                <w:szCs w:val="20"/>
                <w:color w:val="auto"/>
              </w:rPr>
            </w:pPr>
            <w:r>
              <w:rPr>
                <w:rFonts w:ascii="Arial" w:cs="Arial" w:eastAsia="Arial" w:hAnsi="Arial"/>
                <w:sz w:val="16"/>
                <w:szCs w:val="16"/>
                <w:color w:val="auto"/>
              </w:rPr>
              <w:t>Accounts payable and accrued liabilities</w:t>
            </w:r>
          </w:p>
        </w:tc>
        <w:tc>
          <w:tcPr>
            <w:tcW w:w="280" w:type="dxa"/>
            <w:vAlign w:val="bottom"/>
          </w:tcPr>
          <w:p>
            <w:pPr>
              <w:jc w:val="right"/>
              <w:ind w:right="79"/>
              <w:spacing w:after="0"/>
              <w:rPr>
                <w:sz w:val="20"/>
                <w:szCs w:val="20"/>
                <w:color w:val="auto"/>
              </w:rPr>
            </w:pPr>
            <w:r>
              <w:rPr>
                <w:rFonts w:ascii="Arial" w:cs="Arial" w:eastAsia="Arial" w:hAnsi="Arial"/>
                <w:sz w:val="16"/>
                <w:szCs w:val="16"/>
                <w:b w:val="1"/>
                <w:bCs w:val="1"/>
                <w:color w:val="auto"/>
              </w:rPr>
              <w:t>$</w:t>
            </w:r>
          </w:p>
        </w:tc>
        <w:tc>
          <w:tcPr>
            <w:tcW w:w="900" w:type="dxa"/>
            <w:vAlign w:val="bottom"/>
          </w:tcPr>
          <w:p>
            <w:pPr>
              <w:jc w:val="right"/>
              <w:ind w:right="63"/>
              <w:spacing w:after="0"/>
              <w:rPr>
                <w:sz w:val="20"/>
                <w:szCs w:val="20"/>
                <w:color w:val="auto"/>
              </w:rPr>
            </w:pPr>
            <w:r>
              <w:rPr>
                <w:rFonts w:ascii="Arial" w:cs="Arial" w:eastAsia="Arial" w:hAnsi="Arial"/>
                <w:sz w:val="16"/>
                <w:szCs w:val="16"/>
                <w:b w:val="1"/>
                <w:bCs w:val="1"/>
                <w:color w:val="auto"/>
              </w:rPr>
              <w:t>385,927</w:t>
            </w:r>
          </w:p>
        </w:tc>
        <w:tc>
          <w:tcPr>
            <w:tcW w:w="34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880" w:type="dxa"/>
            <w:vAlign w:val="bottom"/>
          </w:tcPr>
          <w:p>
            <w:pPr>
              <w:jc w:val="right"/>
              <w:ind w:right="21"/>
              <w:spacing w:after="0"/>
              <w:rPr>
                <w:sz w:val="20"/>
                <w:szCs w:val="20"/>
                <w:color w:val="auto"/>
              </w:rPr>
            </w:pPr>
            <w:r>
              <w:rPr>
                <w:rFonts w:ascii="Arial" w:cs="Arial" w:eastAsia="Arial" w:hAnsi="Arial"/>
                <w:sz w:val="16"/>
                <w:szCs w:val="16"/>
                <w:color w:val="auto"/>
              </w:rPr>
              <w:t>352,356</w:t>
            </w:r>
          </w:p>
        </w:tc>
      </w:tr>
      <w:tr>
        <w:trPr>
          <w:trHeight w:val="283"/>
        </w:trPr>
        <w:tc>
          <w:tcPr>
            <w:tcW w:w="9020" w:type="dxa"/>
            <w:vAlign w:val="bottom"/>
          </w:tcPr>
          <w:p>
            <w:pPr>
              <w:ind w:left="40"/>
              <w:spacing w:after="0"/>
              <w:rPr>
                <w:sz w:val="20"/>
                <w:szCs w:val="20"/>
                <w:color w:val="auto"/>
              </w:rPr>
            </w:pPr>
            <w:r>
              <w:rPr>
                <w:rFonts w:ascii="Arial" w:cs="Arial" w:eastAsia="Arial" w:hAnsi="Arial"/>
                <w:sz w:val="16"/>
                <w:szCs w:val="16"/>
                <w:color w:val="auto"/>
              </w:rPr>
              <w:t>Accrued compensation and related benefits</w:t>
            </w:r>
          </w:p>
        </w:tc>
        <w:tc>
          <w:tcPr>
            <w:tcW w:w="28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jc w:val="right"/>
              <w:ind w:right="63"/>
              <w:spacing w:after="0"/>
              <w:rPr>
                <w:sz w:val="20"/>
                <w:szCs w:val="20"/>
                <w:color w:val="auto"/>
              </w:rPr>
            </w:pPr>
            <w:r>
              <w:rPr>
                <w:rFonts w:ascii="Arial" w:cs="Arial" w:eastAsia="Arial" w:hAnsi="Arial"/>
                <w:sz w:val="16"/>
                <w:szCs w:val="16"/>
                <w:b w:val="1"/>
                <w:bCs w:val="1"/>
                <w:color w:val="auto"/>
              </w:rPr>
              <w:t>140,396</w:t>
            </w:r>
          </w:p>
        </w:tc>
        <w:tc>
          <w:tcPr>
            <w:tcW w:w="34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jc w:val="right"/>
              <w:ind w:right="21"/>
              <w:spacing w:after="0"/>
              <w:rPr>
                <w:sz w:val="20"/>
                <w:szCs w:val="20"/>
                <w:color w:val="auto"/>
              </w:rPr>
            </w:pPr>
            <w:r>
              <w:rPr>
                <w:rFonts w:ascii="Arial" w:cs="Arial" w:eastAsia="Arial" w:hAnsi="Arial"/>
                <w:sz w:val="16"/>
                <w:szCs w:val="16"/>
                <w:color w:val="auto"/>
              </w:rPr>
              <w:t>148,370</w:t>
            </w:r>
          </w:p>
        </w:tc>
      </w:tr>
      <w:tr>
        <w:trPr>
          <w:trHeight w:val="264"/>
        </w:trPr>
        <w:tc>
          <w:tcPr>
            <w:tcW w:w="9020" w:type="dxa"/>
            <w:vAlign w:val="bottom"/>
          </w:tcPr>
          <w:p>
            <w:pPr>
              <w:spacing w:after="0"/>
              <w:rPr>
                <w:sz w:val="22"/>
                <w:szCs w:val="22"/>
                <w:color w:val="auto"/>
              </w:rPr>
            </w:pPr>
          </w:p>
        </w:tc>
        <w:tc>
          <w:tcPr>
            <w:tcW w:w="28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b w:val="1"/>
                <w:bCs w:val="1"/>
                <w:color w:val="auto"/>
              </w:rPr>
              <w:t>$</w:t>
            </w:r>
          </w:p>
        </w:tc>
        <w:tc>
          <w:tcPr>
            <w:tcW w:w="900" w:type="dxa"/>
            <w:vAlign w:val="bottom"/>
            <w:tcBorders>
              <w:bottom w:val="single" w:sz="8" w:color="auto"/>
            </w:tcBorders>
          </w:tcPr>
          <w:p>
            <w:pPr>
              <w:jc w:val="right"/>
              <w:ind w:right="63"/>
              <w:spacing w:after="0"/>
              <w:rPr>
                <w:sz w:val="20"/>
                <w:szCs w:val="20"/>
                <w:color w:val="auto"/>
              </w:rPr>
            </w:pPr>
            <w:r>
              <w:rPr>
                <w:rFonts w:ascii="Arial" w:cs="Arial" w:eastAsia="Arial" w:hAnsi="Arial"/>
                <w:sz w:val="16"/>
                <w:szCs w:val="16"/>
                <w:b w:val="1"/>
                <w:bCs w:val="1"/>
                <w:color w:val="auto"/>
              </w:rPr>
              <w:t>526,323</w:t>
            </w:r>
          </w:p>
        </w:tc>
        <w:tc>
          <w:tcPr>
            <w:tcW w:w="34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w:t>
            </w:r>
          </w:p>
        </w:tc>
        <w:tc>
          <w:tcPr>
            <w:tcW w:w="880" w:type="dxa"/>
            <w:vAlign w:val="bottom"/>
            <w:tcBorders>
              <w:bottom w:val="single" w:sz="8" w:color="auto"/>
            </w:tcBorders>
          </w:tcPr>
          <w:p>
            <w:pPr>
              <w:jc w:val="right"/>
              <w:ind w:right="21"/>
              <w:spacing w:after="0"/>
              <w:rPr>
                <w:sz w:val="20"/>
                <w:szCs w:val="20"/>
                <w:color w:val="auto"/>
              </w:rPr>
            </w:pPr>
            <w:r>
              <w:rPr>
                <w:rFonts w:ascii="Arial" w:cs="Arial" w:eastAsia="Arial" w:hAnsi="Arial"/>
                <w:sz w:val="16"/>
                <w:szCs w:val="16"/>
                <w:color w:val="auto"/>
              </w:rPr>
              <w:t>500,726</w:t>
            </w:r>
          </w:p>
        </w:tc>
      </w:tr>
      <w:tr>
        <w:trPr>
          <w:trHeight w:val="20"/>
        </w:trPr>
        <w:tc>
          <w:tcPr>
            <w:tcW w:w="90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ind w:right="440"/>
        <w:spacing w:after="0" w:line="235" w:lineRule="auto"/>
        <w:rPr>
          <w:sz w:val="20"/>
          <w:szCs w:val="20"/>
          <w:color w:val="auto"/>
        </w:rPr>
      </w:pPr>
      <w:r>
        <w:rPr>
          <w:rFonts w:ascii="Arial" w:cs="Arial" w:eastAsia="Arial" w:hAnsi="Arial"/>
          <w:sz w:val="18"/>
          <w:szCs w:val="18"/>
          <w:color w:val="auto"/>
        </w:rPr>
        <w:t>Cash overdrafts of $6.0 million and $15.5 million are included in accounts payable and accrued liabilities at December 31, 2017 and 2016, respectively.</w:t>
      </w:r>
    </w:p>
    <w:p>
      <w:pPr>
        <w:spacing w:after="0" w:line="113" w:lineRule="exact"/>
        <w:rPr>
          <w:sz w:val="20"/>
          <w:szCs w:val="20"/>
          <w:color w:val="auto"/>
        </w:rPr>
      </w:pPr>
    </w:p>
    <w:p>
      <w:pPr>
        <w:ind w:left="500" w:hanging="492"/>
        <w:spacing w:after="0"/>
        <w:tabs>
          <w:tab w:leader="none" w:pos="500" w:val="left"/>
        </w:tabs>
        <w:numPr>
          <w:ilvl w:val="0"/>
          <w:numId w:val="66"/>
        </w:numPr>
        <w:rPr>
          <w:rFonts w:ascii="Arial" w:cs="Arial" w:eastAsia="Arial" w:hAnsi="Arial"/>
          <w:sz w:val="18"/>
          <w:szCs w:val="18"/>
          <w:b w:val="1"/>
          <w:bCs w:val="1"/>
          <w:color w:val="auto"/>
        </w:rPr>
      </w:pPr>
      <w:r>
        <w:rPr>
          <w:rFonts w:ascii="Arial" w:cs="Arial" w:eastAsia="Arial" w:hAnsi="Arial"/>
          <w:sz w:val="18"/>
          <w:szCs w:val="18"/>
          <w:b w:val="1"/>
          <w:bCs w:val="1"/>
          <w:color w:val="auto"/>
        </w:rPr>
        <w:t>INVENTORIES AND CONTRACTS IN PROGRESS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color w:val="auto"/>
        </w:rPr>
        <w:t>Inventories and contracts in progress consist of the following:</w:t>
      </w:r>
    </w:p>
    <w:p>
      <w:pPr>
        <w:spacing w:after="0" w:line="199"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9020" w:type="dxa"/>
            <w:vAlign w:val="bottom"/>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2120" w:type="dxa"/>
            <w:vAlign w:val="bottom"/>
            <w:tcBorders>
              <w:bottom w:val="single" w:sz="8" w:color="auto"/>
            </w:tcBorders>
            <w:gridSpan w:val="3"/>
          </w:tcPr>
          <w:p>
            <w:pPr>
              <w:jc w:val="right"/>
              <w:ind w:right="460"/>
              <w:spacing w:after="0"/>
              <w:rPr>
                <w:sz w:val="20"/>
                <w:szCs w:val="20"/>
                <w:color w:val="auto"/>
              </w:rPr>
            </w:pPr>
            <w:r>
              <w:rPr>
                <w:rFonts w:ascii="Arial" w:cs="Arial" w:eastAsia="Arial" w:hAnsi="Arial"/>
                <w:sz w:val="14"/>
                <w:szCs w:val="14"/>
                <w:b w:val="1"/>
                <w:bCs w:val="1"/>
                <w:color w:val="auto"/>
              </w:rPr>
              <w:t>As of December 31</w:t>
            </w:r>
          </w:p>
        </w:tc>
      </w:tr>
      <w:tr>
        <w:trPr>
          <w:trHeight w:val="264"/>
        </w:trPr>
        <w:tc>
          <w:tcPr>
            <w:tcW w:w="902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(in thousands)</w:t>
            </w:r>
          </w:p>
        </w:tc>
        <w:tc>
          <w:tcPr>
            <w:tcW w:w="28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ind w:right="362"/>
              <w:spacing w:after="0"/>
              <w:rPr>
                <w:sz w:val="20"/>
                <w:szCs w:val="20"/>
                <w:color w:val="auto"/>
              </w:rPr>
            </w:pPr>
            <w:r>
              <w:rPr>
                <w:rFonts w:ascii="Arial" w:cs="Arial" w:eastAsia="Arial" w:hAnsi="Arial"/>
                <w:sz w:val="14"/>
                <w:szCs w:val="14"/>
                <w:b w:val="1"/>
                <w:bCs w:val="1"/>
                <w:color w:val="auto"/>
              </w:rPr>
              <w:t>2017</w:t>
            </w:r>
          </w:p>
        </w:tc>
        <w:tc>
          <w:tcPr>
            <w:tcW w:w="34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ind w:right="320"/>
              <w:spacing w:after="0"/>
              <w:rPr>
                <w:sz w:val="20"/>
                <w:szCs w:val="20"/>
                <w:color w:val="auto"/>
              </w:rPr>
            </w:pPr>
            <w:r>
              <w:rPr>
                <w:rFonts w:ascii="Arial" w:cs="Arial" w:eastAsia="Arial" w:hAnsi="Arial"/>
                <w:sz w:val="14"/>
                <w:szCs w:val="14"/>
                <w:color w:val="auto"/>
              </w:rPr>
              <w:t>2016</w:t>
            </w:r>
          </w:p>
        </w:tc>
      </w:tr>
      <w:tr>
        <w:trPr>
          <w:trHeight w:val="250"/>
        </w:trPr>
        <w:tc>
          <w:tcPr>
            <w:tcW w:w="9020" w:type="dxa"/>
            <w:vAlign w:val="bottom"/>
          </w:tcPr>
          <w:p>
            <w:pPr>
              <w:ind w:left="40"/>
              <w:spacing w:after="0"/>
              <w:rPr>
                <w:sz w:val="20"/>
                <w:szCs w:val="20"/>
                <w:color w:val="auto"/>
              </w:rPr>
            </w:pPr>
            <w:r>
              <w:rPr>
                <w:rFonts w:ascii="Arial" w:cs="Arial" w:eastAsia="Arial" w:hAnsi="Arial"/>
                <w:sz w:val="16"/>
                <w:szCs w:val="16"/>
                <w:color w:val="auto"/>
              </w:rPr>
              <w:t>Raw materials</w:t>
            </w:r>
          </w:p>
        </w:tc>
        <w:tc>
          <w:tcPr>
            <w:tcW w:w="280" w:type="dxa"/>
            <w:vAlign w:val="bottom"/>
          </w:tcPr>
          <w:p>
            <w:pPr>
              <w:jc w:val="right"/>
              <w:ind w:right="79"/>
              <w:spacing w:after="0"/>
              <w:rPr>
                <w:sz w:val="20"/>
                <w:szCs w:val="20"/>
                <w:color w:val="auto"/>
              </w:rPr>
            </w:pPr>
            <w:r>
              <w:rPr>
                <w:rFonts w:ascii="Arial" w:cs="Arial" w:eastAsia="Arial" w:hAnsi="Arial"/>
                <w:sz w:val="16"/>
                <w:szCs w:val="16"/>
                <w:b w:val="1"/>
                <w:bCs w:val="1"/>
                <w:color w:val="auto"/>
              </w:rPr>
              <w:t>$</w:t>
            </w:r>
          </w:p>
        </w:tc>
        <w:tc>
          <w:tcPr>
            <w:tcW w:w="900" w:type="dxa"/>
            <w:vAlign w:val="bottom"/>
          </w:tcPr>
          <w:p>
            <w:pPr>
              <w:jc w:val="right"/>
              <w:ind w:right="62"/>
              <w:spacing w:after="0"/>
              <w:rPr>
                <w:sz w:val="20"/>
                <w:szCs w:val="20"/>
                <w:color w:val="auto"/>
              </w:rPr>
            </w:pPr>
            <w:r>
              <w:rPr>
                <w:rFonts w:ascii="Arial" w:cs="Arial" w:eastAsia="Arial" w:hAnsi="Arial"/>
                <w:sz w:val="16"/>
                <w:szCs w:val="16"/>
                <w:b w:val="1"/>
                <w:bCs w:val="1"/>
                <w:color w:val="auto"/>
              </w:rPr>
              <w:t>30,429</w:t>
            </w:r>
          </w:p>
        </w:tc>
        <w:tc>
          <w:tcPr>
            <w:tcW w:w="34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880" w:type="dxa"/>
            <w:vAlign w:val="bottom"/>
          </w:tcPr>
          <w:p>
            <w:pPr>
              <w:jc w:val="right"/>
              <w:ind w:right="20"/>
              <w:spacing w:after="0"/>
              <w:rPr>
                <w:sz w:val="20"/>
                <w:szCs w:val="20"/>
                <w:color w:val="auto"/>
              </w:rPr>
            </w:pPr>
            <w:r>
              <w:rPr>
                <w:rFonts w:ascii="Arial" w:cs="Arial" w:eastAsia="Arial" w:hAnsi="Arial"/>
                <w:sz w:val="16"/>
                <w:szCs w:val="16"/>
                <w:color w:val="auto"/>
              </w:rPr>
              <w:t>20,646</w:t>
            </w:r>
          </w:p>
        </w:tc>
      </w:tr>
      <w:tr>
        <w:trPr>
          <w:trHeight w:val="270"/>
        </w:trPr>
        <w:tc>
          <w:tcPr>
            <w:tcW w:w="9020" w:type="dxa"/>
            <w:vAlign w:val="bottom"/>
          </w:tcPr>
          <w:p>
            <w:pPr>
              <w:ind w:left="40"/>
              <w:spacing w:after="0"/>
              <w:rPr>
                <w:sz w:val="20"/>
                <w:szCs w:val="20"/>
                <w:color w:val="auto"/>
              </w:rPr>
            </w:pPr>
            <w:r>
              <w:rPr>
                <w:rFonts w:ascii="Arial" w:cs="Arial" w:eastAsia="Arial" w:hAnsi="Arial"/>
                <w:sz w:val="16"/>
                <w:szCs w:val="16"/>
                <w:color w:val="auto"/>
              </w:rPr>
              <w:t>Work-in-process</w:t>
            </w:r>
          </w:p>
        </w:tc>
        <w:tc>
          <w:tcPr>
            <w:tcW w:w="280" w:type="dxa"/>
            <w:vAlign w:val="bottom"/>
          </w:tcPr>
          <w:p>
            <w:pPr>
              <w:spacing w:after="0"/>
              <w:rPr>
                <w:sz w:val="23"/>
                <w:szCs w:val="23"/>
                <w:color w:val="auto"/>
              </w:rPr>
            </w:pPr>
          </w:p>
        </w:tc>
        <w:tc>
          <w:tcPr>
            <w:tcW w:w="900" w:type="dxa"/>
            <w:vAlign w:val="bottom"/>
          </w:tcPr>
          <w:p>
            <w:pPr>
              <w:jc w:val="right"/>
              <w:ind w:right="62"/>
              <w:spacing w:after="0"/>
              <w:rPr>
                <w:sz w:val="20"/>
                <w:szCs w:val="20"/>
                <w:color w:val="auto"/>
              </w:rPr>
            </w:pPr>
            <w:r>
              <w:rPr>
                <w:rFonts w:ascii="Arial" w:cs="Arial" w:eastAsia="Arial" w:hAnsi="Arial"/>
                <w:sz w:val="16"/>
                <w:szCs w:val="16"/>
                <w:b w:val="1"/>
                <w:bCs w:val="1"/>
                <w:color w:val="auto"/>
              </w:rPr>
              <w:t>10,258</w:t>
            </w:r>
          </w:p>
        </w:tc>
        <w:tc>
          <w:tcPr>
            <w:tcW w:w="340" w:type="dxa"/>
            <w:vAlign w:val="bottom"/>
          </w:tcPr>
          <w:p>
            <w:pPr>
              <w:spacing w:after="0"/>
              <w:rPr>
                <w:sz w:val="23"/>
                <w:szCs w:val="23"/>
                <w:color w:val="auto"/>
              </w:rPr>
            </w:pPr>
          </w:p>
        </w:tc>
        <w:tc>
          <w:tcPr>
            <w:tcW w:w="880" w:type="dxa"/>
            <w:vAlign w:val="bottom"/>
          </w:tcPr>
          <w:p>
            <w:pPr>
              <w:jc w:val="right"/>
              <w:ind w:right="20"/>
              <w:spacing w:after="0"/>
              <w:rPr>
                <w:sz w:val="20"/>
                <w:szCs w:val="20"/>
                <w:color w:val="auto"/>
              </w:rPr>
            </w:pPr>
            <w:r>
              <w:rPr>
                <w:rFonts w:ascii="Arial" w:cs="Arial" w:eastAsia="Arial" w:hAnsi="Arial"/>
                <w:sz w:val="16"/>
                <w:szCs w:val="16"/>
                <w:color w:val="auto"/>
              </w:rPr>
              <w:t>5,368</w:t>
            </w:r>
          </w:p>
        </w:tc>
      </w:tr>
      <w:tr>
        <w:trPr>
          <w:trHeight w:val="270"/>
        </w:trPr>
        <w:tc>
          <w:tcPr>
            <w:tcW w:w="9020" w:type="dxa"/>
            <w:vAlign w:val="bottom"/>
          </w:tcPr>
          <w:p>
            <w:pPr>
              <w:ind w:left="40"/>
              <w:spacing w:after="0"/>
              <w:rPr>
                <w:sz w:val="20"/>
                <w:szCs w:val="20"/>
                <w:color w:val="auto"/>
              </w:rPr>
            </w:pPr>
            <w:r>
              <w:rPr>
                <w:rFonts w:ascii="Arial" w:cs="Arial" w:eastAsia="Arial" w:hAnsi="Arial"/>
                <w:sz w:val="16"/>
                <w:szCs w:val="16"/>
                <w:color w:val="auto"/>
              </w:rPr>
              <w:t>Finished goods</w:t>
            </w:r>
          </w:p>
        </w:tc>
        <w:tc>
          <w:tcPr>
            <w:tcW w:w="280" w:type="dxa"/>
            <w:vAlign w:val="bottom"/>
          </w:tcPr>
          <w:p>
            <w:pPr>
              <w:spacing w:after="0"/>
              <w:rPr>
                <w:sz w:val="23"/>
                <w:szCs w:val="23"/>
                <w:color w:val="auto"/>
              </w:rPr>
            </w:pPr>
          </w:p>
        </w:tc>
        <w:tc>
          <w:tcPr>
            <w:tcW w:w="900" w:type="dxa"/>
            <w:vAlign w:val="bottom"/>
          </w:tcPr>
          <w:p>
            <w:pPr>
              <w:jc w:val="right"/>
              <w:ind w:right="62"/>
              <w:spacing w:after="0"/>
              <w:rPr>
                <w:sz w:val="20"/>
                <w:szCs w:val="20"/>
                <w:color w:val="auto"/>
              </w:rPr>
            </w:pPr>
            <w:r>
              <w:rPr>
                <w:rFonts w:ascii="Arial" w:cs="Arial" w:eastAsia="Arial" w:hAnsi="Arial"/>
                <w:sz w:val="16"/>
                <w:szCs w:val="16"/>
                <w:b w:val="1"/>
                <w:bCs w:val="1"/>
                <w:color w:val="auto"/>
              </w:rPr>
              <w:t>18,851</w:t>
            </w:r>
          </w:p>
        </w:tc>
        <w:tc>
          <w:tcPr>
            <w:tcW w:w="340" w:type="dxa"/>
            <w:vAlign w:val="bottom"/>
          </w:tcPr>
          <w:p>
            <w:pPr>
              <w:spacing w:after="0"/>
              <w:rPr>
                <w:sz w:val="23"/>
                <w:szCs w:val="23"/>
                <w:color w:val="auto"/>
              </w:rPr>
            </w:pPr>
          </w:p>
        </w:tc>
        <w:tc>
          <w:tcPr>
            <w:tcW w:w="880" w:type="dxa"/>
            <w:vAlign w:val="bottom"/>
          </w:tcPr>
          <w:p>
            <w:pPr>
              <w:jc w:val="right"/>
              <w:ind w:right="20"/>
              <w:spacing w:after="0"/>
              <w:rPr>
                <w:sz w:val="20"/>
                <w:szCs w:val="20"/>
                <w:color w:val="auto"/>
              </w:rPr>
            </w:pPr>
            <w:r>
              <w:rPr>
                <w:rFonts w:ascii="Arial" w:cs="Arial" w:eastAsia="Arial" w:hAnsi="Arial"/>
                <w:sz w:val="16"/>
                <w:szCs w:val="16"/>
                <w:color w:val="auto"/>
              </w:rPr>
              <w:t>8,490</w:t>
            </w:r>
          </w:p>
        </w:tc>
      </w:tr>
      <w:tr>
        <w:trPr>
          <w:trHeight w:val="283"/>
        </w:trPr>
        <w:tc>
          <w:tcPr>
            <w:tcW w:w="9020" w:type="dxa"/>
            <w:vAlign w:val="bottom"/>
          </w:tcPr>
          <w:p>
            <w:pPr>
              <w:ind w:left="40"/>
              <w:spacing w:after="0"/>
              <w:rPr>
                <w:sz w:val="20"/>
                <w:szCs w:val="20"/>
                <w:color w:val="auto"/>
              </w:rPr>
            </w:pPr>
            <w:r>
              <w:rPr>
                <w:rFonts w:ascii="Arial" w:cs="Arial" w:eastAsia="Arial" w:hAnsi="Arial"/>
                <w:sz w:val="16"/>
                <w:szCs w:val="16"/>
                <w:color w:val="auto"/>
              </w:rPr>
              <w:t>Contracts in progress</w:t>
            </w:r>
          </w:p>
        </w:tc>
        <w:tc>
          <w:tcPr>
            <w:tcW w:w="28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jc w:val="right"/>
              <w:ind w:right="62"/>
              <w:spacing w:after="0"/>
              <w:rPr>
                <w:sz w:val="20"/>
                <w:szCs w:val="20"/>
                <w:color w:val="auto"/>
              </w:rPr>
            </w:pPr>
            <w:r>
              <w:rPr>
                <w:rFonts w:ascii="Arial" w:cs="Arial" w:eastAsia="Arial" w:hAnsi="Arial"/>
                <w:sz w:val="16"/>
                <w:szCs w:val="16"/>
                <w:b w:val="1"/>
                <w:bCs w:val="1"/>
                <w:color w:val="auto"/>
              </w:rPr>
              <w:t>1,074</w:t>
            </w:r>
          </w:p>
        </w:tc>
        <w:tc>
          <w:tcPr>
            <w:tcW w:w="34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314</w:t>
            </w:r>
          </w:p>
        </w:tc>
      </w:tr>
      <w:tr>
        <w:trPr>
          <w:trHeight w:val="264"/>
        </w:trPr>
        <w:tc>
          <w:tcPr>
            <w:tcW w:w="9020" w:type="dxa"/>
            <w:vAlign w:val="bottom"/>
          </w:tcPr>
          <w:p>
            <w:pPr>
              <w:spacing w:after="0"/>
              <w:rPr>
                <w:sz w:val="22"/>
                <w:szCs w:val="22"/>
                <w:color w:val="auto"/>
              </w:rPr>
            </w:pPr>
          </w:p>
        </w:tc>
        <w:tc>
          <w:tcPr>
            <w:tcW w:w="28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b w:val="1"/>
                <w:bCs w:val="1"/>
                <w:color w:val="auto"/>
              </w:rPr>
              <w:t>$</w:t>
            </w:r>
          </w:p>
        </w:tc>
        <w:tc>
          <w:tcPr>
            <w:tcW w:w="900" w:type="dxa"/>
            <w:vAlign w:val="bottom"/>
            <w:tcBorders>
              <w:bottom w:val="single" w:sz="8" w:color="auto"/>
            </w:tcBorders>
          </w:tcPr>
          <w:p>
            <w:pPr>
              <w:jc w:val="right"/>
              <w:ind w:right="62"/>
              <w:spacing w:after="0"/>
              <w:rPr>
                <w:sz w:val="20"/>
                <w:szCs w:val="20"/>
                <w:color w:val="auto"/>
              </w:rPr>
            </w:pPr>
            <w:r>
              <w:rPr>
                <w:rFonts w:ascii="Arial" w:cs="Arial" w:eastAsia="Arial" w:hAnsi="Arial"/>
                <w:sz w:val="16"/>
                <w:szCs w:val="16"/>
                <w:b w:val="1"/>
                <w:bCs w:val="1"/>
                <w:color w:val="auto"/>
              </w:rPr>
              <w:t>60,612</w:t>
            </w:r>
          </w:p>
        </w:tc>
        <w:tc>
          <w:tcPr>
            <w:tcW w:w="34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w:t>
            </w:r>
          </w:p>
        </w:tc>
        <w:tc>
          <w:tcPr>
            <w:tcW w:w="88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34,818</w:t>
            </w:r>
          </w:p>
        </w:tc>
      </w:tr>
      <w:tr>
        <w:trPr>
          <w:trHeight w:val="20"/>
        </w:trPr>
        <w:tc>
          <w:tcPr>
            <w:tcW w:w="90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r>
    </w:tbl>
    <w:p>
      <w:pPr>
        <w:spacing w:after="0" w:line="126" w:lineRule="exact"/>
        <w:rPr>
          <w:sz w:val="20"/>
          <w:szCs w:val="20"/>
          <w:color w:val="auto"/>
        </w:rPr>
      </w:pPr>
    </w:p>
    <w:p>
      <w:pPr>
        <w:ind w:left="500" w:hanging="492"/>
        <w:spacing w:after="0"/>
        <w:tabs>
          <w:tab w:leader="none" w:pos="500" w:val="left"/>
        </w:tabs>
        <w:numPr>
          <w:ilvl w:val="0"/>
          <w:numId w:val="67"/>
        </w:numPr>
        <w:rPr>
          <w:rFonts w:ascii="Arial" w:cs="Arial" w:eastAsia="Arial" w:hAnsi="Arial"/>
          <w:sz w:val="18"/>
          <w:szCs w:val="18"/>
          <w:b w:val="1"/>
          <w:bCs w:val="1"/>
          <w:color w:val="auto"/>
        </w:rPr>
      </w:pPr>
      <w:r>
        <w:rPr>
          <w:rFonts w:ascii="Arial" w:cs="Arial" w:eastAsia="Arial" w:hAnsi="Arial"/>
          <w:sz w:val="18"/>
          <w:szCs w:val="18"/>
          <w:b w:val="1"/>
          <w:bCs w:val="1"/>
          <w:color w:val="auto"/>
        </w:rPr>
        <w:t>PROPERTY, PLANT AND EQUIPMENT</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color w:val="auto"/>
        </w:rPr>
        <w:t>Property, plant and equipment consist of the following:</w:t>
      </w:r>
    </w:p>
    <w:p>
      <w:pPr>
        <w:spacing w:after="0" w:line="199"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902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2140" w:type="dxa"/>
            <w:vAlign w:val="bottom"/>
            <w:tcBorders>
              <w:bottom w:val="single" w:sz="8" w:color="auto"/>
            </w:tcBorders>
            <w:gridSpan w:val="3"/>
          </w:tcPr>
          <w:p>
            <w:pPr>
              <w:jc w:val="right"/>
              <w:ind w:right="460"/>
              <w:spacing w:after="0"/>
              <w:rPr>
                <w:sz w:val="20"/>
                <w:szCs w:val="20"/>
                <w:color w:val="auto"/>
              </w:rPr>
            </w:pPr>
            <w:r>
              <w:rPr>
                <w:rFonts w:ascii="Arial" w:cs="Arial" w:eastAsia="Arial" w:hAnsi="Arial"/>
                <w:sz w:val="14"/>
                <w:szCs w:val="14"/>
                <w:b w:val="1"/>
                <w:bCs w:val="1"/>
                <w:color w:val="auto"/>
              </w:rPr>
              <w:t>As of December 31</w:t>
            </w:r>
          </w:p>
        </w:tc>
      </w:tr>
      <w:tr>
        <w:trPr>
          <w:trHeight w:val="264"/>
        </w:trPr>
        <w:tc>
          <w:tcPr>
            <w:tcW w:w="902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(in thousands)</w:t>
            </w:r>
          </w:p>
        </w:tc>
        <w:tc>
          <w:tcPr>
            <w:tcW w:w="26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right"/>
              <w:ind w:right="381"/>
              <w:spacing w:after="0"/>
              <w:rPr>
                <w:sz w:val="20"/>
                <w:szCs w:val="20"/>
                <w:color w:val="auto"/>
              </w:rPr>
            </w:pPr>
            <w:r>
              <w:rPr>
                <w:rFonts w:ascii="Arial" w:cs="Arial" w:eastAsia="Arial" w:hAnsi="Arial"/>
                <w:sz w:val="14"/>
                <w:szCs w:val="14"/>
                <w:b w:val="1"/>
                <w:bCs w:val="1"/>
                <w:color w:val="auto"/>
              </w:rPr>
              <w:t>2017</w:t>
            </w:r>
          </w:p>
        </w:tc>
        <w:tc>
          <w:tcPr>
            <w:tcW w:w="32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ind w:right="320"/>
              <w:spacing w:after="0"/>
              <w:rPr>
                <w:sz w:val="20"/>
                <w:szCs w:val="20"/>
                <w:color w:val="auto"/>
              </w:rPr>
            </w:pPr>
            <w:r>
              <w:rPr>
                <w:rFonts w:ascii="Arial" w:cs="Arial" w:eastAsia="Arial" w:hAnsi="Arial"/>
                <w:sz w:val="14"/>
                <w:szCs w:val="14"/>
                <w:color w:val="auto"/>
              </w:rPr>
              <w:t>2016</w:t>
            </w:r>
          </w:p>
        </w:tc>
      </w:tr>
      <w:tr>
        <w:trPr>
          <w:trHeight w:val="250"/>
        </w:trPr>
        <w:tc>
          <w:tcPr>
            <w:tcW w:w="9020" w:type="dxa"/>
            <w:vAlign w:val="bottom"/>
          </w:tcPr>
          <w:p>
            <w:pPr>
              <w:ind w:left="40"/>
              <w:spacing w:after="0"/>
              <w:rPr>
                <w:sz w:val="20"/>
                <w:szCs w:val="20"/>
                <w:color w:val="auto"/>
              </w:rPr>
            </w:pPr>
            <w:r>
              <w:rPr>
                <w:rFonts w:ascii="Arial" w:cs="Arial" w:eastAsia="Arial" w:hAnsi="Arial"/>
                <w:sz w:val="16"/>
                <w:szCs w:val="16"/>
                <w:color w:val="auto"/>
              </w:rPr>
              <w:t>Land</w:t>
            </w:r>
          </w:p>
        </w:tc>
        <w:tc>
          <w:tcPr>
            <w:tcW w:w="260" w:type="dxa"/>
            <w:vAlign w:val="bottom"/>
          </w:tcPr>
          <w:p>
            <w:pPr>
              <w:jc w:val="right"/>
              <w:ind w:right="59"/>
              <w:spacing w:after="0"/>
              <w:rPr>
                <w:sz w:val="20"/>
                <w:szCs w:val="20"/>
                <w:color w:val="auto"/>
              </w:rPr>
            </w:pPr>
            <w:r>
              <w:rPr>
                <w:rFonts w:ascii="Arial" w:cs="Arial" w:eastAsia="Arial" w:hAnsi="Arial"/>
                <w:sz w:val="16"/>
                <w:szCs w:val="16"/>
                <w:b w:val="1"/>
                <w:bCs w:val="1"/>
                <w:color w:val="auto"/>
              </w:rPr>
              <w:t>$</w:t>
            </w:r>
          </w:p>
        </w:tc>
        <w:tc>
          <w:tcPr>
            <w:tcW w:w="940" w:type="dxa"/>
            <w:vAlign w:val="bottom"/>
          </w:tcPr>
          <w:p>
            <w:pPr>
              <w:jc w:val="right"/>
              <w:ind w:right="81"/>
              <w:spacing w:after="0"/>
              <w:rPr>
                <w:sz w:val="20"/>
                <w:szCs w:val="20"/>
                <w:color w:val="auto"/>
              </w:rPr>
            </w:pPr>
            <w:r>
              <w:rPr>
                <w:rFonts w:ascii="Arial" w:cs="Arial" w:eastAsia="Arial" w:hAnsi="Arial"/>
                <w:sz w:val="16"/>
                <w:szCs w:val="16"/>
                <w:b w:val="1"/>
                <w:bCs w:val="1"/>
                <w:color w:val="auto"/>
              </w:rPr>
              <w:t>16,190</w:t>
            </w:r>
          </w:p>
        </w:tc>
        <w:tc>
          <w:tcPr>
            <w:tcW w:w="32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880" w:type="dxa"/>
            <w:vAlign w:val="bottom"/>
          </w:tcPr>
          <w:p>
            <w:pPr>
              <w:jc w:val="right"/>
              <w:ind w:right="20"/>
              <w:spacing w:after="0"/>
              <w:rPr>
                <w:sz w:val="20"/>
                <w:szCs w:val="20"/>
                <w:color w:val="auto"/>
              </w:rPr>
            </w:pPr>
            <w:r>
              <w:rPr>
                <w:rFonts w:ascii="Arial" w:cs="Arial" w:eastAsia="Arial" w:hAnsi="Arial"/>
                <w:sz w:val="16"/>
                <w:szCs w:val="16"/>
                <w:color w:val="auto"/>
              </w:rPr>
              <w:t>10,410</w:t>
            </w:r>
          </w:p>
        </w:tc>
      </w:tr>
      <w:tr>
        <w:trPr>
          <w:trHeight w:val="270"/>
        </w:trPr>
        <w:tc>
          <w:tcPr>
            <w:tcW w:w="9020" w:type="dxa"/>
            <w:vAlign w:val="bottom"/>
          </w:tcPr>
          <w:p>
            <w:pPr>
              <w:ind w:left="40"/>
              <w:spacing w:after="0"/>
              <w:rPr>
                <w:sz w:val="20"/>
                <w:szCs w:val="20"/>
                <w:color w:val="auto"/>
              </w:rPr>
            </w:pPr>
            <w:r>
              <w:rPr>
                <w:rFonts w:ascii="Arial" w:cs="Arial" w:eastAsia="Arial" w:hAnsi="Arial"/>
                <w:sz w:val="16"/>
                <w:szCs w:val="16"/>
                <w:color w:val="auto"/>
              </w:rPr>
              <w:t>Buildings</w:t>
            </w:r>
          </w:p>
        </w:tc>
        <w:tc>
          <w:tcPr>
            <w:tcW w:w="260" w:type="dxa"/>
            <w:vAlign w:val="bottom"/>
          </w:tcPr>
          <w:p>
            <w:pPr>
              <w:spacing w:after="0"/>
              <w:rPr>
                <w:sz w:val="23"/>
                <w:szCs w:val="23"/>
                <w:color w:val="auto"/>
              </w:rPr>
            </w:pPr>
          </w:p>
        </w:tc>
        <w:tc>
          <w:tcPr>
            <w:tcW w:w="940" w:type="dxa"/>
            <w:vAlign w:val="bottom"/>
          </w:tcPr>
          <w:p>
            <w:pPr>
              <w:jc w:val="right"/>
              <w:ind w:right="81"/>
              <w:spacing w:after="0"/>
              <w:rPr>
                <w:sz w:val="20"/>
                <w:szCs w:val="20"/>
                <w:color w:val="auto"/>
              </w:rPr>
            </w:pPr>
            <w:r>
              <w:rPr>
                <w:rFonts w:ascii="Arial" w:cs="Arial" w:eastAsia="Arial" w:hAnsi="Arial"/>
                <w:sz w:val="16"/>
                <w:szCs w:val="16"/>
                <w:b w:val="1"/>
                <w:bCs w:val="1"/>
                <w:color w:val="auto"/>
              </w:rPr>
              <w:t>107,932</w:t>
            </w:r>
          </w:p>
        </w:tc>
        <w:tc>
          <w:tcPr>
            <w:tcW w:w="320" w:type="dxa"/>
            <w:vAlign w:val="bottom"/>
          </w:tcPr>
          <w:p>
            <w:pPr>
              <w:spacing w:after="0"/>
              <w:rPr>
                <w:sz w:val="23"/>
                <w:szCs w:val="23"/>
                <w:color w:val="auto"/>
              </w:rPr>
            </w:pPr>
          </w:p>
        </w:tc>
        <w:tc>
          <w:tcPr>
            <w:tcW w:w="880" w:type="dxa"/>
            <w:vAlign w:val="bottom"/>
          </w:tcPr>
          <w:p>
            <w:pPr>
              <w:jc w:val="right"/>
              <w:ind w:right="20"/>
              <w:spacing w:after="0"/>
              <w:rPr>
                <w:sz w:val="20"/>
                <w:szCs w:val="20"/>
                <w:color w:val="auto"/>
              </w:rPr>
            </w:pPr>
            <w:r>
              <w:rPr>
                <w:rFonts w:ascii="Arial" w:cs="Arial" w:eastAsia="Arial" w:hAnsi="Arial"/>
                <w:sz w:val="16"/>
                <w:szCs w:val="16"/>
                <w:color w:val="auto"/>
              </w:rPr>
              <w:t>88,256</w:t>
            </w:r>
          </w:p>
        </w:tc>
      </w:tr>
      <w:tr>
        <w:trPr>
          <w:trHeight w:val="270"/>
        </w:trPr>
        <w:tc>
          <w:tcPr>
            <w:tcW w:w="9020" w:type="dxa"/>
            <w:vAlign w:val="bottom"/>
          </w:tcPr>
          <w:p>
            <w:pPr>
              <w:ind w:left="40"/>
              <w:spacing w:after="0"/>
              <w:rPr>
                <w:sz w:val="20"/>
                <w:szCs w:val="20"/>
                <w:color w:val="auto"/>
              </w:rPr>
            </w:pPr>
            <w:r>
              <w:rPr>
                <w:rFonts w:ascii="Arial" w:cs="Arial" w:eastAsia="Arial" w:hAnsi="Arial"/>
                <w:sz w:val="16"/>
                <w:szCs w:val="16"/>
                <w:color w:val="auto"/>
              </w:rPr>
              <w:t>Machinery, equipment and fixtures</w:t>
            </w:r>
          </w:p>
        </w:tc>
        <w:tc>
          <w:tcPr>
            <w:tcW w:w="260" w:type="dxa"/>
            <w:vAlign w:val="bottom"/>
          </w:tcPr>
          <w:p>
            <w:pPr>
              <w:spacing w:after="0"/>
              <w:rPr>
                <w:sz w:val="23"/>
                <w:szCs w:val="23"/>
                <w:color w:val="auto"/>
              </w:rPr>
            </w:pPr>
          </w:p>
        </w:tc>
        <w:tc>
          <w:tcPr>
            <w:tcW w:w="940" w:type="dxa"/>
            <w:vAlign w:val="bottom"/>
          </w:tcPr>
          <w:p>
            <w:pPr>
              <w:jc w:val="right"/>
              <w:ind w:right="81"/>
              <w:spacing w:after="0"/>
              <w:rPr>
                <w:sz w:val="20"/>
                <w:szCs w:val="20"/>
                <w:color w:val="auto"/>
              </w:rPr>
            </w:pPr>
            <w:r>
              <w:rPr>
                <w:rFonts w:ascii="Arial" w:cs="Arial" w:eastAsia="Arial" w:hAnsi="Arial"/>
                <w:sz w:val="16"/>
                <w:szCs w:val="16"/>
                <w:b w:val="1"/>
                <w:bCs w:val="1"/>
                <w:color w:val="auto"/>
              </w:rPr>
              <w:t>387,914</w:t>
            </w:r>
          </w:p>
        </w:tc>
        <w:tc>
          <w:tcPr>
            <w:tcW w:w="320" w:type="dxa"/>
            <w:vAlign w:val="bottom"/>
          </w:tcPr>
          <w:p>
            <w:pPr>
              <w:spacing w:after="0"/>
              <w:rPr>
                <w:sz w:val="23"/>
                <w:szCs w:val="23"/>
                <w:color w:val="auto"/>
              </w:rPr>
            </w:pPr>
          </w:p>
        </w:tc>
        <w:tc>
          <w:tcPr>
            <w:tcW w:w="880" w:type="dxa"/>
            <w:vAlign w:val="bottom"/>
          </w:tcPr>
          <w:p>
            <w:pPr>
              <w:jc w:val="right"/>
              <w:ind w:right="20"/>
              <w:spacing w:after="0"/>
              <w:rPr>
                <w:sz w:val="20"/>
                <w:szCs w:val="20"/>
                <w:color w:val="auto"/>
              </w:rPr>
            </w:pPr>
            <w:r>
              <w:rPr>
                <w:rFonts w:ascii="Arial" w:cs="Arial" w:eastAsia="Arial" w:hAnsi="Arial"/>
                <w:sz w:val="16"/>
                <w:szCs w:val="16"/>
                <w:color w:val="auto"/>
              </w:rPr>
              <w:t>433,652</w:t>
            </w:r>
          </w:p>
        </w:tc>
      </w:tr>
      <w:tr>
        <w:trPr>
          <w:trHeight w:val="270"/>
        </w:trPr>
        <w:tc>
          <w:tcPr>
            <w:tcW w:w="9020" w:type="dxa"/>
            <w:vAlign w:val="bottom"/>
          </w:tcPr>
          <w:p>
            <w:pPr>
              <w:ind w:left="40"/>
              <w:spacing w:after="0"/>
              <w:rPr>
                <w:sz w:val="20"/>
                <w:szCs w:val="20"/>
                <w:color w:val="auto"/>
              </w:rPr>
            </w:pPr>
            <w:r>
              <w:rPr>
                <w:rFonts w:ascii="Arial" w:cs="Arial" w:eastAsia="Arial" w:hAnsi="Arial"/>
                <w:sz w:val="16"/>
                <w:szCs w:val="16"/>
                <w:color w:val="auto"/>
              </w:rPr>
              <w:t>Leasehold improvements</w:t>
            </w:r>
          </w:p>
        </w:tc>
        <w:tc>
          <w:tcPr>
            <w:tcW w:w="260" w:type="dxa"/>
            <w:vAlign w:val="bottom"/>
          </w:tcPr>
          <w:p>
            <w:pPr>
              <w:spacing w:after="0"/>
              <w:rPr>
                <w:sz w:val="23"/>
                <w:szCs w:val="23"/>
                <w:color w:val="auto"/>
              </w:rPr>
            </w:pPr>
          </w:p>
        </w:tc>
        <w:tc>
          <w:tcPr>
            <w:tcW w:w="940" w:type="dxa"/>
            <w:vAlign w:val="bottom"/>
          </w:tcPr>
          <w:p>
            <w:pPr>
              <w:jc w:val="right"/>
              <w:ind w:right="81"/>
              <w:spacing w:after="0"/>
              <w:rPr>
                <w:sz w:val="20"/>
                <w:szCs w:val="20"/>
                <w:color w:val="auto"/>
              </w:rPr>
            </w:pPr>
            <w:r>
              <w:rPr>
                <w:rFonts w:ascii="Arial" w:cs="Arial" w:eastAsia="Arial" w:hAnsi="Arial"/>
                <w:sz w:val="16"/>
                <w:szCs w:val="16"/>
                <w:b w:val="1"/>
                <w:bCs w:val="1"/>
                <w:color w:val="auto"/>
              </w:rPr>
              <w:t>215,445</w:t>
            </w:r>
          </w:p>
        </w:tc>
        <w:tc>
          <w:tcPr>
            <w:tcW w:w="320" w:type="dxa"/>
            <w:vAlign w:val="bottom"/>
          </w:tcPr>
          <w:p>
            <w:pPr>
              <w:spacing w:after="0"/>
              <w:rPr>
                <w:sz w:val="23"/>
                <w:szCs w:val="23"/>
                <w:color w:val="auto"/>
              </w:rPr>
            </w:pPr>
          </w:p>
        </w:tc>
        <w:tc>
          <w:tcPr>
            <w:tcW w:w="880" w:type="dxa"/>
            <w:vAlign w:val="bottom"/>
          </w:tcPr>
          <w:p>
            <w:pPr>
              <w:jc w:val="right"/>
              <w:ind w:right="20"/>
              <w:spacing w:after="0"/>
              <w:rPr>
                <w:sz w:val="20"/>
                <w:szCs w:val="20"/>
                <w:color w:val="auto"/>
              </w:rPr>
            </w:pPr>
            <w:r>
              <w:rPr>
                <w:rFonts w:ascii="Arial" w:cs="Arial" w:eastAsia="Arial" w:hAnsi="Arial"/>
                <w:sz w:val="16"/>
                <w:szCs w:val="16"/>
                <w:color w:val="auto"/>
              </w:rPr>
              <w:t>209,612</w:t>
            </w:r>
          </w:p>
        </w:tc>
      </w:tr>
      <w:tr>
        <w:trPr>
          <w:trHeight w:val="283"/>
        </w:trPr>
        <w:tc>
          <w:tcPr>
            <w:tcW w:w="9020" w:type="dxa"/>
            <w:vAlign w:val="bottom"/>
          </w:tcPr>
          <w:p>
            <w:pPr>
              <w:ind w:left="40"/>
              <w:spacing w:after="0"/>
              <w:rPr>
                <w:sz w:val="20"/>
                <w:szCs w:val="20"/>
                <w:color w:val="auto"/>
              </w:rPr>
            </w:pPr>
            <w:r>
              <w:rPr>
                <w:rFonts w:ascii="Arial" w:cs="Arial" w:eastAsia="Arial" w:hAnsi="Arial"/>
                <w:sz w:val="16"/>
                <w:szCs w:val="16"/>
                <w:color w:val="auto"/>
              </w:rPr>
              <w:t>Construction in progress</w:t>
            </w:r>
          </w:p>
        </w:tc>
        <w:tc>
          <w:tcPr>
            <w:tcW w:w="26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jc w:val="right"/>
              <w:ind w:right="81"/>
              <w:spacing w:after="0"/>
              <w:rPr>
                <w:sz w:val="20"/>
                <w:szCs w:val="20"/>
                <w:color w:val="auto"/>
              </w:rPr>
            </w:pPr>
            <w:r>
              <w:rPr>
                <w:rFonts w:ascii="Arial" w:cs="Arial" w:eastAsia="Arial" w:hAnsi="Arial"/>
                <w:sz w:val="16"/>
                <w:szCs w:val="16"/>
                <w:b w:val="1"/>
                <w:bCs w:val="1"/>
                <w:color w:val="auto"/>
              </w:rPr>
              <w:t>16,649</w:t>
            </w:r>
          </w:p>
        </w:tc>
        <w:tc>
          <w:tcPr>
            <w:tcW w:w="32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36,728</w:t>
            </w:r>
          </w:p>
        </w:tc>
      </w:tr>
      <w:tr>
        <w:trPr>
          <w:trHeight w:val="251"/>
        </w:trPr>
        <w:tc>
          <w:tcPr>
            <w:tcW w:w="90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40" w:type="dxa"/>
            <w:vAlign w:val="bottom"/>
          </w:tcPr>
          <w:p>
            <w:pPr>
              <w:jc w:val="right"/>
              <w:ind w:right="81"/>
              <w:spacing w:after="0"/>
              <w:rPr>
                <w:sz w:val="20"/>
                <w:szCs w:val="20"/>
                <w:color w:val="auto"/>
              </w:rPr>
            </w:pPr>
            <w:r>
              <w:rPr>
                <w:rFonts w:ascii="Arial" w:cs="Arial" w:eastAsia="Arial" w:hAnsi="Arial"/>
                <w:sz w:val="16"/>
                <w:szCs w:val="16"/>
                <w:b w:val="1"/>
                <w:bCs w:val="1"/>
                <w:color w:val="auto"/>
              </w:rPr>
              <w:t>744,130</w:t>
            </w:r>
          </w:p>
        </w:tc>
        <w:tc>
          <w:tcPr>
            <w:tcW w:w="320" w:type="dxa"/>
            <w:vAlign w:val="bottom"/>
          </w:tcPr>
          <w:p>
            <w:pPr>
              <w:spacing w:after="0"/>
              <w:rPr>
                <w:sz w:val="21"/>
                <w:szCs w:val="21"/>
                <w:color w:val="auto"/>
              </w:rPr>
            </w:pPr>
          </w:p>
        </w:tc>
        <w:tc>
          <w:tcPr>
            <w:tcW w:w="880" w:type="dxa"/>
            <w:vAlign w:val="bottom"/>
          </w:tcPr>
          <w:p>
            <w:pPr>
              <w:jc w:val="right"/>
              <w:ind w:right="20"/>
              <w:spacing w:after="0"/>
              <w:rPr>
                <w:sz w:val="20"/>
                <w:szCs w:val="20"/>
                <w:color w:val="auto"/>
              </w:rPr>
            </w:pPr>
            <w:r>
              <w:rPr>
                <w:rFonts w:ascii="Arial" w:cs="Arial" w:eastAsia="Arial" w:hAnsi="Arial"/>
                <w:sz w:val="16"/>
                <w:szCs w:val="16"/>
                <w:color w:val="auto"/>
              </w:rPr>
              <w:t>778,658</w:t>
            </w:r>
          </w:p>
        </w:tc>
      </w:tr>
      <w:tr>
        <w:trPr>
          <w:trHeight w:val="283"/>
        </w:trPr>
        <w:tc>
          <w:tcPr>
            <w:tcW w:w="9020" w:type="dxa"/>
            <w:vAlign w:val="bottom"/>
          </w:tcPr>
          <w:p>
            <w:pPr>
              <w:ind w:left="40"/>
              <w:spacing w:after="0"/>
              <w:rPr>
                <w:sz w:val="20"/>
                <w:szCs w:val="20"/>
                <w:color w:val="auto"/>
              </w:rPr>
            </w:pPr>
            <w:r>
              <w:rPr>
                <w:rFonts w:ascii="Arial" w:cs="Arial" w:eastAsia="Arial" w:hAnsi="Arial"/>
                <w:sz w:val="16"/>
                <w:szCs w:val="16"/>
                <w:color w:val="auto"/>
              </w:rPr>
              <w:t>Less accumulated depreciation</w:t>
            </w:r>
          </w:p>
        </w:tc>
        <w:tc>
          <w:tcPr>
            <w:tcW w:w="26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jc w:val="right"/>
              <w:ind w:right="21"/>
              <w:spacing w:after="0"/>
              <w:rPr>
                <w:sz w:val="20"/>
                <w:szCs w:val="20"/>
                <w:color w:val="auto"/>
              </w:rPr>
            </w:pPr>
            <w:r>
              <w:rPr>
                <w:rFonts w:ascii="Arial" w:cs="Arial" w:eastAsia="Arial" w:hAnsi="Arial"/>
                <w:sz w:val="16"/>
                <w:szCs w:val="16"/>
                <w:b w:val="1"/>
                <w:bCs w:val="1"/>
                <w:color w:val="auto"/>
              </w:rPr>
              <w:t>(484,772)</w:t>
            </w:r>
          </w:p>
        </w:tc>
        <w:tc>
          <w:tcPr>
            <w:tcW w:w="32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(544,994)</w:t>
            </w:r>
          </w:p>
        </w:tc>
      </w:tr>
      <w:tr>
        <w:trPr>
          <w:trHeight w:val="264"/>
        </w:trPr>
        <w:tc>
          <w:tcPr>
            <w:tcW w:w="9020" w:type="dxa"/>
            <w:vAlign w:val="bottom"/>
          </w:tcPr>
          <w:p>
            <w:pPr>
              <w:spacing w:after="0"/>
              <w:rPr>
                <w:sz w:val="22"/>
                <w:szCs w:val="22"/>
                <w:color w:val="auto"/>
              </w:rPr>
            </w:pPr>
          </w:p>
        </w:tc>
        <w:tc>
          <w:tcPr>
            <w:tcW w:w="26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b w:val="1"/>
                <w:bCs w:val="1"/>
                <w:color w:val="auto"/>
              </w:rPr>
              <w:t>$</w:t>
            </w:r>
          </w:p>
        </w:tc>
        <w:tc>
          <w:tcPr>
            <w:tcW w:w="940" w:type="dxa"/>
            <w:vAlign w:val="bottom"/>
            <w:tcBorders>
              <w:bottom w:val="single" w:sz="8" w:color="auto"/>
            </w:tcBorders>
          </w:tcPr>
          <w:p>
            <w:pPr>
              <w:jc w:val="right"/>
              <w:ind w:right="81"/>
              <w:spacing w:after="0"/>
              <w:rPr>
                <w:sz w:val="20"/>
                <w:szCs w:val="20"/>
                <w:color w:val="auto"/>
              </w:rPr>
            </w:pPr>
            <w:r>
              <w:rPr>
                <w:rFonts w:ascii="Arial" w:cs="Arial" w:eastAsia="Arial" w:hAnsi="Arial"/>
                <w:sz w:val="16"/>
                <w:szCs w:val="16"/>
                <w:b w:val="1"/>
                <w:bCs w:val="1"/>
                <w:color w:val="auto"/>
              </w:rPr>
              <w:t>259,358</w:t>
            </w:r>
          </w:p>
        </w:tc>
        <w:tc>
          <w:tcPr>
            <w:tcW w:w="32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w:t>
            </w:r>
          </w:p>
        </w:tc>
        <w:tc>
          <w:tcPr>
            <w:tcW w:w="88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233,664</w:t>
            </w:r>
          </w:p>
        </w:tc>
      </w:tr>
      <w:tr>
        <w:trPr>
          <w:trHeight w:val="20"/>
        </w:trPr>
        <w:tc>
          <w:tcPr>
            <w:tcW w:w="90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spacing w:after="0"/>
        <w:rPr>
          <w:sz w:val="20"/>
          <w:szCs w:val="20"/>
          <w:color w:val="auto"/>
        </w:rPr>
      </w:pPr>
      <w:r>
        <w:rPr>
          <w:rFonts w:ascii="Arial" w:cs="Arial" w:eastAsia="Arial" w:hAnsi="Arial"/>
          <w:sz w:val="18"/>
          <w:szCs w:val="18"/>
          <w:color w:val="auto"/>
        </w:rPr>
        <w:t>Depreciation expense was $62.5 million, $64.6 million and $77.9 million in 2017, 2016 and 2015, respectively.</w:t>
      </w:r>
    </w:p>
    <w:p>
      <w:pPr>
        <w:spacing w:after="0" w:line="144" w:lineRule="exact"/>
        <w:rPr>
          <w:sz w:val="20"/>
          <w:szCs w:val="20"/>
          <w:color w:val="auto"/>
        </w:rPr>
      </w:pPr>
    </w:p>
    <w:p>
      <w:pPr>
        <w:ind w:right="320"/>
        <w:spacing w:after="0" w:line="235" w:lineRule="auto"/>
        <w:rPr>
          <w:sz w:val="20"/>
          <w:szCs w:val="20"/>
          <w:color w:val="auto"/>
        </w:rPr>
      </w:pPr>
      <w:r>
        <w:rPr>
          <w:rFonts w:ascii="Arial" w:cs="Arial" w:eastAsia="Arial" w:hAnsi="Arial"/>
          <w:sz w:val="18"/>
          <w:szCs w:val="18"/>
          <w:color w:val="auto"/>
        </w:rPr>
        <w:t>The Company capitalized $0.3 million and $0.4 million of interest related to the construction of a building in 2017 and 2016, respectively. No interest expense was capitalized in 2015.</w:t>
      </w:r>
    </w:p>
    <w:p>
      <w:pPr>
        <w:spacing w:after="0" w:line="135" w:lineRule="exact"/>
        <w:rPr>
          <w:sz w:val="20"/>
          <w:szCs w:val="20"/>
          <w:color w:val="auto"/>
        </w:rPr>
      </w:pPr>
    </w:p>
    <w:p>
      <w:pPr>
        <w:jc w:val="both"/>
        <w:ind w:right="360"/>
        <w:spacing w:after="0" w:line="229" w:lineRule="auto"/>
        <w:rPr>
          <w:sz w:val="20"/>
          <w:szCs w:val="20"/>
          <w:color w:val="auto"/>
        </w:rPr>
      </w:pPr>
      <w:r>
        <w:rPr>
          <w:rFonts w:ascii="Arial" w:cs="Arial" w:eastAsia="Arial" w:hAnsi="Arial"/>
          <w:sz w:val="18"/>
          <w:szCs w:val="18"/>
          <w:color w:val="auto"/>
        </w:rPr>
        <w:t>In the second quarter of 2017, as a result of a challenging operating environment, Forney recorded a $0.6 million impairment charge. In the third quarter of 2017, GHG recorded an impairment charge of $0.4 million. The Company estimated the fair value of the property, plant and equipment using a market approach. Forney and GHG are included in other businesses.</w:t>
      </w:r>
    </w:p>
    <w:p>
      <w:pPr>
        <w:spacing w:after="0" w:line="119" w:lineRule="exact"/>
        <w:rPr>
          <w:sz w:val="20"/>
          <w:szCs w:val="20"/>
          <w:color w:val="auto"/>
        </w:rPr>
      </w:pPr>
    </w:p>
    <w:p>
      <w:pPr>
        <w:spacing w:after="0"/>
        <w:rPr>
          <w:sz w:val="20"/>
          <w:szCs w:val="20"/>
          <w:color w:val="auto"/>
        </w:rPr>
      </w:pPr>
      <w:r>
        <w:rPr>
          <w:rFonts w:ascii="Arial" w:cs="Arial" w:eastAsia="Arial" w:hAnsi="Arial"/>
          <w:sz w:val="18"/>
          <w:szCs w:val="18"/>
          <w:color w:val="auto"/>
        </w:rPr>
        <w:t>In the second quarter of 2015, as a result of the sale of Kaplan’s KHE Campuses business, Kaplan recorded a $6.9 million impairment charge.</w:t>
      </w:r>
    </w:p>
    <w:p>
      <w:pPr>
        <w:spacing w:after="0"/>
        <w:rPr>
          <w:sz w:val="20"/>
          <w:szCs w:val="20"/>
          <w:color w:val="auto"/>
        </w:rPr>
      </w:pPr>
      <w:r>
        <w:rPr>
          <w:rFonts w:ascii="Arial" w:cs="Arial" w:eastAsia="Arial" w:hAnsi="Arial"/>
          <w:sz w:val="18"/>
          <w:szCs w:val="18"/>
          <w:color w:val="auto"/>
        </w:rPr>
        <w:t>The Company estimated the fair value of the property, plant and equipment using a market approach.</w:t>
      </w:r>
    </w:p>
    <w:p>
      <w:pPr>
        <w:spacing w:after="0" w:line="122" w:lineRule="exact"/>
        <w:rPr>
          <w:sz w:val="20"/>
          <w:szCs w:val="20"/>
          <w:color w:val="auto"/>
        </w:rPr>
      </w:pPr>
    </w:p>
    <w:p>
      <w:pPr>
        <w:ind w:left="500" w:hanging="492"/>
        <w:spacing w:after="0"/>
        <w:tabs>
          <w:tab w:leader="none" w:pos="500" w:val="left"/>
        </w:tabs>
        <w:numPr>
          <w:ilvl w:val="0"/>
          <w:numId w:val="68"/>
        </w:numPr>
        <w:rPr>
          <w:rFonts w:ascii="Arial" w:cs="Arial" w:eastAsia="Arial" w:hAnsi="Arial"/>
          <w:sz w:val="18"/>
          <w:szCs w:val="18"/>
          <w:b w:val="1"/>
          <w:bCs w:val="1"/>
          <w:color w:val="auto"/>
        </w:rPr>
      </w:pPr>
      <w:r>
        <w:rPr>
          <w:rFonts w:ascii="Arial" w:cs="Arial" w:eastAsia="Arial" w:hAnsi="Arial"/>
          <w:sz w:val="18"/>
          <w:szCs w:val="18"/>
          <w:b w:val="1"/>
          <w:bCs w:val="1"/>
          <w:color w:val="auto"/>
        </w:rPr>
        <w:t>GOODWILL AND OTHER INTANGIBLE ASSETS</w:t>
      </w:r>
    </w:p>
    <w:p>
      <w:pPr>
        <w:spacing w:after="0" w:line="166" w:lineRule="exact"/>
        <w:rPr>
          <w:sz w:val="20"/>
          <w:szCs w:val="20"/>
          <w:color w:val="auto"/>
        </w:rPr>
      </w:pPr>
    </w:p>
    <w:p>
      <w:pPr>
        <w:ind w:right="100"/>
        <w:spacing w:after="0" w:line="225" w:lineRule="auto"/>
        <w:rPr>
          <w:sz w:val="20"/>
          <w:szCs w:val="20"/>
          <w:color w:val="auto"/>
        </w:rPr>
      </w:pPr>
      <w:r>
        <w:rPr>
          <w:rFonts w:ascii="Arial" w:cs="Arial" w:eastAsia="Arial" w:hAnsi="Arial"/>
          <w:sz w:val="18"/>
          <w:szCs w:val="18"/>
          <w:color w:val="auto"/>
        </w:rPr>
        <w:t>In the second quarter of 2017, as a result of a challenging operating environment, the Forney reporting unit recorded a goodwill and intangible asset impairment charge of $8.6 million. The Company performed an interim review of the goodwill and other long-lived assets of the reporting unit by utilizing a discounted cash flow model to estimate the fair value. The carrying value of the reporting unit exceeded the estimated fair value, resulting in a goodwill impairment charge for the amount by which the carrying value exceeded the reporting unit’s estimated fair value. Forney is included in other businesses.</w:t>
      </w:r>
    </w:p>
    <w:p>
      <w:pPr>
        <w:spacing w:after="0" w:line="137" w:lineRule="exact"/>
        <w:rPr>
          <w:sz w:val="20"/>
          <w:szCs w:val="20"/>
          <w:color w:val="auto"/>
        </w:rPr>
      </w:pPr>
    </w:p>
    <w:p>
      <w:pPr>
        <w:ind w:right="220"/>
        <w:spacing w:after="0" w:line="235" w:lineRule="auto"/>
        <w:rPr>
          <w:sz w:val="20"/>
          <w:szCs w:val="20"/>
          <w:color w:val="auto"/>
        </w:rPr>
      </w:pPr>
      <w:r>
        <w:rPr>
          <w:rFonts w:ascii="Arial" w:cs="Arial" w:eastAsia="Arial" w:hAnsi="Arial"/>
          <w:sz w:val="18"/>
          <w:szCs w:val="18"/>
          <w:color w:val="auto"/>
        </w:rPr>
        <w:t>In the fourth quarter of 2016, as a result of the challenging industry operating environment and operating losses, one of the businesses in the other businesses segment recorded a goodwill impairment charge of $1.6 million.</w:t>
      </w:r>
    </w:p>
    <w:p>
      <w:pPr>
        <w:spacing w:after="0" w:line="135" w:lineRule="exact"/>
        <w:rPr>
          <w:sz w:val="20"/>
          <w:szCs w:val="20"/>
          <w:color w:val="auto"/>
        </w:rPr>
      </w:pPr>
    </w:p>
    <w:p>
      <w:pPr>
        <w:spacing w:after="0" w:line="235" w:lineRule="auto"/>
        <w:rPr>
          <w:sz w:val="20"/>
          <w:szCs w:val="20"/>
          <w:color w:val="auto"/>
        </w:rPr>
      </w:pPr>
      <w:r>
        <w:rPr>
          <w:rFonts w:ascii="Arial" w:cs="Arial" w:eastAsia="Arial" w:hAnsi="Arial"/>
          <w:sz w:val="18"/>
          <w:szCs w:val="18"/>
          <w:color w:val="auto"/>
        </w:rPr>
        <w:t>In the third quarter of 2015, as a result of continued declines in student enrollments at KHE and the challenging industry operating environment, the Company performed an interim impairment review of its goodwill and long-lived</w:t>
      </w:r>
    </w:p>
    <w:p>
      <w:pPr>
        <w:sectPr>
          <w:pgSz w:w="11900" w:h="16838" w:orient="portrait"/>
          <w:cols w:equalWidth="0" w:num="1">
            <w:col w:w="11420"/>
          </w:cols>
          <w:pgMar w:left="240" w:top="746" w:right="239" w:bottom="1440" w:gutter="0" w:footer="0" w:header="0"/>
        </w:sectPr>
      </w:pPr>
    </w:p>
    <w:p>
      <w:pPr>
        <w:spacing w:after="0" w:line="200" w:lineRule="exact"/>
        <w:rPr>
          <w:sz w:val="20"/>
          <w:szCs w:val="20"/>
          <w:color w:val="auto"/>
        </w:rPr>
      </w:pPr>
    </w:p>
    <w:p>
      <w:pPr>
        <w:spacing w:after="0" w:line="300"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89</w:t>
      </w:r>
    </w:p>
    <w:p>
      <w:pPr>
        <w:sectPr>
          <w:pgSz w:w="11900" w:h="16838" w:orient="portrait"/>
          <w:cols w:equalWidth="0" w:num="1">
            <w:col w:w="11420"/>
          </w:cols>
          <w:pgMar w:left="240" w:top="746" w:right="239" w:bottom="1440" w:gutter="0" w:footer="0" w:header="0"/>
          <w:type w:val="continuous"/>
        </w:sectPr>
      </w:pPr>
    </w:p>
    <w:bookmarkStart w:id="92" w:name="page93"/>
    <w:bookmarkEnd w:id="92"/>
    <w:p>
      <w:pPr>
        <w:ind w:right="220"/>
        <w:spacing w:after="0" w:line="227" w:lineRule="auto"/>
        <w:rPr>
          <w:sz w:val="20"/>
          <w:szCs w:val="20"/>
          <w:color w:val="auto"/>
        </w:rPr>
      </w:pPr>
      <w:r>
        <w:rPr>
          <w:rFonts w:ascii="Arial" w:cs="Arial" w:eastAsia="Arial" w:hAnsi="Arial"/>
          <w:sz w:val="18"/>
          <w:szCs w:val="18"/>
          <w:color w:val="auto"/>
        </w:rPr>
        <w:t>assets at the KHE reporting unit. The KHE reporting unit failed the step one goodwill impairment test. As a result of the step two analysis, the Company recorded a $248.6 million goodwill impairment charge. The Company estimated the fair value of the KHE reporting unit utilizing a discounted cash flow model, supported by a market approach. A substantial portion of the impairment charge is due to the amount of unrecognized intangible assets identified in the step two analysis.</w:t>
      </w:r>
    </w:p>
    <w:p>
      <w:pPr>
        <w:spacing w:after="0" w:line="135" w:lineRule="exact"/>
        <w:rPr>
          <w:sz w:val="20"/>
          <w:szCs w:val="20"/>
          <w:color w:val="auto"/>
        </w:rPr>
      </w:pPr>
    </w:p>
    <w:p>
      <w:pPr>
        <w:ind w:right="60"/>
        <w:spacing w:after="0" w:line="225" w:lineRule="auto"/>
        <w:rPr>
          <w:sz w:val="20"/>
          <w:szCs w:val="20"/>
          <w:color w:val="auto"/>
        </w:rPr>
      </w:pPr>
      <w:r>
        <w:rPr>
          <w:rFonts w:ascii="Arial" w:cs="Arial" w:eastAsia="Arial" w:hAnsi="Arial"/>
          <w:sz w:val="18"/>
          <w:szCs w:val="18"/>
          <w:color w:val="auto"/>
        </w:rPr>
        <w:t>In addition, in the fourth quarter of 2015, Kaplan recorded intangible asset impairment charges of $0.9 million related to one of the Kaplan International businesses and $0.5 million related to a KTP business. The fair values of these intangible assets were estimated using an income approach. In November 2015, the Company announced that Trove, a digital innovation team included in other businesses, would largely be integrated into SocialCode and that Trove’s existing offerings would be discontinued. In connection with this action, the Company recorded a $2.8 million goodwill impairment charge in the fourth quarter of 2015.</w:t>
      </w:r>
    </w:p>
    <w:p>
      <w:pPr>
        <w:spacing w:after="0" w:line="137" w:lineRule="exact"/>
        <w:rPr>
          <w:sz w:val="20"/>
          <w:szCs w:val="20"/>
          <w:color w:val="auto"/>
        </w:rPr>
      </w:pPr>
    </w:p>
    <w:p>
      <w:pPr>
        <w:ind w:right="240"/>
        <w:spacing w:after="0" w:line="229" w:lineRule="auto"/>
        <w:rPr>
          <w:sz w:val="20"/>
          <w:szCs w:val="20"/>
          <w:color w:val="auto"/>
        </w:rPr>
      </w:pPr>
      <w:r>
        <w:rPr>
          <w:rFonts w:ascii="Arial" w:cs="Arial" w:eastAsia="Arial" w:hAnsi="Arial"/>
          <w:sz w:val="18"/>
          <w:szCs w:val="18"/>
          <w:color w:val="auto"/>
        </w:rPr>
        <w:t>Amortization of intangible assets for the years ended December 31, 2017, 2016 and 2015, was $41.2 million, $ 26.7 million and $19.0 million, respectively. Amortization of intangible assets is estimated to be approximately $41 million in 2018, $39 million in 2019, $36 million in 2020, $31 million in 2021, $25 million in 2022 and $66 million thereafter.</w:t>
      </w:r>
    </w:p>
    <w:p>
      <w:pPr>
        <w:spacing w:after="0" w:line="137" w:lineRule="exact"/>
        <w:rPr>
          <w:sz w:val="20"/>
          <w:szCs w:val="20"/>
          <w:color w:val="auto"/>
        </w:rPr>
      </w:pPr>
    </w:p>
    <w:p>
      <w:pPr>
        <w:spacing w:after="0"/>
        <w:rPr>
          <w:sz w:val="20"/>
          <w:szCs w:val="20"/>
          <w:color w:val="auto"/>
        </w:rPr>
      </w:pPr>
      <w:r>
        <w:rPr>
          <w:rFonts w:ascii="Arial" w:cs="Arial" w:eastAsia="Arial" w:hAnsi="Arial"/>
          <w:sz w:val="18"/>
          <w:szCs w:val="18"/>
          <w:color w:val="auto"/>
        </w:rPr>
        <w:t>The changes in the carrying amount of goodwill, by segment, were as follows:</w:t>
      </w:r>
    </w:p>
    <w:p>
      <w:pPr>
        <w:spacing w:after="0" w:line="145"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56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00" w:type="dxa"/>
            <w:vAlign w:val="bottom"/>
          </w:tcPr>
          <w:p>
            <w:pPr>
              <w:jc w:val="right"/>
              <w:ind w:right="260"/>
              <w:spacing w:after="0"/>
              <w:rPr>
                <w:sz w:val="20"/>
                <w:szCs w:val="20"/>
                <w:color w:val="auto"/>
              </w:rPr>
            </w:pPr>
            <w:r>
              <w:rPr>
                <w:rFonts w:ascii="Arial" w:cs="Arial" w:eastAsia="Arial" w:hAnsi="Arial"/>
                <w:sz w:val="14"/>
                <w:szCs w:val="14"/>
                <w:b w:val="1"/>
                <w:bCs w:val="1"/>
                <w:color w:val="auto"/>
              </w:rPr>
              <w:t>Television</w:t>
            </w:r>
          </w:p>
        </w:tc>
        <w:tc>
          <w:tcPr>
            <w:tcW w:w="300" w:type="dxa"/>
            <w:vAlign w:val="bottom"/>
          </w:tcPr>
          <w:p>
            <w:pPr>
              <w:spacing w:after="0"/>
              <w:rPr>
                <w:sz w:val="14"/>
                <w:szCs w:val="14"/>
                <w:color w:val="auto"/>
              </w:rPr>
            </w:pPr>
          </w:p>
        </w:tc>
        <w:tc>
          <w:tcPr>
            <w:tcW w:w="1200" w:type="dxa"/>
            <w:vAlign w:val="bottom"/>
          </w:tcPr>
          <w:p>
            <w:pPr>
              <w:jc w:val="right"/>
              <w:ind w:right="440"/>
              <w:spacing w:after="0"/>
              <w:rPr>
                <w:sz w:val="20"/>
                <w:szCs w:val="20"/>
                <w:color w:val="auto"/>
              </w:rPr>
            </w:pPr>
            <w:r>
              <w:rPr>
                <w:rFonts w:ascii="Arial" w:cs="Arial" w:eastAsia="Arial" w:hAnsi="Arial"/>
                <w:sz w:val="14"/>
                <w:szCs w:val="14"/>
                <w:b w:val="1"/>
                <w:bCs w:val="1"/>
                <w:color w:val="auto"/>
              </w:rPr>
              <w:t>Other</w:t>
            </w:r>
          </w:p>
        </w:tc>
        <w:tc>
          <w:tcPr>
            <w:tcW w:w="400" w:type="dxa"/>
            <w:vAlign w:val="bottom"/>
          </w:tcPr>
          <w:p>
            <w:pPr>
              <w:spacing w:after="0"/>
              <w:rPr>
                <w:sz w:val="14"/>
                <w:szCs w:val="14"/>
                <w:color w:val="auto"/>
              </w:rPr>
            </w:pPr>
          </w:p>
        </w:tc>
        <w:tc>
          <w:tcPr>
            <w:tcW w:w="1040" w:type="dxa"/>
            <w:vAlign w:val="bottom"/>
          </w:tcPr>
          <w:p>
            <w:pPr>
              <w:spacing w:after="0"/>
              <w:rPr>
                <w:sz w:val="14"/>
                <w:szCs w:val="14"/>
                <w:color w:val="auto"/>
              </w:rPr>
            </w:pPr>
          </w:p>
        </w:tc>
      </w:tr>
      <w:tr>
        <w:trPr>
          <w:trHeight w:val="196"/>
        </w:trPr>
        <w:tc>
          <w:tcPr>
            <w:tcW w:w="562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(in thousands)</w:t>
            </w:r>
          </w:p>
        </w:tc>
        <w:tc>
          <w:tcPr>
            <w:tcW w:w="22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ind w:right="299"/>
              <w:spacing w:after="0"/>
              <w:rPr>
                <w:sz w:val="20"/>
                <w:szCs w:val="20"/>
                <w:color w:val="auto"/>
              </w:rPr>
            </w:pPr>
            <w:r>
              <w:rPr>
                <w:rFonts w:ascii="Arial" w:cs="Arial" w:eastAsia="Arial" w:hAnsi="Arial"/>
                <w:sz w:val="14"/>
                <w:szCs w:val="14"/>
                <w:b w:val="1"/>
                <w:bCs w:val="1"/>
                <w:color w:val="auto"/>
              </w:rPr>
              <w:t>Education</w:t>
            </w:r>
          </w:p>
        </w:tc>
        <w:tc>
          <w:tcPr>
            <w:tcW w:w="24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ind w:right="140"/>
              <w:spacing w:after="0"/>
              <w:rPr>
                <w:sz w:val="20"/>
                <w:szCs w:val="20"/>
                <w:color w:val="auto"/>
              </w:rPr>
            </w:pPr>
            <w:r>
              <w:rPr>
                <w:rFonts w:ascii="Arial" w:cs="Arial" w:eastAsia="Arial" w:hAnsi="Arial"/>
                <w:sz w:val="14"/>
                <w:szCs w:val="14"/>
                <w:b w:val="1"/>
                <w:bCs w:val="1"/>
                <w:color w:val="auto"/>
              </w:rPr>
              <w:t>Broadcasting</w:t>
            </w:r>
          </w:p>
        </w:tc>
        <w:tc>
          <w:tcPr>
            <w:tcW w:w="30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ind w:right="240"/>
              <w:spacing w:after="0"/>
              <w:rPr>
                <w:sz w:val="20"/>
                <w:szCs w:val="20"/>
                <w:color w:val="auto"/>
              </w:rPr>
            </w:pPr>
            <w:r>
              <w:rPr>
                <w:rFonts w:ascii="Arial" w:cs="Arial" w:eastAsia="Arial" w:hAnsi="Arial"/>
                <w:sz w:val="14"/>
                <w:szCs w:val="14"/>
                <w:b w:val="1"/>
                <w:bCs w:val="1"/>
                <w:color w:val="auto"/>
              </w:rPr>
              <w:t>Businesses</w:t>
            </w:r>
          </w:p>
        </w:tc>
        <w:tc>
          <w:tcPr>
            <w:tcW w:w="40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ind w:right="439"/>
              <w:spacing w:after="0"/>
              <w:rPr>
                <w:sz w:val="20"/>
                <w:szCs w:val="20"/>
                <w:color w:val="auto"/>
              </w:rPr>
            </w:pPr>
            <w:r>
              <w:rPr>
                <w:rFonts w:ascii="Arial" w:cs="Arial" w:eastAsia="Arial" w:hAnsi="Arial"/>
                <w:sz w:val="14"/>
                <w:szCs w:val="14"/>
                <w:b w:val="1"/>
                <w:bCs w:val="1"/>
                <w:color w:val="auto"/>
              </w:rPr>
              <w:t>Total</w:t>
            </w:r>
          </w:p>
        </w:tc>
      </w:tr>
      <w:tr>
        <w:trPr>
          <w:trHeight w:val="250"/>
        </w:trPr>
        <w:tc>
          <w:tcPr>
            <w:tcW w:w="5620" w:type="dxa"/>
            <w:vAlign w:val="bottom"/>
          </w:tcPr>
          <w:p>
            <w:pPr>
              <w:ind w:left="40"/>
              <w:spacing w:after="0"/>
              <w:rPr>
                <w:sz w:val="20"/>
                <w:szCs w:val="20"/>
                <w:color w:val="auto"/>
              </w:rPr>
            </w:pPr>
            <w:r>
              <w:rPr>
                <w:rFonts w:ascii="Arial" w:cs="Arial" w:eastAsia="Arial" w:hAnsi="Arial"/>
                <w:sz w:val="16"/>
                <w:szCs w:val="16"/>
                <w:color w:val="auto"/>
              </w:rPr>
              <w:t>As of December 31, 2015</w:t>
            </w:r>
          </w:p>
        </w:tc>
        <w:tc>
          <w:tcPr>
            <w:tcW w:w="22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040" w:type="dxa"/>
            <w:vAlign w:val="bottom"/>
          </w:tcPr>
          <w:p>
            <w:pPr>
              <w:spacing w:after="0"/>
              <w:rPr>
                <w:sz w:val="21"/>
                <w:szCs w:val="21"/>
                <w:color w:val="auto"/>
              </w:rPr>
            </w:pPr>
          </w:p>
        </w:tc>
      </w:tr>
      <w:tr>
        <w:trPr>
          <w:trHeight w:val="270"/>
        </w:trPr>
        <w:tc>
          <w:tcPr>
            <w:tcW w:w="5620" w:type="dxa"/>
            <w:vAlign w:val="bottom"/>
          </w:tcPr>
          <w:p>
            <w:pPr>
              <w:ind w:left="280"/>
              <w:spacing w:after="0"/>
              <w:rPr>
                <w:sz w:val="20"/>
                <w:szCs w:val="20"/>
                <w:color w:val="auto"/>
              </w:rPr>
            </w:pPr>
            <w:r>
              <w:rPr>
                <w:rFonts w:ascii="Arial" w:cs="Arial" w:eastAsia="Arial" w:hAnsi="Arial"/>
                <w:sz w:val="16"/>
                <w:szCs w:val="16"/>
                <w:color w:val="auto"/>
              </w:rPr>
              <w:t>Goodwill</w:t>
            </w:r>
          </w:p>
        </w:tc>
        <w:tc>
          <w:tcPr>
            <w:tcW w:w="220" w:type="dxa"/>
            <w:vAlign w:val="bottom"/>
          </w:tcPr>
          <w:p>
            <w:pPr>
              <w:jc w:val="right"/>
              <w:ind w:right="39"/>
              <w:spacing w:after="0"/>
              <w:rPr>
                <w:sz w:val="20"/>
                <w:szCs w:val="20"/>
                <w:color w:val="auto"/>
              </w:rPr>
            </w:pPr>
            <w:r>
              <w:rPr>
                <w:rFonts w:ascii="Arial" w:cs="Arial" w:eastAsia="Arial" w:hAnsi="Arial"/>
                <w:sz w:val="16"/>
                <w:szCs w:val="16"/>
                <w:color w:val="auto"/>
                <w:w w:val="89"/>
              </w:rPr>
              <w:t>$</w:t>
            </w:r>
          </w:p>
        </w:tc>
        <w:tc>
          <w:tcPr>
            <w:tcW w:w="1200" w:type="dxa"/>
            <w:vAlign w:val="bottom"/>
          </w:tcPr>
          <w:p>
            <w:pPr>
              <w:jc w:val="right"/>
              <w:ind w:right="59"/>
              <w:spacing w:after="0"/>
              <w:rPr>
                <w:sz w:val="20"/>
                <w:szCs w:val="20"/>
                <w:color w:val="auto"/>
              </w:rPr>
            </w:pPr>
            <w:r>
              <w:rPr>
                <w:rFonts w:ascii="Arial" w:cs="Arial" w:eastAsia="Arial" w:hAnsi="Arial"/>
                <w:sz w:val="16"/>
                <w:szCs w:val="16"/>
                <w:color w:val="auto"/>
              </w:rPr>
              <w:t>1,006,096</w:t>
            </w:r>
          </w:p>
        </w:tc>
        <w:tc>
          <w:tcPr>
            <w:tcW w:w="240" w:type="dxa"/>
            <w:vAlign w:val="bottom"/>
          </w:tcPr>
          <w:p>
            <w:pPr>
              <w:jc w:val="right"/>
              <w:spacing w:after="0"/>
              <w:rPr>
                <w:sz w:val="20"/>
                <w:szCs w:val="20"/>
                <w:color w:val="auto"/>
              </w:rPr>
            </w:pPr>
            <w:r>
              <w:rPr>
                <w:rFonts w:ascii="Arial" w:cs="Arial" w:eastAsia="Arial" w:hAnsi="Arial"/>
                <w:sz w:val="16"/>
                <w:szCs w:val="16"/>
                <w:color w:val="auto"/>
              </w:rPr>
              <w:t>$</w:t>
            </w:r>
          </w:p>
        </w:tc>
        <w:tc>
          <w:tcPr>
            <w:tcW w:w="1200" w:type="dxa"/>
            <w:vAlign w:val="bottom"/>
          </w:tcPr>
          <w:p>
            <w:pPr>
              <w:jc w:val="right"/>
              <w:ind w:right="40"/>
              <w:spacing w:after="0"/>
              <w:rPr>
                <w:sz w:val="20"/>
                <w:szCs w:val="20"/>
                <w:color w:val="auto"/>
              </w:rPr>
            </w:pPr>
            <w:r>
              <w:rPr>
                <w:rFonts w:ascii="Arial" w:cs="Arial" w:eastAsia="Arial" w:hAnsi="Arial"/>
                <w:sz w:val="16"/>
                <w:szCs w:val="16"/>
                <w:color w:val="auto"/>
              </w:rPr>
              <w:t>168,345</w:t>
            </w:r>
          </w:p>
        </w:tc>
        <w:tc>
          <w:tcPr>
            <w:tcW w:w="300" w:type="dxa"/>
            <w:vAlign w:val="bottom"/>
          </w:tcPr>
          <w:p>
            <w:pPr>
              <w:jc w:val="right"/>
              <w:spacing w:after="0"/>
              <w:rPr>
                <w:sz w:val="20"/>
                <w:szCs w:val="20"/>
                <w:color w:val="auto"/>
              </w:rPr>
            </w:pPr>
            <w:r>
              <w:rPr>
                <w:rFonts w:ascii="Arial" w:cs="Arial" w:eastAsia="Arial" w:hAnsi="Arial"/>
                <w:sz w:val="16"/>
                <w:szCs w:val="16"/>
                <w:color w:val="auto"/>
              </w:rPr>
              <w:t>$</w:t>
            </w:r>
          </w:p>
        </w:tc>
        <w:tc>
          <w:tcPr>
            <w:tcW w:w="1200" w:type="dxa"/>
            <w:vAlign w:val="bottom"/>
          </w:tcPr>
          <w:p>
            <w:pPr>
              <w:jc w:val="right"/>
              <w:ind w:right="60"/>
              <w:spacing w:after="0"/>
              <w:rPr>
                <w:sz w:val="20"/>
                <w:szCs w:val="20"/>
                <w:color w:val="auto"/>
              </w:rPr>
            </w:pPr>
            <w:r>
              <w:rPr>
                <w:rFonts w:ascii="Arial" w:cs="Arial" w:eastAsia="Arial" w:hAnsi="Arial"/>
                <w:sz w:val="16"/>
                <w:szCs w:val="16"/>
                <w:color w:val="auto"/>
              </w:rPr>
              <w:t>202,814</w:t>
            </w:r>
          </w:p>
        </w:tc>
        <w:tc>
          <w:tcPr>
            <w:tcW w:w="40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1040" w:type="dxa"/>
            <w:vAlign w:val="bottom"/>
          </w:tcPr>
          <w:p>
            <w:pPr>
              <w:jc w:val="right"/>
              <w:ind w:right="19"/>
              <w:spacing w:after="0"/>
              <w:rPr>
                <w:sz w:val="20"/>
                <w:szCs w:val="20"/>
                <w:color w:val="auto"/>
              </w:rPr>
            </w:pPr>
            <w:r>
              <w:rPr>
                <w:rFonts w:ascii="Arial" w:cs="Arial" w:eastAsia="Arial" w:hAnsi="Arial"/>
                <w:sz w:val="16"/>
                <w:szCs w:val="16"/>
                <w:color w:val="auto"/>
              </w:rPr>
              <w:t>1,377,255</w:t>
            </w:r>
          </w:p>
        </w:tc>
      </w:tr>
      <w:tr>
        <w:trPr>
          <w:trHeight w:val="283"/>
        </w:trPr>
        <w:tc>
          <w:tcPr>
            <w:tcW w:w="5620" w:type="dxa"/>
            <w:vAlign w:val="bottom"/>
          </w:tcPr>
          <w:p>
            <w:pPr>
              <w:ind w:left="280"/>
              <w:spacing w:after="0"/>
              <w:rPr>
                <w:sz w:val="20"/>
                <w:szCs w:val="20"/>
                <w:color w:val="auto"/>
              </w:rPr>
            </w:pPr>
            <w:r>
              <w:rPr>
                <w:rFonts w:ascii="Arial" w:cs="Arial" w:eastAsia="Arial" w:hAnsi="Arial"/>
                <w:sz w:val="16"/>
                <w:szCs w:val="16"/>
                <w:color w:val="auto"/>
              </w:rPr>
              <w:t>Accumulated impairment losses</w:t>
            </w:r>
          </w:p>
        </w:tc>
        <w:tc>
          <w:tcPr>
            <w:tcW w:w="22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(350,850)</w:t>
            </w:r>
          </w:p>
        </w:tc>
        <w:tc>
          <w:tcPr>
            <w:tcW w:w="24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color w:val="auto"/>
              </w:rPr>
              <w:t>—</w:t>
            </w:r>
          </w:p>
        </w:tc>
        <w:tc>
          <w:tcPr>
            <w:tcW w:w="30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(8,892)</w:t>
            </w:r>
          </w:p>
        </w:tc>
        <w:tc>
          <w:tcPr>
            <w:tcW w:w="40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(359,742)</w:t>
            </w:r>
          </w:p>
        </w:tc>
      </w:tr>
      <w:tr>
        <w:trPr>
          <w:trHeight w:val="264"/>
        </w:trPr>
        <w:tc>
          <w:tcPr>
            <w:tcW w:w="5620" w:type="dxa"/>
            <w:vAlign w:val="bottom"/>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120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655,246</w:t>
            </w:r>
          </w:p>
        </w:tc>
        <w:tc>
          <w:tcPr>
            <w:tcW w:w="240" w:type="dxa"/>
            <w:vAlign w:val="bottom"/>
            <w:tcBorders>
              <w:bottom w:val="single" w:sz="8" w:color="auto"/>
            </w:tcBorders>
          </w:tcPr>
          <w:p>
            <w:pPr>
              <w:spacing w:after="0"/>
              <w:rPr>
                <w:sz w:val="22"/>
                <w:szCs w:val="22"/>
                <w:color w:val="auto"/>
              </w:rPr>
            </w:pPr>
          </w:p>
        </w:tc>
        <w:tc>
          <w:tcPr>
            <w:tcW w:w="120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color w:val="auto"/>
              </w:rPr>
              <w:t>168,345</w:t>
            </w:r>
          </w:p>
        </w:tc>
        <w:tc>
          <w:tcPr>
            <w:tcW w:w="300" w:type="dxa"/>
            <w:vAlign w:val="bottom"/>
            <w:tcBorders>
              <w:bottom w:val="single" w:sz="8" w:color="auto"/>
            </w:tcBorders>
          </w:tcPr>
          <w:p>
            <w:pPr>
              <w:spacing w:after="0"/>
              <w:rPr>
                <w:sz w:val="22"/>
                <w:szCs w:val="22"/>
                <w:color w:val="auto"/>
              </w:rPr>
            </w:pPr>
          </w:p>
        </w:tc>
        <w:tc>
          <w:tcPr>
            <w:tcW w:w="1200" w:type="dxa"/>
            <w:vAlign w:val="bottom"/>
            <w:tcBorders>
              <w:bottom w:val="single" w:sz="8" w:color="auto"/>
            </w:tcBorders>
          </w:tcPr>
          <w:p>
            <w:pPr>
              <w:jc w:val="right"/>
              <w:ind w:right="60"/>
              <w:spacing w:after="0"/>
              <w:rPr>
                <w:sz w:val="20"/>
                <w:szCs w:val="20"/>
                <w:color w:val="auto"/>
              </w:rPr>
            </w:pPr>
            <w:r>
              <w:rPr>
                <w:rFonts w:ascii="Arial" w:cs="Arial" w:eastAsia="Arial" w:hAnsi="Arial"/>
                <w:sz w:val="16"/>
                <w:szCs w:val="16"/>
                <w:color w:val="auto"/>
              </w:rPr>
              <w:t>193,922</w:t>
            </w:r>
          </w:p>
        </w:tc>
        <w:tc>
          <w:tcPr>
            <w:tcW w:w="40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1,017,513</w:t>
            </w:r>
          </w:p>
        </w:tc>
      </w:tr>
      <w:tr>
        <w:trPr>
          <w:trHeight w:val="251"/>
        </w:trPr>
        <w:tc>
          <w:tcPr>
            <w:tcW w:w="5620" w:type="dxa"/>
            <w:vAlign w:val="bottom"/>
          </w:tcPr>
          <w:p>
            <w:pPr>
              <w:ind w:left="40"/>
              <w:spacing w:after="0"/>
              <w:rPr>
                <w:sz w:val="20"/>
                <w:szCs w:val="20"/>
                <w:color w:val="auto"/>
              </w:rPr>
            </w:pPr>
            <w:r>
              <w:rPr>
                <w:rFonts w:ascii="Arial" w:cs="Arial" w:eastAsia="Arial" w:hAnsi="Arial"/>
                <w:sz w:val="16"/>
                <w:szCs w:val="16"/>
                <w:color w:val="auto"/>
              </w:rPr>
              <w:t>Measurement period adjustment</w:t>
            </w:r>
          </w:p>
        </w:tc>
        <w:tc>
          <w:tcPr>
            <w:tcW w:w="220" w:type="dxa"/>
            <w:vAlign w:val="bottom"/>
          </w:tcPr>
          <w:p>
            <w:pPr>
              <w:spacing w:after="0"/>
              <w:rPr>
                <w:sz w:val="21"/>
                <w:szCs w:val="21"/>
                <w:color w:val="auto"/>
              </w:rPr>
            </w:pPr>
          </w:p>
        </w:tc>
        <w:tc>
          <w:tcPr>
            <w:tcW w:w="1200" w:type="dxa"/>
            <w:vAlign w:val="bottom"/>
          </w:tcPr>
          <w:p>
            <w:pPr>
              <w:jc w:val="right"/>
              <w:ind w:right="19"/>
              <w:spacing w:after="0"/>
              <w:rPr>
                <w:sz w:val="20"/>
                <w:szCs w:val="20"/>
                <w:color w:val="auto"/>
              </w:rPr>
            </w:pPr>
            <w:r>
              <w:rPr>
                <w:rFonts w:ascii="Arial" w:cs="Arial" w:eastAsia="Arial" w:hAnsi="Arial"/>
                <w:sz w:val="16"/>
                <w:szCs w:val="16"/>
                <w:color w:val="auto"/>
              </w:rPr>
              <w:t>(2,781)</w:t>
            </w:r>
          </w:p>
        </w:tc>
        <w:tc>
          <w:tcPr>
            <w:tcW w:w="240" w:type="dxa"/>
            <w:vAlign w:val="bottom"/>
          </w:tcPr>
          <w:p>
            <w:pPr>
              <w:spacing w:after="0"/>
              <w:rPr>
                <w:sz w:val="21"/>
                <w:szCs w:val="21"/>
                <w:color w:val="auto"/>
              </w:rPr>
            </w:pPr>
          </w:p>
        </w:tc>
        <w:tc>
          <w:tcPr>
            <w:tcW w:w="1200" w:type="dxa"/>
            <w:vAlign w:val="bottom"/>
          </w:tcPr>
          <w:p>
            <w:pPr>
              <w:jc w:val="right"/>
              <w:ind w:right="40"/>
              <w:spacing w:after="0"/>
              <w:rPr>
                <w:sz w:val="20"/>
                <w:szCs w:val="20"/>
                <w:color w:val="auto"/>
              </w:rPr>
            </w:pPr>
            <w:r>
              <w:rPr>
                <w:rFonts w:ascii="Arial" w:cs="Arial" w:eastAsia="Arial" w:hAnsi="Arial"/>
                <w:sz w:val="16"/>
                <w:szCs w:val="16"/>
                <w:color w:val="auto"/>
              </w:rPr>
              <w:t>—</w:t>
            </w:r>
          </w:p>
        </w:tc>
        <w:tc>
          <w:tcPr>
            <w:tcW w:w="30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(17,243)</w:t>
            </w:r>
          </w:p>
        </w:tc>
        <w:tc>
          <w:tcPr>
            <w:tcW w:w="40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(20,024)</w:t>
            </w:r>
          </w:p>
        </w:tc>
      </w:tr>
      <w:tr>
        <w:trPr>
          <w:trHeight w:val="270"/>
        </w:trPr>
        <w:tc>
          <w:tcPr>
            <w:tcW w:w="5620" w:type="dxa"/>
            <w:vAlign w:val="bottom"/>
          </w:tcPr>
          <w:p>
            <w:pPr>
              <w:ind w:left="40"/>
              <w:spacing w:after="0"/>
              <w:rPr>
                <w:sz w:val="20"/>
                <w:szCs w:val="20"/>
                <w:color w:val="auto"/>
              </w:rPr>
            </w:pPr>
            <w:r>
              <w:rPr>
                <w:rFonts w:ascii="Arial" w:cs="Arial" w:eastAsia="Arial" w:hAnsi="Arial"/>
                <w:sz w:val="16"/>
                <w:szCs w:val="16"/>
                <w:color w:val="auto"/>
              </w:rPr>
              <w:t>Acquisitions</w:t>
            </w:r>
          </w:p>
        </w:tc>
        <w:tc>
          <w:tcPr>
            <w:tcW w:w="220" w:type="dxa"/>
            <w:vAlign w:val="bottom"/>
          </w:tcPr>
          <w:p>
            <w:pPr>
              <w:spacing w:after="0"/>
              <w:rPr>
                <w:sz w:val="23"/>
                <w:szCs w:val="23"/>
                <w:color w:val="auto"/>
              </w:rPr>
            </w:pPr>
          </w:p>
        </w:tc>
        <w:tc>
          <w:tcPr>
            <w:tcW w:w="1200" w:type="dxa"/>
            <w:vAlign w:val="bottom"/>
          </w:tcPr>
          <w:p>
            <w:pPr>
              <w:jc w:val="right"/>
              <w:ind w:right="59"/>
              <w:spacing w:after="0"/>
              <w:rPr>
                <w:sz w:val="20"/>
                <w:szCs w:val="20"/>
                <w:color w:val="auto"/>
              </w:rPr>
            </w:pPr>
            <w:r>
              <w:rPr>
                <w:rFonts w:ascii="Arial" w:cs="Arial" w:eastAsia="Arial" w:hAnsi="Arial"/>
                <w:sz w:val="16"/>
                <w:szCs w:val="16"/>
                <w:color w:val="auto"/>
              </w:rPr>
              <w:t>161,938</w:t>
            </w:r>
          </w:p>
        </w:tc>
        <w:tc>
          <w:tcPr>
            <w:tcW w:w="240" w:type="dxa"/>
            <w:vAlign w:val="bottom"/>
          </w:tcPr>
          <w:p>
            <w:pPr>
              <w:spacing w:after="0"/>
              <w:rPr>
                <w:sz w:val="23"/>
                <w:szCs w:val="23"/>
                <w:color w:val="auto"/>
              </w:rPr>
            </w:pPr>
          </w:p>
        </w:tc>
        <w:tc>
          <w:tcPr>
            <w:tcW w:w="1200" w:type="dxa"/>
            <w:vAlign w:val="bottom"/>
          </w:tcPr>
          <w:p>
            <w:pPr>
              <w:jc w:val="right"/>
              <w:ind w:right="40"/>
              <w:spacing w:after="0"/>
              <w:rPr>
                <w:sz w:val="20"/>
                <w:szCs w:val="20"/>
                <w:color w:val="auto"/>
              </w:rPr>
            </w:pPr>
            <w:r>
              <w:rPr>
                <w:rFonts w:ascii="Arial" w:cs="Arial" w:eastAsia="Arial" w:hAnsi="Arial"/>
                <w:sz w:val="16"/>
                <w:szCs w:val="16"/>
                <w:color w:val="auto"/>
              </w:rPr>
              <w:t>—</w:t>
            </w:r>
          </w:p>
        </w:tc>
        <w:tc>
          <w:tcPr>
            <w:tcW w:w="300" w:type="dxa"/>
            <w:vAlign w:val="bottom"/>
          </w:tcPr>
          <w:p>
            <w:pPr>
              <w:spacing w:after="0"/>
              <w:rPr>
                <w:sz w:val="23"/>
                <w:szCs w:val="23"/>
                <w:color w:val="auto"/>
              </w:rPr>
            </w:pPr>
          </w:p>
        </w:tc>
        <w:tc>
          <w:tcPr>
            <w:tcW w:w="1200" w:type="dxa"/>
            <w:vAlign w:val="bottom"/>
          </w:tcPr>
          <w:p>
            <w:pPr>
              <w:jc w:val="right"/>
              <w:ind w:right="60"/>
              <w:spacing w:after="0"/>
              <w:rPr>
                <w:sz w:val="20"/>
                <w:szCs w:val="20"/>
                <w:color w:val="auto"/>
              </w:rPr>
            </w:pPr>
            <w:r>
              <w:rPr>
                <w:rFonts w:ascii="Arial" w:cs="Arial" w:eastAsia="Arial" w:hAnsi="Arial"/>
                <w:sz w:val="16"/>
                <w:szCs w:val="16"/>
                <w:color w:val="auto"/>
              </w:rPr>
              <w:t>22,180</w:t>
            </w:r>
          </w:p>
        </w:tc>
        <w:tc>
          <w:tcPr>
            <w:tcW w:w="400" w:type="dxa"/>
            <w:vAlign w:val="bottom"/>
          </w:tcPr>
          <w:p>
            <w:pPr>
              <w:spacing w:after="0"/>
              <w:rPr>
                <w:sz w:val="23"/>
                <w:szCs w:val="23"/>
                <w:color w:val="auto"/>
              </w:rPr>
            </w:pPr>
          </w:p>
        </w:tc>
        <w:tc>
          <w:tcPr>
            <w:tcW w:w="1040" w:type="dxa"/>
            <w:vAlign w:val="bottom"/>
          </w:tcPr>
          <w:p>
            <w:pPr>
              <w:jc w:val="right"/>
              <w:ind w:right="19"/>
              <w:spacing w:after="0"/>
              <w:rPr>
                <w:sz w:val="20"/>
                <w:szCs w:val="20"/>
                <w:color w:val="auto"/>
              </w:rPr>
            </w:pPr>
            <w:r>
              <w:rPr>
                <w:rFonts w:ascii="Arial" w:cs="Arial" w:eastAsia="Arial" w:hAnsi="Arial"/>
                <w:sz w:val="16"/>
                <w:szCs w:val="16"/>
                <w:color w:val="auto"/>
              </w:rPr>
              <w:t>184,118</w:t>
            </w:r>
          </w:p>
        </w:tc>
      </w:tr>
      <w:tr>
        <w:trPr>
          <w:trHeight w:val="270"/>
        </w:trPr>
        <w:tc>
          <w:tcPr>
            <w:tcW w:w="5620" w:type="dxa"/>
            <w:vAlign w:val="bottom"/>
          </w:tcPr>
          <w:p>
            <w:pPr>
              <w:ind w:left="40"/>
              <w:spacing w:after="0"/>
              <w:rPr>
                <w:sz w:val="20"/>
                <w:szCs w:val="20"/>
                <w:color w:val="auto"/>
              </w:rPr>
            </w:pPr>
            <w:r>
              <w:rPr>
                <w:rFonts w:ascii="Arial" w:cs="Arial" w:eastAsia="Arial" w:hAnsi="Arial"/>
                <w:sz w:val="16"/>
                <w:szCs w:val="16"/>
                <w:color w:val="auto"/>
              </w:rPr>
              <w:t>Impairment</w:t>
            </w:r>
          </w:p>
        </w:tc>
        <w:tc>
          <w:tcPr>
            <w:tcW w:w="220" w:type="dxa"/>
            <w:vAlign w:val="bottom"/>
          </w:tcPr>
          <w:p>
            <w:pPr>
              <w:spacing w:after="0"/>
              <w:rPr>
                <w:sz w:val="23"/>
                <w:szCs w:val="23"/>
                <w:color w:val="auto"/>
              </w:rPr>
            </w:pPr>
          </w:p>
        </w:tc>
        <w:tc>
          <w:tcPr>
            <w:tcW w:w="120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23"/>
                <w:szCs w:val="23"/>
                <w:color w:val="auto"/>
              </w:rPr>
            </w:pPr>
          </w:p>
        </w:tc>
        <w:tc>
          <w:tcPr>
            <w:tcW w:w="1200" w:type="dxa"/>
            <w:vAlign w:val="bottom"/>
          </w:tcPr>
          <w:p>
            <w:pPr>
              <w:jc w:val="right"/>
              <w:ind w:right="40"/>
              <w:spacing w:after="0"/>
              <w:rPr>
                <w:sz w:val="20"/>
                <w:szCs w:val="20"/>
                <w:color w:val="auto"/>
              </w:rPr>
            </w:pPr>
            <w:r>
              <w:rPr>
                <w:rFonts w:ascii="Arial" w:cs="Arial" w:eastAsia="Arial" w:hAnsi="Arial"/>
                <w:sz w:val="16"/>
                <w:szCs w:val="16"/>
                <w:color w:val="auto"/>
              </w:rPr>
              <w:t>—</w:t>
            </w:r>
          </w:p>
        </w:tc>
        <w:tc>
          <w:tcPr>
            <w:tcW w:w="300" w:type="dxa"/>
            <w:vAlign w:val="bottom"/>
          </w:tcPr>
          <w:p>
            <w:pPr>
              <w:spacing w:after="0"/>
              <w:rPr>
                <w:sz w:val="23"/>
                <w:szCs w:val="23"/>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(1,603)</w:t>
            </w:r>
          </w:p>
        </w:tc>
        <w:tc>
          <w:tcPr>
            <w:tcW w:w="400" w:type="dxa"/>
            <w:vAlign w:val="bottom"/>
          </w:tcPr>
          <w:p>
            <w:pPr>
              <w:spacing w:after="0"/>
              <w:rPr>
                <w:sz w:val="23"/>
                <w:szCs w:val="23"/>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(1,603)</w:t>
            </w:r>
          </w:p>
        </w:tc>
      </w:tr>
      <w:tr>
        <w:trPr>
          <w:trHeight w:val="270"/>
        </w:trPr>
        <w:tc>
          <w:tcPr>
            <w:tcW w:w="5620" w:type="dxa"/>
            <w:vAlign w:val="bottom"/>
          </w:tcPr>
          <w:p>
            <w:pPr>
              <w:ind w:left="40"/>
              <w:spacing w:after="0"/>
              <w:rPr>
                <w:sz w:val="20"/>
                <w:szCs w:val="20"/>
                <w:color w:val="auto"/>
              </w:rPr>
            </w:pPr>
            <w:r>
              <w:rPr>
                <w:rFonts w:ascii="Arial" w:cs="Arial" w:eastAsia="Arial" w:hAnsi="Arial"/>
                <w:sz w:val="16"/>
                <w:szCs w:val="16"/>
                <w:color w:val="auto"/>
              </w:rPr>
              <w:t>Dispositions</w:t>
            </w:r>
          </w:p>
        </w:tc>
        <w:tc>
          <w:tcPr>
            <w:tcW w:w="220" w:type="dxa"/>
            <w:vAlign w:val="bottom"/>
          </w:tcPr>
          <w:p>
            <w:pPr>
              <w:spacing w:after="0"/>
              <w:rPr>
                <w:sz w:val="23"/>
                <w:szCs w:val="23"/>
                <w:color w:val="auto"/>
              </w:rPr>
            </w:pPr>
          </w:p>
        </w:tc>
        <w:tc>
          <w:tcPr>
            <w:tcW w:w="120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23"/>
                <w:szCs w:val="23"/>
                <w:color w:val="auto"/>
              </w:rPr>
            </w:pPr>
          </w:p>
        </w:tc>
        <w:tc>
          <w:tcPr>
            <w:tcW w:w="1200" w:type="dxa"/>
            <w:vAlign w:val="bottom"/>
          </w:tcPr>
          <w:p>
            <w:pPr>
              <w:jc w:val="right"/>
              <w:ind w:right="40"/>
              <w:spacing w:after="0"/>
              <w:rPr>
                <w:sz w:val="20"/>
                <w:szCs w:val="20"/>
                <w:color w:val="auto"/>
              </w:rPr>
            </w:pPr>
            <w:r>
              <w:rPr>
                <w:rFonts w:ascii="Arial" w:cs="Arial" w:eastAsia="Arial" w:hAnsi="Arial"/>
                <w:sz w:val="16"/>
                <w:szCs w:val="16"/>
                <w:color w:val="auto"/>
              </w:rPr>
              <w:t>—</w:t>
            </w:r>
          </w:p>
        </w:tc>
        <w:tc>
          <w:tcPr>
            <w:tcW w:w="300" w:type="dxa"/>
            <w:vAlign w:val="bottom"/>
          </w:tcPr>
          <w:p>
            <w:pPr>
              <w:spacing w:after="0"/>
              <w:rPr>
                <w:sz w:val="23"/>
                <w:szCs w:val="23"/>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(2,800)</w:t>
            </w:r>
          </w:p>
        </w:tc>
        <w:tc>
          <w:tcPr>
            <w:tcW w:w="400" w:type="dxa"/>
            <w:vAlign w:val="bottom"/>
          </w:tcPr>
          <w:p>
            <w:pPr>
              <w:spacing w:after="0"/>
              <w:rPr>
                <w:sz w:val="23"/>
                <w:szCs w:val="23"/>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(2,800)</w:t>
            </w:r>
          </w:p>
        </w:tc>
      </w:tr>
      <w:tr>
        <w:trPr>
          <w:trHeight w:val="283"/>
        </w:trPr>
        <w:tc>
          <w:tcPr>
            <w:tcW w:w="5620" w:type="dxa"/>
            <w:vAlign w:val="bottom"/>
          </w:tcPr>
          <w:p>
            <w:pPr>
              <w:ind w:left="40"/>
              <w:spacing w:after="0"/>
              <w:rPr>
                <w:sz w:val="20"/>
                <w:szCs w:val="20"/>
                <w:color w:val="auto"/>
              </w:rPr>
            </w:pPr>
            <w:r>
              <w:rPr>
                <w:rFonts w:ascii="Arial" w:cs="Arial" w:eastAsia="Arial" w:hAnsi="Arial"/>
                <w:sz w:val="16"/>
                <w:szCs w:val="16"/>
                <w:color w:val="auto"/>
              </w:rPr>
              <w:t>Foreign currency exchange rate changes</w:t>
            </w:r>
          </w:p>
        </w:tc>
        <w:tc>
          <w:tcPr>
            <w:tcW w:w="22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(54,250)</w:t>
            </w:r>
          </w:p>
        </w:tc>
        <w:tc>
          <w:tcPr>
            <w:tcW w:w="24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color w:val="auto"/>
              </w:rPr>
              <w:t>—</w:t>
            </w:r>
          </w:p>
        </w:tc>
        <w:tc>
          <w:tcPr>
            <w:tcW w:w="30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tcPr>
          <w:p>
            <w:pPr>
              <w:jc w:val="right"/>
              <w:ind w:right="60"/>
              <w:spacing w:after="0"/>
              <w:rPr>
                <w:sz w:val="20"/>
                <w:szCs w:val="20"/>
                <w:color w:val="auto"/>
              </w:rPr>
            </w:pPr>
            <w:r>
              <w:rPr>
                <w:rFonts w:ascii="Arial" w:cs="Arial" w:eastAsia="Arial" w:hAnsi="Arial"/>
                <w:sz w:val="16"/>
                <w:szCs w:val="16"/>
                <w:color w:val="auto"/>
              </w:rPr>
              <w:t>—</w:t>
            </w:r>
          </w:p>
        </w:tc>
        <w:tc>
          <w:tcPr>
            <w:tcW w:w="40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(54,250)</w:t>
            </w:r>
          </w:p>
        </w:tc>
      </w:tr>
      <w:tr>
        <w:trPr>
          <w:trHeight w:val="251"/>
        </w:trPr>
        <w:tc>
          <w:tcPr>
            <w:tcW w:w="5620" w:type="dxa"/>
            <w:vAlign w:val="bottom"/>
          </w:tcPr>
          <w:p>
            <w:pPr>
              <w:ind w:left="40"/>
              <w:spacing w:after="0"/>
              <w:rPr>
                <w:sz w:val="20"/>
                <w:szCs w:val="20"/>
                <w:color w:val="auto"/>
              </w:rPr>
            </w:pPr>
            <w:r>
              <w:rPr>
                <w:rFonts w:ascii="Arial" w:cs="Arial" w:eastAsia="Arial" w:hAnsi="Arial"/>
                <w:sz w:val="16"/>
                <w:szCs w:val="16"/>
                <w:color w:val="auto"/>
              </w:rPr>
              <w:t>As of December 31, 2016</w:t>
            </w:r>
          </w:p>
        </w:tc>
        <w:tc>
          <w:tcPr>
            <w:tcW w:w="22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040" w:type="dxa"/>
            <w:vAlign w:val="bottom"/>
          </w:tcPr>
          <w:p>
            <w:pPr>
              <w:spacing w:after="0"/>
              <w:rPr>
                <w:sz w:val="21"/>
                <w:szCs w:val="21"/>
                <w:color w:val="auto"/>
              </w:rPr>
            </w:pPr>
          </w:p>
        </w:tc>
      </w:tr>
      <w:tr>
        <w:trPr>
          <w:trHeight w:val="270"/>
        </w:trPr>
        <w:tc>
          <w:tcPr>
            <w:tcW w:w="5620" w:type="dxa"/>
            <w:vAlign w:val="bottom"/>
          </w:tcPr>
          <w:p>
            <w:pPr>
              <w:ind w:left="280"/>
              <w:spacing w:after="0"/>
              <w:rPr>
                <w:sz w:val="20"/>
                <w:szCs w:val="20"/>
                <w:color w:val="auto"/>
              </w:rPr>
            </w:pPr>
            <w:r>
              <w:rPr>
                <w:rFonts w:ascii="Arial" w:cs="Arial" w:eastAsia="Arial" w:hAnsi="Arial"/>
                <w:sz w:val="16"/>
                <w:szCs w:val="16"/>
                <w:color w:val="auto"/>
              </w:rPr>
              <w:t>Goodwill</w:t>
            </w:r>
          </w:p>
        </w:tc>
        <w:tc>
          <w:tcPr>
            <w:tcW w:w="220" w:type="dxa"/>
            <w:vAlign w:val="bottom"/>
          </w:tcPr>
          <w:p>
            <w:pPr>
              <w:spacing w:after="0"/>
              <w:rPr>
                <w:sz w:val="23"/>
                <w:szCs w:val="23"/>
                <w:color w:val="auto"/>
              </w:rPr>
            </w:pPr>
          </w:p>
        </w:tc>
        <w:tc>
          <w:tcPr>
            <w:tcW w:w="1200" w:type="dxa"/>
            <w:vAlign w:val="bottom"/>
          </w:tcPr>
          <w:p>
            <w:pPr>
              <w:jc w:val="right"/>
              <w:ind w:right="59"/>
              <w:spacing w:after="0"/>
              <w:rPr>
                <w:sz w:val="20"/>
                <w:szCs w:val="20"/>
                <w:color w:val="auto"/>
              </w:rPr>
            </w:pPr>
            <w:r>
              <w:rPr>
                <w:rFonts w:ascii="Arial" w:cs="Arial" w:eastAsia="Arial" w:hAnsi="Arial"/>
                <w:sz w:val="16"/>
                <w:szCs w:val="16"/>
                <w:color w:val="auto"/>
              </w:rPr>
              <w:t>1,111,003</w:t>
            </w:r>
          </w:p>
        </w:tc>
        <w:tc>
          <w:tcPr>
            <w:tcW w:w="240" w:type="dxa"/>
            <w:vAlign w:val="bottom"/>
          </w:tcPr>
          <w:p>
            <w:pPr>
              <w:spacing w:after="0"/>
              <w:rPr>
                <w:sz w:val="23"/>
                <w:szCs w:val="23"/>
                <w:color w:val="auto"/>
              </w:rPr>
            </w:pPr>
          </w:p>
        </w:tc>
        <w:tc>
          <w:tcPr>
            <w:tcW w:w="1200" w:type="dxa"/>
            <w:vAlign w:val="bottom"/>
          </w:tcPr>
          <w:p>
            <w:pPr>
              <w:jc w:val="right"/>
              <w:ind w:right="40"/>
              <w:spacing w:after="0"/>
              <w:rPr>
                <w:sz w:val="20"/>
                <w:szCs w:val="20"/>
                <w:color w:val="auto"/>
              </w:rPr>
            </w:pPr>
            <w:r>
              <w:rPr>
                <w:rFonts w:ascii="Arial" w:cs="Arial" w:eastAsia="Arial" w:hAnsi="Arial"/>
                <w:sz w:val="16"/>
                <w:szCs w:val="16"/>
                <w:color w:val="auto"/>
              </w:rPr>
              <w:t>168,345</w:t>
            </w:r>
          </w:p>
        </w:tc>
        <w:tc>
          <w:tcPr>
            <w:tcW w:w="300" w:type="dxa"/>
            <w:vAlign w:val="bottom"/>
          </w:tcPr>
          <w:p>
            <w:pPr>
              <w:spacing w:after="0"/>
              <w:rPr>
                <w:sz w:val="23"/>
                <w:szCs w:val="23"/>
                <w:color w:val="auto"/>
              </w:rPr>
            </w:pPr>
          </w:p>
        </w:tc>
        <w:tc>
          <w:tcPr>
            <w:tcW w:w="1200" w:type="dxa"/>
            <w:vAlign w:val="bottom"/>
          </w:tcPr>
          <w:p>
            <w:pPr>
              <w:jc w:val="right"/>
              <w:ind w:right="60"/>
              <w:spacing w:after="0"/>
              <w:rPr>
                <w:sz w:val="20"/>
                <w:szCs w:val="20"/>
                <w:color w:val="auto"/>
              </w:rPr>
            </w:pPr>
            <w:r>
              <w:rPr>
                <w:rFonts w:ascii="Arial" w:cs="Arial" w:eastAsia="Arial" w:hAnsi="Arial"/>
                <w:sz w:val="16"/>
                <w:szCs w:val="16"/>
                <w:color w:val="auto"/>
              </w:rPr>
              <w:t>202,141</w:t>
            </w:r>
          </w:p>
        </w:tc>
        <w:tc>
          <w:tcPr>
            <w:tcW w:w="400" w:type="dxa"/>
            <w:vAlign w:val="bottom"/>
          </w:tcPr>
          <w:p>
            <w:pPr>
              <w:spacing w:after="0"/>
              <w:rPr>
                <w:sz w:val="23"/>
                <w:szCs w:val="23"/>
                <w:color w:val="auto"/>
              </w:rPr>
            </w:pPr>
          </w:p>
        </w:tc>
        <w:tc>
          <w:tcPr>
            <w:tcW w:w="1040" w:type="dxa"/>
            <w:vAlign w:val="bottom"/>
          </w:tcPr>
          <w:p>
            <w:pPr>
              <w:jc w:val="right"/>
              <w:ind w:right="19"/>
              <w:spacing w:after="0"/>
              <w:rPr>
                <w:sz w:val="20"/>
                <w:szCs w:val="20"/>
                <w:color w:val="auto"/>
              </w:rPr>
            </w:pPr>
            <w:r>
              <w:rPr>
                <w:rFonts w:ascii="Arial" w:cs="Arial" w:eastAsia="Arial" w:hAnsi="Arial"/>
                <w:sz w:val="16"/>
                <w:szCs w:val="16"/>
                <w:color w:val="auto"/>
              </w:rPr>
              <w:t>1,481,489</w:t>
            </w:r>
          </w:p>
        </w:tc>
      </w:tr>
      <w:tr>
        <w:trPr>
          <w:trHeight w:val="283"/>
        </w:trPr>
        <w:tc>
          <w:tcPr>
            <w:tcW w:w="5620" w:type="dxa"/>
            <w:vAlign w:val="bottom"/>
          </w:tcPr>
          <w:p>
            <w:pPr>
              <w:ind w:left="280"/>
              <w:spacing w:after="0"/>
              <w:rPr>
                <w:sz w:val="20"/>
                <w:szCs w:val="20"/>
                <w:color w:val="auto"/>
              </w:rPr>
            </w:pPr>
            <w:r>
              <w:rPr>
                <w:rFonts w:ascii="Arial" w:cs="Arial" w:eastAsia="Arial" w:hAnsi="Arial"/>
                <w:sz w:val="16"/>
                <w:szCs w:val="16"/>
                <w:color w:val="auto"/>
              </w:rPr>
              <w:t>Accumulated impairment losses</w:t>
            </w:r>
          </w:p>
        </w:tc>
        <w:tc>
          <w:tcPr>
            <w:tcW w:w="22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(350,850)</w:t>
            </w:r>
          </w:p>
        </w:tc>
        <w:tc>
          <w:tcPr>
            <w:tcW w:w="24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color w:val="auto"/>
              </w:rPr>
              <w:t>—</w:t>
            </w:r>
          </w:p>
        </w:tc>
        <w:tc>
          <w:tcPr>
            <w:tcW w:w="30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(7,685)</w:t>
            </w:r>
          </w:p>
        </w:tc>
        <w:tc>
          <w:tcPr>
            <w:tcW w:w="40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(358,535)</w:t>
            </w:r>
          </w:p>
        </w:tc>
      </w:tr>
      <w:tr>
        <w:trPr>
          <w:trHeight w:val="264"/>
        </w:trPr>
        <w:tc>
          <w:tcPr>
            <w:tcW w:w="5620" w:type="dxa"/>
            <w:vAlign w:val="bottom"/>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120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760,153</w:t>
            </w:r>
          </w:p>
        </w:tc>
        <w:tc>
          <w:tcPr>
            <w:tcW w:w="240" w:type="dxa"/>
            <w:vAlign w:val="bottom"/>
            <w:tcBorders>
              <w:bottom w:val="single" w:sz="8" w:color="auto"/>
            </w:tcBorders>
          </w:tcPr>
          <w:p>
            <w:pPr>
              <w:spacing w:after="0"/>
              <w:rPr>
                <w:sz w:val="22"/>
                <w:szCs w:val="22"/>
                <w:color w:val="auto"/>
              </w:rPr>
            </w:pPr>
          </w:p>
        </w:tc>
        <w:tc>
          <w:tcPr>
            <w:tcW w:w="120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color w:val="auto"/>
              </w:rPr>
              <w:t>168,345</w:t>
            </w:r>
          </w:p>
        </w:tc>
        <w:tc>
          <w:tcPr>
            <w:tcW w:w="300" w:type="dxa"/>
            <w:vAlign w:val="bottom"/>
            <w:tcBorders>
              <w:bottom w:val="single" w:sz="8" w:color="auto"/>
            </w:tcBorders>
          </w:tcPr>
          <w:p>
            <w:pPr>
              <w:spacing w:after="0"/>
              <w:rPr>
                <w:sz w:val="22"/>
                <w:szCs w:val="22"/>
                <w:color w:val="auto"/>
              </w:rPr>
            </w:pPr>
          </w:p>
        </w:tc>
        <w:tc>
          <w:tcPr>
            <w:tcW w:w="1200" w:type="dxa"/>
            <w:vAlign w:val="bottom"/>
            <w:tcBorders>
              <w:bottom w:val="single" w:sz="8" w:color="auto"/>
            </w:tcBorders>
          </w:tcPr>
          <w:p>
            <w:pPr>
              <w:jc w:val="right"/>
              <w:ind w:right="60"/>
              <w:spacing w:after="0"/>
              <w:rPr>
                <w:sz w:val="20"/>
                <w:szCs w:val="20"/>
                <w:color w:val="auto"/>
              </w:rPr>
            </w:pPr>
            <w:r>
              <w:rPr>
                <w:rFonts w:ascii="Arial" w:cs="Arial" w:eastAsia="Arial" w:hAnsi="Arial"/>
                <w:sz w:val="16"/>
                <w:szCs w:val="16"/>
                <w:color w:val="auto"/>
              </w:rPr>
              <w:t>194,456</w:t>
            </w:r>
          </w:p>
        </w:tc>
        <w:tc>
          <w:tcPr>
            <w:tcW w:w="40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1,122,954</w:t>
            </w:r>
          </w:p>
        </w:tc>
      </w:tr>
      <w:tr>
        <w:trPr>
          <w:trHeight w:val="251"/>
        </w:trPr>
        <w:tc>
          <w:tcPr>
            <w:tcW w:w="5620" w:type="dxa"/>
            <w:vAlign w:val="bottom"/>
          </w:tcPr>
          <w:p>
            <w:pPr>
              <w:ind w:left="40"/>
              <w:spacing w:after="0"/>
              <w:rPr>
                <w:sz w:val="20"/>
                <w:szCs w:val="20"/>
                <w:color w:val="auto"/>
              </w:rPr>
            </w:pPr>
            <w:r>
              <w:rPr>
                <w:rFonts w:ascii="Arial" w:cs="Arial" w:eastAsia="Arial" w:hAnsi="Arial"/>
                <w:sz w:val="16"/>
                <w:szCs w:val="16"/>
                <w:b w:val="1"/>
                <w:bCs w:val="1"/>
                <w:color w:val="auto"/>
              </w:rPr>
              <w:t>Acquisitions</w:t>
            </w:r>
          </w:p>
        </w:tc>
        <w:tc>
          <w:tcPr>
            <w:tcW w:w="220" w:type="dxa"/>
            <w:vAlign w:val="bottom"/>
          </w:tcPr>
          <w:p>
            <w:pPr>
              <w:spacing w:after="0"/>
              <w:rPr>
                <w:sz w:val="21"/>
                <w:szCs w:val="21"/>
                <w:color w:val="auto"/>
              </w:rPr>
            </w:pPr>
          </w:p>
        </w:tc>
        <w:tc>
          <w:tcPr>
            <w:tcW w:w="1200" w:type="dxa"/>
            <w:vAlign w:val="bottom"/>
          </w:tcPr>
          <w:p>
            <w:pPr>
              <w:jc w:val="right"/>
              <w:ind w:right="59"/>
              <w:spacing w:after="0"/>
              <w:rPr>
                <w:sz w:val="20"/>
                <w:szCs w:val="20"/>
                <w:color w:val="auto"/>
              </w:rPr>
            </w:pPr>
            <w:r>
              <w:rPr>
                <w:rFonts w:ascii="Arial" w:cs="Arial" w:eastAsia="Arial" w:hAnsi="Arial"/>
                <w:sz w:val="16"/>
                <w:szCs w:val="16"/>
                <w:b w:val="1"/>
                <w:bCs w:val="1"/>
                <w:color w:val="auto"/>
              </w:rPr>
              <w:t>19,174</w:t>
            </w:r>
          </w:p>
        </w:tc>
        <w:tc>
          <w:tcPr>
            <w:tcW w:w="240" w:type="dxa"/>
            <w:vAlign w:val="bottom"/>
          </w:tcPr>
          <w:p>
            <w:pPr>
              <w:spacing w:after="0"/>
              <w:rPr>
                <w:sz w:val="21"/>
                <w:szCs w:val="21"/>
                <w:color w:val="auto"/>
              </w:rPr>
            </w:pPr>
          </w:p>
        </w:tc>
        <w:tc>
          <w:tcPr>
            <w:tcW w:w="1200" w:type="dxa"/>
            <w:vAlign w:val="bottom"/>
          </w:tcPr>
          <w:p>
            <w:pPr>
              <w:jc w:val="right"/>
              <w:ind w:right="40"/>
              <w:spacing w:after="0"/>
              <w:rPr>
                <w:sz w:val="20"/>
                <w:szCs w:val="20"/>
                <w:color w:val="auto"/>
              </w:rPr>
            </w:pPr>
            <w:r>
              <w:rPr>
                <w:rFonts w:ascii="Arial" w:cs="Arial" w:eastAsia="Arial" w:hAnsi="Arial"/>
                <w:sz w:val="16"/>
                <w:szCs w:val="16"/>
                <w:b w:val="1"/>
                <w:bCs w:val="1"/>
                <w:color w:val="auto"/>
              </w:rPr>
              <w:t>22,470</w:t>
            </w:r>
          </w:p>
        </w:tc>
        <w:tc>
          <w:tcPr>
            <w:tcW w:w="300" w:type="dxa"/>
            <w:vAlign w:val="bottom"/>
          </w:tcPr>
          <w:p>
            <w:pPr>
              <w:spacing w:after="0"/>
              <w:rPr>
                <w:sz w:val="21"/>
                <w:szCs w:val="21"/>
                <w:color w:val="auto"/>
              </w:rPr>
            </w:pPr>
          </w:p>
        </w:tc>
        <w:tc>
          <w:tcPr>
            <w:tcW w:w="1200" w:type="dxa"/>
            <w:vAlign w:val="bottom"/>
          </w:tcPr>
          <w:p>
            <w:pPr>
              <w:jc w:val="right"/>
              <w:ind w:right="60"/>
              <w:spacing w:after="0"/>
              <w:rPr>
                <w:sz w:val="20"/>
                <w:szCs w:val="20"/>
                <w:color w:val="auto"/>
              </w:rPr>
            </w:pPr>
            <w:r>
              <w:rPr>
                <w:rFonts w:ascii="Arial" w:cs="Arial" w:eastAsia="Arial" w:hAnsi="Arial"/>
                <w:sz w:val="16"/>
                <w:szCs w:val="16"/>
                <w:b w:val="1"/>
                <w:bCs w:val="1"/>
                <w:color w:val="auto"/>
              </w:rPr>
              <w:t>101,505</w:t>
            </w:r>
          </w:p>
        </w:tc>
        <w:tc>
          <w:tcPr>
            <w:tcW w:w="400" w:type="dxa"/>
            <w:vAlign w:val="bottom"/>
          </w:tcPr>
          <w:p>
            <w:pPr>
              <w:spacing w:after="0"/>
              <w:rPr>
                <w:sz w:val="21"/>
                <w:szCs w:val="21"/>
                <w:color w:val="auto"/>
              </w:rPr>
            </w:pPr>
          </w:p>
        </w:tc>
        <w:tc>
          <w:tcPr>
            <w:tcW w:w="1040" w:type="dxa"/>
            <w:vAlign w:val="bottom"/>
          </w:tcPr>
          <w:p>
            <w:pPr>
              <w:jc w:val="right"/>
              <w:ind w:right="19"/>
              <w:spacing w:after="0"/>
              <w:rPr>
                <w:sz w:val="20"/>
                <w:szCs w:val="20"/>
                <w:color w:val="auto"/>
              </w:rPr>
            </w:pPr>
            <w:r>
              <w:rPr>
                <w:rFonts w:ascii="Arial" w:cs="Arial" w:eastAsia="Arial" w:hAnsi="Arial"/>
                <w:sz w:val="16"/>
                <w:szCs w:val="16"/>
                <w:b w:val="1"/>
                <w:bCs w:val="1"/>
                <w:color w:val="auto"/>
              </w:rPr>
              <w:t>143,149</w:t>
            </w:r>
          </w:p>
        </w:tc>
      </w:tr>
      <w:tr>
        <w:trPr>
          <w:trHeight w:val="270"/>
        </w:trPr>
        <w:tc>
          <w:tcPr>
            <w:tcW w:w="5620" w:type="dxa"/>
            <w:vAlign w:val="bottom"/>
          </w:tcPr>
          <w:p>
            <w:pPr>
              <w:ind w:left="40"/>
              <w:spacing w:after="0"/>
              <w:rPr>
                <w:sz w:val="20"/>
                <w:szCs w:val="20"/>
                <w:color w:val="auto"/>
              </w:rPr>
            </w:pPr>
            <w:r>
              <w:rPr>
                <w:rFonts w:ascii="Arial" w:cs="Arial" w:eastAsia="Arial" w:hAnsi="Arial"/>
                <w:sz w:val="16"/>
                <w:szCs w:val="16"/>
                <w:b w:val="1"/>
                <w:bCs w:val="1"/>
                <w:color w:val="auto"/>
              </w:rPr>
              <w:t>Impairment</w:t>
            </w:r>
          </w:p>
        </w:tc>
        <w:tc>
          <w:tcPr>
            <w:tcW w:w="220" w:type="dxa"/>
            <w:vAlign w:val="bottom"/>
          </w:tcPr>
          <w:p>
            <w:pPr>
              <w:spacing w:after="0"/>
              <w:rPr>
                <w:sz w:val="23"/>
                <w:szCs w:val="23"/>
                <w:color w:val="auto"/>
              </w:rPr>
            </w:pPr>
          </w:p>
        </w:tc>
        <w:tc>
          <w:tcPr>
            <w:tcW w:w="1200" w:type="dxa"/>
            <w:vAlign w:val="bottom"/>
          </w:tcPr>
          <w:p>
            <w:pPr>
              <w:jc w:val="right"/>
              <w:ind w:right="59"/>
              <w:spacing w:after="0"/>
              <w:rPr>
                <w:sz w:val="20"/>
                <w:szCs w:val="20"/>
                <w:color w:val="auto"/>
              </w:rPr>
            </w:pPr>
            <w:r>
              <w:rPr>
                <w:rFonts w:ascii="Arial" w:cs="Arial" w:eastAsia="Arial" w:hAnsi="Arial"/>
                <w:sz w:val="16"/>
                <w:szCs w:val="16"/>
                <w:b w:val="1"/>
                <w:bCs w:val="1"/>
                <w:color w:val="auto"/>
              </w:rPr>
              <w:t>—</w:t>
            </w:r>
          </w:p>
        </w:tc>
        <w:tc>
          <w:tcPr>
            <w:tcW w:w="240" w:type="dxa"/>
            <w:vAlign w:val="bottom"/>
          </w:tcPr>
          <w:p>
            <w:pPr>
              <w:spacing w:after="0"/>
              <w:rPr>
                <w:sz w:val="23"/>
                <w:szCs w:val="23"/>
                <w:color w:val="auto"/>
              </w:rPr>
            </w:pPr>
          </w:p>
        </w:tc>
        <w:tc>
          <w:tcPr>
            <w:tcW w:w="1200" w:type="dxa"/>
            <w:vAlign w:val="bottom"/>
          </w:tcPr>
          <w:p>
            <w:pPr>
              <w:jc w:val="right"/>
              <w:ind w:right="40"/>
              <w:spacing w:after="0"/>
              <w:rPr>
                <w:sz w:val="20"/>
                <w:szCs w:val="20"/>
                <w:color w:val="auto"/>
              </w:rPr>
            </w:pPr>
            <w:r>
              <w:rPr>
                <w:rFonts w:ascii="Arial" w:cs="Arial" w:eastAsia="Arial" w:hAnsi="Arial"/>
                <w:sz w:val="16"/>
                <w:szCs w:val="16"/>
                <w:b w:val="1"/>
                <w:bCs w:val="1"/>
                <w:color w:val="auto"/>
              </w:rPr>
              <w:t>—</w:t>
            </w:r>
          </w:p>
        </w:tc>
        <w:tc>
          <w:tcPr>
            <w:tcW w:w="300" w:type="dxa"/>
            <w:vAlign w:val="bottom"/>
          </w:tcPr>
          <w:p>
            <w:pPr>
              <w:spacing w:after="0"/>
              <w:rPr>
                <w:sz w:val="23"/>
                <w:szCs w:val="23"/>
                <w:color w:val="auto"/>
              </w:rPr>
            </w:pPr>
          </w:p>
        </w:tc>
        <w:tc>
          <w:tcPr>
            <w:tcW w:w="1200" w:type="dxa"/>
            <w:vAlign w:val="bottom"/>
          </w:tcPr>
          <w:p>
            <w:pPr>
              <w:jc w:val="right"/>
              <w:spacing w:after="0"/>
              <w:rPr>
                <w:sz w:val="20"/>
                <w:szCs w:val="20"/>
                <w:color w:val="auto"/>
              </w:rPr>
            </w:pPr>
            <w:r>
              <w:rPr>
                <w:rFonts w:ascii="Arial" w:cs="Arial" w:eastAsia="Arial" w:hAnsi="Arial"/>
                <w:sz w:val="16"/>
                <w:szCs w:val="16"/>
                <w:b w:val="1"/>
                <w:bCs w:val="1"/>
                <w:color w:val="auto"/>
              </w:rPr>
              <w:t>(7,616)</w:t>
            </w:r>
          </w:p>
        </w:tc>
        <w:tc>
          <w:tcPr>
            <w:tcW w:w="400" w:type="dxa"/>
            <w:vAlign w:val="bottom"/>
          </w:tcPr>
          <w:p>
            <w:pPr>
              <w:spacing w:after="0"/>
              <w:rPr>
                <w:sz w:val="23"/>
                <w:szCs w:val="23"/>
                <w:color w:val="auto"/>
              </w:rPr>
            </w:pPr>
          </w:p>
        </w:tc>
        <w:tc>
          <w:tcPr>
            <w:tcW w:w="1040" w:type="dxa"/>
            <w:vAlign w:val="bottom"/>
          </w:tcPr>
          <w:p>
            <w:pPr>
              <w:jc w:val="right"/>
              <w:spacing w:after="0"/>
              <w:rPr>
                <w:sz w:val="20"/>
                <w:szCs w:val="20"/>
                <w:color w:val="auto"/>
              </w:rPr>
            </w:pPr>
            <w:r>
              <w:rPr>
                <w:rFonts w:ascii="Arial" w:cs="Arial" w:eastAsia="Arial" w:hAnsi="Arial"/>
                <w:sz w:val="16"/>
                <w:szCs w:val="16"/>
                <w:b w:val="1"/>
                <w:bCs w:val="1"/>
                <w:color w:val="auto"/>
              </w:rPr>
              <w:t>(7,616)</w:t>
            </w:r>
          </w:p>
        </w:tc>
      </w:tr>
      <w:tr>
        <w:trPr>
          <w:trHeight w:val="270"/>
        </w:trPr>
        <w:tc>
          <w:tcPr>
            <w:tcW w:w="5620" w:type="dxa"/>
            <w:vAlign w:val="bottom"/>
          </w:tcPr>
          <w:p>
            <w:pPr>
              <w:ind w:left="40"/>
              <w:spacing w:after="0"/>
              <w:rPr>
                <w:sz w:val="20"/>
                <w:szCs w:val="20"/>
                <w:color w:val="auto"/>
              </w:rPr>
            </w:pPr>
            <w:r>
              <w:rPr>
                <w:rFonts w:ascii="Arial" w:cs="Arial" w:eastAsia="Arial" w:hAnsi="Arial"/>
                <w:sz w:val="16"/>
                <w:szCs w:val="16"/>
                <w:b w:val="1"/>
                <w:bCs w:val="1"/>
                <w:color w:val="auto"/>
              </w:rPr>
              <w:t>Dispositions</w:t>
            </w:r>
          </w:p>
        </w:tc>
        <w:tc>
          <w:tcPr>
            <w:tcW w:w="220" w:type="dxa"/>
            <w:vAlign w:val="bottom"/>
          </w:tcPr>
          <w:p>
            <w:pPr>
              <w:spacing w:after="0"/>
              <w:rPr>
                <w:sz w:val="23"/>
                <w:szCs w:val="23"/>
                <w:color w:val="auto"/>
              </w:rPr>
            </w:pPr>
          </w:p>
        </w:tc>
        <w:tc>
          <w:tcPr>
            <w:tcW w:w="1200" w:type="dxa"/>
            <w:vAlign w:val="bottom"/>
          </w:tcPr>
          <w:p>
            <w:pPr>
              <w:jc w:val="right"/>
              <w:ind w:right="59"/>
              <w:spacing w:after="0"/>
              <w:rPr>
                <w:sz w:val="20"/>
                <w:szCs w:val="20"/>
                <w:color w:val="auto"/>
              </w:rPr>
            </w:pPr>
            <w:r>
              <w:rPr>
                <w:rFonts w:ascii="Arial" w:cs="Arial" w:eastAsia="Arial" w:hAnsi="Arial"/>
                <w:sz w:val="16"/>
                <w:szCs w:val="16"/>
                <w:b w:val="1"/>
                <w:bCs w:val="1"/>
                <w:color w:val="auto"/>
              </w:rPr>
              <w:t>—</w:t>
            </w:r>
          </w:p>
        </w:tc>
        <w:tc>
          <w:tcPr>
            <w:tcW w:w="240" w:type="dxa"/>
            <w:vAlign w:val="bottom"/>
          </w:tcPr>
          <w:p>
            <w:pPr>
              <w:spacing w:after="0"/>
              <w:rPr>
                <w:sz w:val="23"/>
                <w:szCs w:val="23"/>
                <w:color w:val="auto"/>
              </w:rPr>
            </w:pPr>
          </w:p>
        </w:tc>
        <w:tc>
          <w:tcPr>
            <w:tcW w:w="1200" w:type="dxa"/>
            <w:vAlign w:val="bottom"/>
          </w:tcPr>
          <w:p>
            <w:pPr>
              <w:jc w:val="right"/>
              <w:ind w:right="40"/>
              <w:spacing w:after="0"/>
              <w:rPr>
                <w:sz w:val="20"/>
                <w:szCs w:val="20"/>
                <w:color w:val="auto"/>
              </w:rPr>
            </w:pPr>
            <w:r>
              <w:rPr>
                <w:rFonts w:ascii="Arial" w:cs="Arial" w:eastAsia="Arial" w:hAnsi="Arial"/>
                <w:sz w:val="16"/>
                <w:szCs w:val="16"/>
                <w:b w:val="1"/>
                <w:bCs w:val="1"/>
                <w:color w:val="auto"/>
              </w:rPr>
              <w:t>—</w:t>
            </w:r>
          </w:p>
        </w:tc>
        <w:tc>
          <w:tcPr>
            <w:tcW w:w="300" w:type="dxa"/>
            <w:vAlign w:val="bottom"/>
          </w:tcPr>
          <w:p>
            <w:pPr>
              <w:spacing w:after="0"/>
              <w:rPr>
                <w:sz w:val="23"/>
                <w:szCs w:val="23"/>
                <w:color w:val="auto"/>
              </w:rPr>
            </w:pPr>
          </w:p>
        </w:tc>
        <w:tc>
          <w:tcPr>
            <w:tcW w:w="1200" w:type="dxa"/>
            <w:vAlign w:val="bottom"/>
          </w:tcPr>
          <w:p>
            <w:pPr>
              <w:jc w:val="right"/>
              <w:spacing w:after="0"/>
              <w:rPr>
                <w:sz w:val="20"/>
                <w:szCs w:val="20"/>
                <w:color w:val="auto"/>
              </w:rPr>
            </w:pPr>
            <w:r>
              <w:rPr>
                <w:rFonts w:ascii="Arial" w:cs="Arial" w:eastAsia="Arial" w:hAnsi="Arial"/>
                <w:sz w:val="16"/>
                <w:szCs w:val="16"/>
                <w:b w:val="1"/>
                <w:bCs w:val="1"/>
                <w:color w:val="auto"/>
              </w:rPr>
              <w:t>(412)</w:t>
            </w:r>
          </w:p>
        </w:tc>
        <w:tc>
          <w:tcPr>
            <w:tcW w:w="400" w:type="dxa"/>
            <w:vAlign w:val="bottom"/>
          </w:tcPr>
          <w:p>
            <w:pPr>
              <w:spacing w:after="0"/>
              <w:rPr>
                <w:sz w:val="23"/>
                <w:szCs w:val="23"/>
                <w:color w:val="auto"/>
              </w:rPr>
            </w:pPr>
          </w:p>
        </w:tc>
        <w:tc>
          <w:tcPr>
            <w:tcW w:w="1040" w:type="dxa"/>
            <w:vAlign w:val="bottom"/>
          </w:tcPr>
          <w:p>
            <w:pPr>
              <w:jc w:val="right"/>
              <w:spacing w:after="0"/>
              <w:rPr>
                <w:sz w:val="20"/>
                <w:szCs w:val="20"/>
                <w:color w:val="auto"/>
              </w:rPr>
            </w:pPr>
            <w:r>
              <w:rPr>
                <w:rFonts w:ascii="Arial" w:cs="Arial" w:eastAsia="Arial" w:hAnsi="Arial"/>
                <w:sz w:val="16"/>
                <w:szCs w:val="16"/>
                <w:b w:val="1"/>
                <w:bCs w:val="1"/>
                <w:color w:val="auto"/>
              </w:rPr>
              <w:t>(412)</w:t>
            </w:r>
          </w:p>
        </w:tc>
      </w:tr>
      <w:tr>
        <w:trPr>
          <w:trHeight w:val="283"/>
        </w:trPr>
        <w:tc>
          <w:tcPr>
            <w:tcW w:w="5620" w:type="dxa"/>
            <w:vAlign w:val="bottom"/>
          </w:tcPr>
          <w:p>
            <w:pPr>
              <w:ind w:left="40"/>
              <w:spacing w:after="0"/>
              <w:rPr>
                <w:sz w:val="20"/>
                <w:szCs w:val="20"/>
                <w:color w:val="auto"/>
              </w:rPr>
            </w:pPr>
            <w:r>
              <w:rPr>
                <w:rFonts w:ascii="Arial" w:cs="Arial" w:eastAsia="Arial" w:hAnsi="Arial"/>
                <w:sz w:val="16"/>
                <w:szCs w:val="16"/>
                <w:b w:val="1"/>
                <w:bCs w:val="1"/>
                <w:color w:val="auto"/>
              </w:rPr>
              <w:t>Foreign currency exchange rate changes</w:t>
            </w:r>
          </w:p>
        </w:tc>
        <w:tc>
          <w:tcPr>
            <w:tcW w:w="22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b w:val="1"/>
                <w:bCs w:val="1"/>
                <w:color w:val="auto"/>
              </w:rPr>
              <w:t>41,635</w:t>
            </w:r>
          </w:p>
        </w:tc>
        <w:tc>
          <w:tcPr>
            <w:tcW w:w="24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b w:val="1"/>
                <w:bCs w:val="1"/>
                <w:color w:val="auto"/>
              </w:rPr>
              <w:t>—</w:t>
            </w:r>
          </w:p>
        </w:tc>
        <w:tc>
          <w:tcPr>
            <w:tcW w:w="30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tcPr>
          <w:p>
            <w:pPr>
              <w:jc w:val="right"/>
              <w:ind w:right="60"/>
              <w:spacing w:after="0"/>
              <w:rPr>
                <w:sz w:val="20"/>
                <w:szCs w:val="20"/>
                <w:color w:val="auto"/>
              </w:rPr>
            </w:pPr>
            <w:r>
              <w:rPr>
                <w:rFonts w:ascii="Arial" w:cs="Arial" w:eastAsia="Arial" w:hAnsi="Arial"/>
                <w:sz w:val="16"/>
                <w:szCs w:val="16"/>
                <w:b w:val="1"/>
                <w:bCs w:val="1"/>
                <w:color w:val="auto"/>
              </w:rPr>
              <w:t>—</w:t>
            </w:r>
          </w:p>
        </w:tc>
        <w:tc>
          <w:tcPr>
            <w:tcW w:w="40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b w:val="1"/>
                <w:bCs w:val="1"/>
                <w:color w:val="auto"/>
              </w:rPr>
              <w:t>41,635</w:t>
            </w:r>
          </w:p>
        </w:tc>
      </w:tr>
      <w:tr>
        <w:trPr>
          <w:trHeight w:val="251"/>
        </w:trPr>
        <w:tc>
          <w:tcPr>
            <w:tcW w:w="5620" w:type="dxa"/>
            <w:vAlign w:val="bottom"/>
          </w:tcPr>
          <w:p>
            <w:pPr>
              <w:ind w:left="40"/>
              <w:spacing w:after="0"/>
              <w:rPr>
                <w:sz w:val="20"/>
                <w:szCs w:val="20"/>
                <w:color w:val="auto"/>
              </w:rPr>
            </w:pPr>
            <w:r>
              <w:rPr>
                <w:rFonts w:ascii="Arial" w:cs="Arial" w:eastAsia="Arial" w:hAnsi="Arial"/>
                <w:sz w:val="16"/>
                <w:szCs w:val="16"/>
                <w:b w:val="1"/>
                <w:bCs w:val="1"/>
                <w:color w:val="auto"/>
              </w:rPr>
              <w:t>As of December 31, 2017</w:t>
            </w:r>
          </w:p>
        </w:tc>
        <w:tc>
          <w:tcPr>
            <w:tcW w:w="22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040" w:type="dxa"/>
            <w:vAlign w:val="bottom"/>
          </w:tcPr>
          <w:p>
            <w:pPr>
              <w:spacing w:after="0"/>
              <w:rPr>
                <w:sz w:val="21"/>
                <w:szCs w:val="21"/>
                <w:color w:val="auto"/>
              </w:rPr>
            </w:pPr>
          </w:p>
        </w:tc>
      </w:tr>
      <w:tr>
        <w:trPr>
          <w:trHeight w:val="270"/>
        </w:trPr>
        <w:tc>
          <w:tcPr>
            <w:tcW w:w="5620" w:type="dxa"/>
            <w:vAlign w:val="bottom"/>
          </w:tcPr>
          <w:p>
            <w:pPr>
              <w:ind w:left="280"/>
              <w:spacing w:after="0"/>
              <w:rPr>
                <w:sz w:val="20"/>
                <w:szCs w:val="20"/>
                <w:color w:val="auto"/>
              </w:rPr>
            </w:pPr>
            <w:r>
              <w:rPr>
                <w:rFonts w:ascii="Arial" w:cs="Arial" w:eastAsia="Arial" w:hAnsi="Arial"/>
                <w:sz w:val="16"/>
                <w:szCs w:val="16"/>
                <w:b w:val="1"/>
                <w:bCs w:val="1"/>
                <w:color w:val="auto"/>
              </w:rPr>
              <w:t>Goodwill</w:t>
            </w:r>
          </w:p>
        </w:tc>
        <w:tc>
          <w:tcPr>
            <w:tcW w:w="220" w:type="dxa"/>
            <w:vAlign w:val="bottom"/>
          </w:tcPr>
          <w:p>
            <w:pPr>
              <w:spacing w:after="0"/>
              <w:rPr>
                <w:sz w:val="23"/>
                <w:szCs w:val="23"/>
                <w:color w:val="auto"/>
              </w:rPr>
            </w:pPr>
          </w:p>
        </w:tc>
        <w:tc>
          <w:tcPr>
            <w:tcW w:w="1200" w:type="dxa"/>
            <w:vAlign w:val="bottom"/>
          </w:tcPr>
          <w:p>
            <w:pPr>
              <w:jc w:val="right"/>
              <w:ind w:right="59"/>
              <w:spacing w:after="0"/>
              <w:rPr>
                <w:sz w:val="20"/>
                <w:szCs w:val="20"/>
                <w:color w:val="auto"/>
              </w:rPr>
            </w:pPr>
            <w:r>
              <w:rPr>
                <w:rFonts w:ascii="Arial" w:cs="Arial" w:eastAsia="Arial" w:hAnsi="Arial"/>
                <w:sz w:val="16"/>
                <w:szCs w:val="16"/>
                <w:b w:val="1"/>
                <w:bCs w:val="1"/>
                <w:color w:val="auto"/>
              </w:rPr>
              <w:t>1,171,812</w:t>
            </w:r>
          </w:p>
        </w:tc>
        <w:tc>
          <w:tcPr>
            <w:tcW w:w="240" w:type="dxa"/>
            <w:vAlign w:val="bottom"/>
          </w:tcPr>
          <w:p>
            <w:pPr>
              <w:spacing w:after="0"/>
              <w:rPr>
                <w:sz w:val="23"/>
                <w:szCs w:val="23"/>
                <w:color w:val="auto"/>
              </w:rPr>
            </w:pPr>
          </w:p>
        </w:tc>
        <w:tc>
          <w:tcPr>
            <w:tcW w:w="1200" w:type="dxa"/>
            <w:vAlign w:val="bottom"/>
          </w:tcPr>
          <w:p>
            <w:pPr>
              <w:jc w:val="right"/>
              <w:ind w:right="40"/>
              <w:spacing w:after="0"/>
              <w:rPr>
                <w:sz w:val="20"/>
                <w:szCs w:val="20"/>
                <w:color w:val="auto"/>
              </w:rPr>
            </w:pPr>
            <w:r>
              <w:rPr>
                <w:rFonts w:ascii="Arial" w:cs="Arial" w:eastAsia="Arial" w:hAnsi="Arial"/>
                <w:sz w:val="16"/>
                <w:szCs w:val="16"/>
                <w:b w:val="1"/>
                <w:bCs w:val="1"/>
                <w:color w:val="auto"/>
              </w:rPr>
              <w:t>190,815</w:t>
            </w:r>
          </w:p>
        </w:tc>
        <w:tc>
          <w:tcPr>
            <w:tcW w:w="300" w:type="dxa"/>
            <w:vAlign w:val="bottom"/>
          </w:tcPr>
          <w:p>
            <w:pPr>
              <w:spacing w:after="0"/>
              <w:rPr>
                <w:sz w:val="23"/>
                <w:szCs w:val="23"/>
                <w:color w:val="auto"/>
              </w:rPr>
            </w:pPr>
          </w:p>
        </w:tc>
        <w:tc>
          <w:tcPr>
            <w:tcW w:w="1200" w:type="dxa"/>
            <w:vAlign w:val="bottom"/>
          </w:tcPr>
          <w:p>
            <w:pPr>
              <w:jc w:val="right"/>
              <w:ind w:right="60"/>
              <w:spacing w:after="0"/>
              <w:rPr>
                <w:sz w:val="20"/>
                <w:szCs w:val="20"/>
                <w:color w:val="auto"/>
              </w:rPr>
            </w:pPr>
            <w:r>
              <w:rPr>
                <w:rFonts w:ascii="Arial" w:cs="Arial" w:eastAsia="Arial" w:hAnsi="Arial"/>
                <w:sz w:val="16"/>
                <w:szCs w:val="16"/>
                <w:b w:val="1"/>
                <w:bCs w:val="1"/>
                <w:color w:val="auto"/>
              </w:rPr>
              <w:t>303,234</w:t>
            </w:r>
          </w:p>
        </w:tc>
        <w:tc>
          <w:tcPr>
            <w:tcW w:w="400" w:type="dxa"/>
            <w:vAlign w:val="bottom"/>
          </w:tcPr>
          <w:p>
            <w:pPr>
              <w:spacing w:after="0"/>
              <w:rPr>
                <w:sz w:val="23"/>
                <w:szCs w:val="23"/>
                <w:color w:val="auto"/>
              </w:rPr>
            </w:pPr>
          </w:p>
        </w:tc>
        <w:tc>
          <w:tcPr>
            <w:tcW w:w="1040" w:type="dxa"/>
            <w:vAlign w:val="bottom"/>
          </w:tcPr>
          <w:p>
            <w:pPr>
              <w:jc w:val="right"/>
              <w:ind w:right="19"/>
              <w:spacing w:after="0"/>
              <w:rPr>
                <w:sz w:val="20"/>
                <w:szCs w:val="20"/>
                <w:color w:val="auto"/>
              </w:rPr>
            </w:pPr>
            <w:r>
              <w:rPr>
                <w:rFonts w:ascii="Arial" w:cs="Arial" w:eastAsia="Arial" w:hAnsi="Arial"/>
                <w:sz w:val="16"/>
                <w:szCs w:val="16"/>
                <w:b w:val="1"/>
                <w:bCs w:val="1"/>
                <w:color w:val="auto"/>
              </w:rPr>
              <w:t>1,665,861</w:t>
            </w:r>
          </w:p>
        </w:tc>
      </w:tr>
      <w:tr>
        <w:trPr>
          <w:trHeight w:val="283"/>
        </w:trPr>
        <w:tc>
          <w:tcPr>
            <w:tcW w:w="5620" w:type="dxa"/>
            <w:vAlign w:val="bottom"/>
          </w:tcPr>
          <w:p>
            <w:pPr>
              <w:ind w:left="280"/>
              <w:spacing w:after="0"/>
              <w:rPr>
                <w:sz w:val="20"/>
                <w:szCs w:val="20"/>
                <w:color w:val="auto"/>
              </w:rPr>
            </w:pPr>
            <w:r>
              <w:rPr>
                <w:rFonts w:ascii="Arial" w:cs="Arial" w:eastAsia="Arial" w:hAnsi="Arial"/>
                <w:sz w:val="16"/>
                <w:szCs w:val="16"/>
                <w:b w:val="1"/>
                <w:bCs w:val="1"/>
                <w:color w:val="auto"/>
              </w:rPr>
              <w:t>Accumulated impairment losses</w:t>
            </w:r>
          </w:p>
        </w:tc>
        <w:tc>
          <w:tcPr>
            <w:tcW w:w="22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b w:val="1"/>
                <w:bCs w:val="1"/>
                <w:color w:val="auto"/>
              </w:rPr>
              <w:t>(350,850)</w:t>
            </w:r>
          </w:p>
        </w:tc>
        <w:tc>
          <w:tcPr>
            <w:tcW w:w="24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b w:val="1"/>
                <w:bCs w:val="1"/>
                <w:color w:val="auto"/>
              </w:rPr>
              <w:t>—</w:t>
            </w:r>
          </w:p>
        </w:tc>
        <w:tc>
          <w:tcPr>
            <w:tcW w:w="30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(15,301)</w:t>
            </w:r>
          </w:p>
        </w:tc>
        <w:tc>
          <w:tcPr>
            <w:tcW w:w="40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(366,151)</w:t>
            </w:r>
          </w:p>
        </w:tc>
      </w:tr>
      <w:tr>
        <w:trPr>
          <w:trHeight w:val="264"/>
        </w:trPr>
        <w:tc>
          <w:tcPr>
            <w:tcW w:w="5620" w:type="dxa"/>
            <w:vAlign w:val="bottom"/>
          </w:tcPr>
          <w:p>
            <w:pPr>
              <w:spacing w:after="0"/>
              <w:rPr>
                <w:sz w:val="22"/>
                <w:szCs w:val="22"/>
                <w:color w:val="auto"/>
              </w:rPr>
            </w:pPr>
          </w:p>
        </w:tc>
        <w:tc>
          <w:tcPr>
            <w:tcW w:w="22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b w:val="1"/>
                <w:bCs w:val="1"/>
                <w:color w:val="auto"/>
                <w:w w:val="89"/>
              </w:rPr>
              <w:t>$</w:t>
            </w:r>
          </w:p>
        </w:tc>
        <w:tc>
          <w:tcPr>
            <w:tcW w:w="120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b w:val="1"/>
                <w:bCs w:val="1"/>
                <w:color w:val="auto"/>
              </w:rPr>
              <w:t>820,962</w:t>
            </w:r>
          </w:p>
        </w:tc>
        <w:tc>
          <w:tcPr>
            <w:tcW w:w="24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w:t>
            </w:r>
          </w:p>
        </w:tc>
        <w:tc>
          <w:tcPr>
            <w:tcW w:w="120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b w:val="1"/>
                <w:bCs w:val="1"/>
                <w:color w:val="auto"/>
              </w:rPr>
              <w:t>190,815</w:t>
            </w:r>
          </w:p>
        </w:tc>
        <w:tc>
          <w:tcPr>
            <w:tcW w:w="3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w:t>
            </w:r>
          </w:p>
        </w:tc>
        <w:tc>
          <w:tcPr>
            <w:tcW w:w="1200" w:type="dxa"/>
            <w:vAlign w:val="bottom"/>
            <w:tcBorders>
              <w:bottom w:val="single" w:sz="8" w:color="auto"/>
            </w:tcBorders>
          </w:tcPr>
          <w:p>
            <w:pPr>
              <w:jc w:val="right"/>
              <w:ind w:right="60"/>
              <w:spacing w:after="0"/>
              <w:rPr>
                <w:sz w:val="20"/>
                <w:szCs w:val="20"/>
                <w:color w:val="auto"/>
              </w:rPr>
            </w:pPr>
            <w:r>
              <w:rPr>
                <w:rFonts w:ascii="Arial" w:cs="Arial" w:eastAsia="Arial" w:hAnsi="Arial"/>
                <w:sz w:val="16"/>
                <w:szCs w:val="16"/>
                <w:b w:val="1"/>
                <w:bCs w:val="1"/>
                <w:color w:val="auto"/>
              </w:rPr>
              <w:t>287,933</w:t>
            </w:r>
          </w:p>
        </w:tc>
        <w:tc>
          <w:tcPr>
            <w:tcW w:w="40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b w:val="1"/>
                <w:bCs w:val="1"/>
                <w:color w:val="auto"/>
              </w:rPr>
              <w:t>$</w:t>
            </w:r>
          </w:p>
        </w:tc>
        <w:tc>
          <w:tcPr>
            <w:tcW w:w="104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b w:val="1"/>
                <w:bCs w:val="1"/>
                <w:color w:val="auto"/>
              </w:rPr>
              <w:t>1,299,710</w:t>
            </w:r>
          </w:p>
        </w:tc>
      </w:tr>
      <w:tr>
        <w:trPr>
          <w:trHeight w:val="20"/>
        </w:trPr>
        <w:tc>
          <w:tcPr>
            <w:tcW w:w="56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31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90</w:t>
      </w:r>
    </w:p>
    <w:p>
      <w:pPr>
        <w:sectPr>
          <w:pgSz w:w="11900" w:h="16838" w:orient="portrait"/>
          <w:cols w:equalWidth="0" w:num="1">
            <w:col w:w="11420"/>
          </w:cols>
          <w:pgMar w:left="240" w:top="746" w:right="239" w:bottom="1440" w:gutter="0" w:footer="0" w:header="0"/>
        </w:sectPr>
      </w:pPr>
    </w:p>
    <w:bookmarkStart w:id="93" w:name="page94"/>
    <w:bookmarkEnd w:id="93"/>
    <w:p>
      <w:pPr>
        <w:spacing w:after="0"/>
        <w:rPr>
          <w:sz w:val="20"/>
          <w:szCs w:val="20"/>
          <w:color w:val="auto"/>
        </w:rPr>
      </w:pPr>
      <w:r>
        <w:rPr>
          <w:rFonts w:ascii="Arial" w:cs="Arial" w:eastAsia="Arial" w:hAnsi="Arial"/>
          <w:sz w:val="18"/>
          <w:szCs w:val="18"/>
          <w:color w:val="auto"/>
        </w:rPr>
        <w:t>The changes in carrying amount of goodwill at the Company’s education division were as follows:</w:t>
      </w:r>
    </w:p>
    <w:p>
      <w:pPr>
        <w:spacing w:after="0" w:line="145"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56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00" w:type="dxa"/>
            <w:vAlign w:val="bottom"/>
          </w:tcPr>
          <w:p>
            <w:pPr>
              <w:jc w:val="right"/>
              <w:ind w:right="420"/>
              <w:spacing w:after="0"/>
              <w:rPr>
                <w:sz w:val="20"/>
                <w:szCs w:val="20"/>
                <w:color w:val="auto"/>
              </w:rPr>
            </w:pPr>
            <w:r>
              <w:rPr>
                <w:rFonts w:ascii="Arial" w:cs="Arial" w:eastAsia="Arial" w:hAnsi="Arial"/>
                <w:sz w:val="14"/>
                <w:szCs w:val="14"/>
                <w:b w:val="1"/>
                <w:bCs w:val="1"/>
                <w:color w:val="auto"/>
              </w:rPr>
              <w:t>Higher</w:t>
            </w:r>
          </w:p>
        </w:tc>
        <w:tc>
          <w:tcPr>
            <w:tcW w:w="280" w:type="dxa"/>
            <w:vAlign w:val="bottom"/>
          </w:tcPr>
          <w:p>
            <w:pPr>
              <w:spacing w:after="0"/>
              <w:rPr>
                <w:sz w:val="14"/>
                <w:szCs w:val="14"/>
                <w:color w:val="auto"/>
              </w:rPr>
            </w:pPr>
          </w:p>
        </w:tc>
        <w:tc>
          <w:tcPr>
            <w:tcW w:w="1200" w:type="dxa"/>
            <w:vAlign w:val="bottom"/>
          </w:tcPr>
          <w:p>
            <w:pPr>
              <w:jc w:val="right"/>
              <w:ind w:right="500"/>
              <w:spacing w:after="0"/>
              <w:rPr>
                <w:sz w:val="20"/>
                <w:szCs w:val="20"/>
                <w:color w:val="auto"/>
              </w:rPr>
            </w:pPr>
            <w:r>
              <w:rPr>
                <w:rFonts w:ascii="Arial" w:cs="Arial" w:eastAsia="Arial" w:hAnsi="Arial"/>
                <w:sz w:val="14"/>
                <w:szCs w:val="14"/>
                <w:b w:val="1"/>
                <w:bCs w:val="1"/>
                <w:color w:val="auto"/>
              </w:rPr>
              <w:t>Test</w:t>
            </w:r>
          </w:p>
        </w:tc>
        <w:tc>
          <w:tcPr>
            <w:tcW w:w="240" w:type="dxa"/>
            <w:vAlign w:val="bottom"/>
          </w:tcPr>
          <w:p>
            <w:pPr>
              <w:spacing w:after="0"/>
              <w:rPr>
                <w:sz w:val="14"/>
                <w:szCs w:val="14"/>
                <w:color w:val="auto"/>
              </w:rPr>
            </w:pPr>
          </w:p>
        </w:tc>
        <w:tc>
          <w:tcPr>
            <w:tcW w:w="1220" w:type="dxa"/>
            <w:vAlign w:val="bottom"/>
          </w:tcPr>
          <w:p>
            <w:pPr>
              <w:jc w:val="right"/>
              <w:ind w:right="400"/>
              <w:spacing w:after="0"/>
              <w:rPr>
                <w:sz w:val="20"/>
                <w:szCs w:val="20"/>
                <w:color w:val="auto"/>
              </w:rPr>
            </w:pPr>
            <w:r>
              <w:rPr>
                <w:rFonts w:ascii="Arial" w:cs="Arial" w:eastAsia="Arial" w:hAnsi="Arial"/>
                <w:sz w:val="14"/>
                <w:szCs w:val="14"/>
                <w:b w:val="1"/>
                <w:bCs w:val="1"/>
                <w:color w:val="auto"/>
              </w:rPr>
              <w:t>Kaplan</w:t>
            </w:r>
          </w:p>
        </w:tc>
        <w:tc>
          <w:tcPr>
            <w:tcW w:w="400" w:type="dxa"/>
            <w:vAlign w:val="bottom"/>
          </w:tcPr>
          <w:p>
            <w:pPr>
              <w:spacing w:after="0"/>
              <w:rPr>
                <w:sz w:val="14"/>
                <w:szCs w:val="14"/>
                <w:color w:val="auto"/>
              </w:rPr>
            </w:pPr>
          </w:p>
        </w:tc>
        <w:tc>
          <w:tcPr>
            <w:tcW w:w="1040" w:type="dxa"/>
            <w:vAlign w:val="bottom"/>
          </w:tcPr>
          <w:p>
            <w:pPr>
              <w:spacing w:after="0"/>
              <w:rPr>
                <w:sz w:val="14"/>
                <w:szCs w:val="14"/>
                <w:color w:val="auto"/>
              </w:rPr>
            </w:pPr>
          </w:p>
        </w:tc>
      </w:tr>
      <w:tr>
        <w:trPr>
          <w:trHeight w:val="196"/>
        </w:trPr>
        <w:tc>
          <w:tcPr>
            <w:tcW w:w="562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(in thousands)</w:t>
            </w:r>
          </w:p>
        </w:tc>
        <w:tc>
          <w:tcPr>
            <w:tcW w:w="22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ind w:right="300"/>
              <w:spacing w:after="0"/>
              <w:rPr>
                <w:sz w:val="20"/>
                <w:szCs w:val="20"/>
                <w:color w:val="auto"/>
              </w:rPr>
            </w:pPr>
            <w:r>
              <w:rPr>
                <w:rFonts w:ascii="Arial" w:cs="Arial" w:eastAsia="Arial" w:hAnsi="Arial"/>
                <w:sz w:val="14"/>
                <w:szCs w:val="14"/>
                <w:b w:val="1"/>
                <w:bCs w:val="1"/>
                <w:color w:val="auto"/>
              </w:rPr>
              <w:t>Education</w:t>
            </w:r>
          </w:p>
        </w:tc>
        <w:tc>
          <w:tcPr>
            <w:tcW w:w="28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ind w:right="240"/>
              <w:spacing w:after="0"/>
              <w:rPr>
                <w:sz w:val="20"/>
                <w:szCs w:val="20"/>
                <w:color w:val="auto"/>
              </w:rPr>
            </w:pPr>
            <w:r>
              <w:rPr>
                <w:rFonts w:ascii="Arial" w:cs="Arial" w:eastAsia="Arial" w:hAnsi="Arial"/>
                <w:sz w:val="14"/>
                <w:szCs w:val="14"/>
                <w:b w:val="1"/>
                <w:bCs w:val="1"/>
                <w:color w:val="auto"/>
              </w:rPr>
              <w:t>Preparation</w:t>
            </w:r>
          </w:p>
        </w:tc>
        <w:tc>
          <w:tcPr>
            <w:tcW w:w="24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jc w:val="right"/>
              <w:ind w:right="200"/>
              <w:spacing w:after="0"/>
              <w:rPr>
                <w:sz w:val="20"/>
                <w:szCs w:val="20"/>
                <w:color w:val="auto"/>
              </w:rPr>
            </w:pPr>
            <w:r>
              <w:rPr>
                <w:rFonts w:ascii="Arial" w:cs="Arial" w:eastAsia="Arial" w:hAnsi="Arial"/>
                <w:sz w:val="14"/>
                <w:szCs w:val="14"/>
                <w:b w:val="1"/>
                <w:bCs w:val="1"/>
                <w:color w:val="auto"/>
              </w:rPr>
              <w:t>International</w:t>
            </w:r>
          </w:p>
        </w:tc>
        <w:tc>
          <w:tcPr>
            <w:tcW w:w="40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ind w:right="440"/>
              <w:spacing w:after="0"/>
              <w:rPr>
                <w:sz w:val="20"/>
                <w:szCs w:val="20"/>
                <w:color w:val="auto"/>
              </w:rPr>
            </w:pPr>
            <w:r>
              <w:rPr>
                <w:rFonts w:ascii="Arial" w:cs="Arial" w:eastAsia="Arial" w:hAnsi="Arial"/>
                <w:sz w:val="14"/>
                <w:szCs w:val="14"/>
                <w:b w:val="1"/>
                <w:bCs w:val="1"/>
                <w:color w:val="auto"/>
              </w:rPr>
              <w:t>Total</w:t>
            </w:r>
          </w:p>
        </w:tc>
      </w:tr>
      <w:tr>
        <w:trPr>
          <w:trHeight w:val="250"/>
        </w:trPr>
        <w:tc>
          <w:tcPr>
            <w:tcW w:w="5620" w:type="dxa"/>
            <w:vAlign w:val="bottom"/>
          </w:tcPr>
          <w:p>
            <w:pPr>
              <w:ind w:left="40"/>
              <w:spacing w:after="0"/>
              <w:rPr>
                <w:sz w:val="20"/>
                <w:szCs w:val="20"/>
                <w:color w:val="auto"/>
              </w:rPr>
            </w:pPr>
            <w:r>
              <w:rPr>
                <w:rFonts w:ascii="Arial" w:cs="Arial" w:eastAsia="Arial" w:hAnsi="Arial"/>
                <w:sz w:val="16"/>
                <w:szCs w:val="16"/>
                <w:color w:val="auto"/>
              </w:rPr>
              <w:t>As of December 31, 2015</w:t>
            </w:r>
          </w:p>
        </w:tc>
        <w:tc>
          <w:tcPr>
            <w:tcW w:w="22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040" w:type="dxa"/>
            <w:vAlign w:val="bottom"/>
          </w:tcPr>
          <w:p>
            <w:pPr>
              <w:spacing w:after="0"/>
              <w:rPr>
                <w:sz w:val="21"/>
                <w:szCs w:val="21"/>
                <w:color w:val="auto"/>
              </w:rPr>
            </w:pPr>
          </w:p>
        </w:tc>
      </w:tr>
      <w:tr>
        <w:trPr>
          <w:trHeight w:val="270"/>
        </w:trPr>
        <w:tc>
          <w:tcPr>
            <w:tcW w:w="5620" w:type="dxa"/>
            <w:vAlign w:val="bottom"/>
          </w:tcPr>
          <w:p>
            <w:pPr>
              <w:ind w:left="280"/>
              <w:spacing w:after="0"/>
              <w:rPr>
                <w:sz w:val="20"/>
                <w:szCs w:val="20"/>
                <w:color w:val="auto"/>
              </w:rPr>
            </w:pPr>
            <w:r>
              <w:rPr>
                <w:rFonts w:ascii="Arial" w:cs="Arial" w:eastAsia="Arial" w:hAnsi="Arial"/>
                <w:sz w:val="16"/>
                <w:szCs w:val="16"/>
                <w:color w:val="auto"/>
              </w:rPr>
              <w:t>Goodwill</w:t>
            </w:r>
          </w:p>
        </w:tc>
        <w:tc>
          <w:tcPr>
            <w:tcW w:w="220" w:type="dxa"/>
            <w:vAlign w:val="bottom"/>
          </w:tcPr>
          <w:p>
            <w:pPr>
              <w:jc w:val="right"/>
              <w:ind w:right="39"/>
              <w:spacing w:after="0"/>
              <w:rPr>
                <w:sz w:val="20"/>
                <w:szCs w:val="20"/>
                <w:color w:val="auto"/>
              </w:rPr>
            </w:pPr>
            <w:r>
              <w:rPr>
                <w:rFonts w:ascii="Arial" w:cs="Arial" w:eastAsia="Arial" w:hAnsi="Arial"/>
                <w:sz w:val="16"/>
                <w:szCs w:val="16"/>
                <w:color w:val="auto"/>
                <w:w w:val="89"/>
              </w:rPr>
              <w:t>$</w:t>
            </w:r>
          </w:p>
        </w:tc>
        <w:tc>
          <w:tcPr>
            <w:tcW w:w="1200" w:type="dxa"/>
            <w:vAlign w:val="bottom"/>
          </w:tcPr>
          <w:p>
            <w:pPr>
              <w:jc w:val="right"/>
              <w:ind w:right="60"/>
              <w:spacing w:after="0"/>
              <w:rPr>
                <w:sz w:val="20"/>
                <w:szCs w:val="20"/>
                <w:color w:val="auto"/>
              </w:rPr>
            </w:pPr>
            <w:r>
              <w:rPr>
                <w:rFonts w:ascii="Arial" w:cs="Arial" w:eastAsia="Arial" w:hAnsi="Arial"/>
                <w:sz w:val="16"/>
                <w:szCs w:val="16"/>
                <w:color w:val="auto"/>
              </w:rPr>
              <w:t>392,457</w:t>
            </w:r>
          </w:p>
        </w:tc>
        <w:tc>
          <w:tcPr>
            <w:tcW w:w="28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1200" w:type="dxa"/>
            <w:vAlign w:val="bottom"/>
          </w:tcPr>
          <w:p>
            <w:pPr>
              <w:jc w:val="right"/>
              <w:ind w:right="80"/>
              <w:spacing w:after="0"/>
              <w:rPr>
                <w:sz w:val="20"/>
                <w:szCs w:val="20"/>
                <w:color w:val="auto"/>
              </w:rPr>
            </w:pPr>
            <w:r>
              <w:rPr>
                <w:rFonts w:ascii="Arial" w:cs="Arial" w:eastAsia="Arial" w:hAnsi="Arial"/>
                <w:sz w:val="16"/>
                <w:szCs w:val="16"/>
                <w:color w:val="auto"/>
              </w:rPr>
              <w:t>166,098</w:t>
            </w:r>
          </w:p>
        </w:tc>
        <w:tc>
          <w:tcPr>
            <w:tcW w:w="240" w:type="dxa"/>
            <w:vAlign w:val="bottom"/>
          </w:tcPr>
          <w:p>
            <w:pPr>
              <w:jc w:val="right"/>
              <w:spacing w:after="0"/>
              <w:rPr>
                <w:sz w:val="20"/>
                <w:szCs w:val="20"/>
                <w:color w:val="auto"/>
              </w:rPr>
            </w:pPr>
            <w:r>
              <w:rPr>
                <w:rFonts w:ascii="Arial" w:cs="Arial" w:eastAsia="Arial" w:hAnsi="Arial"/>
                <w:sz w:val="16"/>
                <w:szCs w:val="16"/>
                <w:color w:val="auto"/>
              </w:rPr>
              <w:t>$</w:t>
            </w:r>
          </w:p>
        </w:tc>
        <w:tc>
          <w:tcPr>
            <w:tcW w:w="1220" w:type="dxa"/>
            <w:vAlign w:val="bottom"/>
          </w:tcPr>
          <w:p>
            <w:pPr>
              <w:jc w:val="right"/>
              <w:ind w:right="60"/>
              <w:spacing w:after="0"/>
              <w:rPr>
                <w:sz w:val="20"/>
                <w:szCs w:val="20"/>
                <w:color w:val="auto"/>
              </w:rPr>
            </w:pPr>
            <w:r>
              <w:rPr>
                <w:rFonts w:ascii="Arial" w:cs="Arial" w:eastAsia="Arial" w:hAnsi="Arial"/>
                <w:sz w:val="16"/>
                <w:szCs w:val="16"/>
                <w:color w:val="auto"/>
              </w:rPr>
              <w:t>447,541</w:t>
            </w:r>
          </w:p>
        </w:tc>
        <w:tc>
          <w:tcPr>
            <w:tcW w:w="40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1040" w:type="dxa"/>
            <w:vAlign w:val="bottom"/>
          </w:tcPr>
          <w:p>
            <w:pPr>
              <w:jc w:val="right"/>
              <w:ind w:right="20"/>
              <w:spacing w:after="0"/>
              <w:rPr>
                <w:sz w:val="20"/>
                <w:szCs w:val="20"/>
                <w:color w:val="auto"/>
              </w:rPr>
            </w:pPr>
            <w:r>
              <w:rPr>
                <w:rFonts w:ascii="Arial" w:cs="Arial" w:eastAsia="Arial" w:hAnsi="Arial"/>
                <w:sz w:val="16"/>
                <w:szCs w:val="16"/>
                <w:color w:val="auto"/>
              </w:rPr>
              <w:t>1,006,096</w:t>
            </w:r>
          </w:p>
        </w:tc>
      </w:tr>
      <w:tr>
        <w:trPr>
          <w:trHeight w:val="283"/>
        </w:trPr>
        <w:tc>
          <w:tcPr>
            <w:tcW w:w="5620" w:type="dxa"/>
            <w:vAlign w:val="bottom"/>
          </w:tcPr>
          <w:p>
            <w:pPr>
              <w:ind w:left="280"/>
              <w:spacing w:after="0"/>
              <w:rPr>
                <w:sz w:val="20"/>
                <w:szCs w:val="20"/>
                <w:color w:val="auto"/>
              </w:rPr>
            </w:pPr>
            <w:r>
              <w:rPr>
                <w:rFonts w:ascii="Arial" w:cs="Arial" w:eastAsia="Arial" w:hAnsi="Arial"/>
                <w:sz w:val="16"/>
                <w:szCs w:val="16"/>
                <w:color w:val="auto"/>
              </w:rPr>
              <w:t>Accumulated impairment losses</w:t>
            </w:r>
          </w:p>
        </w:tc>
        <w:tc>
          <w:tcPr>
            <w:tcW w:w="22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(248,591)</w:t>
            </w:r>
          </w:p>
        </w:tc>
        <w:tc>
          <w:tcPr>
            <w:tcW w:w="28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(102,259)</w:t>
            </w:r>
          </w:p>
        </w:tc>
        <w:tc>
          <w:tcPr>
            <w:tcW w:w="24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tcPr>
          <w:p>
            <w:pPr>
              <w:jc w:val="right"/>
              <w:ind w:right="60"/>
              <w:spacing w:after="0"/>
              <w:rPr>
                <w:sz w:val="20"/>
                <w:szCs w:val="20"/>
                <w:color w:val="auto"/>
              </w:rPr>
            </w:pPr>
            <w:r>
              <w:rPr>
                <w:rFonts w:ascii="Arial" w:cs="Arial" w:eastAsia="Arial" w:hAnsi="Arial"/>
                <w:sz w:val="16"/>
                <w:szCs w:val="16"/>
                <w:color w:val="auto"/>
              </w:rPr>
              <w:t>—</w:t>
            </w:r>
          </w:p>
        </w:tc>
        <w:tc>
          <w:tcPr>
            <w:tcW w:w="40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(350,850)</w:t>
            </w:r>
          </w:p>
        </w:tc>
      </w:tr>
      <w:tr>
        <w:trPr>
          <w:trHeight w:val="264"/>
        </w:trPr>
        <w:tc>
          <w:tcPr>
            <w:tcW w:w="5620" w:type="dxa"/>
            <w:vAlign w:val="bottom"/>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1200" w:type="dxa"/>
            <w:vAlign w:val="bottom"/>
            <w:tcBorders>
              <w:bottom w:val="single" w:sz="8" w:color="auto"/>
            </w:tcBorders>
          </w:tcPr>
          <w:p>
            <w:pPr>
              <w:jc w:val="right"/>
              <w:ind w:right="60"/>
              <w:spacing w:after="0"/>
              <w:rPr>
                <w:sz w:val="20"/>
                <w:szCs w:val="20"/>
                <w:color w:val="auto"/>
              </w:rPr>
            </w:pPr>
            <w:r>
              <w:rPr>
                <w:rFonts w:ascii="Arial" w:cs="Arial" w:eastAsia="Arial" w:hAnsi="Arial"/>
                <w:sz w:val="16"/>
                <w:szCs w:val="16"/>
                <w:color w:val="auto"/>
              </w:rPr>
              <w:t>143,866</w:t>
            </w:r>
          </w:p>
        </w:tc>
        <w:tc>
          <w:tcPr>
            <w:tcW w:w="280" w:type="dxa"/>
            <w:vAlign w:val="bottom"/>
            <w:tcBorders>
              <w:bottom w:val="single" w:sz="8" w:color="auto"/>
            </w:tcBorders>
          </w:tcPr>
          <w:p>
            <w:pPr>
              <w:spacing w:after="0"/>
              <w:rPr>
                <w:sz w:val="22"/>
                <w:szCs w:val="22"/>
                <w:color w:val="auto"/>
              </w:rPr>
            </w:pPr>
          </w:p>
        </w:tc>
        <w:tc>
          <w:tcPr>
            <w:tcW w:w="1200" w:type="dxa"/>
            <w:vAlign w:val="bottom"/>
            <w:tcBorders>
              <w:bottom w:val="single" w:sz="8" w:color="auto"/>
            </w:tcBorders>
          </w:tcPr>
          <w:p>
            <w:pPr>
              <w:jc w:val="right"/>
              <w:ind w:right="80"/>
              <w:spacing w:after="0"/>
              <w:rPr>
                <w:sz w:val="20"/>
                <w:szCs w:val="20"/>
                <w:color w:val="auto"/>
              </w:rPr>
            </w:pPr>
            <w:r>
              <w:rPr>
                <w:rFonts w:ascii="Arial" w:cs="Arial" w:eastAsia="Arial" w:hAnsi="Arial"/>
                <w:sz w:val="16"/>
                <w:szCs w:val="16"/>
                <w:color w:val="auto"/>
              </w:rPr>
              <w:t>63,839</w:t>
            </w:r>
          </w:p>
        </w:tc>
        <w:tc>
          <w:tcPr>
            <w:tcW w:w="240" w:type="dxa"/>
            <w:vAlign w:val="bottom"/>
            <w:tcBorders>
              <w:bottom w:val="single" w:sz="8" w:color="auto"/>
            </w:tcBorders>
          </w:tcPr>
          <w:p>
            <w:pPr>
              <w:spacing w:after="0"/>
              <w:rPr>
                <w:sz w:val="22"/>
                <w:szCs w:val="22"/>
                <w:color w:val="auto"/>
              </w:rPr>
            </w:pPr>
          </w:p>
        </w:tc>
        <w:tc>
          <w:tcPr>
            <w:tcW w:w="1220" w:type="dxa"/>
            <w:vAlign w:val="bottom"/>
            <w:tcBorders>
              <w:bottom w:val="single" w:sz="8" w:color="auto"/>
            </w:tcBorders>
          </w:tcPr>
          <w:p>
            <w:pPr>
              <w:jc w:val="right"/>
              <w:ind w:right="60"/>
              <w:spacing w:after="0"/>
              <w:rPr>
                <w:sz w:val="20"/>
                <w:szCs w:val="20"/>
                <w:color w:val="auto"/>
              </w:rPr>
            </w:pPr>
            <w:r>
              <w:rPr>
                <w:rFonts w:ascii="Arial" w:cs="Arial" w:eastAsia="Arial" w:hAnsi="Arial"/>
                <w:sz w:val="16"/>
                <w:szCs w:val="16"/>
                <w:color w:val="auto"/>
              </w:rPr>
              <w:t>447,541</w:t>
            </w:r>
          </w:p>
        </w:tc>
        <w:tc>
          <w:tcPr>
            <w:tcW w:w="40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655,246</w:t>
            </w:r>
          </w:p>
        </w:tc>
      </w:tr>
      <w:tr>
        <w:trPr>
          <w:trHeight w:val="251"/>
        </w:trPr>
        <w:tc>
          <w:tcPr>
            <w:tcW w:w="5620" w:type="dxa"/>
            <w:vAlign w:val="bottom"/>
          </w:tcPr>
          <w:p>
            <w:pPr>
              <w:ind w:left="40"/>
              <w:spacing w:after="0"/>
              <w:rPr>
                <w:sz w:val="20"/>
                <w:szCs w:val="20"/>
                <w:color w:val="auto"/>
              </w:rPr>
            </w:pPr>
            <w:r>
              <w:rPr>
                <w:rFonts w:ascii="Arial" w:cs="Arial" w:eastAsia="Arial" w:hAnsi="Arial"/>
                <w:sz w:val="16"/>
                <w:szCs w:val="16"/>
                <w:color w:val="auto"/>
              </w:rPr>
              <w:t>Measurement period adjustment</w:t>
            </w:r>
          </w:p>
        </w:tc>
        <w:tc>
          <w:tcPr>
            <w:tcW w:w="220" w:type="dxa"/>
            <w:vAlign w:val="bottom"/>
          </w:tcPr>
          <w:p>
            <w:pPr>
              <w:spacing w:after="0"/>
              <w:rPr>
                <w:sz w:val="21"/>
                <w:szCs w:val="21"/>
                <w:color w:val="auto"/>
              </w:rPr>
            </w:pPr>
          </w:p>
        </w:tc>
        <w:tc>
          <w:tcPr>
            <w:tcW w:w="1200" w:type="dxa"/>
            <w:vAlign w:val="bottom"/>
          </w:tcPr>
          <w:p>
            <w:pPr>
              <w:jc w:val="right"/>
              <w:ind w:right="20"/>
              <w:spacing w:after="0"/>
              <w:rPr>
                <w:sz w:val="20"/>
                <w:szCs w:val="20"/>
                <w:color w:val="auto"/>
              </w:rPr>
            </w:pPr>
            <w:r>
              <w:rPr>
                <w:rFonts w:ascii="Arial" w:cs="Arial" w:eastAsia="Arial" w:hAnsi="Arial"/>
                <w:sz w:val="16"/>
                <w:szCs w:val="16"/>
                <w:color w:val="auto"/>
              </w:rPr>
              <w:t>(2,781)</w:t>
            </w:r>
          </w:p>
        </w:tc>
        <w:tc>
          <w:tcPr>
            <w:tcW w:w="280" w:type="dxa"/>
            <w:vAlign w:val="bottom"/>
          </w:tcPr>
          <w:p>
            <w:pPr>
              <w:spacing w:after="0"/>
              <w:rPr>
                <w:sz w:val="21"/>
                <w:szCs w:val="21"/>
                <w:color w:val="auto"/>
              </w:rPr>
            </w:pPr>
          </w:p>
        </w:tc>
        <w:tc>
          <w:tcPr>
            <w:tcW w:w="1200" w:type="dxa"/>
            <w:vAlign w:val="bottom"/>
          </w:tcPr>
          <w:p>
            <w:pPr>
              <w:jc w:val="right"/>
              <w:ind w:right="80"/>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21"/>
                <w:szCs w:val="21"/>
                <w:color w:val="auto"/>
              </w:rPr>
            </w:pPr>
          </w:p>
        </w:tc>
        <w:tc>
          <w:tcPr>
            <w:tcW w:w="1220" w:type="dxa"/>
            <w:vAlign w:val="bottom"/>
          </w:tcPr>
          <w:p>
            <w:pPr>
              <w:jc w:val="right"/>
              <w:ind w:right="60"/>
              <w:spacing w:after="0"/>
              <w:rPr>
                <w:sz w:val="20"/>
                <w:szCs w:val="20"/>
                <w:color w:val="auto"/>
              </w:rPr>
            </w:pPr>
            <w:r>
              <w:rPr>
                <w:rFonts w:ascii="Arial" w:cs="Arial" w:eastAsia="Arial" w:hAnsi="Arial"/>
                <w:sz w:val="16"/>
                <w:szCs w:val="16"/>
                <w:color w:val="auto"/>
              </w:rPr>
              <w:t>—</w:t>
            </w:r>
          </w:p>
        </w:tc>
        <w:tc>
          <w:tcPr>
            <w:tcW w:w="40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(2,781)</w:t>
            </w:r>
          </w:p>
        </w:tc>
      </w:tr>
      <w:tr>
        <w:trPr>
          <w:trHeight w:val="270"/>
        </w:trPr>
        <w:tc>
          <w:tcPr>
            <w:tcW w:w="5620" w:type="dxa"/>
            <w:vAlign w:val="bottom"/>
          </w:tcPr>
          <w:p>
            <w:pPr>
              <w:ind w:left="40"/>
              <w:spacing w:after="0"/>
              <w:rPr>
                <w:sz w:val="20"/>
                <w:szCs w:val="20"/>
                <w:color w:val="auto"/>
              </w:rPr>
            </w:pPr>
            <w:r>
              <w:rPr>
                <w:rFonts w:ascii="Arial" w:cs="Arial" w:eastAsia="Arial" w:hAnsi="Arial"/>
                <w:sz w:val="16"/>
                <w:szCs w:val="16"/>
                <w:color w:val="auto"/>
              </w:rPr>
              <w:t>Acquisitions</w:t>
            </w:r>
          </w:p>
        </w:tc>
        <w:tc>
          <w:tcPr>
            <w:tcW w:w="220" w:type="dxa"/>
            <w:vAlign w:val="bottom"/>
          </w:tcPr>
          <w:p>
            <w:pPr>
              <w:spacing w:after="0"/>
              <w:rPr>
                <w:sz w:val="23"/>
                <w:szCs w:val="23"/>
                <w:color w:val="auto"/>
              </w:rPr>
            </w:pPr>
          </w:p>
        </w:tc>
        <w:tc>
          <w:tcPr>
            <w:tcW w:w="1200" w:type="dxa"/>
            <w:vAlign w:val="bottom"/>
          </w:tcPr>
          <w:p>
            <w:pPr>
              <w:jc w:val="right"/>
              <w:ind w:right="60"/>
              <w:spacing w:after="0"/>
              <w:rPr>
                <w:sz w:val="20"/>
                <w:szCs w:val="20"/>
                <w:color w:val="auto"/>
              </w:rPr>
            </w:pPr>
            <w:r>
              <w:rPr>
                <w:rFonts w:ascii="Arial" w:cs="Arial" w:eastAsia="Arial" w:hAnsi="Arial"/>
                <w:sz w:val="16"/>
                <w:szCs w:val="16"/>
                <w:color w:val="auto"/>
              </w:rPr>
              <w:t>—</w:t>
            </w:r>
          </w:p>
        </w:tc>
        <w:tc>
          <w:tcPr>
            <w:tcW w:w="280" w:type="dxa"/>
            <w:vAlign w:val="bottom"/>
          </w:tcPr>
          <w:p>
            <w:pPr>
              <w:spacing w:after="0"/>
              <w:rPr>
                <w:sz w:val="23"/>
                <w:szCs w:val="23"/>
                <w:color w:val="auto"/>
              </w:rPr>
            </w:pPr>
          </w:p>
        </w:tc>
        <w:tc>
          <w:tcPr>
            <w:tcW w:w="1200" w:type="dxa"/>
            <w:vAlign w:val="bottom"/>
          </w:tcPr>
          <w:p>
            <w:pPr>
              <w:jc w:val="right"/>
              <w:ind w:right="80"/>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23"/>
                <w:szCs w:val="23"/>
                <w:color w:val="auto"/>
              </w:rPr>
            </w:pPr>
          </w:p>
        </w:tc>
        <w:tc>
          <w:tcPr>
            <w:tcW w:w="1220" w:type="dxa"/>
            <w:vAlign w:val="bottom"/>
          </w:tcPr>
          <w:p>
            <w:pPr>
              <w:jc w:val="right"/>
              <w:ind w:right="60"/>
              <w:spacing w:after="0"/>
              <w:rPr>
                <w:sz w:val="20"/>
                <w:szCs w:val="20"/>
                <w:color w:val="auto"/>
              </w:rPr>
            </w:pPr>
            <w:r>
              <w:rPr>
                <w:rFonts w:ascii="Arial" w:cs="Arial" w:eastAsia="Arial" w:hAnsi="Arial"/>
                <w:sz w:val="16"/>
                <w:szCs w:val="16"/>
                <w:color w:val="auto"/>
              </w:rPr>
              <w:t>161,938</w:t>
            </w:r>
          </w:p>
        </w:tc>
        <w:tc>
          <w:tcPr>
            <w:tcW w:w="400" w:type="dxa"/>
            <w:vAlign w:val="bottom"/>
          </w:tcPr>
          <w:p>
            <w:pPr>
              <w:spacing w:after="0"/>
              <w:rPr>
                <w:sz w:val="23"/>
                <w:szCs w:val="23"/>
                <w:color w:val="auto"/>
              </w:rPr>
            </w:pPr>
          </w:p>
        </w:tc>
        <w:tc>
          <w:tcPr>
            <w:tcW w:w="1040" w:type="dxa"/>
            <w:vAlign w:val="bottom"/>
          </w:tcPr>
          <w:p>
            <w:pPr>
              <w:jc w:val="right"/>
              <w:ind w:right="20"/>
              <w:spacing w:after="0"/>
              <w:rPr>
                <w:sz w:val="20"/>
                <w:szCs w:val="20"/>
                <w:color w:val="auto"/>
              </w:rPr>
            </w:pPr>
            <w:r>
              <w:rPr>
                <w:rFonts w:ascii="Arial" w:cs="Arial" w:eastAsia="Arial" w:hAnsi="Arial"/>
                <w:sz w:val="16"/>
                <w:szCs w:val="16"/>
                <w:color w:val="auto"/>
              </w:rPr>
              <w:t>161,938</w:t>
            </w:r>
          </w:p>
        </w:tc>
      </w:tr>
      <w:tr>
        <w:trPr>
          <w:trHeight w:val="283"/>
        </w:trPr>
        <w:tc>
          <w:tcPr>
            <w:tcW w:w="5620" w:type="dxa"/>
            <w:vAlign w:val="bottom"/>
          </w:tcPr>
          <w:p>
            <w:pPr>
              <w:ind w:left="40"/>
              <w:spacing w:after="0"/>
              <w:rPr>
                <w:sz w:val="20"/>
                <w:szCs w:val="20"/>
                <w:color w:val="auto"/>
              </w:rPr>
            </w:pPr>
            <w:r>
              <w:rPr>
                <w:rFonts w:ascii="Arial" w:cs="Arial" w:eastAsia="Arial" w:hAnsi="Arial"/>
                <w:sz w:val="16"/>
                <w:szCs w:val="16"/>
                <w:color w:val="auto"/>
              </w:rPr>
              <w:t>Foreign currency exchange rate changes</w:t>
            </w:r>
          </w:p>
        </w:tc>
        <w:tc>
          <w:tcPr>
            <w:tcW w:w="22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tcPr>
          <w:p>
            <w:pPr>
              <w:jc w:val="right"/>
              <w:ind w:right="60"/>
              <w:spacing w:after="0"/>
              <w:rPr>
                <w:sz w:val="20"/>
                <w:szCs w:val="20"/>
                <w:color w:val="auto"/>
              </w:rPr>
            </w:pPr>
            <w:r>
              <w:rPr>
                <w:rFonts w:ascii="Arial" w:cs="Arial" w:eastAsia="Arial" w:hAnsi="Arial"/>
                <w:sz w:val="16"/>
                <w:szCs w:val="16"/>
                <w:color w:val="auto"/>
              </w:rPr>
              <w:t>44</w:t>
            </w:r>
          </w:p>
        </w:tc>
        <w:tc>
          <w:tcPr>
            <w:tcW w:w="28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tcPr>
          <w:p>
            <w:pPr>
              <w:jc w:val="right"/>
              <w:ind w:right="80"/>
              <w:spacing w:after="0"/>
              <w:rPr>
                <w:sz w:val="20"/>
                <w:szCs w:val="20"/>
                <w:color w:val="auto"/>
              </w:rPr>
            </w:pPr>
            <w:r>
              <w:rPr>
                <w:rFonts w:ascii="Arial" w:cs="Arial" w:eastAsia="Arial" w:hAnsi="Arial"/>
                <w:sz w:val="16"/>
                <w:szCs w:val="16"/>
                <w:color w:val="auto"/>
              </w:rPr>
              <w:t>—</w:t>
            </w:r>
          </w:p>
        </w:tc>
        <w:tc>
          <w:tcPr>
            <w:tcW w:w="24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(54,294)</w:t>
            </w:r>
          </w:p>
        </w:tc>
        <w:tc>
          <w:tcPr>
            <w:tcW w:w="40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(54,250)</w:t>
            </w:r>
          </w:p>
        </w:tc>
      </w:tr>
      <w:tr>
        <w:trPr>
          <w:trHeight w:val="251"/>
        </w:trPr>
        <w:tc>
          <w:tcPr>
            <w:tcW w:w="5620" w:type="dxa"/>
            <w:vAlign w:val="bottom"/>
          </w:tcPr>
          <w:p>
            <w:pPr>
              <w:ind w:left="40"/>
              <w:spacing w:after="0"/>
              <w:rPr>
                <w:sz w:val="20"/>
                <w:szCs w:val="20"/>
                <w:color w:val="auto"/>
              </w:rPr>
            </w:pPr>
            <w:r>
              <w:rPr>
                <w:rFonts w:ascii="Arial" w:cs="Arial" w:eastAsia="Arial" w:hAnsi="Arial"/>
                <w:sz w:val="16"/>
                <w:szCs w:val="16"/>
                <w:color w:val="auto"/>
              </w:rPr>
              <w:t>As of December 31, 2016</w:t>
            </w:r>
          </w:p>
        </w:tc>
        <w:tc>
          <w:tcPr>
            <w:tcW w:w="22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040" w:type="dxa"/>
            <w:vAlign w:val="bottom"/>
          </w:tcPr>
          <w:p>
            <w:pPr>
              <w:spacing w:after="0"/>
              <w:rPr>
                <w:sz w:val="21"/>
                <w:szCs w:val="21"/>
                <w:color w:val="auto"/>
              </w:rPr>
            </w:pPr>
          </w:p>
        </w:tc>
      </w:tr>
      <w:tr>
        <w:trPr>
          <w:trHeight w:val="270"/>
        </w:trPr>
        <w:tc>
          <w:tcPr>
            <w:tcW w:w="5620" w:type="dxa"/>
            <w:vAlign w:val="bottom"/>
          </w:tcPr>
          <w:p>
            <w:pPr>
              <w:ind w:left="280"/>
              <w:spacing w:after="0"/>
              <w:rPr>
                <w:sz w:val="20"/>
                <w:szCs w:val="20"/>
                <w:color w:val="auto"/>
              </w:rPr>
            </w:pPr>
            <w:r>
              <w:rPr>
                <w:rFonts w:ascii="Arial" w:cs="Arial" w:eastAsia="Arial" w:hAnsi="Arial"/>
                <w:sz w:val="16"/>
                <w:szCs w:val="16"/>
                <w:color w:val="auto"/>
              </w:rPr>
              <w:t>Goodwill</w:t>
            </w:r>
          </w:p>
        </w:tc>
        <w:tc>
          <w:tcPr>
            <w:tcW w:w="220" w:type="dxa"/>
            <w:vAlign w:val="bottom"/>
          </w:tcPr>
          <w:p>
            <w:pPr>
              <w:spacing w:after="0"/>
              <w:rPr>
                <w:sz w:val="23"/>
                <w:szCs w:val="23"/>
                <w:color w:val="auto"/>
              </w:rPr>
            </w:pPr>
          </w:p>
        </w:tc>
        <w:tc>
          <w:tcPr>
            <w:tcW w:w="1200" w:type="dxa"/>
            <w:vAlign w:val="bottom"/>
          </w:tcPr>
          <w:p>
            <w:pPr>
              <w:jc w:val="right"/>
              <w:ind w:right="60"/>
              <w:spacing w:after="0"/>
              <w:rPr>
                <w:sz w:val="20"/>
                <w:szCs w:val="20"/>
                <w:color w:val="auto"/>
              </w:rPr>
            </w:pPr>
            <w:r>
              <w:rPr>
                <w:rFonts w:ascii="Arial" w:cs="Arial" w:eastAsia="Arial" w:hAnsi="Arial"/>
                <w:sz w:val="16"/>
                <w:szCs w:val="16"/>
                <w:color w:val="auto"/>
              </w:rPr>
              <w:t>389,720</w:t>
            </w:r>
          </w:p>
        </w:tc>
        <w:tc>
          <w:tcPr>
            <w:tcW w:w="280" w:type="dxa"/>
            <w:vAlign w:val="bottom"/>
          </w:tcPr>
          <w:p>
            <w:pPr>
              <w:spacing w:after="0"/>
              <w:rPr>
                <w:sz w:val="23"/>
                <w:szCs w:val="23"/>
                <w:color w:val="auto"/>
              </w:rPr>
            </w:pPr>
          </w:p>
        </w:tc>
        <w:tc>
          <w:tcPr>
            <w:tcW w:w="1200" w:type="dxa"/>
            <w:vAlign w:val="bottom"/>
          </w:tcPr>
          <w:p>
            <w:pPr>
              <w:jc w:val="right"/>
              <w:ind w:right="80"/>
              <w:spacing w:after="0"/>
              <w:rPr>
                <w:sz w:val="20"/>
                <w:szCs w:val="20"/>
                <w:color w:val="auto"/>
              </w:rPr>
            </w:pPr>
            <w:r>
              <w:rPr>
                <w:rFonts w:ascii="Arial" w:cs="Arial" w:eastAsia="Arial" w:hAnsi="Arial"/>
                <w:sz w:val="16"/>
                <w:szCs w:val="16"/>
                <w:color w:val="auto"/>
              </w:rPr>
              <w:t>166,098</w:t>
            </w:r>
          </w:p>
        </w:tc>
        <w:tc>
          <w:tcPr>
            <w:tcW w:w="240" w:type="dxa"/>
            <w:vAlign w:val="bottom"/>
          </w:tcPr>
          <w:p>
            <w:pPr>
              <w:spacing w:after="0"/>
              <w:rPr>
                <w:sz w:val="23"/>
                <w:szCs w:val="23"/>
                <w:color w:val="auto"/>
              </w:rPr>
            </w:pPr>
          </w:p>
        </w:tc>
        <w:tc>
          <w:tcPr>
            <w:tcW w:w="1220" w:type="dxa"/>
            <w:vAlign w:val="bottom"/>
          </w:tcPr>
          <w:p>
            <w:pPr>
              <w:jc w:val="right"/>
              <w:ind w:right="60"/>
              <w:spacing w:after="0"/>
              <w:rPr>
                <w:sz w:val="20"/>
                <w:szCs w:val="20"/>
                <w:color w:val="auto"/>
              </w:rPr>
            </w:pPr>
            <w:r>
              <w:rPr>
                <w:rFonts w:ascii="Arial" w:cs="Arial" w:eastAsia="Arial" w:hAnsi="Arial"/>
                <w:sz w:val="16"/>
                <w:szCs w:val="16"/>
                <w:color w:val="auto"/>
              </w:rPr>
              <w:t>555,185</w:t>
            </w:r>
          </w:p>
        </w:tc>
        <w:tc>
          <w:tcPr>
            <w:tcW w:w="400" w:type="dxa"/>
            <w:vAlign w:val="bottom"/>
          </w:tcPr>
          <w:p>
            <w:pPr>
              <w:spacing w:after="0"/>
              <w:rPr>
                <w:sz w:val="23"/>
                <w:szCs w:val="23"/>
                <w:color w:val="auto"/>
              </w:rPr>
            </w:pPr>
          </w:p>
        </w:tc>
        <w:tc>
          <w:tcPr>
            <w:tcW w:w="1040" w:type="dxa"/>
            <w:vAlign w:val="bottom"/>
          </w:tcPr>
          <w:p>
            <w:pPr>
              <w:jc w:val="right"/>
              <w:ind w:right="20"/>
              <w:spacing w:after="0"/>
              <w:rPr>
                <w:sz w:val="20"/>
                <w:szCs w:val="20"/>
                <w:color w:val="auto"/>
              </w:rPr>
            </w:pPr>
            <w:r>
              <w:rPr>
                <w:rFonts w:ascii="Arial" w:cs="Arial" w:eastAsia="Arial" w:hAnsi="Arial"/>
                <w:sz w:val="16"/>
                <w:szCs w:val="16"/>
                <w:color w:val="auto"/>
              </w:rPr>
              <w:t>1,111,003</w:t>
            </w:r>
          </w:p>
        </w:tc>
      </w:tr>
      <w:tr>
        <w:trPr>
          <w:trHeight w:val="283"/>
        </w:trPr>
        <w:tc>
          <w:tcPr>
            <w:tcW w:w="5620" w:type="dxa"/>
            <w:vAlign w:val="bottom"/>
          </w:tcPr>
          <w:p>
            <w:pPr>
              <w:ind w:left="280"/>
              <w:spacing w:after="0"/>
              <w:rPr>
                <w:sz w:val="20"/>
                <w:szCs w:val="20"/>
                <w:color w:val="auto"/>
              </w:rPr>
            </w:pPr>
            <w:r>
              <w:rPr>
                <w:rFonts w:ascii="Arial" w:cs="Arial" w:eastAsia="Arial" w:hAnsi="Arial"/>
                <w:sz w:val="16"/>
                <w:szCs w:val="16"/>
                <w:color w:val="auto"/>
              </w:rPr>
              <w:t>Accumulated impairment losses</w:t>
            </w:r>
          </w:p>
        </w:tc>
        <w:tc>
          <w:tcPr>
            <w:tcW w:w="22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(248,591)</w:t>
            </w:r>
          </w:p>
        </w:tc>
        <w:tc>
          <w:tcPr>
            <w:tcW w:w="28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(102,259)</w:t>
            </w:r>
          </w:p>
        </w:tc>
        <w:tc>
          <w:tcPr>
            <w:tcW w:w="24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tcPr>
          <w:p>
            <w:pPr>
              <w:jc w:val="right"/>
              <w:ind w:right="60"/>
              <w:spacing w:after="0"/>
              <w:rPr>
                <w:sz w:val="20"/>
                <w:szCs w:val="20"/>
                <w:color w:val="auto"/>
              </w:rPr>
            </w:pPr>
            <w:r>
              <w:rPr>
                <w:rFonts w:ascii="Arial" w:cs="Arial" w:eastAsia="Arial" w:hAnsi="Arial"/>
                <w:sz w:val="16"/>
                <w:szCs w:val="16"/>
                <w:color w:val="auto"/>
              </w:rPr>
              <w:t>—</w:t>
            </w:r>
          </w:p>
        </w:tc>
        <w:tc>
          <w:tcPr>
            <w:tcW w:w="40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(350,850)</w:t>
            </w:r>
          </w:p>
        </w:tc>
      </w:tr>
      <w:tr>
        <w:trPr>
          <w:trHeight w:val="264"/>
        </w:trPr>
        <w:tc>
          <w:tcPr>
            <w:tcW w:w="5620" w:type="dxa"/>
            <w:vAlign w:val="bottom"/>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1200" w:type="dxa"/>
            <w:vAlign w:val="bottom"/>
            <w:tcBorders>
              <w:bottom w:val="single" w:sz="8" w:color="auto"/>
            </w:tcBorders>
          </w:tcPr>
          <w:p>
            <w:pPr>
              <w:jc w:val="right"/>
              <w:ind w:right="60"/>
              <w:spacing w:after="0"/>
              <w:rPr>
                <w:sz w:val="20"/>
                <w:szCs w:val="20"/>
                <w:color w:val="auto"/>
              </w:rPr>
            </w:pPr>
            <w:r>
              <w:rPr>
                <w:rFonts w:ascii="Arial" w:cs="Arial" w:eastAsia="Arial" w:hAnsi="Arial"/>
                <w:sz w:val="16"/>
                <w:szCs w:val="16"/>
                <w:color w:val="auto"/>
              </w:rPr>
              <w:t>141,129</w:t>
            </w:r>
          </w:p>
        </w:tc>
        <w:tc>
          <w:tcPr>
            <w:tcW w:w="280" w:type="dxa"/>
            <w:vAlign w:val="bottom"/>
            <w:tcBorders>
              <w:bottom w:val="single" w:sz="8" w:color="auto"/>
            </w:tcBorders>
          </w:tcPr>
          <w:p>
            <w:pPr>
              <w:spacing w:after="0"/>
              <w:rPr>
                <w:sz w:val="22"/>
                <w:szCs w:val="22"/>
                <w:color w:val="auto"/>
              </w:rPr>
            </w:pPr>
          </w:p>
        </w:tc>
        <w:tc>
          <w:tcPr>
            <w:tcW w:w="1200" w:type="dxa"/>
            <w:vAlign w:val="bottom"/>
            <w:tcBorders>
              <w:bottom w:val="single" w:sz="8" w:color="auto"/>
            </w:tcBorders>
          </w:tcPr>
          <w:p>
            <w:pPr>
              <w:jc w:val="right"/>
              <w:ind w:right="80"/>
              <w:spacing w:after="0"/>
              <w:rPr>
                <w:sz w:val="20"/>
                <w:szCs w:val="20"/>
                <w:color w:val="auto"/>
              </w:rPr>
            </w:pPr>
            <w:r>
              <w:rPr>
                <w:rFonts w:ascii="Arial" w:cs="Arial" w:eastAsia="Arial" w:hAnsi="Arial"/>
                <w:sz w:val="16"/>
                <w:szCs w:val="16"/>
                <w:color w:val="auto"/>
              </w:rPr>
              <w:t>63,839</w:t>
            </w:r>
          </w:p>
        </w:tc>
        <w:tc>
          <w:tcPr>
            <w:tcW w:w="240" w:type="dxa"/>
            <w:vAlign w:val="bottom"/>
            <w:tcBorders>
              <w:bottom w:val="single" w:sz="8" w:color="auto"/>
            </w:tcBorders>
          </w:tcPr>
          <w:p>
            <w:pPr>
              <w:spacing w:after="0"/>
              <w:rPr>
                <w:sz w:val="22"/>
                <w:szCs w:val="22"/>
                <w:color w:val="auto"/>
              </w:rPr>
            </w:pPr>
          </w:p>
        </w:tc>
        <w:tc>
          <w:tcPr>
            <w:tcW w:w="1220" w:type="dxa"/>
            <w:vAlign w:val="bottom"/>
            <w:tcBorders>
              <w:bottom w:val="single" w:sz="8" w:color="auto"/>
            </w:tcBorders>
          </w:tcPr>
          <w:p>
            <w:pPr>
              <w:jc w:val="right"/>
              <w:ind w:right="60"/>
              <w:spacing w:after="0"/>
              <w:rPr>
                <w:sz w:val="20"/>
                <w:szCs w:val="20"/>
                <w:color w:val="auto"/>
              </w:rPr>
            </w:pPr>
            <w:r>
              <w:rPr>
                <w:rFonts w:ascii="Arial" w:cs="Arial" w:eastAsia="Arial" w:hAnsi="Arial"/>
                <w:sz w:val="16"/>
                <w:szCs w:val="16"/>
                <w:color w:val="auto"/>
              </w:rPr>
              <w:t>555,185</w:t>
            </w:r>
          </w:p>
        </w:tc>
        <w:tc>
          <w:tcPr>
            <w:tcW w:w="40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760,153</w:t>
            </w:r>
          </w:p>
        </w:tc>
      </w:tr>
      <w:tr>
        <w:trPr>
          <w:trHeight w:val="251"/>
        </w:trPr>
        <w:tc>
          <w:tcPr>
            <w:tcW w:w="5620" w:type="dxa"/>
            <w:vAlign w:val="bottom"/>
          </w:tcPr>
          <w:p>
            <w:pPr>
              <w:ind w:left="40"/>
              <w:spacing w:after="0"/>
              <w:rPr>
                <w:sz w:val="20"/>
                <w:szCs w:val="20"/>
                <w:color w:val="auto"/>
              </w:rPr>
            </w:pPr>
            <w:r>
              <w:rPr>
                <w:rFonts w:ascii="Arial" w:cs="Arial" w:eastAsia="Arial" w:hAnsi="Arial"/>
                <w:sz w:val="16"/>
                <w:szCs w:val="16"/>
                <w:b w:val="1"/>
                <w:bCs w:val="1"/>
                <w:color w:val="auto"/>
              </w:rPr>
              <w:t>Acquisitions</w:t>
            </w:r>
          </w:p>
        </w:tc>
        <w:tc>
          <w:tcPr>
            <w:tcW w:w="220" w:type="dxa"/>
            <w:vAlign w:val="bottom"/>
          </w:tcPr>
          <w:p>
            <w:pPr>
              <w:spacing w:after="0"/>
              <w:rPr>
                <w:sz w:val="21"/>
                <w:szCs w:val="21"/>
                <w:color w:val="auto"/>
              </w:rPr>
            </w:pPr>
          </w:p>
        </w:tc>
        <w:tc>
          <w:tcPr>
            <w:tcW w:w="1200" w:type="dxa"/>
            <w:vAlign w:val="bottom"/>
          </w:tcPr>
          <w:p>
            <w:pPr>
              <w:jc w:val="right"/>
              <w:ind w:right="60"/>
              <w:spacing w:after="0"/>
              <w:rPr>
                <w:sz w:val="20"/>
                <w:szCs w:val="20"/>
                <w:color w:val="auto"/>
              </w:rPr>
            </w:pPr>
            <w:r>
              <w:rPr>
                <w:rFonts w:ascii="Arial" w:cs="Arial" w:eastAsia="Arial" w:hAnsi="Arial"/>
                <w:sz w:val="16"/>
                <w:szCs w:val="16"/>
                <w:b w:val="1"/>
                <w:bCs w:val="1"/>
                <w:color w:val="auto"/>
              </w:rPr>
              <w:t>—</w:t>
            </w:r>
          </w:p>
        </w:tc>
        <w:tc>
          <w:tcPr>
            <w:tcW w:w="280" w:type="dxa"/>
            <w:vAlign w:val="bottom"/>
          </w:tcPr>
          <w:p>
            <w:pPr>
              <w:spacing w:after="0"/>
              <w:rPr>
                <w:sz w:val="21"/>
                <w:szCs w:val="21"/>
                <w:color w:val="auto"/>
              </w:rPr>
            </w:pPr>
          </w:p>
        </w:tc>
        <w:tc>
          <w:tcPr>
            <w:tcW w:w="1200" w:type="dxa"/>
            <w:vAlign w:val="bottom"/>
          </w:tcPr>
          <w:p>
            <w:pPr>
              <w:jc w:val="right"/>
              <w:ind w:right="80"/>
              <w:spacing w:after="0"/>
              <w:rPr>
                <w:sz w:val="20"/>
                <w:szCs w:val="20"/>
                <w:color w:val="auto"/>
              </w:rPr>
            </w:pPr>
            <w:r>
              <w:rPr>
                <w:rFonts w:ascii="Arial" w:cs="Arial" w:eastAsia="Arial" w:hAnsi="Arial"/>
                <w:sz w:val="16"/>
                <w:szCs w:val="16"/>
                <w:b w:val="1"/>
                <w:bCs w:val="1"/>
                <w:color w:val="auto"/>
              </w:rPr>
              <w:t>—</w:t>
            </w:r>
          </w:p>
        </w:tc>
        <w:tc>
          <w:tcPr>
            <w:tcW w:w="240" w:type="dxa"/>
            <w:vAlign w:val="bottom"/>
          </w:tcPr>
          <w:p>
            <w:pPr>
              <w:spacing w:after="0"/>
              <w:rPr>
                <w:sz w:val="21"/>
                <w:szCs w:val="21"/>
                <w:color w:val="auto"/>
              </w:rPr>
            </w:pPr>
          </w:p>
        </w:tc>
        <w:tc>
          <w:tcPr>
            <w:tcW w:w="1220" w:type="dxa"/>
            <w:vAlign w:val="bottom"/>
          </w:tcPr>
          <w:p>
            <w:pPr>
              <w:jc w:val="right"/>
              <w:ind w:right="60"/>
              <w:spacing w:after="0"/>
              <w:rPr>
                <w:sz w:val="20"/>
                <w:szCs w:val="20"/>
                <w:color w:val="auto"/>
              </w:rPr>
            </w:pPr>
            <w:r>
              <w:rPr>
                <w:rFonts w:ascii="Arial" w:cs="Arial" w:eastAsia="Arial" w:hAnsi="Arial"/>
                <w:sz w:val="16"/>
                <w:szCs w:val="16"/>
                <w:b w:val="1"/>
                <w:bCs w:val="1"/>
                <w:color w:val="auto"/>
              </w:rPr>
              <w:t>19,174</w:t>
            </w:r>
          </w:p>
        </w:tc>
        <w:tc>
          <w:tcPr>
            <w:tcW w:w="400" w:type="dxa"/>
            <w:vAlign w:val="bottom"/>
          </w:tcPr>
          <w:p>
            <w:pPr>
              <w:spacing w:after="0"/>
              <w:rPr>
                <w:sz w:val="21"/>
                <w:szCs w:val="21"/>
                <w:color w:val="auto"/>
              </w:rPr>
            </w:pPr>
          </w:p>
        </w:tc>
        <w:tc>
          <w:tcPr>
            <w:tcW w:w="1040" w:type="dxa"/>
            <w:vAlign w:val="bottom"/>
          </w:tcPr>
          <w:p>
            <w:pPr>
              <w:jc w:val="right"/>
              <w:ind w:right="20"/>
              <w:spacing w:after="0"/>
              <w:rPr>
                <w:sz w:val="20"/>
                <w:szCs w:val="20"/>
                <w:color w:val="auto"/>
              </w:rPr>
            </w:pPr>
            <w:r>
              <w:rPr>
                <w:rFonts w:ascii="Arial" w:cs="Arial" w:eastAsia="Arial" w:hAnsi="Arial"/>
                <w:sz w:val="16"/>
                <w:szCs w:val="16"/>
                <w:b w:val="1"/>
                <w:bCs w:val="1"/>
                <w:color w:val="auto"/>
              </w:rPr>
              <w:t>19,174</w:t>
            </w:r>
          </w:p>
        </w:tc>
      </w:tr>
      <w:tr>
        <w:trPr>
          <w:trHeight w:val="283"/>
        </w:trPr>
        <w:tc>
          <w:tcPr>
            <w:tcW w:w="5620" w:type="dxa"/>
            <w:vAlign w:val="bottom"/>
          </w:tcPr>
          <w:p>
            <w:pPr>
              <w:ind w:left="40"/>
              <w:spacing w:after="0"/>
              <w:rPr>
                <w:sz w:val="20"/>
                <w:szCs w:val="20"/>
                <w:color w:val="auto"/>
              </w:rPr>
            </w:pPr>
            <w:r>
              <w:rPr>
                <w:rFonts w:ascii="Arial" w:cs="Arial" w:eastAsia="Arial" w:hAnsi="Arial"/>
                <w:sz w:val="16"/>
                <w:szCs w:val="16"/>
                <w:b w:val="1"/>
                <w:bCs w:val="1"/>
                <w:color w:val="auto"/>
              </w:rPr>
              <w:t>Foreign currency exchange rate changes</w:t>
            </w:r>
          </w:p>
        </w:tc>
        <w:tc>
          <w:tcPr>
            <w:tcW w:w="22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tcPr>
          <w:p>
            <w:pPr>
              <w:jc w:val="right"/>
              <w:ind w:right="60"/>
              <w:spacing w:after="0"/>
              <w:rPr>
                <w:sz w:val="20"/>
                <w:szCs w:val="20"/>
                <w:color w:val="auto"/>
              </w:rPr>
            </w:pPr>
            <w:r>
              <w:rPr>
                <w:rFonts w:ascii="Arial" w:cs="Arial" w:eastAsia="Arial" w:hAnsi="Arial"/>
                <w:sz w:val="16"/>
                <w:szCs w:val="16"/>
                <w:b w:val="1"/>
                <w:bCs w:val="1"/>
                <w:color w:val="auto"/>
              </w:rPr>
              <w:t>133</w:t>
            </w:r>
          </w:p>
        </w:tc>
        <w:tc>
          <w:tcPr>
            <w:tcW w:w="28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tcPr>
          <w:p>
            <w:pPr>
              <w:jc w:val="right"/>
              <w:ind w:right="80"/>
              <w:spacing w:after="0"/>
              <w:rPr>
                <w:sz w:val="20"/>
                <w:szCs w:val="20"/>
                <w:color w:val="auto"/>
              </w:rPr>
            </w:pPr>
            <w:r>
              <w:rPr>
                <w:rFonts w:ascii="Arial" w:cs="Arial" w:eastAsia="Arial" w:hAnsi="Arial"/>
                <w:sz w:val="16"/>
                <w:szCs w:val="16"/>
                <w:b w:val="1"/>
                <w:bCs w:val="1"/>
                <w:color w:val="auto"/>
              </w:rPr>
              <w:t>—</w:t>
            </w:r>
          </w:p>
        </w:tc>
        <w:tc>
          <w:tcPr>
            <w:tcW w:w="24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tcPr>
          <w:p>
            <w:pPr>
              <w:jc w:val="right"/>
              <w:ind w:right="60"/>
              <w:spacing w:after="0"/>
              <w:rPr>
                <w:sz w:val="20"/>
                <w:szCs w:val="20"/>
                <w:color w:val="auto"/>
              </w:rPr>
            </w:pPr>
            <w:r>
              <w:rPr>
                <w:rFonts w:ascii="Arial" w:cs="Arial" w:eastAsia="Arial" w:hAnsi="Arial"/>
                <w:sz w:val="16"/>
                <w:szCs w:val="16"/>
                <w:b w:val="1"/>
                <w:bCs w:val="1"/>
                <w:color w:val="auto"/>
              </w:rPr>
              <w:t>41,502</w:t>
            </w:r>
          </w:p>
        </w:tc>
        <w:tc>
          <w:tcPr>
            <w:tcW w:w="40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b w:val="1"/>
                <w:bCs w:val="1"/>
                <w:color w:val="auto"/>
              </w:rPr>
              <w:t>41,635</w:t>
            </w:r>
          </w:p>
        </w:tc>
      </w:tr>
      <w:tr>
        <w:trPr>
          <w:trHeight w:val="251"/>
        </w:trPr>
        <w:tc>
          <w:tcPr>
            <w:tcW w:w="5620" w:type="dxa"/>
            <w:vAlign w:val="bottom"/>
          </w:tcPr>
          <w:p>
            <w:pPr>
              <w:ind w:left="40"/>
              <w:spacing w:after="0"/>
              <w:rPr>
                <w:sz w:val="20"/>
                <w:szCs w:val="20"/>
                <w:color w:val="auto"/>
              </w:rPr>
            </w:pPr>
            <w:r>
              <w:rPr>
                <w:rFonts w:ascii="Arial" w:cs="Arial" w:eastAsia="Arial" w:hAnsi="Arial"/>
                <w:sz w:val="16"/>
                <w:szCs w:val="16"/>
                <w:b w:val="1"/>
                <w:bCs w:val="1"/>
                <w:color w:val="auto"/>
              </w:rPr>
              <w:t>As of December 31, 2017</w:t>
            </w:r>
          </w:p>
        </w:tc>
        <w:tc>
          <w:tcPr>
            <w:tcW w:w="22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040" w:type="dxa"/>
            <w:vAlign w:val="bottom"/>
          </w:tcPr>
          <w:p>
            <w:pPr>
              <w:spacing w:after="0"/>
              <w:rPr>
                <w:sz w:val="21"/>
                <w:szCs w:val="21"/>
                <w:color w:val="auto"/>
              </w:rPr>
            </w:pPr>
          </w:p>
        </w:tc>
      </w:tr>
      <w:tr>
        <w:trPr>
          <w:trHeight w:val="270"/>
        </w:trPr>
        <w:tc>
          <w:tcPr>
            <w:tcW w:w="5620" w:type="dxa"/>
            <w:vAlign w:val="bottom"/>
          </w:tcPr>
          <w:p>
            <w:pPr>
              <w:ind w:left="280"/>
              <w:spacing w:after="0"/>
              <w:rPr>
                <w:sz w:val="20"/>
                <w:szCs w:val="20"/>
                <w:color w:val="auto"/>
              </w:rPr>
            </w:pPr>
            <w:r>
              <w:rPr>
                <w:rFonts w:ascii="Arial" w:cs="Arial" w:eastAsia="Arial" w:hAnsi="Arial"/>
                <w:sz w:val="16"/>
                <w:szCs w:val="16"/>
                <w:b w:val="1"/>
                <w:bCs w:val="1"/>
                <w:color w:val="auto"/>
              </w:rPr>
              <w:t>Goodwill</w:t>
            </w:r>
          </w:p>
        </w:tc>
        <w:tc>
          <w:tcPr>
            <w:tcW w:w="220" w:type="dxa"/>
            <w:vAlign w:val="bottom"/>
          </w:tcPr>
          <w:p>
            <w:pPr>
              <w:spacing w:after="0"/>
              <w:rPr>
                <w:sz w:val="23"/>
                <w:szCs w:val="23"/>
                <w:color w:val="auto"/>
              </w:rPr>
            </w:pPr>
          </w:p>
        </w:tc>
        <w:tc>
          <w:tcPr>
            <w:tcW w:w="1200" w:type="dxa"/>
            <w:vAlign w:val="bottom"/>
          </w:tcPr>
          <w:p>
            <w:pPr>
              <w:jc w:val="right"/>
              <w:ind w:right="60"/>
              <w:spacing w:after="0"/>
              <w:rPr>
                <w:sz w:val="20"/>
                <w:szCs w:val="20"/>
                <w:color w:val="auto"/>
              </w:rPr>
            </w:pPr>
            <w:r>
              <w:rPr>
                <w:rFonts w:ascii="Arial" w:cs="Arial" w:eastAsia="Arial" w:hAnsi="Arial"/>
                <w:sz w:val="16"/>
                <w:szCs w:val="16"/>
                <w:b w:val="1"/>
                <w:bCs w:val="1"/>
                <w:color w:val="auto"/>
              </w:rPr>
              <w:t>389,853</w:t>
            </w:r>
          </w:p>
        </w:tc>
        <w:tc>
          <w:tcPr>
            <w:tcW w:w="280" w:type="dxa"/>
            <w:vAlign w:val="bottom"/>
          </w:tcPr>
          <w:p>
            <w:pPr>
              <w:spacing w:after="0"/>
              <w:rPr>
                <w:sz w:val="23"/>
                <w:szCs w:val="23"/>
                <w:color w:val="auto"/>
              </w:rPr>
            </w:pPr>
          </w:p>
        </w:tc>
        <w:tc>
          <w:tcPr>
            <w:tcW w:w="1200" w:type="dxa"/>
            <w:vAlign w:val="bottom"/>
          </w:tcPr>
          <w:p>
            <w:pPr>
              <w:jc w:val="right"/>
              <w:ind w:right="80"/>
              <w:spacing w:after="0"/>
              <w:rPr>
                <w:sz w:val="20"/>
                <w:szCs w:val="20"/>
                <w:color w:val="auto"/>
              </w:rPr>
            </w:pPr>
            <w:r>
              <w:rPr>
                <w:rFonts w:ascii="Arial" w:cs="Arial" w:eastAsia="Arial" w:hAnsi="Arial"/>
                <w:sz w:val="16"/>
                <w:szCs w:val="16"/>
                <w:b w:val="1"/>
                <w:bCs w:val="1"/>
                <w:color w:val="auto"/>
              </w:rPr>
              <w:t>166,098</w:t>
            </w:r>
          </w:p>
        </w:tc>
        <w:tc>
          <w:tcPr>
            <w:tcW w:w="240" w:type="dxa"/>
            <w:vAlign w:val="bottom"/>
          </w:tcPr>
          <w:p>
            <w:pPr>
              <w:spacing w:after="0"/>
              <w:rPr>
                <w:sz w:val="23"/>
                <w:szCs w:val="23"/>
                <w:color w:val="auto"/>
              </w:rPr>
            </w:pPr>
          </w:p>
        </w:tc>
        <w:tc>
          <w:tcPr>
            <w:tcW w:w="1220" w:type="dxa"/>
            <w:vAlign w:val="bottom"/>
          </w:tcPr>
          <w:p>
            <w:pPr>
              <w:jc w:val="right"/>
              <w:ind w:right="60"/>
              <w:spacing w:after="0"/>
              <w:rPr>
                <w:sz w:val="20"/>
                <w:szCs w:val="20"/>
                <w:color w:val="auto"/>
              </w:rPr>
            </w:pPr>
            <w:r>
              <w:rPr>
                <w:rFonts w:ascii="Arial" w:cs="Arial" w:eastAsia="Arial" w:hAnsi="Arial"/>
                <w:sz w:val="16"/>
                <w:szCs w:val="16"/>
                <w:b w:val="1"/>
                <w:bCs w:val="1"/>
                <w:color w:val="auto"/>
              </w:rPr>
              <w:t>615,861</w:t>
            </w:r>
          </w:p>
        </w:tc>
        <w:tc>
          <w:tcPr>
            <w:tcW w:w="400" w:type="dxa"/>
            <w:vAlign w:val="bottom"/>
          </w:tcPr>
          <w:p>
            <w:pPr>
              <w:spacing w:after="0"/>
              <w:rPr>
                <w:sz w:val="23"/>
                <w:szCs w:val="23"/>
                <w:color w:val="auto"/>
              </w:rPr>
            </w:pPr>
          </w:p>
        </w:tc>
        <w:tc>
          <w:tcPr>
            <w:tcW w:w="1040" w:type="dxa"/>
            <w:vAlign w:val="bottom"/>
          </w:tcPr>
          <w:p>
            <w:pPr>
              <w:jc w:val="right"/>
              <w:ind w:right="20"/>
              <w:spacing w:after="0"/>
              <w:rPr>
                <w:sz w:val="20"/>
                <w:szCs w:val="20"/>
                <w:color w:val="auto"/>
              </w:rPr>
            </w:pPr>
            <w:r>
              <w:rPr>
                <w:rFonts w:ascii="Arial" w:cs="Arial" w:eastAsia="Arial" w:hAnsi="Arial"/>
                <w:sz w:val="16"/>
                <w:szCs w:val="16"/>
                <w:b w:val="1"/>
                <w:bCs w:val="1"/>
                <w:color w:val="auto"/>
              </w:rPr>
              <w:t>1,171,812</w:t>
            </w:r>
          </w:p>
        </w:tc>
      </w:tr>
      <w:tr>
        <w:trPr>
          <w:trHeight w:val="283"/>
        </w:trPr>
        <w:tc>
          <w:tcPr>
            <w:tcW w:w="5620" w:type="dxa"/>
            <w:vAlign w:val="bottom"/>
          </w:tcPr>
          <w:p>
            <w:pPr>
              <w:ind w:left="280"/>
              <w:spacing w:after="0"/>
              <w:rPr>
                <w:sz w:val="20"/>
                <w:szCs w:val="20"/>
                <w:color w:val="auto"/>
              </w:rPr>
            </w:pPr>
            <w:r>
              <w:rPr>
                <w:rFonts w:ascii="Arial" w:cs="Arial" w:eastAsia="Arial" w:hAnsi="Arial"/>
                <w:sz w:val="16"/>
                <w:szCs w:val="16"/>
                <w:b w:val="1"/>
                <w:bCs w:val="1"/>
                <w:color w:val="auto"/>
              </w:rPr>
              <w:t>Accumulated impairment losses</w:t>
            </w:r>
          </w:p>
        </w:tc>
        <w:tc>
          <w:tcPr>
            <w:tcW w:w="22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b w:val="1"/>
                <w:bCs w:val="1"/>
                <w:color w:val="auto"/>
              </w:rPr>
              <w:t>(248,591)</w:t>
            </w:r>
          </w:p>
        </w:tc>
        <w:tc>
          <w:tcPr>
            <w:tcW w:w="28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b w:val="1"/>
                <w:bCs w:val="1"/>
                <w:color w:val="auto"/>
              </w:rPr>
              <w:t>(102,259)</w:t>
            </w:r>
          </w:p>
        </w:tc>
        <w:tc>
          <w:tcPr>
            <w:tcW w:w="24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tcPr>
          <w:p>
            <w:pPr>
              <w:jc w:val="right"/>
              <w:ind w:right="60"/>
              <w:spacing w:after="0"/>
              <w:rPr>
                <w:sz w:val="20"/>
                <w:szCs w:val="20"/>
                <w:color w:val="auto"/>
              </w:rPr>
            </w:pPr>
            <w:r>
              <w:rPr>
                <w:rFonts w:ascii="Arial" w:cs="Arial" w:eastAsia="Arial" w:hAnsi="Arial"/>
                <w:sz w:val="16"/>
                <w:szCs w:val="16"/>
                <w:b w:val="1"/>
                <w:bCs w:val="1"/>
                <w:color w:val="auto"/>
              </w:rPr>
              <w:t>—</w:t>
            </w:r>
          </w:p>
        </w:tc>
        <w:tc>
          <w:tcPr>
            <w:tcW w:w="40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(350,850)</w:t>
            </w:r>
          </w:p>
        </w:tc>
      </w:tr>
      <w:tr>
        <w:trPr>
          <w:trHeight w:val="264"/>
        </w:trPr>
        <w:tc>
          <w:tcPr>
            <w:tcW w:w="5620" w:type="dxa"/>
            <w:vAlign w:val="bottom"/>
          </w:tcPr>
          <w:p>
            <w:pPr>
              <w:spacing w:after="0"/>
              <w:rPr>
                <w:sz w:val="22"/>
                <w:szCs w:val="22"/>
                <w:color w:val="auto"/>
              </w:rPr>
            </w:pPr>
          </w:p>
        </w:tc>
        <w:tc>
          <w:tcPr>
            <w:tcW w:w="22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b w:val="1"/>
                <w:bCs w:val="1"/>
                <w:color w:val="auto"/>
                <w:w w:val="89"/>
              </w:rPr>
              <w:t>$</w:t>
            </w:r>
          </w:p>
        </w:tc>
        <w:tc>
          <w:tcPr>
            <w:tcW w:w="1200" w:type="dxa"/>
            <w:vAlign w:val="bottom"/>
            <w:tcBorders>
              <w:bottom w:val="single" w:sz="8" w:color="auto"/>
            </w:tcBorders>
          </w:tcPr>
          <w:p>
            <w:pPr>
              <w:jc w:val="right"/>
              <w:ind w:right="60"/>
              <w:spacing w:after="0"/>
              <w:rPr>
                <w:sz w:val="20"/>
                <w:szCs w:val="20"/>
                <w:color w:val="auto"/>
              </w:rPr>
            </w:pPr>
            <w:r>
              <w:rPr>
                <w:rFonts w:ascii="Arial" w:cs="Arial" w:eastAsia="Arial" w:hAnsi="Arial"/>
                <w:sz w:val="16"/>
                <w:szCs w:val="16"/>
                <w:b w:val="1"/>
                <w:bCs w:val="1"/>
                <w:color w:val="auto"/>
              </w:rPr>
              <w:t>141,262</w:t>
            </w:r>
          </w:p>
        </w:tc>
        <w:tc>
          <w:tcPr>
            <w:tcW w:w="28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b w:val="1"/>
                <w:bCs w:val="1"/>
                <w:color w:val="auto"/>
              </w:rPr>
              <w:t>$</w:t>
            </w:r>
          </w:p>
        </w:tc>
        <w:tc>
          <w:tcPr>
            <w:tcW w:w="1200" w:type="dxa"/>
            <w:vAlign w:val="bottom"/>
            <w:tcBorders>
              <w:bottom w:val="single" w:sz="8" w:color="auto"/>
            </w:tcBorders>
          </w:tcPr>
          <w:p>
            <w:pPr>
              <w:jc w:val="right"/>
              <w:ind w:right="80"/>
              <w:spacing w:after="0"/>
              <w:rPr>
                <w:sz w:val="20"/>
                <w:szCs w:val="20"/>
                <w:color w:val="auto"/>
              </w:rPr>
            </w:pPr>
            <w:r>
              <w:rPr>
                <w:rFonts w:ascii="Arial" w:cs="Arial" w:eastAsia="Arial" w:hAnsi="Arial"/>
                <w:sz w:val="16"/>
                <w:szCs w:val="16"/>
                <w:b w:val="1"/>
                <w:bCs w:val="1"/>
                <w:color w:val="auto"/>
              </w:rPr>
              <w:t>63,839</w:t>
            </w:r>
          </w:p>
        </w:tc>
        <w:tc>
          <w:tcPr>
            <w:tcW w:w="24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w:t>
            </w:r>
          </w:p>
        </w:tc>
        <w:tc>
          <w:tcPr>
            <w:tcW w:w="1220" w:type="dxa"/>
            <w:vAlign w:val="bottom"/>
            <w:tcBorders>
              <w:bottom w:val="single" w:sz="8" w:color="auto"/>
            </w:tcBorders>
          </w:tcPr>
          <w:p>
            <w:pPr>
              <w:jc w:val="right"/>
              <w:ind w:right="60"/>
              <w:spacing w:after="0"/>
              <w:rPr>
                <w:sz w:val="20"/>
                <w:szCs w:val="20"/>
                <w:color w:val="auto"/>
              </w:rPr>
            </w:pPr>
            <w:r>
              <w:rPr>
                <w:rFonts w:ascii="Arial" w:cs="Arial" w:eastAsia="Arial" w:hAnsi="Arial"/>
                <w:sz w:val="16"/>
                <w:szCs w:val="16"/>
                <w:b w:val="1"/>
                <w:bCs w:val="1"/>
                <w:color w:val="auto"/>
              </w:rPr>
              <w:t>615,861</w:t>
            </w:r>
          </w:p>
        </w:tc>
        <w:tc>
          <w:tcPr>
            <w:tcW w:w="40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b w:val="1"/>
                <w:bCs w:val="1"/>
                <w:color w:val="auto"/>
              </w:rPr>
              <w:t>$</w:t>
            </w:r>
          </w:p>
        </w:tc>
        <w:tc>
          <w:tcPr>
            <w:tcW w:w="104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b w:val="1"/>
                <w:bCs w:val="1"/>
                <w:color w:val="auto"/>
              </w:rPr>
              <w:t>820,962</w:t>
            </w:r>
          </w:p>
        </w:tc>
      </w:tr>
      <w:tr>
        <w:trPr>
          <w:trHeight w:val="20"/>
        </w:trPr>
        <w:tc>
          <w:tcPr>
            <w:tcW w:w="56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bl>
    <w:p>
      <w:pPr>
        <w:spacing w:after="0" w:line="161" w:lineRule="exact"/>
        <w:rPr>
          <w:sz w:val="20"/>
          <w:szCs w:val="20"/>
          <w:color w:val="auto"/>
        </w:rPr>
      </w:pPr>
    </w:p>
    <w:p>
      <w:pPr>
        <w:spacing w:after="0"/>
        <w:rPr>
          <w:sz w:val="20"/>
          <w:szCs w:val="20"/>
          <w:color w:val="auto"/>
        </w:rPr>
      </w:pPr>
      <w:r>
        <w:rPr>
          <w:rFonts w:ascii="Arial" w:cs="Arial" w:eastAsia="Arial" w:hAnsi="Arial"/>
          <w:sz w:val="18"/>
          <w:szCs w:val="18"/>
          <w:color w:val="auto"/>
        </w:rPr>
        <w:t>Other intangible assets consist of the following:</w:t>
      </w: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290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2520" w:type="dxa"/>
            <w:vAlign w:val="bottom"/>
            <w:tcBorders>
              <w:bottom w:val="single" w:sz="8" w:color="auto"/>
            </w:tcBorders>
            <w:gridSpan w:val="4"/>
          </w:tcPr>
          <w:p>
            <w:pPr>
              <w:jc w:val="right"/>
              <w:spacing w:after="0"/>
              <w:rPr>
                <w:sz w:val="20"/>
                <w:szCs w:val="20"/>
                <w:color w:val="auto"/>
              </w:rPr>
            </w:pPr>
            <w:r>
              <w:rPr>
                <w:rFonts w:ascii="Arial" w:cs="Arial" w:eastAsia="Arial" w:hAnsi="Arial"/>
                <w:sz w:val="14"/>
                <w:szCs w:val="14"/>
                <w:b w:val="1"/>
                <w:bCs w:val="1"/>
                <w:color w:val="auto"/>
              </w:rPr>
              <w:t>As of December 31, 2017</w:t>
            </w:r>
          </w:p>
        </w:tc>
        <w:tc>
          <w:tcPr>
            <w:tcW w:w="960" w:type="dxa"/>
            <w:vAlign w:val="bottom"/>
            <w:tcBorders>
              <w:bottom w:val="single" w:sz="8" w:color="auto"/>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2360" w:type="dxa"/>
            <w:vAlign w:val="bottom"/>
            <w:tcBorders>
              <w:bottom w:val="single" w:sz="8" w:color="auto"/>
            </w:tcBorders>
            <w:gridSpan w:val="4"/>
          </w:tcPr>
          <w:p>
            <w:pPr>
              <w:jc w:val="right"/>
              <w:spacing w:after="0"/>
              <w:rPr>
                <w:sz w:val="20"/>
                <w:szCs w:val="20"/>
                <w:color w:val="auto"/>
              </w:rPr>
            </w:pPr>
            <w:r>
              <w:rPr>
                <w:rFonts w:ascii="Arial" w:cs="Arial" w:eastAsia="Arial" w:hAnsi="Arial"/>
                <w:sz w:val="14"/>
                <w:szCs w:val="14"/>
                <w:color w:val="auto"/>
              </w:rPr>
              <w:t>As of December 31, 2016</w:t>
            </w:r>
          </w:p>
        </w:tc>
        <w:tc>
          <w:tcPr>
            <w:tcW w:w="76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75"/>
        </w:trPr>
        <w:tc>
          <w:tcPr>
            <w:tcW w:w="2900" w:type="dxa"/>
            <w:vAlign w:val="bottom"/>
          </w:tcPr>
          <w:p>
            <w:pPr>
              <w:spacing w:after="0"/>
              <w:rPr>
                <w:sz w:val="15"/>
                <w:szCs w:val="15"/>
                <w:color w:val="auto"/>
              </w:rPr>
            </w:pPr>
          </w:p>
        </w:tc>
        <w:tc>
          <w:tcPr>
            <w:tcW w:w="1580" w:type="dxa"/>
            <w:vAlign w:val="bottom"/>
          </w:tcPr>
          <w:p>
            <w:pPr>
              <w:jc w:val="center"/>
              <w:ind w:right="62"/>
              <w:spacing w:after="0"/>
              <w:rPr>
                <w:sz w:val="20"/>
                <w:szCs w:val="20"/>
                <w:color w:val="auto"/>
              </w:rPr>
            </w:pPr>
            <w:r>
              <w:rPr>
                <w:rFonts w:ascii="Arial" w:cs="Arial" w:eastAsia="Arial" w:hAnsi="Arial"/>
                <w:sz w:val="14"/>
                <w:szCs w:val="14"/>
                <w:b w:val="1"/>
                <w:bCs w:val="1"/>
                <w:color w:val="auto"/>
              </w:rPr>
              <w:t>Useful</w:t>
            </w:r>
          </w:p>
        </w:tc>
        <w:tc>
          <w:tcPr>
            <w:tcW w:w="180" w:type="dxa"/>
            <w:vAlign w:val="bottom"/>
          </w:tcPr>
          <w:p>
            <w:pPr>
              <w:spacing w:after="0"/>
              <w:rPr>
                <w:sz w:val="15"/>
                <w:szCs w:val="15"/>
                <w:color w:val="auto"/>
              </w:rPr>
            </w:pPr>
          </w:p>
        </w:tc>
        <w:tc>
          <w:tcPr>
            <w:tcW w:w="880" w:type="dxa"/>
            <w:vAlign w:val="bottom"/>
          </w:tcPr>
          <w:p>
            <w:pPr>
              <w:jc w:val="center"/>
              <w:ind w:right="101"/>
              <w:spacing w:after="0"/>
              <w:rPr>
                <w:sz w:val="20"/>
                <w:szCs w:val="20"/>
                <w:color w:val="auto"/>
              </w:rPr>
            </w:pPr>
            <w:r>
              <w:rPr>
                <w:rFonts w:ascii="Arial" w:cs="Arial" w:eastAsia="Arial" w:hAnsi="Arial"/>
                <w:sz w:val="14"/>
                <w:szCs w:val="14"/>
                <w:b w:val="1"/>
                <w:bCs w:val="1"/>
                <w:color w:val="auto"/>
              </w:rPr>
              <w:t>Gross</w:t>
            </w:r>
          </w:p>
        </w:tc>
        <w:tc>
          <w:tcPr>
            <w:tcW w:w="24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60" w:type="dxa"/>
            <w:vAlign w:val="bottom"/>
          </w:tcPr>
          <w:p>
            <w:pPr>
              <w:jc w:val="center"/>
              <w:ind w:right="202"/>
              <w:spacing w:after="0"/>
              <w:rPr>
                <w:sz w:val="20"/>
                <w:szCs w:val="20"/>
                <w:color w:val="auto"/>
              </w:rPr>
            </w:pPr>
            <w:r>
              <w:rPr>
                <w:rFonts w:ascii="Arial" w:cs="Arial" w:eastAsia="Arial" w:hAnsi="Arial"/>
                <w:sz w:val="14"/>
                <w:szCs w:val="14"/>
                <w:b w:val="1"/>
                <w:bCs w:val="1"/>
                <w:color w:val="auto"/>
              </w:rPr>
              <w:t>Net</w:t>
            </w:r>
          </w:p>
        </w:tc>
        <w:tc>
          <w:tcPr>
            <w:tcW w:w="160" w:type="dxa"/>
            <w:vAlign w:val="bottom"/>
          </w:tcPr>
          <w:p>
            <w:pPr>
              <w:spacing w:after="0"/>
              <w:rPr>
                <w:sz w:val="15"/>
                <w:szCs w:val="15"/>
                <w:color w:val="auto"/>
              </w:rPr>
            </w:pPr>
          </w:p>
        </w:tc>
        <w:tc>
          <w:tcPr>
            <w:tcW w:w="860" w:type="dxa"/>
            <w:vAlign w:val="bottom"/>
          </w:tcPr>
          <w:p>
            <w:pPr>
              <w:jc w:val="center"/>
              <w:ind w:right="121"/>
              <w:spacing w:after="0"/>
              <w:rPr>
                <w:sz w:val="20"/>
                <w:szCs w:val="20"/>
                <w:color w:val="auto"/>
              </w:rPr>
            </w:pPr>
            <w:r>
              <w:rPr>
                <w:rFonts w:ascii="Arial" w:cs="Arial" w:eastAsia="Arial" w:hAnsi="Arial"/>
                <w:sz w:val="14"/>
                <w:szCs w:val="14"/>
                <w:color w:val="auto"/>
              </w:rPr>
              <w:t>Gross</w:t>
            </w:r>
          </w:p>
        </w:tc>
        <w:tc>
          <w:tcPr>
            <w:tcW w:w="24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760" w:type="dxa"/>
            <w:vAlign w:val="bottom"/>
          </w:tcPr>
          <w:p>
            <w:pPr>
              <w:jc w:val="center"/>
              <w:ind w:right="102"/>
              <w:spacing w:after="0"/>
              <w:rPr>
                <w:sz w:val="20"/>
                <w:szCs w:val="20"/>
                <w:color w:val="auto"/>
              </w:rPr>
            </w:pPr>
            <w:r>
              <w:rPr>
                <w:rFonts w:ascii="Arial" w:cs="Arial" w:eastAsia="Arial" w:hAnsi="Arial"/>
                <w:sz w:val="14"/>
                <w:szCs w:val="14"/>
                <w:color w:val="auto"/>
              </w:rPr>
              <w:t>Net</w:t>
            </w:r>
          </w:p>
        </w:tc>
        <w:tc>
          <w:tcPr>
            <w:tcW w:w="0" w:type="dxa"/>
            <w:vAlign w:val="bottom"/>
          </w:tcPr>
          <w:p>
            <w:pPr>
              <w:spacing w:after="0"/>
              <w:rPr>
                <w:sz w:val="1"/>
                <w:szCs w:val="1"/>
                <w:color w:val="auto"/>
              </w:rPr>
            </w:pPr>
          </w:p>
        </w:tc>
      </w:tr>
      <w:tr>
        <w:trPr>
          <w:trHeight w:val="162"/>
        </w:trPr>
        <w:tc>
          <w:tcPr>
            <w:tcW w:w="2900" w:type="dxa"/>
            <w:vAlign w:val="bottom"/>
          </w:tcPr>
          <w:p>
            <w:pPr>
              <w:spacing w:after="0"/>
              <w:rPr>
                <w:sz w:val="14"/>
                <w:szCs w:val="14"/>
                <w:color w:val="auto"/>
              </w:rPr>
            </w:pPr>
          </w:p>
        </w:tc>
        <w:tc>
          <w:tcPr>
            <w:tcW w:w="1580" w:type="dxa"/>
            <w:vAlign w:val="bottom"/>
          </w:tcPr>
          <w:p>
            <w:pPr>
              <w:jc w:val="center"/>
              <w:ind w:right="82"/>
              <w:spacing w:after="0"/>
              <w:rPr>
                <w:sz w:val="20"/>
                <w:szCs w:val="20"/>
                <w:color w:val="auto"/>
              </w:rPr>
            </w:pPr>
            <w:r>
              <w:rPr>
                <w:rFonts w:ascii="Arial" w:cs="Arial" w:eastAsia="Arial" w:hAnsi="Arial"/>
                <w:sz w:val="14"/>
                <w:szCs w:val="14"/>
                <w:b w:val="1"/>
                <w:bCs w:val="1"/>
                <w:color w:val="auto"/>
              </w:rPr>
              <w:t>Life</w:t>
            </w:r>
          </w:p>
        </w:tc>
        <w:tc>
          <w:tcPr>
            <w:tcW w:w="180" w:type="dxa"/>
            <w:vAlign w:val="bottom"/>
          </w:tcPr>
          <w:p>
            <w:pPr>
              <w:spacing w:after="0"/>
              <w:rPr>
                <w:sz w:val="14"/>
                <w:szCs w:val="14"/>
                <w:color w:val="auto"/>
              </w:rPr>
            </w:pPr>
          </w:p>
        </w:tc>
        <w:tc>
          <w:tcPr>
            <w:tcW w:w="880" w:type="dxa"/>
            <w:vAlign w:val="bottom"/>
          </w:tcPr>
          <w:p>
            <w:pPr>
              <w:jc w:val="center"/>
              <w:ind w:right="121"/>
              <w:spacing w:after="0"/>
              <w:rPr>
                <w:sz w:val="20"/>
                <w:szCs w:val="20"/>
                <w:color w:val="auto"/>
              </w:rPr>
            </w:pPr>
            <w:r>
              <w:rPr>
                <w:rFonts w:ascii="Arial" w:cs="Arial" w:eastAsia="Arial" w:hAnsi="Arial"/>
                <w:sz w:val="14"/>
                <w:szCs w:val="14"/>
                <w:b w:val="1"/>
                <w:bCs w:val="1"/>
                <w:color w:val="auto"/>
              </w:rPr>
              <w:t>Carrying</w:t>
            </w:r>
          </w:p>
        </w:tc>
        <w:tc>
          <w:tcPr>
            <w:tcW w:w="240" w:type="dxa"/>
            <w:vAlign w:val="bottom"/>
          </w:tcPr>
          <w:p>
            <w:pPr>
              <w:spacing w:after="0"/>
              <w:rPr>
                <w:sz w:val="14"/>
                <w:szCs w:val="14"/>
                <w:color w:val="auto"/>
              </w:rPr>
            </w:pPr>
          </w:p>
        </w:tc>
        <w:tc>
          <w:tcPr>
            <w:tcW w:w="1120" w:type="dxa"/>
            <w:vAlign w:val="bottom"/>
          </w:tcPr>
          <w:p>
            <w:pPr>
              <w:jc w:val="right"/>
              <w:ind w:right="101"/>
              <w:spacing w:after="0"/>
              <w:rPr>
                <w:sz w:val="20"/>
                <w:szCs w:val="20"/>
                <w:color w:val="auto"/>
              </w:rPr>
            </w:pPr>
            <w:r>
              <w:rPr>
                <w:rFonts w:ascii="Arial" w:cs="Arial" w:eastAsia="Arial" w:hAnsi="Arial"/>
                <w:sz w:val="14"/>
                <w:szCs w:val="14"/>
                <w:b w:val="1"/>
                <w:bCs w:val="1"/>
                <w:color w:val="auto"/>
              </w:rPr>
              <w:t>Accumulated</w:t>
            </w:r>
          </w:p>
        </w:tc>
        <w:tc>
          <w:tcPr>
            <w:tcW w:w="280" w:type="dxa"/>
            <w:vAlign w:val="bottom"/>
          </w:tcPr>
          <w:p>
            <w:pPr>
              <w:spacing w:after="0"/>
              <w:rPr>
                <w:sz w:val="14"/>
                <w:szCs w:val="14"/>
                <w:color w:val="auto"/>
              </w:rPr>
            </w:pPr>
          </w:p>
        </w:tc>
        <w:tc>
          <w:tcPr>
            <w:tcW w:w="960" w:type="dxa"/>
            <w:vAlign w:val="bottom"/>
          </w:tcPr>
          <w:p>
            <w:pPr>
              <w:jc w:val="center"/>
              <w:ind w:right="202"/>
              <w:spacing w:after="0"/>
              <w:rPr>
                <w:sz w:val="20"/>
                <w:szCs w:val="20"/>
                <w:color w:val="auto"/>
              </w:rPr>
            </w:pPr>
            <w:r>
              <w:rPr>
                <w:rFonts w:ascii="Arial" w:cs="Arial" w:eastAsia="Arial" w:hAnsi="Arial"/>
                <w:sz w:val="14"/>
                <w:szCs w:val="14"/>
                <w:b w:val="1"/>
                <w:bCs w:val="1"/>
                <w:color w:val="auto"/>
              </w:rPr>
              <w:t>Carrying</w:t>
            </w:r>
          </w:p>
        </w:tc>
        <w:tc>
          <w:tcPr>
            <w:tcW w:w="160" w:type="dxa"/>
            <w:vAlign w:val="bottom"/>
          </w:tcPr>
          <w:p>
            <w:pPr>
              <w:spacing w:after="0"/>
              <w:rPr>
                <w:sz w:val="14"/>
                <w:szCs w:val="14"/>
                <w:color w:val="auto"/>
              </w:rPr>
            </w:pPr>
          </w:p>
        </w:tc>
        <w:tc>
          <w:tcPr>
            <w:tcW w:w="860" w:type="dxa"/>
            <w:vAlign w:val="bottom"/>
          </w:tcPr>
          <w:p>
            <w:pPr>
              <w:jc w:val="center"/>
              <w:ind w:right="121"/>
              <w:spacing w:after="0"/>
              <w:rPr>
                <w:sz w:val="20"/>
                <w:szCs w:val="20"/>
                <w:color w:val="auto"/>
              </w:rPr>
            </w:pPr>
            <w:r>
              <w:rPr>
                <w:rFonts w:ascii="Arial" w:cs="Arial" w:eastAsia="Arial" w:hAnsi="Arial"/>
                <w:sz w:val="14"/>
                <w:szCs w:val="14"/>
                <w:color w:val="auto"/>
              </w:rPr>
              <w:t>Carrying</w:t>
            </w:r>
          </w:p>
        </w:tc>
        <w:tc>
          <w:tcPr>
            <w:tcW w:w="240" w:type="dxa"/>
            <w:vAlign w:val="bottom"/>
          </w:tcPr>
          <w:p>
            <w:pPr>
              <w:spacing w:after="0"/>
              <w:rPr>
                <w:sz w:val="14"/>
                <w:szCs w:val="14"/>
                <w:color w:val="auto"/>
              </w:rPr>
            </w:pPr>
          </w:p>
        </w:tc>
        <w:tc>
          <w:tcPr>
            <w:tcW w:w="1020" w:type="dxa"/>
            <w:vAlign w:val="bottom"/>
          </w:tcPr>
          <w:p>
            <w:pPr>
              <w:jc w:val="right"/>
              <w:ind w:right="101"/>
              <w:spacing w:after="0"/>
              <w:rPr>
                <w:sz w:val="20"/>
                <w:szCs w:val="20"/>
                <w:color w:val="auto"/>
              </w:rPr>
            </w:pPr>
            <w:r>
              <w:rPr>
                <w:rFonts w:ascii="Arial" w:cs="Arial" w:eastAsia="Arial" w:hAnsi="Arial"/>
                <w:sz w:val="14"/>
                <w:szCs w:val="14"/>
                <w:color w:val="auto"/>
              </w:rPr>
              <w:t>Accumulated</w:t>
            </w:r>
          </w:p>
        </w:tc>
        <w:tc>
          <w:tcPr>
            <w:tcW w:w="240" w:type="dxa"/>
            <w:vAlign w:val="bottom"/>
          </w:tcPr>
          <w:p>
            <w:pPr>
              <w:spacing w:after="0"/>
              <w:rPr>
                <w:sz w:val="14"/>
                <w:szCs w:val="14"/>
                <w:color w:val="auto"/>
              </w:rPr>
            </w:pPr>
          </w:p>
        </w:tc>
        <w:tc>
          <w:tcPr>
            <w:tcW w:w="760" w:type="dxa"/>
            <w:vAlign w:val="bottom"/>
          </w:tcPr>
          <w:p>
            <w:pPr>
              <w:jc w:val="center"/>
              <w:ind w:right="102"/>
              <w:spacing w:after="0"/>
              <w:rPr>
                <w:sz w:val="20"/>
                <w:szCs w:val="20"/>
                <w:color w:val="auto"/>
              </w:rPr>
            </w:pPr>
            <w:r>
              <w:rPr>
                <w:rFonts w:ascii="Arial" w:cs="Arial" w:eastAsia="Arial" w:hAnsi="Arial"/>
                <w:sz w:val="14"/>
                <w:szCs w:val="14"/>
                <w:color w:val="auto"/>
              </w:rPr>
              <w:t>Carrying</w:t>
            </w:r>
          </w:p>
        </w:tc>
        <w:tc>
          <w:tcPr>
            <w:tcW w:w="0" w:type="dxa"/>
            <w:vAlign w:val="bottom"/>
          </w:tcPr>
          <w:p>
            <w:pPr>
              <w:spacing w:after="0"/>
              <w:rPr>
                <w:sz w:val="1"/>
                <w:szCs w:val="1"/>
                <w:color w:val="auto"/>
              </w:rPr>
            </w:pPr>
          </w:p>
        </w:tc>
      </w:tr>
      <w:tr>
        <w:trPr>
          <w:trHeight w:val="196"/>
        </w:trPr>
        <w:tc>
          <w:tcPr>
            <w:tcW w:w="290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(in thousands)</w:t>
            </w:r>
          </w:p>
        </w:tc>
        <w:tc>
          <w:tcPr>
            <w:tcW w:w="1580" w:type="dxa"/>
            <w:vAlign w:val="bottom"/>
            <w:tcBorders>
              <w:bottom w:val="single" w:sz="8" w:color="auto"/>
            </w:tcBorders>
          </w:tcPr>
          <w:p>
            <w:pPr>
              <w:jc w:val="center"/>
              <w:ind w:right="62"/>
              <w:spacing w:after="0"/>
              <w:rPr>
                <w:sz w:val="20"/>
                <w:szCs w:val="20"/>
                <w:color w:val="auto"/>
              </w:rPr>
            </w:pPr>
            <w:r>
              <w:rPr>
                <w:rFonts w:ascii="Arial" w:cs="Arial" w:eastAsia="Arial" w:hAnsi="Arial"/>
                <w:sz w:val="14"/>
                <w:szCs w:val="14"/>
                <w:b w:val="1"/>
                <w:bCs w:val="1"/>
                <w:color w:val="auto"/>
              </w:rPr>
              <w:t>Range</w:t>
            </w:r>
          </w:p>
        </w:tc>
        <w:tc>
          <w:tcPr>
            <w:tcW w:w="18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center"/>
              <w:ind w:right="101"/>
              <w:spacing w:after="0"/>
              <w:rPr>
                <w:sz w:val="20"/>
                <w:szCs w:val="20"/>
                <w:color w:val="auto"/>
              </w:rPr>
            </w:pPr>
            <w:r>
              <w:rPr>
                <w:rFonts w:ascii="Arial" w:cs="Arial" w:eastAsia="Arial" w:hAnsi="Arial"/>
                <w:sz w:val="14"/>
                <w:szCs w:val="14"/>
                <w:b w:val="1"/>
                <w:bCs w:val="1"/>
                <w:color w:val="auto"/>
              </w:rPr>
              <w:t>Amount</w:t>
            </w:r>
          </w:p>
        </w:tc>
        <w:tc>
          <w:tcPr>
            <w:tcW w:w="24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ind w:right="121"/>
              <w:spacing w:after="0"/>
              <w:rPr>
                <w:sz w:val="20"/>
                <w:szCs w:val="20"/>
                <w:color w:val="auto"/>
              </w:rPr>
            </w:pPr>
            <w:r>
              <w:rPr>
                <w:rFonts w:ascii="Arial" w:cs="Arial" w:eastAsia="Arial" w:hAnsi="Arial"/>
                <w:sz w:val="14"/>
                <w:szCs w:val="14"/>
                <w:b w:val="1"/>
                <w:bCs w:val="1"/>
                <w:color w:val="auto"/>
              </w:rPr>
              <w:t>Amortization</w:t>
            </w:r>
          </w:p>
        </w:tc>
        <w:tc>
          <w:tcPr>
            <w:tcW w:w="28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center"/>
              <w:ind w:right="222"/>
              <w:spacing w:after="0"/>
              <w:rPr>
                <w:sz w:val="20"/>
                <w:szCs w:val="20"/>
                <w:color w:val="auto"/>
              </w:rPr>
            </w:pPr>
            <w:r>
              <w:rPr>
                <w:rFonts w:ascii="Arial" w:cs="Arial" w:eastAsia="Arial" w:hAnsi="Arial"/>
                <w:sz w:val="14"/>
                <w:szCs w:val="14"/>
                <w:b w:val="1"/>
                <w:bCs w:val="1"/>
                <w:color w:val="auto"/>
              </w:rPr>
              <w:t>Amount</w:t>
            </w:r>
          </w:p>
        </w:tc>
        <w:tc>
          <w:tcPr>
            <w:tcW w:w="16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center"/>
              <w:ind w:right="81"/>
              <w:spacing w:after="0"/>
              <w:rPr>
                <w:sz w:val="20"/>
                <w:szCs w:val="20"/>
                <w:color w:val="auto"/>
              </w:rPr>
            </w:pPr>
            <w:r>
              <w:rPr>
                <w:rFonts w:ascii="Arial" w:cs="Arial" w:eastAsia="Arial" w:hAnsi="Arial"/>
                <w:sz w:val="14"/>
                <w:szCs w:val="14"/>
                <w:color w:val="auto"/>
              </w:rPr>
              <w:t>Amount</w:t>
            </w:r>
          </w:p>
        </w:tc>
        <w:tc>
          <w:tcPr>
            <w:tcW w:w="24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ind w:right="101"/>
              <w:spacing w:after="0"/>
              <w:rPr>
                <w:sz w:val="20"/>
                <w:szCs w:val="20"/>
                <w:color w:val="auto"/>
              </w:rPr>
            </w:pPr>
            <w:r>
              <w:rPr>
                <w:rFonts w:ascii="Arial" w:cs="Arial" w:eastAsia="Arial" w:hAnsi="Arial"/>
                <w:sz w:val="14"/>
                <w:szCs w:val="14"/>
                <w:color w:val="auto"/>
              </w:rPr>
              <w:t>Amortization</w:t>
            </w:r>
          </w:p>
        </w:tc>
        <w:tc>
          <w:tcPr>
            <w:tcW w:w="24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jc w:val="center"/>
              <w:ind w:right="62"/>
              <w:spacing w:after="0"/>
              <w:rPr>
                <w:sz w:val="20"/>
                <w:szCs w:val="20"/>
                <w:color w:val="auto"/>
              </w:rPr>
            </w:pPr>
            <w:r>
              <w:rPr>
                <w:rFonts w:ascii="Arial" w:cs="Arial" w:eastAsia="Arial" w:hAnsi="Arial"/>
                <w:sz w:val="14"/>
                <w:szCs w:val="14"/>
                <w:color w:val="auto"/>
              </w:rPr>
              <w:t>Amount</w:t>
            </w:r>
          </w:p>
        </w:tc>
        <w:tc>
          <w:tcPr>
            <w:tcW w:w="0" w:type="dxa"/>
            <w:vAlign w:val="bottom"/>
          </w:tcPr>
          <w:p>
            <w:pPr>
              <w:spacing w:after="0"/>
              <w:rPr>
                <w:sz w:val="1"/>
                <w:szCs w:val="1"/>
                <w:color w:val="auto"/>
              </w:rPr>
            </w:pPr>
          </w:p>
        </w:tc>
      </w:tr>
      <w:tr>
        <w:trPr>
          <w:trHeight w:val="250"/>
        </w:trPr>
        <w:tc>
          <w:tcPr>
            <w:tcW w:w="2900" w:type="dxa"/>
            <w:vAlign w:val="bottom"/>
          </w:tcPr>
          <w:p>
            <w:pPr>
              <w:ind w:left="40"/>
              <w:spacing w:after="0"/>
              <w:rPr>
                <w:sz w:val="20"/>
                <w:szCs w:val="20"/>
                <w:color w:val="auto"/>
              </w:rPr>
            </w:pPr>
            <w:r>
              <w:rPr>
                <w:rFonts w:ascii="Arial" w:cs="Arial" w:eastAsia="Arial" w:hAnsi="Arial"/>
                <w:sz w:val="16"/>
                <w:szCs w:val="16"/>
                <w:b w:val="1"/>
                <w:bCs w:val="1"/>
                <w:color w:val="auto"/>
              </w:rPr>
              <w:t>Amortized Intangible Assets</w:t>
            </w:r>
          </w:p>
        </w:tc>
        <w:tc>
          <w:tcPr>
            <w:tcW w:w="15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0"/>
        </w:trPr>
        <w:tc>
          <w:tcPr>
            <w:tcW w:w="2900" w:type="dxa"/>
            <w:vAlign w:val="bottom"/>
          </w:tcPr>
          <w:p>
            <w:pPr>
              <w:ind w:left="180"/>
              <w:spacing w:after="0"/>
              <w:rPr>
                <w:sz w:val="20"/>
                <w:szCs w:val="20"/>
                <w:color w:val="auto"/>
              </w:rPr>
            </w:pPr>
            <w:r>
              <w:rPr>
                <w:rFonts w:ascii="Arial" w:cs="Arial" w:eastAsia="Arial" w:hAnsi="Arial"/>
                <w:sz w:val="16"/>
                <w:szCs w:val="16"/>
                <w:color w:val="auto"/>
              </w:rPr>
              <w:t>Student and customer relationships</w:t>
            </w:r>
          </w:p>
        </w:tc>
        <w:tc>
          <w:tcPr>
            <w:tcW w:w="1580" w:type="dxa"/>
            <w:vAlign w:val="bottom"/>
          </w:tcPr>
          <w:p>
            <w:pPr>
              <w:jc w:val="center"/>
              <w:ind w:right="82"/>
              <w:spacing w:after="0"/>
              <w:rPr>
                <w:sz w:val="20"/>
                <w:szCs w:val="20"/>
                <w:color w:val="auto"/>
              </w:rPr>
            </w:pPr>
            <w:r>
              <w:rPr>
                <w:rFonts w:ascii="Arial" w:cs="Arial" w:eastAsia="Arial" w:hAnsi="Arial"/>
                <w:sz w:val="16"/>
                <w:szCs w:val="16"/>
                <w:b w:val="1"/>
                <w:bCs w:val="1"/>
                <w:color w:val="auto"/>
              </w:rPr>
              <w:t>1–10 years (1)</w:t>
            </w:r>
          </w:p>
        </w:tc>
        <w:tc>
          <w:tcPr>
            <w:tcW w:w="180" w:type="dxa"/>
            <w:vAlign w:val="bottom"/>
          </w:tcPr>
          <w:p>
            <w:pPr>
              <w:jc w:val="right"/>
              <w:spacing w:after="0"/>
              <w:rPr>
                <w:sz w:val="20"/>
                <w:szCs w:val="20"/>
                <w:color w:val="auto"/>
              </w:rPr>
            </w:pPr>
            <w:r>
              <w:rPr>
                <w:rFonts w:ascii="Arial" w:cs="Arial" w:eastAsia="Arial" w:hAnsi="Arial"/>
                <w:sz w:val="16"/>
                <w:szCs w:val="16"/>
                <w:b w:val="1"/>
                <w:bCs w:val="1"/>
                <w:color w:val="auto"/>
              </w:rPr>
              <w:t>$</w:t>
            </w:r>
          </w:p>
        </w:tc>
        <w:tc>
          <w:tcPr>
            <w:tcW w:w="880" w:type="dxa"/>
            <w:vAlign w:val="bottom"/>
          </w:tcPr>
          <w:p>
            <w:pPr>
              <w:jc w:val="right"/>
              <w:ind w:right="41"/>
              <w:spacing w:after="0"/>
              <w:rPr>
                <w:sz w:val="20"/>
                <w:szCs w:val="20"/>
                <w:color w:val="auto"/>
              </w:rPr>
            </w:pPr>
            <w:r>
              <w:rPr>
                <w:rFonts w:ascii="Arial" w:cs="Arial" w:eastAsia="Arial" w:hAnsi="Arial"/>
                <w:sz w:val="16"/>
                <w:szCs w:val="16"/>
                <w:b w:val="1"/>
                <w:bCs w:val="1"/>
                <w:color w:val="auto"/>
              </w:rPr>
              <w:t>260,464</w:t>
            </w:r>
          </w:p>
        </w:tc>
        <w:tc>
          <w:tcPr>
            <w:tcW w:w="240" w:type="dxa"/>
            <w:vAlign w:val="bottom"/>
          </w:tcPr>
          <w:p>
            <w:pPr>
              <w:jc w:val="right"/>
              <w:spacing w:after="0"/>
              <w:rPr>
                <w:sz w:val="20"/>
                <w:szCs w:val="20"/>
                <w:color w:val="auto"/>
              </w:rPr>
            </w:pPr>
            <w:r>
              <w:rPr>
                <w:rFonts w:ascii="Arial" w:cs="Arial" w:eastAsia="Arial" w:hAnsi="Arial"/>
                <w:sz w:val="16"/>
                <w:szCs w:val="16"/>
                <w:b w:val="1"/>
                <w:bCs w:val="1"/>
                <w:color w:val="auto"/>
              </w:rPr>
              <w:t>$</w:t>
            </w:r>
          </w:p>
        </w:tc>
        <w:tc>
          <w:tcPr>
            <w:tcW w:w="1120" w:type="dxa"/>
            <w:vAlign w:val="bottom"/>
          </w:tcPr>
          <w:p>
            <w:pPr>
              <w:jc w:val="right"/>
              <w:ind w:right="41"/>
              <w:spacing w:after="0"/>
              <w:rPr>
                <w:sz w:val="20"/>
                <w:szCs w:val="20"/>
                <w:color w:val="auto"/>
              </w:rPr>
            </w:pPr>
            <w:r>
              <w:rPr>
                <w:rFonts w:ascii="Arial" w:cs="Arial" w:eastAsia="Arial" w:hAnsi="Arial"/>
                <w:sz w:val="16"/>
                <w:szCs w:val="16"/>
                <w:b w:val="1"/>
                <w:bCs w:val="1"/>
                <w:color w:val="auto"/>
              </w:rPr>
              <w:t>83,690</w:t>
            </w:r>
          </w:p>
        </w:tc>
        <w:tc>
          <w:tcPr>
            <w:tcW w:w="280" w:type="dxa"/>
            <w:vAlign w:val="bottom"/>
          </w:tcPr>
          <w:p>
            <w:pPr>
              <w:jc w:val="right"/>
              <w:spacing w:after="0"/>
              <w:rPr>
                <w:sz w:val="20"/>
                <w:szCs w:val="20"/>
                <w:color w:val="auto"/>
              </w:rPr>
            </w:pPr>
            <w:r>
              <w:rPr>
                <w:rFonts w:ascii="Arial" w:cs="Arial" w:eastAsia="Arial" w:hAnsi="Arial"/>
                <w:sz w:val="16"/>
                <w:szCs w:val="16"/>
                <w:b w:val="1"/>
                <w:bCs w:val="1"/>
                <w:color w:val="auto"/>
              </w:rPr>
              <w:t>$</w:t>
            </w:r>
          </w:p>
        </w:tc>
        <w:tc>
          <w:tcPr>
            <w:tcW w:w="960" w:type="dxa"/>
            <w:vAlign w:val="bottom"/>
          </w:tcPr>
          <w:p>
            <w:pPr>
              <w:jc w:val="right"/>
              <w:ind w:right="142"/>
              <w:spacing w:after="0"/>
              <w:rPr>
                <w:sz w:val="20"/>
                <w:szCs w:val="20"/>
                <w:color w:val="auto"/>
              </w:rPr>
            </w:pPr>
            <w:r>
              <w:rPr>
                <w:rFonts w:ascii="Arial" w:cs="Arial" w:eastAsia="Arial" w:hAnsi="Arial"/>
                <w:sz w:val="16"/>
                <w:szCs w:val="16"/>
                <w:b w:val="1"/>
                <w:bCs w:val="1"/>
                <w:color w:val="auto"/>
              </w:rPr>
              <w:t>176,774</w:t>
            </w:r>
          </w:p>
        </w:tc>
        <w:tc>
          <w:tcPr>
            <w:tcW w:w="160" w:type="dxa"/>
            <w:vAlign w:val="bottom"/>
          </w:tcPr>
          <w:p>
            <w:pPr>
              <w:jc w:val="right"/>
              <w:spacing w:after="0"/>
              <w:rPr>
                <w:sz w:val="20"/>
                <w:szCs w:val="20"/>
                <w:color w:val="auto"/>
              </w:rPr>
            </w:pPr>
            <w:r>
              <w:rPr>
                <w:rFonts w:ascii="Arial" w:cs="Arial" w:eastAsia="Arial" w:hAnsi="Arial"/>
                <w:sz w:val="16"/>
                <w:szCs w:val="16"/>
                <w:color w:val="auto"/>
              </w:rPr>
              <w:t>$</w:t>
            </w:r>
          </w:p>
        </w:tc>
        <w:tc>
          <w:tcPr>
            <w:tcW w:w="860" w:type="dxa"/>
            <w:vAlign w:val="bottom"/>
          </w:tcPr>
          <w:p>
            <w:pPr>
              <w:jc w:val="right"/>
              <w:ind w:right="21"/>
              <w:spacing w:after="0"/>
              <w:rPr>
                <w:sz w:val="20"/>
                <w:szCs w:val="20"/>
                <w:color w:val="auto"/>
              </w:rPr>
            </w:pPr>
            <w:r>
              <w:rPr>
                <w:rFonts w:ascii="Arial" w:cs="Arial" w:eastAsia="Arial" w:hAnsi="Arial"/>
                <w:sz w:val="16"/>
                <w:szCs w:val="16"/>
                <w:color w:val="auto"/>
              </w:rPr>
              <w:t>129,616</w:t>
            </w:r>
          </w:p>
        </w:tc>
        <w:tc>
          <w:tcPr>
            <w:tcW w:w="240" w:type="dxa"/>
            <w:vAlign w:val="bottom"/>
          </w:tcPr>
          <w:p>
            <w:pPr>
              <w:jc w:val="right"/>
              <w:spacing w:after="0"/>
              <w:rPr>
                <w:sz w:val="20"/>
                <w:szCs w:val="20"/>
                <w:color w:val="auto"/>
              </w:rPr>
            </w:pPr>
            <w:r>
              <w:rPr>
                <w:rFonts w:ascii="Arial" w:cs="Arial" w:eastAsia="Arial" w:hAnsi="Arial"/>
                <w:sz w:val="16"/>
                <w:szCs w:val="16"/>
                <w:color w:val="auto"/>
              </w:rPr>
              <w:t>$</w:t>
            </w:r>
          </w:p>
        </w:tc>
        <w:tc>
          <w:tcPr>
            <w:tcW w:w="1020" w:type="dxa"/>
            <w:vAlign w:val="bottom"/>
          </w:tcPr>
          <w:p>
            <w:pPr>
              <w:jc w:val="right"/>
              <w:ind w:right="41"/>
              <w:spacing w:after="0"/>
              <w:rPr>
                <w:sz w:val="20"/>
                <w:szCs w:val="20"/>
                <w:color w:val="auto"/>
              </w:rPr>
            </w:pPr>
            <w:r>
              <w:rPr>
                <w:rFonts w:ascii="Arial" w:cs="Arial" w:eastAsia="Arial" w:hAnsi="Arial"/>
                <w:sz w:val="16"/>
                <w:szCs w:val="16"/>
                <w:color w:val="auto"/>
              </w:rPr>
              <w:t>55,863</w:t>
            </w:r>
          </w:p>
        </w:tc>
        <w:tc>
          <w:tcPr>
            <w:tcW w:w="240" w:type="dxa"/>
            <w:vAlign w:val="bottom"/>
          </w:tcPr>
          <w:p>
            <w:pPr>
              <w:jc w:val="right"/>
              <w:spacing w:after="0"/>
              <w:rPr>
                <w:sz w:val="20"/>
                <w:szCs w:val="20"/>
                <w:color w:val="auto"/>
              </w:rPr>
            </w:pPr>
            <w:r>
              <w:rPr>
                <w:rFonts w:ascii="Arial" w:cs="Arial" w:eastAsia="Arial" w:hAnsi="Arial"/>
                <w:sz w:val="16"/>
                <w:szCs w:val="16"/>
                <w:color w:val="auto"/>
              </w:rPr>
              <w:t>$</w:t>
            </w:r>
          </w:p>
        </w:tc>
        <w:tc>
          <w:tcPr>
            <w:tcW w:w="760" w:type="dxa"/>
            <w:vAlign w:val="bottom"/>
          </w:tcPr>
          <w:p>
            <w:pPr>
              <w:jc w:val="right"/>
              <w:ind w:right="22"/>
              <w:spacing w:after="0"/>
              <w:rPr>
                <w:sz w:val="20"/>
                <w:szCs w:val="20"/>
                <w:color w:val="auto"/>
              </w:rPr>
            </w:pPr>
            <w:r>
              <w:rPr>
                <w:rFonts w:ascii="Arial" w:cs="Arial" w:eastAsia="Arial" w:hAnsi="Arial"/>
                <w:sz w:val="16"/>
                <w:szCs w:val="16"/>
                <w:color w:val="auto"/>
              </w:rPr>
              <w:t>73,753</w:t>
            </w:r>
          </w:p>
        </w:tc>
        <w:tc>
          <w:tcPr>
            <w:tcW w:w="0" w:type="dxa"/>
            <w:vAlign w:val="bottom"/>
          </w:tcPr>
          <w:p>
            <w:pPr>
              <w:spacing w:after="0"/>
              <w:rPr>
                <w:sz w:val="1"/>
                <w:szCs w:val="1"/>
                <w:color w:val="auto"/>
              </w:rPr>
            </w:pPr>
          </w:p>
        </w:tc>
      </w:tr>
      <w:tr>
        <w:trPr>
          <w:trHeight w:val="270"/>
        </w:trPr>
        <w:tc>
          <w:tcPr>
            <w:tcW w:w="2900" w:type="dxa"/>
            <w:vAlign w:val="bottom"/>
          </w:tcPr>
          <w:p>
            <w:pPr>
              <w:ind w:left="180"/>
              <w:spacing w:after="0"/>
              <w:rPr>
                <w:sz w:val="20"/>
                <w:szCs w:val="20"/>
                <w:color w:val="auto"/>
              </w:rPr>
            </w:pPr>
            <w:r>
              <w:rPr>
                <w:rFonts w:ascii="Arial" w:cs="Arial" w:eastAsia="Arial" w:hAnsi="Arial"/>
                <w:sz w:val="16"/>
                <w:szCs w:val="16"/>
                <w:color w:val="auto"/>
              </w:rPr>
              <w:t>Trade names and trademarks</w:t>
            </w:r>
          </w:p>
        </w:tc>
        <w:tc>
          <w:tcPr>
            <w:tcW w:w="1580" w:type="dxa"/>
            <w:vAlign w:val="bottom"/>
          </w:tcPr>
          <w:p>
            <w:pPr>
              <w:jc w:val="center"/>
              <w:ind w:right="82"/>
              <w:spacing w:after="0"/>
              <w:rPr>
                <w:sz w:val="20"/>
                <w:szCs w:val="20"/>
                <w:color w:val="auto"/>
              </w:rPr>
            </w:pPr>
            <w:r>
              <w:rPr>
                <w:rFonts w:ascii="Arial" w:cs="Arial" w:eastAsia="Arial" w:hAnsi="Arial"/>
                <w:sz w:val="16"/>
                <w:szCs w:val="16"/>
                <w:b w:val="1"/>
                <w:bCs w:val="1"/>
                <w:color w:val="auto"/>
              </w:rPr>
              <w:t>2–10 years</w:t>
            </w:r>
          </w:p>
        </w:tc>
        <w:tc>
          <w:tcPr>
            <w:tcW w:w="180" w:type="dxa"/>
            <w:vAlign w:val="bottom"/>
          </w:tcPr>
          <w:p>
            <w:pPr>
              <w:spacing w:after="0"/>
              <w:rPr>
                <w:sz w:val="23"/>
                <w:szCs w:val="23"/>
                <w:color w:val="auto"/>
              </w:rPr>
            </w:pPr>
          </w:p>
        </w:tc>
        <w:tc>
          <w:tcPr>
            <w:tcW w:w="880" w:type="dxa"/>
            <w:vAlign w:val="bottom"/>
          </w:tcPr>
          <w:p>
            <w:pPr>
              <w:jc w:val="right"/>
              <w:ind w:right="41"/>
              <w:spacing w:after="0"/>
              <w:rPr>
                <w:sz w:val="20"/>
                <w:szCs w:val="20"/>
                <w:color w:val="auto"/>
              </w:rPr>
            </w:pPr>
            <w:r>
              <w:rPr>
                <w:rFonts w:ascii="Arial" w:cs="Arial" w:eastAsia="Arial" w:hAnsi="Arial"/>
                <w:sz w:val="16"/>
                <w:szCs w:val="16"/>
                <w:b w:val="1"/>
                <w:bCs w:val="1"/>
                <w:color w:val="auto"/>
              </w:rPr>
              <w:t>50,286</w:t>
            </w:r>
          </w:p>
        </w:tc>
        <w:tc>
          <w:tcPr>
            <w:tcW w:w="240" w:type="dxa"/>
            <w:vAlign w:val="bottom"/>
          </w:tcPr>
          <w:p>
            <w:pPr>
              <w:spacing w:after="0"/>
              <w:rPr>
                <w:sz w:val="23"/>
                <w:szCs w:val="23"/>
                <w:color w:val="auto"/>
              </w:rPr>
            </w:pPr>
          </w:p>
        </w:tc>
        <w:tc>
          <w:tcPr>
            <w:tcW w:w="1120" w:type="dxa"/>
            <w:vAlign w:val="bottom"/>
          </w:tcPr>
          <w:p>
            <w:pPr>
              <w:jc w:val="right"/>
              <w:ind w:right="41"/>
              <w:spacing w:after="0"/>
              <w:rPr>
                <w:sz w:val="20"/>
                <w:szCs w:val="20"/>
                <w:color w:val="auto"/>
              </w:rPr>
            </w:pPr>
            <w:r>
              <w:rPr>
                <w:rFonts w:ascii="Arial" w:cs="Arial" w:eastAsia="Arial" w:hAnsi="Arial"/>
                <w:sz w:val="16"/>
                <w:szCs w:val="16"/>
                <w:b w:val="1"/>
                <w:bCs w:val="1"/>
                <w:color w:val="auto"/>
              </w:rPr>
              <w:t>25,596</w:t>
            </w:r>
          </w:p>
        </w:tc>
        <w:tc>
          <w:tcPr>
            <w:tcW w:w="280" w:type="dxa"/>
            <w:vAlign w:val="bottom"/>
          </w:tcPr>
          <w:p>
            <w:pPr>
              <w:spacing w:after="0"/>
              <w:rPr>
                <w:sz w:val="23"/>
                <w:szCs w:val="23"/>
                <w:color w:val="auto"/>
              </w:rPr>
            </w:pPr>
          </w:p>
        </w:tc>
        <w:tc>
          <w:tcPr>
            <w:tcW w:w="960" w:type="dxa"/>
            <w:vAlign w:val="bottom"/>
          </w:tcPr>
          <w:p>
            <w:pPr>
              <w:jc w:val="right"/>
              <w:ind w:right="142"/>
              <w:spacing w:after="0"/>
              <w:rPr>
                <w:sz w:val="20"/>
                <w:szCs w:val="20"/>
                <w:color w:val="auto"/>
              </w:rPr>
            </w:pPr>
            <w:r>
              <w:rPr>
                <w:rFonts w:ascii="Arial" w:cs="Arial" w:eastAsia="Arial" w:hAnsi="Arial"/>
                <w:sz w:val="16"/>
                <w:szCs w:val="16"/>
                <w:b w:val="1"/>
                <w:bCs w:val="1"/>
                <w:color w:val="auto"/>
              </w:rPr>
              <w:t>24,690</w:t>
            </w:r>
          </w:p>
        </w:tc>
        <w:tc>
          <w:tcPr>
            <w:tcW w:w="160" w:type="dxa"/>
            <w:vAlign w:val="bottom"/>
          </w:tcPr>
          <w:p>
            <w:pPr>
              <w:spacing w:after="0"/>
              <w:rPr>
                <w:sz w:val="23"/>
                <w:szCs w:val="23"/>
                <w:color w:val="auto"/>
              </w:rPr>
            </w:pPr>
          </w:p>
        </w:tc>
        <w:tc>
          <w:tcPr>
            <w:tcW w:w="860" w:type="dxa"/>
            <w:vAlign w:val="bottom"/>
          </w:tcPr>
          <w:p>
            <w:pPr>
              <w:jc w:val="right"/>
              <w:ind w:right="21"/>
              <w:spacing w:after="0"/>
              <w:rPr>
                <w:sz w:val="20"/>
                <w:szCs w:val="20"/>
                <w:color w:val="auto"/>
              </w:rPr>
            </w:pPr>
            <w:r>
              <w:rPr>
                <w:rFonts w:ascii="Arial" w:cs="Arial" w:eastAsia="Arial" w:hAnsi="Arial"/>
                <w:sz w:val="16"/>
                <w:szCs w:val="16"/>
                <w:color w:val="auto"/>
              </w:rPr>
              <w:t>55,240</w:t>
            </w:r>
          </w:p>
        </w:tc>
        <w:tc>
          <w:tcPr>
            <w:tcW w:w="240" w:type="dxa"/>
            <w:vAlign w:val="bottom"/>
          </w:tcPr>
          <w:p>
            <w:pPr>
              <w:spacing w:after="0"/>
              <w:rPr>
                <w:sz w:val="23"/>
                <w:szCs w:val="23"/>
                <w:color w:val="auto"/>
              </w:rPr>
            </w:pPr>
          </w:p>
        </w:tc>
        <w:tc>
          <w:tcPr>
            <w:tcW w:w="1020" w:type="dxa"/>
            <w:vAlign w:val="bottom"/>
          </w:tcPr>
          <w:p>
            <w:pPr>
              <w:jc w:val="right"/>
              <w:ind w:right="41"/>
              <w:spacing w:after="0"/>
              <w:rPr>
                <w:sz w:val="20"/>
                <w:szCs w:val="20"/>
                <w:color w:val="auto"/>
              </w:rPr>
            </w:pPr>
            <w:r>
              <w:rPr>
                <w:rFonts w:ascii="Arial" w:cs="Arial" w:eastAsia="Arial" w:hAnsi="Arial"/>
                <w:sz w:val="16"/>
                <w:szCs w:val="16"/>
                <w:color w:val="auto"/>
              </w:rPr>
              <w:t>29,670</w:t>
            </w:r>
          </w:p>
        </w:tc>
        <w:tc>
          <w:tcPr>
            <w:tcW w:w="240" w:type="dxa"/>
            <w:vAlign w:val="bottom"/>
          </w:tcPr>
          <w:p>
            <w:pPr>
              <w:spacing w:after="0"/>
              <w:rPr>
                <w:sz w:val="23"/>
                <w:szCs w:val="23"/>
                <w:color w:val="auto"/>
              </w:rPr>
            </w:pPr>
          </w:p>
        </w:tc>
        <w:tc>
          <w:tcPr>
            <w:tcW w:w="760" w:type="dxa"/>
            <w:vAlign w:val="bottom"/>
          </w:tcPr>
          <w:p>
            <w:pPr>
              <w:jc w:val="right"/>
              <w:ind w:right="22"/>
              <w:spacing w:after="0"/>
              <w:rPr>
                <w:sz w:val="20"/>
                <w:szCs w:val="20"/>
                <w:color w:val="auto"/>
              </w:rPr>
            </w:pPr>
            <w:r>
              <w:rPr>
                <w:rFonts w:ascii="Arial" w:cs="Arial" w:eastAsia="Arial" w:hAnsi="Arial"/>
                <w:sz w:val="16"/>
                <w:szCs w:val="16"/>
                <w:color w:val="auto"/>
              </w:rPr>
              <w:t>25,570</w:t>
            </w:r>
          </w:p>
        </w:tc>
        <w:tc>
          <w:tcPr>
            <w:tcW w:w="0" w:type="dxa"/>
            <w:vAlign w:val="bottom"/>
          </w:tcPr>
          <w:p>
            <w:pPr>
              <w:spacing w:after="0"/>
              <w:rPr>
                <w:sz w:val="1"/>
                <w:szCs w:val="1"/>
                <w:color w:val="auto"/>
              </w:rPr>
            </w:pPr>
          </w:p>
        </w:tc>
      </w:tr>
      <w:tr>
        <w:trPr>
          <w:trHeight w:val="270"/>
        </w:trPr>
        <w:tc>
          <w:tcPr>
            <w:tcW w:w="2900" w:type="dxa"/>
            <w:vAlign w:val="bottom"/>
          </w:tcPr>
          <w:p>
            <w:pPr>
              <w:ind w:left="180"/>
              <w:spacing w:after="0"/>
              <w:rPr>
                <w:sz w:val="20"/>
                <w:szCs w:val="20"/>
                <w:color w:val="auto"/>
              </w:rPr>
            </w:pPr>
            <w:r>
              <w:rPr>
                <w:rFonts w:ascii="Arial" w:cs="Arial" w:eastAsia="Arial" w:hAnsi="Arial"/>
                <w:sz w:val="16"/>
                <w:szCs w:val="16"/>
                <w:color w:val="auto"/>
              </w:rPr>
              <w:t>Network affiliation agreements</w:t>
            </w:r>
          </w:p>
        </w:tc>
        <w:tc>
          <w:tcPr>
            <w:tcW w:w="1580" w:type="dxa"/>
            <w:vAlign w:val="bottom"/>
          </w:tcPr>
          <w:p>
            <w:pPr>
              <w:jc w:val="center"/>
              <w:ind w:right="82"/>
              <w:spacing w:after="0"/>
              <w:rPr>
                <w:sz w:val="20"/>
                <w:szCs w:val="20"/>
                <w:color w:val="auto"/>
              </w:rPr>
            </w:pPr>
            <w:r>
              <w:rPr>
                <w:rFonts w:ascii="Arial" w:cs="Arial" w:eastAsia="Arial" w:hAnsi="Arial"/>
                <w:sz w:val="16"/>
                <w:szCs w:val="16"/>
                <w:b w:val="1"/>
                <w:bCs w:val="1"/>
                <w:color w:val="auto"/>
              </w:rPr>
              <w:t>10 years</w:t>
            </w:r>
          </w:p>
        </w:tc>
        <w:tc>
          <w:tcPr>
            <w:tcW w:w="180" w:type="dxa"/>
            <w:vAlign w:val="bottom"/>
          </w:tcPr>
          <w:p>
            <w:pPr>
              <w:spacing w:after="0"/>
              <w:rPr>
                <w:sz w:val="23"/>
                <w:szCs w:val="23"/>
                <w:color w:val="auto"/>
              </w:rPr>
            </w:pPr>
          </w:p>
        </w:tc>
        <w:tc>
          <w:tcPr>
            <w:tcW w:w="880" w:type="dxa"/>
            <w:vAlign w:val="bottom"/>
          </w:tcPr>
          <w:p>
            <w:pPr>
              <w:jc w:val="right"/>
              <w:ind w:right="41"/>
              <w:spacing w:after="0"/>
              <w:rPr>
                <w:sz w:val="20"/>
                <w:szCs w:val="20"/>
                <w:color w:val="auto"/>
              </w:rPr>
            </w:pPr>
            <w:r>
              <w:rPr>
                <w:rFonts w:ascii="Arial" w:cs="Arial" w:eastAsia="Arial" w:hAnsi="Arial"/>
                <w:sz w:val="16"/>
                <w:szCs w:val="16"/>
                <w:b w:val="1"/>
                <w:bCs w:val="1"/>
                <w:color w:val="auto"/>
              </w:rPr>
              <w:t>17,400</w:t>
            </w:r>
          </w:p>
        </w:tc>
        <w:tc>
          <w:tcPr>
            <w:tcW w:w="240" w:type="dxa"/>
            <w:vAlign w:val="bottom"/>
          </w:tcPr>
          <w:p>
            <w:pPr>
              <w:spacing w:after="0"/>
              <w:rPr>
                <w:sz w:val="23"/>
                <w:szCs w:val="23"/>
                <w:color w:val="auto"/>
              </w:rPr>
            </w:pPr>
          </w:p>
        </w:tc>
        <w:tc>
          <w:tcPr>
            <w:tcW w:w="1120" w:type="dxa"/>
            <w:vAlign w:val="bottom"/>
          </w:tcPr>
          <w:p>
            <w:pPr>
              <w:jc w:val="right"/>
              <w:ind w:right="41"/>
              <w:spacing w:after="0"/>
              <w:rPr>
                <w:sz w:val="20"/>
                <w:szCs w:val="20"/>
                <w:color w:val="auto"/>
              </w:rPr>
            </w:pPr>
            <w:r>
              <w:rPr>
                <w:rFonts w:ascii="Arial" w:cs="Arial" w:eastAsia="Arial" w:hAnsi="Arial"/>
                <w:sz w:val="16"/>
                <w:szCs w:val="16"/>
                <w:b w:val="1"/>
                <w:bCs w:val="1"/>
                <w:color w:val="auto"/>
              </w:rPr>
              <w:t>1,668</w:t>
            </w:r>
          </w:p>
        </w:tc>
        <w:tc>
          <w:tcPr>
            <w:tcW w:w="280" w:type="dxa"/>
            <w:vAlign w:val="bottom"/>
          </w:tcPr>
          <w:p>
            <w:pPr>
              <w:spacing w:after="0"/>
              <w:rPr>
                <w:sz w:val="23"/>
                <w:szCs w:val="23"/>
                <w:color w:val="auto"/>
              </w:rPr>
            </w:pPr>
          </w:p>
        </w:tc>
        <w:tc>
          <w:tcPr>
            <w:tcW w:w="960" w:type="dxa"/>
            <w:vAlign w:val="bottom"/>
          </w:tcPr>
          <w:p>
            <w:pPr>
              <w:jc w:val="right"/>
              <w:ind w:right="142"/>
              <w:spacing w:after="0"/>
              <w:rPr>
                <w:sz w:val="20"/>
                <w:szCs w:val="20"/>
                <w:color w:val="auto"/>
              </w:rPr>
            </w:pPr>
            <w:r>
              <w:rPr>
                <w:rFonts w:ascii="Arial" w:cs="Arial" w:eastAsia="Arial" w:hAnsi="Arial"/>
                <w:sz w:val="16"/>
                <w:szCs w:val="16"/>
                <w:b w:val="1"/>
                <w:bCs w:val="1"/>
                <w:color w:val="auto"/>
              </w:rPr>
              <w:t>15,732</w:t>
            </w:r>
          </w:p>
        </w:tc>
        <w:tc>
          <w:tcPr>
            <w:tcW w:w="160" w:type="dxa"/>
            <w:vAlign w:val="bottom"/>
          </w:tcPr>
          <w:p>
            <w:pPr>
              <w:spacing w:after="0"/>
              <w:rPr>
                <w:sz w:val="23"/>
                <w:szCs w:val="23"/>
                <w:color w:val="auto"/>
              </w:rPr>
            </w:pPr>
          </w:p>
        </w:tc>
        <w:tc>
          <w:tcPr>
            <w:tcW w:w="860" w:type="dxa"/>
            <w:vAlign w:val="bottom"/>
          </w:tcPr>
          <w:p>
            <w:pPr>
              <w:jc w:val="right"/>
              <w:ind w:right="21"/>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23"/>
                <w:szCs w:val="23"/>
                <w:color w:val="auto"/>
              </w:rPr>
            </w:pPr>
          </w:p>
        </w:tc>
        <w:tc>
          <w:tcPr>
            <w:tcW w:w="1020" w:type="dxa"/>
            <w:vAlign w:val="bottom"/>
          </w:tcPr>
          <w:p>
            <w:pPr>
              <w:jc w:val="right"/>
              <w:ind w:right="41"/>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23"/>
                <w:szCs w:val="23"/>
                <w:color w:val="auto"/>
              </w:rPr>
            </w:pPr>
          </w:p>
        </w:tc>
        <w:tc>
          <w:tcPr>
            <w:tcW w:w="760" w:type="dxa"/>
            <w:vAlign w:val="bottom"/>
          </w:tcPr>
          <w:p>
            <w:pPr>
              <w:jc w:val="right"/>
              <w:ind w:right="22"/>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70"/>
        </w:trPr>
        <w:tc>
          <w:tcPr>
            <w:tcW w:w="2900" w:type="dxa"/>
            <w:vAlign w:val="bottom"/>
          </w:tcPr>
          <w:p>
            <w:pPr>
              <w:ind w:left="180"/>
              <w:spacing w:after="0"/>
              <w:rPr>
                <w:sz w:val="20"/>
                <w:szCs w:val="20"/>
                <w:color w:val="auto"/>
              </w:rPr>
            </w:pPr>
            <w:r>
              <w:rPr>
                <w:rFonts w:ascii="Arial" w:cs="Arial" w:eastAsia="Arial" w:hAnsi="Arial"/>
                <w:sz w:val="16"/>
                <w:szCs w:val="16"/>
                <w:color w:val="auto"/>
              </w:rPr>
              <w:t>Databases and technology</w:t>
            </w:r>
          </w:p>
        </w:tc>
        <w:tc>
          <w:tcPr>
            <w:tcW w:w="1580" w:type="dxa"/>
            <w:vAlign w:val="bottom"/>
          </w:tcPr>
          <w:p>
            <w:pPr>
              <w:jc w:val="center"/>
              <w:ind w:right="82"/>
              <w:spacing w:after="0"/>
              <w:rPr>
                <w:sz w:val="20"/>
                <w:szCs w:val="20"/>
                <w:color w:val="auto"/>
              </w:rPr>
            </w:pPr>
            <w:r>
              <w:rPr>
                <w:rFonts w:ascii="Arial" w:cs="Arial" w:eastAsia="Arial" w:hAnsi="Arial"/>
                <w:sz w:val="16"/>
                <w:szCs w:val="16"/>
                <w:b w:val="1"/>
                <w:bCs w:val="1"/>
                <w:color w:val="auto"/>
              </w:rPr>
              <w:t>3–6 years (1)</w:t>
            </w:r>
          </w:p>
        </w:tc>
        <w:tc>
          <w:tcPr>
            <w:tcW w:w="180" w:type="dxa"/>
            <w:vAlign w:val="bottom"/>
          </w:tcPr>
          <w:p>
            <w:pPr>
              <w:spacing w:after="0"/>
              <w:rPr>
                <w:sz w:val="23"/>
                <w:szCs w:val="23"/>
                <w:color w:val="auto"/>
              </w:rPr>
            </w:pPr>
          </w:p>
        </w:tc>
        <w:tc>
          <w:tcPr>
            <w:tcW w:w="880" w:type="dxa"/>
            <w:vAlign w:val="bottom"/>
          </w:tcPr>
          <w:p>
            <w:pPr>
              <w:jc w:val="right"/>
              <w:ind w:right="41"/>
              <w:spacing w:after="0"/>
              <w:rPr>
                <w:sz w:val="20"/>
                <w:szCs w:val="20"/>
                <w:color w:val="auto"/>
              </w:rPr>
            </w:pPr>
            <w:r>
              <w:rPr>
                <w:rFonts w:ascii="Arial" w:cs="Arial" w:eastAsia="Arial" w:hAnsi="Arial"/>
                <w:sz w:val="16"/>
                <w:szCs w:val="16"/>
                <w:b w:val="1"/>
                <w:bCs w:val="1"/>
                <w:color w:val="auto"/>
              </w:rPr>
              <w:t>19,563</w:t>
            </w:r>
          </w:p>
        </w:tc>
        <w:tc>
          <w:tcPr>
            <w:tcW w:w="240" w:type="dxa"/>
            <w:vAlign w:val="bottom"/>
          </w:tcPr>
          <w:p>
            <w:pPr>
              <w:spacing w:after="0"/>
              <w:rPr>
                <w:sz w:val="23"/>
                <w:szCs w:val="23"/>
                <w:color w:val="auto"/>
              </w:rPr>
            </w:pPr>
          </w:p>
        </w:tc>
        <w:tc>
          <w:tcPr>
            <w:tcW w:w="1120" w:type="dxa"/>
            <w:vAlign w:val="bottom"/>
          </w:tcPr>
          <w:p>
            <w:pPr>
              <w:jc w:val="right"/>
              <w:ind w:right="41"/>
              <w:spacing w:after="0"/>
              <w:rPr>
                <w:sz w:val="20"/>
                <w:szCs w:val="20"/>
                <w:color w:val="auto"/>
              </w:rPr>
            </w:pPr>
            <w:r>
              <w:rPr>
                <w:rFonts w:ascii="Arial" w:cs="Arial" w:eastAsia="Arial" w:hAnsi="Arial"/>
                <w:sz w:val="16"/>
                <w:szCs w:val="16"/>
                <w:b w:val="1"/>
                <w:bCs w:val="1"/>
                <w:color w:val="auto"/>
              </w:rPr>
              <w:t>5,008</w:t>
            </w:r>
          </w:p>
        </w:tc>
        <w:tc>
          <w:tcPr>
            <w:tcW w:w="280" w:type="dxa"/>
            <w:vAlign w:val="bottom"/>
          </w:tcPr>
          <w:p>
            <w:pPr>
              <w:spacing w:after="0"/>
              <w:rPr>
                <w:sz w:val="23"/>
                <w:szCs w:val="23"/>
                <w:color w:val="auto"/>
              </w:rPr>
            </w:pPr>
          </w:p>
        </w:tc>
        <w:tc>
          <w:tcPr>
            <w:tcW w:w="960" w:type="dxa"/>
            <w:vAlign w:val="bottom"/>
          </w:tcPr>
          <w:p>
            <w:pPr>
              <w:jc w:val="right"/>
              <w:ind w:right="142"/>
              <w:spacing w:after="0"/>
              <w:rPr>
                <w:sz w:val="20"/>
                <w:szCs w:val="20"/>
                <w:color w:val="auto"/>
              </w:rPr>
            </w:pPr>
            <w:r>
              <w:rPr>
                <w:rFonts w:ascii="Arial" w:cs="Arial" w:eastAsia="Arial" w:hAnsi="Arial"/>
                <w:sz w:val="16"/>
                <w:szCs w:val="16"/>
                <w:b w:val="1"/>
                <w:bCs w:val="1"/>
                <w:color w:val="auto"/>
              </w:rPr>
              <w:t>14,555</w:t>
            </w:r>
          </w:p>
        </w:tc>
        <w:tc>
          <w:tcPr>
            <w:tcW w:w="160" w:type="dxa"/>
            <w:vAlign w:val="bottom"/>
          </w:tcPr>
          <w:p>
            <w:pPr>
              <w:spacing w:after="0"/>
              <w:rPr>
                <w:sz w:val="23"/>
                <w:szCs w:val="23"/>
                <w:color w:val="auto"/>
              </w:rPr>
            </w:pPr>
          </w:p>
        </w:tc>
        <w:tc>
          <w:tcPr>
            <w:tcW w:w="860" w:type="dxa"/>
            <w:vAlign w:val="bottom"/>
          </w:tcPr>
          <w:p>
            <w:pPr>
              <w:jc w:val="right"/>
              <w:ind w:right="21"/>
              <w:spacing w:after="0"/>
              <w:rPr>
                <w:sz w:val="20"/>
                <w:szCs w:val="20"/>
                <w:color w:val="auto"/>
              </w:rPr>
            </w:pPr>
            <w:r>
              <w:rPr>
                <w:rFonts w:ascii="Arial" w:cs="Arial" w:eastAsia="Arial" w:hAnsi="Arial"/>
                <w:sz w:val="16"/>
                <w:szCs w:val="16"/>
                <w:color w:val="auto"/>
              </w:rPr>
              <w:t>5,601</w:t>
            </w:r>
          </w:p>
        </w:tc>
        <w:tc>
          <w:tcPr>
            <w:tcW w:w="240" w:type="dxa"/>
            <w:vAlign w:val="bottom"/>
          </w:tcPr>
          <w:p>
            <w:pPr>
              <w:spacing w:after="0"/>
              <w:rPr>
                <w:sz w:val="23"/>
                <w:szCs w:val="23"/>
                <w:color w:val="auto"/>
              </w:rPr>
            </w:pPr>
          </w:p>
        </w:tc>
        <w:tc>
          <w:tcPr>
            <w:tcW w:w="1020" w:type="dxa"/>
            <w:vAlign w:val="bottom"/>
          </w:tcPr>
          <w:p>
            <w:pPr>
              <w:jc w:val="right"/>
              <w:ind w:right="41"/>
              <w:spacing w:after="0"/>
              <w:rPr>
                <w:sz w:val="20"/>
                <w:szCs w:val="20"/>
                <w:color w:val="auto"/>
              </w:rPr>
            </w:pPr>
            <w:r>
              <w:rPr>
                <w:rFonts w:ascii="Arial" w:cs="Arial" w:eastAsia="Arial" w:hAnsi="Arial"/>
                <w:sz w:val="16"/>
                <w:szCs w:val="16"/>
                <w:color w:val="auto"/>
              </w:rPr>
              <w:t>4,368</w:t>
            </w:r>
          </w:p>
        </w:tc>
        <w:tc>
          <w:tcPr>
            <w:tcW w:w="240" w:type="dxa"/>
            <w:vAlign w:val="bottom"/>
          </w:tcPr>
          <w:p>
            <w:pPr>
              <w:spacing w:after="0"/>
              <w:rPr>
                <w:sz w:val="23"/>
                <w:szCs w:val="23"/>
                <w:color w:val="auto"/>
              </w:rPr>
            </w:pPr>
          </w:p>
        </w:tc>
        <w:tc>
          <w:tcPr>
            <w:tcW w:w="760" w:type="dxa"/>
            <w:vAlign w:val="bottom"/>
          </w:tcPr>
          <w:p>
            <w:pPr>
              <w:jc w:val="right"/>
              <w:ind w:right="22"/>
              <w:spacing w:after="0"/>
              <w:rPr>
                <w:sz w:val="20"/>
                <w:szCs w:val="20"/>
                <w:color w:val="auto"/>
              </w:rPr>
            </w:pPr>
            <w:r>
              <w:rPr>
                <w:rFonts w:ascii="Arial" w:cs="Arial" w:eastAsia="Arial" w:hAnsi="Arial"/>
                <w:sz w:val="16"/>
                <w:szCs w:val="16"/>
                <w:color w:val="auto"/>
              </w:rPr>
              <w:t>1,233</w:t>
            </w:r>
          </w:p>
        </w:tc>
        <w:tc>
          <w:tcPr>
            <w:tcW w:w="0" w:type="dxa"/>
            <w:vAlign w:val="bottom"/>
          </w:tcPr>
          <w:p>
            <w:pPr>
              <w:spacing w:after="0"/>
              <w:rPr>
                <w:sz w:val="1"/>
                <w:szCs w:val="1"/>
                <w:color w:val="auto"/>
              </w:rPr>
            </w:pPr>
          </w:p>
        </w:tc>
      </w:tr>
      <w:tr>
        <w:trPr>
          <w:trHeight w:val="270"/>
        </w:trPr>
        <w:tc>
          <w:tcPr>
            <w:tcW w:w="2900" w:type="dxa"/>
            <w:vAlign w:val="bottom"/>
          </w:tcPr>
          <w:p>
            <w:pPr>
              <w:ind w:left="180"/>
              <w:spacing w:after="0"/>
              <w:rPr>
                <w:sz w:val="20"/>
                <w:szCs w:val="20"/>
                <w:color w:val="auto"/>
              </w:rPr>
            </w:pPr>
            <w:r>
              <w:rPr>
                <w:rFonts w:ascii="Arial" w:cs="Arial" w:eastAsia="Arial" w:hAnsi="Arial"/>
                <w:sz w:val="16"/>
                <w:szCs w:val="16"/>
                <w:color w:val="auto"/>
              </w:rPr>
              <w:t>Noncompete agreements</w:t>
            </w:r>
          </w:p>
        </w:tc>
        <w:tc>
          <w:tcPr>
            <w:tcW w:w="1580" w:type="dxa"/>
            <w:vAlign w:val="bottom"/>
          </w:tcPr>
          <w:p>
            <w:pPr>
              <w:jc w:val="center"/>
              <w:ind w:right="82"/>
              <w:spacing w:after="0"/>
              <w:rPr>
                <w:sz w:val="20"/>
                <w:szCs w:val="20"/>
                <w:color w:val="auto"/>
              </w:rPr>
            </w:pPr>
            <w:r>
              <w:rPr>
                <w:rFonts w:ascii="Arial" w:cs="Arial" w:eastAsia="Arial" w:hAnsi="Arial"/>
                <w:sz w:val="16"/>
                <w:szCs w:val="16"/>
                <w:b w:val="1"/>
                <w:bCs w:val="1"/>
                <w:color w:val="auto"/>
              </w:rPr>
              <w:t>2–5 years</w:t>
            </w:r>
          </w:p>
        </w:tc>
        <w:tc>
          <w:tcPr>
            <w:tcW w:w="180" w:type="dxa"/>
            <w:vAlign w:val="bottom"/>
          </w:tcPr>
          <w:p>
            <w:pPr>
              <w:spacing w:after="0"/>
              <w:rPr>
                <w:sz w:val="23"/>
                <w:szCs w:val="23"/>
                <w:color w:val="auto"/>
              </w:rPr>
            </w:pPr>
          </w:p>
        </w:tc>
        <w:tc>
          <w:tcPr>
            <w:tcW w:w="880" w:type="dxa"/>
            <w:vAlign w:val="bottom"/>
          </w:tcPr>
          <w:p>
            <w:pPr>
              <w:jc w:val="right"/>
              <w:ind w:right="41"/>
              <w:spacing w:after="0"/>
              <w:rPr>
                <w:sz w:val="20"/>
                <w:szCs w:val="20"/>
                <w:color w:val="auto"/>
              </w:rPr>
            </w:pPr>
            <w:r>
              <w:rPr>
                <w:rFonts w:ascii="Arial" w:cs="Arial" w:eastAsia="Arial" w:hAnsi="Arial"/>
                <w:sz w:val="16"/>
                <w:szCs w:val="16"/>
                <w:b w:val="1"/>
                <w:bCs w:val="1"/>
                <w:color w:val="auto"/>
              </w:rPr>
              <w:t>930</w:t>
            </w:r>
          </w:p>
        </w:tc>
        <w:tc>
          <w:tcPr>
            <w:tcW w:w="240" w:type="dxa"/>
            <w:vAlign w:val="bottom"/>
          </w:tcPr>
          <w:p>
            <w:pPr>
              <w:spacing w:after="0"/>
              <w:rPr>
                <w:sz w:val="23"/>
                <w:szCs w:val="23"/>
                <w:color w:val="auto"/>
              </w:rPr>
            </w:pPr>
          </w:p>
        </w:tc>
        <w:tc>
          <w:tcPr>
            <w:tcW w:w="1120" w:type="dxa"/>
            <w:vAlign w:val="bottom"/>
          </w:tcPr>
          <w:p>
            <w:pPr>
              <w:jc w:val="right"/>
              <w:ind w:right="41"/>
              <w:spacing w:after="0"/>
              <w:rPr>
                <w:sz w:val="20"/>
                <w:szCs w:val="20"/>
                <w:color w:val="auto"/>
              </w:rPr>
            </w:pPr>
            <w:r>
              <w:rPr>
                <w:rFonts w:ascii="Arial" w:cs="Arial" w:eastAsia="Arial" w:hAnsi="Arial"/>
                <w:sz w:val="16"/>
                <w:szCs w:val="16"/>
                <w:b w:val="1"/>
                <w:bCs w:val="1"/>
                <w:color w:val="auto"/>
              </w:rPr>
              <w:t>467</w:t>
            </w:r>
          </w:p>
        </w:tc>
        <w:tc>
          <w:tcPr>
            <w:tcW w:w="280" w:type="dxa"/>
            <w:vAlign w:val="bottom"/>
          </w:tcPr>
          <w:p>
            <w:pPr>
              <w:spacing w:after="0"/>
              <w:rPr>
                <w:sz w:val="23"/>
                <w:szCs w:val="23"/>
                <w:color w:val="auto"/>
              </w:rPr>
            </w:pPr>
          </w:p>
        </w:tc>
        <w:tc>
          <w:tcPr>
            <w:tcW w:w="960" w:type="dxa"/>
            <w:vAlign w:val="bottom"/>
          </w:tcPr>
          <w:p>
            <w:pPr>
              <w:jc w:val="right"/>
              <w:ind w:right="142"/>
              <w:spacing w:after="0"/>
              <w:rPr>
                <w:sz w:val="20"/>
                <w:szCs w:val="20"/>
                <w:color w:val="auto"/>
              </w:rPr>
            </w:pPr>
            <w:r>
              <w:rPr>
                <w:rFonts w:ascii="Arial" w:cs="Arial" w:eastAsia="Arial" w:hAnsi="Arial"/>
                <w:sz w:val="16"/>
                <w:szCs w:val="16"/>
                <w:b w:val="1"/>
                <w:bCs w:val="1"/>
                <w:color w:val="auto"/>
              </w:rPr>
              <w:t>463</w:t>
            </w:r>
          </w:p>
        </w:tc>
        <w:tc>
          <w:tcPr>
            <w:tcW w:w="160" w:type="dxa"/>
            <w:vAlign w:val="bottom"/>
          </w:tcPr>
          <w:p>
            <w:pPr>
              <w:spacing w:after="0"/>
              <w:rPr>
                <w:sz w:val="23"/>
                <w:szCs w:val="23"/>
                <w:color w:val="auto"/>
              </w:rPr>
            </w:pPr>
          </w:p>
        </w:tc>
        <w:tc>
          <w:tcPr>
            <w:tcW w:w="860" w:type="dxa"/>
            <w:vAlign w:val="bottom"/>
          </w:tcPr>
          <w:p>
            <w:pPr>
              <w:jc w:val="right"/>
              <w:ind w:right="21"/>
              <w:spacing w:after="0"/>
              <w:rPr>
                <w:sz w:val="20"/>
                <w:szCs w:val="20"/>
                <w:color w:val="auto"/>
              </w:rPr>
            </w:pPr>
            <w:r>
              <w:rPr>
                <w:rFonts w:ascii="Arial" w:cs="Arial" w:eastAsia="Arial" w:hAnsi="Arial"/>
                <w:sz w:val="16"/>
                <w:szCs w:val="16"/>
                <w:color w:val="auto"/>
              </w:rPr>
              <w:t>1,730</w:t>
            </w:r>
          </w:p>
        </w:tc>
        <w:tc>
          <w:tcPr>
            <w:tcW w:w="240" w:type="dxa"/>
            <w:vAlign w:val="bottom"/>
          </w:tcPr>
          <w:p>
            <w:pPr>
              <w:spacing w:after="0"/>
              <w:rPr>
                <w:sz w:val="23"/>
                <w:szCs w:val="23"/>
                <w:color w:val="auto"/>
              </w:rPr>
            </w:pPr>
          </w:p>
        </w:tc>
        <w:tc>
          <w:tcPr>
            <w:tcW w:w="1020" w:type="dxa"/>
            <w:vAlign w:val="bottom"/>
          </w:tcPr>
          <w:p>
            <w:pPr>
              <w:jc w:val="right"/>
              <w:ind w:right="41"/>
              <w:spacing w:after="0"/>
              <w:rPr>
                <w:sz w:val="20"/>
                <w:szCs w:val="20"/>
                <w:color w:val="auto"/>
              </w:rPr>
            </w:pPr>
            <w:r>
              <w:rPr>
                <w:rFonts w:ascii="Arial" w:cs="Arial" w:eastAsia="Arial" w:hAnsi="Arial"/>
                <w:sz w:val="16"/>
                <w:szCs w:val="16"/>
                <w:color w:val="auto"/>
              </w:rPr>
              <w:t>1,404</w:t>
            </w:r>
          </w:p>
        </w:tc>
        <w:tc>
          <w:tcPr>
            <w:tcW w:w="240" w:type="dxa"/>
            <w:vAlign w:val="bottom"/>
          </w:tcPr>
          <w:p>
            <w:pPr>
              <w:spacing w:after="0"/>
              <w:rPr>
                <w:sz w:val="23"/>
                <w:szCs w:val="23"/>
                <w:color w:val="auto"/>
              </w:rPr>
            </w:pPr>
          </w:p>
        </w:tc>
        <w:tc>
          <w:tcPr>
            <w:tcW w:w="760" w:type="dxa"/>
            <w:vAlign w:val="bottom"/>
          </w:tcPr>
          <w:p>
            <w:pPr>
              <w:jc w:val="right"/>
              <w:ind w:right="22"/>
              <w:spacing w:after="0"/>
              <w:rPr>
                <w:sz w:val="20"/>
                <w:szCs w:val="20"/>
                <w:color w:val="auto"/>
              </w:rPr>
            </w:pPr>
            <w:r>
              <w:rPr>
                <w:rFonts w:ascii="Arial" w:cs="Arial" w:eastAsia="Arial" w:hAnsi="Arial"/>
                <w:sz w:val="16"/>
                <w:szCs w:val="16"/>
                <w:color w:val="auto"/>
              </w:rPr>
              <w:t>326</w:t>
            </w:r>
          </w:p>
        </w:tc>
        <w:tc>
          <w:tcPr>
            <w:tcW w:w="0" w:type="dxa"/>
            <w:vAlign w:val="bottom"/>
          </w:tcPr>
          <w:p>
            <w:pPr>
              <w:spacing w:after="0"/>
              <w:rPr>
                <w:sz w:val="1"/>
                <w:szCs w:val="1"/>
                <w:color w:val="auto"/>
              </w:rPr>
            </w:pPr>
          </w:p>
        </w:tc>
      </w:tr>
      <w:tr>
        <w:trPr>
          <w:trHeight w:val="283"/>
        </w:trPr>
        <w:tc>
          <w:tcPr>
            <w:tcW w:w="2900" w:type="dxa"/>
            <w:vAlign w:val="bottom"/>
          </w:tcPr>
          <w:p>
            <w:pPr>
              <w:ind w:left="180"/>
              <w:spacing w:after="0"/>
              <w:rPr>
                <w:sz w:val="20"/>
                <w:szCs w:val="20"/>
                <w:color w:val="auto"/>
              </w:rPr>
            </w:pPr>
            <w:r>
              <w:rPr>
                <w:rFonts w:ascii="Arial" w:cs="Arial" w:eastAsia="Arial" w:hAnsi="Arial"/>
                <w:sz w:val="16"/>
                <w:szCs w:val="16"/>
                <w:color w:val="auto"/>
              </w:rPr>
              <w:t>Other</w:t>
            </w:r>
          </w:p>
        </w:tc>
        <w:tc>
          <w:tcPr>
            <w:tcW w:w="1580" w:type="dxa"/>
            <w:vAlign w:val="bottom"/>
          </w:tcPr>
          <w:p>
            <w:pPr>
              <w:jc w:val="center"/>
              <w:ind w:right="82"/>
              <w:spacing w:after="0"/>
              <w:rPr>
                <w:sz w:val="20"/>
                <w:szCs w:val="20"/>
                <w:color w:val="auto"/>
              </w:rPr>
            </w:pPr>
            <w:r>
              <w:rPr>
                <w:rFonts w:ascii="Arial" w:cs="Arial" w:eastAsia="Arial" w:hAnsi="Arial"/>
                <w:sz w:val="16"/>
                <w:szCs w:val="16"/>
                <w:b w:val="1"/>
                <w:bCs w:val="1"/>
                <w:color w:val="auto"/>
              </w:rPr>
              <w:t>1–8 years</w:t>
            </w:r>
          </w:p>
        </w:tc>
        <w:tc>
          <w:tcPr>
            <w:tcW w:w="18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jc w:val="right"/>
              <w:ind w:right="41"/>
              <w:spacing w:after="0"/>
              <w:rPr>
                <w:sz w:val="20"/>
                <w:szCs w:val="20"/>
                <w:color w:val="auto"/>
              </w:rPr>
            </w:pPr>
            <w:r>
              <w:rPr>
                <w:rFonts w:ascii="Arial" w:cs="Arial" w:eastAsia="Arial" w:hAnsi="Arial"/>
                <w:sz w:val="16"/>
                <w:szCs w:val="16"/>
                <w:b w:val="1"/>
                <w:bCs w:val="1"/>
                <w:color w:val="auto"/>
              </w:rPr>
              <w:t>13,430</w:t>
            </w:r>
          </w:p>
        </w:tc>
        <w:tc>
          <w:tcPr>
            <w:tcW w:w="24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jc w:val="right"/>
              <w:ind w:right="41"/>
              <w:spacing w:after="0"/>
              <w:rPr>
                <w:sz w:val="20"/>
                <w:szCs w:val="20"/>
                <w:color w:val="auto"/>
              </w:rPr>
            </w:pPr>
            <w:r>
              <w:rPr>
                <w:rFonts w:ascii="Arial" w:cs="Arial" w:eastAsia="Arial" w:hAnsi="Arial"/>
                <w:sz w:val="16"/>
                <w:szCs w:val="16"/>
                <w:b w:val="1"/>
                <w:bCs w:val="1"/>
                <w:color w:val="auto"/>
              </w:rPr>
              <w:t>7,668</w:t>
            </w:r>
          </w:p>
        </w:tc>
        <w:tc>
          <w:tcPr>
            <w:tcW w:w="28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jc w:val="right"/>
              <w:ind w:right="142"/>
              <w:spacing w:after="0"/>
              <w:rPr>
                <w:sz w:val="20"/>
                <w:szCs w:val="20"/>
                <w:color w:val="auto"/>
              </w:rPr>
            </w:pPr>
            <w:r>
              <w:rPr>
                <w:rFonts w:ascii="Arial" w:cs="Arial" w:eastAsia="Arial" w:hAnsi="Arial"/>
                <w:sz w:val="16"/>
                <w:szCs w:val="16"/>
                <w:b w:val="1"/>
                <w:bCs w:val="1"/>
                <w:color w:val="auto"/>
              </w:rPr>
              <w:t>5,762</w:t>
            </w:r>
          </w:p>
        </w:tc>
        <w:tc>
          <w:tcPr>
            <w:tcW w:w="16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jc w:val="right"/>
              <w:ind w:right="21"/>
              <w:spacing w:after="0"/>
              <w:rPr>
                <w:sz w:val="20"/>
                <w:szCs w:val="20"/>
                <w:color w:val="auto"/>
              </w:rPr>
            </w:pPr>
            <w:r>
              <w:rPr>
                <w:rFonts w:ascii="Arial" w:cs="Arial" w:eastAsia="Arial" w:hAnsi="Arial"/>
                <w:sz w:val="16"/>
                <w:szCs w:val="16"/>
                <w:color w:val="auto"/>
              </w:rPr>
              <w:t>12,030</w:t>
            </w:r>
          </w:p>
        </w:tc>
        <w:tc>
          <w:tcPr>
            <w:tcW w:w="24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jc w:val="right"/>
              <w:ind w:right="41"/>
              <w:spacing w:after="0"/>
              <w:rPr>
                <w:sz w:val="20"/>
                <w:szCs w:val="20"/>
                <w:color w:val="auto"/>
              </w:rPr>
            </w:pPr>
            <w:r>
              <w:rPr>
                <w:rFonts w:ascii="Arial" w:cs="Arial" w:eastAsia="Arial" w:hAnsi="Arial"/>
                <w:sz w:val="16"/>
                <w:szCs w:val="16"/>
                <w:color w:val="auto"/>
              </w:rPr>
              <w:t>4,973</w:t>
            </w:r>
          </w:p>
        </w:tc>
        <w:tc>
          <w:tcPr>
            <w:tcW w:w="24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jc w:val="right"/>
              <w:ind w:right="22"/>
              <w:spacing w:after="0"/>
              <w:rPr>
                <w:sz w:val="20"/>
                <w:szCs w:val="20"/>
                <w:color w:val="auto"/>
              </w:rPr>
            </w:pPr>
            <w:r>
              <w:rPr>
                <w:rFonts w:ascii="Arial" w:cs="Arial" w:eastAsia="Arial" w:hAnsi="Arial"/>
                <w:sz w:val="16"/>
                <w:szCs w:val="16"/>
                <w:color w:val="auto"/>
              </w:rPr>
              <w:t>7,057</w:t>
            </w:r>
          </w:p>
        </w:tc>
        <w:tc>
          <w:tcPr>
            <w:tcW w:w="0" w:type="dxa"/>
            <w:vAlign w:val="bottom"/>
          </w:tcPr>
          <w:p>
            <w:pPr>
              <w:spacing w:after="0"/>
              <w:rPr>
                <w:sz w:val="1"/>
                <w:szCs w:val="1"/>
                <w:color w:val="auto"/>
              </w:rPr>
            </w:pPr>
          </w:p>
        </w:tc>
      </w:tr>
      <w:tr>
        <w:trPr>
          <w:trHeight w:val="264"/>
        </w:trPr>
        <w:tc>
          <w:tcPr>
            <w:tcW w:w="290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w:t>
            </w:r>
          </w:p>
        </w:tc>
        <w:tc>
          <w:tcPr>
            <w:tcW w:w="880" w:type="dxa"/>
            <w:vAlign w:val="bottom"/>
            <w:tcBorders>
              <w:bottom w:val="single" w:sz="8" w:color="auto"/>
            </w:tcBorders>
          </w:tcPr>
          <w:p>
            <w:pPr>
              <w:jc w:val="right"/>
              <w:ind w:right="41"/>
              <w:spacing w:after="0"/>
              <w:rPr>
                <w:sz w:val="20"/>
                <w:szCs w:val="20"/>
                <w:color w:val="auto"/>
              </w:rPr>
            </w:pPr>
            <w:r>
              <w:rPr>
                <w:rFonts w:ascii="Arial" w:cs="Arial" w:eastAsia="Arial" w:hAnsi="Arial"/>
                <w:sz w:val="16"/>
                <w:szCs w:val="16"/>
                <w:b w:val="1"/>
                <w:bCs w:val="1"/>
                <w:color w:val="auto"/>
              </w:rPr>
              <w:t>362,073</w:t>
            </w:r>
          </w:p>
        </w:tc>
        <w:tc>
          <w:tcPr>
            <w:tcW w:w="24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w:t>
            </w:r>
          </w:p>
        </w:tc>
        <w:tc>
          <w:tcPr>
            <w:tcW w:w="1120" w:type="dxa"/>
            <w:vAlign w:val="bottom"/>
            <w:tcBorders>
              <w:bottom w:val="single" w:sz="8" w:color="auto"/>
            </w:tcBorders>
          </w:tcPr>
          <w:p>
            <w:pPr>
              <w:jc w:val="right"/>
              <w:ind w:right="41"/>
              <w:spacing w:after="0"/>
              <w:rPr>
                <w:sz w:val="20"/>
                <w:szCs w:val="20"/>
                <w:color w:val="auto"/>
              </w:rPr>
            </w:pPr>
            <w:r>
              <w:rPr>
                <w:rFonts w:ascii="Arial" w:cs="Arial" w:eastAsia="Arial" w:hAnsi="Arial"/>
                <w:sz w:val="16"/>
                <w:szCs w:val="16"/>
                <w:b w:val="1"/>
                <w:bCs w:val="1"/>
                <w:color w:val="auto"/>
              </w:rPr>
              <w:t>124,097</w:t>
            </w:r>
          </w:p>
        </w:tc>
        <w:tc>
          <w:tcPr>
            <w:tcW w:w="28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w:t>
            </w:r>
          </w:p>
        </w:tc>
        <w:tc>
          <w:tcPr>
            <w:tcW w:w="960" w:type="dxa"/>
            <w:vAlign w:val="bottom"/>
            <w:tcBorders>
              <w:bottom w:val="single" w:sz="8" w:color="auto"/>
            </w:tcBorders>
          </w:tcPr>
          <w:p>
            <w:pPr>
              <w:jc w:val="right"/>
              <w:ind w:right="142"/>
              <w:spacing w:after="0"/>
              <w:rPr>
                <w:sz w:val="20"/>
                <w:szCs w:val="20"/>
                <w:color w:val="auto"/>
              </w:rPr>
            </w:pPr>
            <w:r>
              <w:rPr>
                <w:rFonts w:ascii="Arial" w:cs="Arial" w:eastAsia="Arial" w:hAnsi="Arial"/>
                <w:sz w:val="16"/>
                <w:szCs w:val="16"/>
                <w:b w:val="1"/>
                <w:bCs w:val="1"/>
                <w:color w:val="auto"/>
              </w:rPr>
              <w:t>237,976</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860" w:type="dxa"/>
            <w:vAlign w:val="bottom"/>
            <w:tcBorders>
              <w:bottom w:val="single" w:sz="8" w:color="auto"/>
            </w:tcBorders>
          </w:tcPr>
          <w:p>
            <w:pPr>
              <w:jc w:val="right"/>
              <w:ind w:right="21"/>
              <w:spacing w:after="0"/>
              <w:rPr>
                <w:sz w:val="20"/>
                <w:szCs w:val="20"/>
                <w:color w:val="auto"/>
              </w:rPr>
            </w:pPr>
            <w:r>
              <w:rPr>
                <w:rFonts w:ascii="Arial" w:cs="Arial" w:eastAsia="Arial" w:hAnsi="Arial"/>
                <w:sz w:val="16"/>
                <w:szCs w:val="16"/>
                <w:color w:val="auto"/>
              </w:rPr>
              <w:t>204,217</w:t>
            </w:r>
          </w:p>
        </w:tc>
        <w:tc>
          <w:tcPr>
            <w:tcW w:w="2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020" w:type="dxa"/>
            <w:vAlign w:val="bottom"/>
            <w:tcBorders>
              <w:bottom w:val="single" w:sz="8" w:color="auto"/>
            </w:tcBorders>
          </w:tcPr>
          <w:p>
            <w:pPr>
              <w:jc w:val="right"/>
              <w:ind w:right="41"/>
              <w:spacing w:after="0"/>
              <w:rPr>
                <w:sz w:val="20"/>
                <w:szCs w:val="20"/>
                <w:color w:val="auto"/>
              </w:rPr>
            </w:pPr>
            <w:r>
              <w:rPr>
                <w:rFonts w:ascii="Arial" w:cs="Arial" w:eastAsia="Arial" w:hAnsi="Arial"/>
                <w:sz w:val="16"/>
                <w:szCs w:val="16"/>
                <w:color w:val="auto"/>
              </w:rPr>
              <w:t>96,278</w:t>
            </w:r>
          </w:p>
        </w:tc>
        <w:tc>
          <w:tcPr>
            <w:tcW w:w="2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760" w:type="dxa"/>
            <w:vAlign w:val="bottom"/>
            <w:tcBorders>
              <w:bottom w:val="single" w:sz="8" w:color="auto"/>
            </w:tcBorders>
          </w:tcPr>
          <w:p>
            <w:pPr>
              <w:jc w:val="right"/>
              <w:ind w:right="22"/>
              <w:spacing w:after="0"/>
              <w:rPr>
                <w:sz w:val="20"/>
                <w:szCs w:val="20"/>
                <w:color w:val="auto"/>
              </w:rPr>
            </w:pPr>
            <w:r>
              <w:rPr>
                <w:rFonts w:ascii="Arial" w:cs="Arial" w:eastAsia="Arial" w:hAnsi="Arial"/>
                <w:sz w:val="16"/>
                <w:szCs w:val="16"/>
                <w:color w:val="auto"/>
              </w:rPr>
              <w:t>107,939</w:t>
            </w:r>
          </w:p>
        </w:tc>
        <w:tc>
          <w:tcPr>
            <w:tcW w:w="0" w:type="dxa"/>
            <w:vAlign w:val="bottom"/>
          </w:tcPr>
          <w:p>
            <w:pPr>
              <w:spacing w:after="0"/>
              <w:rPr>
                <w:sz w:val="1"/>
                <w:szCs w:val="1"/>
                <w:color w:val="auto"/>
              </w:rPr>
            </w:pPr>
          </w:p>
        </w:tc>
      </w:tr>
      <w:tr>
        <w:trPr>
          <w:trHeight w:val="20"/>
        </w:trPr>
        <w:tc>
          <w:tcPr>
            <w:tcW w:w="2900" w:type="dxa"/>
            <w:vAlign w:val="bottom"/>
            <w:vMerge w:val="restart"/>
          </w:tcPr>
          <w:p>
            <w:pPr>
              <w:ind w:left="40"/>
              <w:spacing w:after="0"/>
              <w:rPr>
                <w:sz w:val="20"/>
                <w:szCs w:val="20"/>
                <w:color w:val="auto"/>
              </w:rPr>
            </w:pPr>
            <w:r>
              <w:rPr>
                <w:rFonts w:ascii="Arial" w:cs="Arial" w:eastAsia="Arial" w:hAnsi="Arial"/>
                <w:sz w:val="16"/>
                <w:szCs w:val="16"/>
                <w:b w:val="1"/>
                <w:bCs w:val="1"/>
                <w:color w:val="auto"/>
              </w:rPr>
              <w:t>Indefinite-Lived Intangible Assets</w:t>
            </w:r>
          </w:p>
        </w:tc>
        <w:tc>
          <w:tcPr>
            <w:tcW w:w="15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8"/>
        </w:trPr>
        <w:tc>
          <w:tcPr>
            <w:tcW w:w="2900" w:type="dxa"/>
            <w:vAlign w:val="bottom"/>
            <w:vMerge w:val="continue"/>
          </w:tcPr>
          <w:p>
            <w:pPr>
              <w:spacing w:after="0"/>
              <w:rPr>
                <w:sz w:val="20"/>
                <w:szCs w:val="20"/>
                <w:color w:val="auto"/>
              </w:rPr>
            </w:pPr>
          </w:p>
        </w:tc>
        <w:tc>
          <w:tcPr>
            <w:tcW w:w="15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0"/>
        </w:trPr>
        <w:tc>
          <w:tcPr>
            <w:tcW w:w="2900" w:type="dxa"/>
            <w:vAlign w:val="bottom"/>
          </w:tcPr>
          <w:p>
            <w:pPr>
              <w:ind w:left="180"/>
              <w:spacing w:after="0"/>
              <w:rPr>
                <w:sz w:val="20"/>
                <w:szCs w:val="20"/>
                <w:color w:val="auto"/>
              </w:rPr>
            </w:pPr>
            <w:r>
              <w:rPr>
                <w:rFonts w:ascii="Arial" w:cs="Arial" w:eastAsia="Arial" w:hAnsi="Arial"/>
                <w:sz w:val="16"/>
                <w:szCs w:val="16"/>
                <w:color w:val="auto"/>
              </w:rPr>
              <w:t>Trade names and trademarks</w:t>
            </w:r>
          </w:p>
        </w:tc>
        <w:tc>
          <w:tcPr>
            <w:tcW w:w="1580" w:type="dxa"/>
            <w:vAlign w:val="bottom"/>
          </w:tcPr>
          <w:p>
            <w:pPr>
              <w:spacing w:after="0"/>
              <w:rPr>
                <w:sz w:val="23"/>
                <w:szCs w:val="23"/>
                <w:color w:val="auto"/>
              </w:rPr>
            </w:pPr>
          </w:p>
        </w:tc>
        <w:tc>
          <w:tcPr>
            <w:tcW w:w="180" w:type="dxa"/>
            <w:vAlign w:val="bottom"/>
          </w:tcPr>
          <w:p>
            <w:pPr>
              <w:jc w:val="right"/>
              <w:spacing w:after="0"/>
              <w:rPr>
                <w:sz w:val="20"/>
                <w:szCs w:val="20"/>
                <w:color w:val="auto"/>
              </w:rPr>
            </w:pPr>
            <w:r>
              <w:rPr>
                <w:rFonts w:ascii="Arial" w:cs="Arial" w:eastAsia="Arial" w:hAnsi="Arial"/>
                <w:sz w:val="16"/>
                <w:szCs w:val="16"/>
                <w:b w:val="1"/>
                <w:bCs w:val="1"/>
                <w:color w:val="auto"/>
              </w:rPr>
              <w:t>$</w:t>
            </w:r>
          </w:p>
        </w:tc>
        <w:tc>
          <w:tcPr>
            <w:tcW w:w="880" w:type="dxa"/>
            <w:vAlign w:val="bottom"/>
          </w:tcPr>
          <w:p>
            <w:pPr>
              <w:jc w:val="right"/>
              <w:ind w:right="41"/>
              <w:spacing w:after="0"/>
              <w:rPr>
                <w:sz w:val="20"/>
                <w:szCs w:val="20"/>
                <w:color w:val="auto"/>
              </w:rPr>
            </w:pPr>
            <w:r>
              <w:rPr>
                <w:rFonts w:ascii="Arial" w:cs="Arial" w:eastAsia="Arial" w:hAnsi="Arial"/>
                <w:sz w:val="16"/>
                <w:szCs w:val="16"/>
                <w:b w:val="1"/>
                <w:bCs w:val="1"/>
                <w:color w:val="auto"/>
              </w:rPr>
              <w:t>82,745</w:t>
            </w:r>
          </w:p>
        </w:tc>
        <w:tc>
          <w:tcPr>
            <w:tcW w:w="240" w:type="dxa"/>
            <w:vAlign w:val="bottom"/>
          </w:tcPr>
          <w:p>
            <w:pPr>
              <w:spacing w:after="0"/>
              <w:rPr>
                <w:sz w:val="23"/>
                <w:szCs w:val="23"/>
                <w:color w:val="auto"/>
              </w:rPr>
            </w:pPr>
          </w:p>
        </w:tc>
        <w:tc>
          <w:tcPr>
            <w:tcW w:w="11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960" w:type="dxa"/>
            <w:vAlign w:val="bottom"/>
          </w:tcPr>
          <w:p>
            <w:pPr>
              <w:spacing w:after="0"/>
              <w:rPr>
                <w:sz w:val="23"/>
                <w:szCs w:val="23"/>
                <w:color w:val="auto"/>
              </w:rPr>
            </w:pPr>
          </w:p>
        </w:tc>
        <w:tc>
          <w:tcPr>
            <w:tcW w:w="160" w:type="dxa"/>
            <w:vAlign w:val="bottom"/>
          </w:tcPr>
          <w:p>
            <w:pPr>
              <w:jc w:val="right"/>
              <w:spacing w:after="0"/>
              <w:rPr>
                <w:sz w:val="20"/>
                <w:szCs w:val="20"/>
                <w:color w:val="auto"/>
              </w:rPr>
            </w:pPr>
            <w:r>
              <w:rPr>
                <w:rFonts w:ascii="Arial" w:cs="Arial" w:eastAsia="Arial" w:hAnsi="Arial"/>
                <w:sz w:val="16"/>
                <w:szCs w:val="16"/>
                <w:color w:val="auto"/>
              </w:rPr>
              <w:t>$</w:t>
            </w:r>
          </w:p>
        </w:tc>
        <w:tc>
          <w:tcPr>
            <w:tcW w:w="860" w:type="dxa"/>
            <w:vAlign w:val="bottom"/>
          </w:tcPr>
          <w:p>
            <w:pPr>
              <w:jc w:val="right"/>
              <w:ind w:right="21"/>
              <w:spacing w:after="0"/>
              <w:rPr>
                <w:sz w:val="20"/>
                <w:szCs w:val="20"/>
                <w:color w:val="auto"/>
              </w:rPr>
            </w:pPr>
            <w:r>
              <w:rPr>
                <w:rFonts w:ascii="Arial" w:cs="Arial" w:eastAsia="Arial" w:hAnsi="Arial"/>
                <w:sz w:val="16"/>
                <w:szCs w:val="16"/>
                <w:color w:val="auto"/>
              </w:rPr>
              <w:t>65,192</w:t>
            </w:r>
          </w:p>
        </w:tc>
        <w:tc>
          <w:tcPr>
            <w:tcW w:w="240" w:type="dxa"/>
            <w:vAlign w:val="bottom"/>
          </w:tcPr>
          <w:p>
            <w:pPr>
              <w:spacing w:after="0"/>
              <w:rPr>
                <w:sz w:val="23"/>
                <w:szCs w:val="23"/>
                <w:color w:val="auto"/>
              </w:rPr>
            </w:pPr>
          </w:p>
        </w:tc>
        <w:tc>
          <w:tcPr>
            <w:tcW w:w="10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2900" w:type="dxa"/>
            <w:vAlign w:val="bottom"/>
          </w:tcPr>
          <w:p>
            <w:pPr>
              <w:ind w:left="180"/>
              <w:spacing w:after="0"/>
              <w:rPr>
                <w:sz w:val="20"/>
                <w:szCs w:val="20"/>
                <w:color w:val="auto"/>
              </w:rPr>
            </w:pPr>
            <w:r>
              <w:rPr>
                <w:rFonts w:ascii="Arial" w:cs="Arial" w:eastAsia="Arial" w:hAnsi="Arial"/>
                <w:sz w:val="16"/>
                <w:szCs w:val="16"/>
                <w:color w:val="auto"/>
              </w:rPr>
              <w:t>FCC licenses</w:t>
            </w:r>
          </w:p>
        </w:tc>
        <w:tc>
          <w:tcPr>
            <w:tcW w:w="158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880" w:type="dxa"/>
            <w:vAlign w:val="bottom"/>
          </w:tcPr>
          <w:p>
            <w:pPr>
              <w:jc w:val="right"/>
              <w:ind w:right="41"/>
              <w:spacing w:after="0"/>
              <w:rPr>
                <w:sz w:val="20"/>
                <w:szCs w:val="20"/>
                <w:color w:val="auto"/>
              </w:rPr>
            </w:pPr>
            <w:r>
              <w:rPr>
                <w:rFonts w:ascii="Arial" w:cs="Arial" w:eastAsia="Arial" w:hAnsi="Arial"/>
                <w:sz w:val="16"/>
                <w:szCs w:val="16"/>
                <w:b w:val="1"/>
                <w:bCs w:val="1"/>
                <w:color w:val="auto"/>
              </w:rPr>
              <w:t>18,800</w:t>
            </w:r>
          </w:p>
        </w:tc>
        <w:tc>
          <w:tcPr>
            <w:tcW w:w="240" w:type="dxa"/>
            <w:vAlign w:val="bottom"/>
          </w:tcPr>
          <w:p>
            <w:pPr>
              <w:spacing w:after="0"/>
              <w:rPr>
                <w:sz w:val="23"/>
                <w:szCs w:val="23"/>
                <w:color w:val="auto"/>
              </w:rPr>
            </w:pPr>
          </w:p>
        </w:tc>
        <w:tc>
          <w:tcPr>
            <w:tcW w:w="11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96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860" w:type="dxa"/>
            <w:vAlign w:val="bottom"/>
          </w:tcPr>
          <w:p>
            <w:pPr>
              <w:jc w:val="right"/>
              <w:ind w:right="21"/>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23"/>
                <w:szCs w:val="23"/>
                <w:color w:val="auto"/>
              </w:rPr>
            </w:pPr>
          </w:p>
        </w:tc>
        <w:tc>
          <w:tcPr>
            <w:tcW w:w="10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83"/>
        </w:trPr>
        <w:tc>
          <w:tcPr>
            <w:tcW w:w="2900" w:type="dxa"/>
            <w:vAlign w:val="bottom"/>
          </w:tcPr>
          <w:p>
            <w:pPr>
              <w:ind w:left="180"/>
              <w:spacing w:after="0"/>
              <w:rPr>
                <w:sz w:val="20"/>
                <w:szCs w:val="20"/>
                <w:color w:val="auto"/>
              </w:rPr>
            </w:pPr>
            <w:r>
              <w:rPr>
                <w:rFonts w:ascii="Arial" w:cs="Arial" w:eastAsia="Arial" w:hAnsi="Arial"/>
                <w:sz w:val="16"/>
                <w:szCs w:val="16"/>
                <w:color w:val="auto"/>
              </w:rPr>
              <w:t>Licensure and accreditation</w:t>
            </w:r>
          </w:p>
        </w:tc>
        <w:tc>
          <w:tcPr>
            <w:tcW w:w="158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jc w:val="right"/>
              <w:ind w:right="41"/>
              <w:spacing w:after="0"/>
              <w:rPr>
                <w:sz w:val="20"/>
                <w:szCs w:val="20"/>
                <w:color w:val="auto"/>
              </w:rPr>
            </w:pPr>
            <w:r>
              <w:rPr>
                <w:rFonts w:ascii="Arial" w:cs="Arial" w:eastAsia="Arial" w:hAnsi="Arial"/>
                <w:sz w:val="16"/>
                <w:szCs w:val="16"/>
                <w:b w:val="1"/>
                <w:bCs w:val="1"/>
                <w:color w:val="auto"/>
              </w:rPr>
              <w:t>650</w:t>
            </w:r>
          </w:p>
        </w:tc>
        <w:tc>
          <w:tcPr>
            <w:tcW w:w="2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jc w:val="right"/>
              <w:ind w:right="21"/>
              <w:spacing w:after="0"/>
              <w:rPr>
                <w:sz w:val="20"/>
                <w:szCs w:val="20"/>
                <w:color w:val="auto"/>
              </w:rPr>
            </w:pPr>
            <w:r>
              <w:rPr>
                <w:rFonts w:ascii="Arial" w:cs="Arial" w:eastAsia="Arial" w:hAnsi="Arial"/>
                <w:sz w:val="16"/>
                <w:szCs w:val="16"/>
                <w:color w:val="auto"/>
              </w:rPr>
              <w:t>834</w:t>
            </w:r>
          </w:p>
        </w:tc>
        <w:tc>
          <w:tcPr>
            <w:tcW w:w="2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2900" w:type="dxa"/>
            <w:vAlign w:val="bottom"/>
          </w:tcPr>
          <w:p>
            <w:pPr>
              <w:spacing w:after="0"/>
              <w:rPr>
                <w:sz w:val="20"/>
                <w:szCs w:val="20"/>
                <w:color w:val="auto"/>
              </w:rPr>
            </w:pPr>
          </w:p>
        </w:tc>
        <w:tc>
          <w:tcPr>
            <w:tcW w:w="1580" w:type="dxa"/>
            <w:vAlign w:val="bottom"/>
          </w:tcPr>
          <w:p>
            <w:pPr>
              <w:spacing w:after="0"/>
              <w:rPr>
                <w:sz w:val="20"/>
                <w:szCs w:val="20"/>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w:t>
            </w:r>
          </w:p>
        </w:tc>
        <w:tc>
          <w:tcPr>
            <w:tcW w:w="880" w:type="dxa"/>
            <w:vAlign w:val="bottom"/>
            <w:tcBorders>
              <w:bottom w:val="single" w:sz="8" w:color="auto"/>
            </w:tcBorders>
          </w:tcPr>
          <w:p>
            <w:pPr>
              <w:jc w:val="right"/>
              <w:ind w:right="41"/>
              <w:spacing w:after="0"/>
              <w:rPr>
                <w:sz w:val="20"/>
                <w:szCs w:val="20"/>
                <w:color w:val="auto"/>
              </w:rPr>
            </w:pPr>
            <w:r>
              <w:rPr>
                <w:rFonts w:ascii="Arial" w:cs="Arial" w:eastAsia="Arial" w:hAnsi="Arial"/>
                <w:sz w:val="16"/>
                <w:szCs w:val="16"/>
                <w:b w:val="1"/>
                <w:bCs w:val="1"/>
                <w:color w:val="auto"/>
              </w:rPr>
              <w:t>102,195</w:t>
            </w:r>
          </w:p>
        </w:tc>
        <w:tc>
          <w:tcPr>
            <w:tcW w:w="24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860" w:type="dxa"/>
            <w:vAlign w:val="bottom"/>
            <w:tcBorders>
              <w:bottom w:val="single" w:sz="8" w:color="auto"/>
            </w:tcBorders>
          </w:tcPr>
          <w:p>
            <w:pPr>
              <w:jc w:val="right"/>
              <w:ind w:right="21"/>
              <w:spacing w:after="0"/>
              <w:rPr>
                <w:sz w:val="20"/>
                <w:szCs w:val="20"/>
                <w:color w:val="auto"/>
              </w:rPr>
            </w:pPr>
            <w:r>
              <w:rPr>
                <w:rFonts w:ascii="Arial" w:cs="Arial" w:eastAsia="Arial" w:hAnsi="Arial"/>
                <w:sz w:val="16"/>
                <w:szCs w:val="16"/>
                <w:color w:val="auto"/>
              </w:rPr>
              <w:t>66,026</w:t>
            </w:r>
          </w:p>
        </w:tc>
        <w:tc>
          <w:tcPr>
            <w:tcW w:w="24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2900" w:type="dxa"/>
            <w:vAlign w:val="bottom"/>
            <w:vMerge w:val="restart"/>
          </w:tcPr>
          <w:p>
            <w:pPr>
              <w:spacing w:after="0"/>
              <w:rPr>
                <w:sz w:val="20"/>
                <w:szCs w:val="20"/>
                <w:color w:val="auto"/>
              </w:rPr>
            </w:pPr>
            <w:r>
              <w:rPr>
                <w:rFonts w:ascii="Arial" w:cs="Arial" w:eastAsia="Arial" w:hAnsi="Arial"/>
                <w:sz w:val="14"/>
                <w:szCs w:val="14"/>
                <w:color w:val="auto"/>
              </w:rPr>
              <w:t>____________</w:t>
            </w:r>
          </w:p>
        </w:tc>
        <w:tc>
          <w:tcPr>
            <w:tcW w:w="15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1"/>
        </w:trPr>
        <w:tc>
          <w:tcPr>
            <w:tcW w:w="2900" w:type="dxa"/>
            <w:vAlign w:val="bottom"/>
            <w:vMerge w:val="continue"/>
          </w:tcPr>
          <w:p>
            <w:pPr>
              <w:spacing w:after="0"/>
              <w:rPr>
                <w:sz w:val="13"/>
                <w:szCs w:val="13"/>
                <w:color w:val="auto"/>
              </w:rPr>
            </w:pPr>
          </w:p>
        </w:tc>
        <w:tc>
          <w:tcPr>
            <w:tcW w:w="15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138" w:lineRule="exact"/>
        <w:rPr>
          <w:sz w:val="20"/>
          <w:szCs w:val="20"/>
          <w:color w:val="auto"/>
        </w:rPr>
      </w:pPr>
    </w:p>
    <w:p>
      <w:pPr>
        <w:ind w:left="420" w:hanging="412"/>
        <w:spacing w:after="0"/>
        <w:tabs>
          <w:tab w:leader="none" w:pos="420" w:val="left"/>
        </w:tabs>
        <w:numPr>
          <w:ilvl w:val="0"/>
          <w:numId w:val="69"/>
        </w:numPr>
        <w:rPr>
          <w:rFonts w:ascii="Arial" w:cs="Arial" w:eastAsia="Arial" w:hAnsi="Arial"/>
          <w:sz w:val="14"/>
          <w:szCs w:val="14"/>
          <w:color w:val="auto"/>
        </w:rPr>
      </w:pPr>
      <w:r>
        <w:rPr>
          <w:rFonts w:ascii="Arial" w:cs="Arial" w:eastAsia="Arial" w:hAnsi="Arial"/>
          <w:sz w:val="14"/>
          <w:szCs w:val="14"/>
          <w:color w:val="auto"/>
        </w:rPr>
        <w:t>As of December 31, 2016, the student and customer relationships’ minimum useful life was 2 years, and the databases and technology’s maximum useful life was 5 years.</w:t>
      </w:r>
    </w:p>
    <w:p>
      <w:pPr>
        <w:spacing w:after="0" w:line="122" w:lineRule="exact"/>
        <w:rPr>
          <w:sz w:val="20"/>
          <w:szCs w:val="20"/>
          <w:color w:val="auto"/>
        </w:rPr>
      </w:pPr>
    </w:p>
    <w:p>
      <w:pPr>
        <w:ind w:left="500" w:hanging="492"/>
        <w:spacing w:after="0"/>
        <w:tabs>
          <w:tab w:leader="none" w:pos="500" w:val="left"/>
        </w:tabs>
        <w:numPr>
          <w:ilvl w:val="0"/>
          <w:numId w:val="70"/>
        </w:numPr>
        <w:rPr>
          <w:rFonts w:ascii="Arial" w:cs="Arial" w:eastAsia="Arial" w:hAnsi="Arial"/>
          <w:sz w:val="18"/>
          <w:szCs w:val="18"/>
          <w:b w:val="1"/>
          <w:bCs w:val="1"/>
          <w:color w:val="auto"/>
        </w:rPr>
      </w:pPr>
      <w:r>
        <w:rPr>
          <w:rFonts w:ascii="Arial" w:cs="Arial" w:eastAsia="Arial" w:hAnsi="Arial"/>
          <w:sz w:val="18"/>
          <w:szCs w:val="18"/>
          <w:b w:val="1"/>
          <w:bCs w:val="1"/>
          <w:color w:val="auto"/>
        </w:rPr>
        <w:t>INCOME TAXES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color w:val="auto"/>
        </w:rPr>
        <w:t>Income (loss) from continuing operations before income taxes consists of the following:</w:t>
      </w:r>
    </w:p>
    <w:p>
      <w:pPr>
        <w:spacing w:after="0" w:line="199"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778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2540" w:type="dxa"/>
            <w:vAlign w:val="bottom"/>
            <w:tcBorders>
              <w:bottom w:val="single" w:sz="8" w:color="auto"/>
            </w:tcBorders>
            <w:gridSpan w:val="4"/>
          </w:tcPr>
          <w:p>
            <w:pPr>
              <w:jc w:val="right"/>
              <w:ind w:right="19"/>
              <w:spacing w:after="0"/>
              <w:rPr>
                <w:sz w:val="20"/>
                <w:szCs w:val="20"/>
                <w:color w:val="auto"/>
              </w:rPr>
            </w:pPr>
            <w:r>
              <w:rPr>
                <w:rFonts w:ascii="Arial" w:cs="Arial" w:eastAsia="Arial" w:hAnsi="Arial"/>
                <w:sz w:val="14"/>
                <w:szCs w:val="14"/>
                <w:b w:val="1"/>
                <w:bCs w:val="1"/>
                <w:color w:val="auto"/>
              </w:rPr>
              <w:t>Year Ended December 31</w:t>
            </w:r>
          </w:p>
        </w:tc>
        <w:tc>
          <w:tcPr>
            <w:tcW w:w="840" w:type="dxa"/>
            <w:vAlign w:val="bottom"/>
            <w:tcBorders>
              <w:bottom w:val="single" w:sz="8" w:color="auto"/>
            </w:tcBorders>
          </w:tcPr>
          <w:p>
            <w:pPr>
              <w:spacing w:after="0"/>
              <w:rPr>
                <w:sz w:val="17"/>
                <w:szCs w:val="17"/>
                <w:color w:val="auto"/>
              </w:rPr>
            </w:pPr>
          </w:p>
        </w:tc>
      </w:tr>
      <w:tr>
        <w:trPr>
          <w:trHeight w:val="264"/>
        </w:trPr>
        <w:tc>
          <w:tcPr>
            <w:tcW w:w="778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(in thousands)</w:t>
            </w:r>
          </w:p>
        </w:tc>
        <w:tc>
          <w:tcPr>
            <w:tcW w:w="26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ind w:right="343"/>
              <w:spacing w:after="0"/>
              <w:rPr>
                <w:sz w:val="20"/>
                <w:szCs w:val="20"/>
                <w:color w:val="auto"/>
              </w:rPr>
            </w:pPr>
            <w:r>
              <w:rPr>
                <w:rFonts w:ascii="Arial" w:cs="Arial" w:eastAsia="Arial" w:hAnsi="Arial"/>
                <w:sz w:val="14"/>
                <w:szCs w:val="14"/>
                <w:b w:val="1"/>
                <w:bCs w:val="1"/>
                <w:color w:val="auto"/>
              </w:rPr>
              <w:t>2017</w:t>
            </w:r>
          </w:p>
        </w:tc>
        <w:tc>
          <w:tcPr>
            <w:tcW w:w="36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ind w:right="341"/>
              <w:spacing w:after="0"/>
              <w:rPr>
                <w:sz w:val="20"/>
                <w:szCs w:val="20"/>
                <w:color w:val="auto"/>
              </w:rPr>
            </w:pPr>
            <w:r>
              <w:rPr>
                <w:rFonts w:ascii="Arial" w:cs="Arial" w:eastAsia="Arial" w:hAnsi="Arial"/>
                <w:sz w:val="14"/>
                <w:szCs w:val="14"/>
                <w:color w:val="auto"/>
              </w:rPr>
              <w:t>2016</w:t>
            </w:r>
          </w:p>
        </w:tc>
        <w:tc>
          <w:tcPr>
            <w:tcW w:w="380" w:type="dxa"/>
            <w:vAlign w:val="bottom"/>
            <w:tcBorders>
              <w:bottom w:val="single" w:sz="8" w:color="auto"/>
            </w:tcBorders>
          </w:tcPr>
          <w:p>
            <w:pPr>
              <w:spacing w:after="0"/>
              <w:rPr>
                <w:sz w:val="22"/>
                <w:szCs w:val="22"/>
                <w:color w:val="auto"/>
              </w:rPr>
            </w:pPr>
          </w:p>
        </w:tc>
        <w:tc>
          <w:tcPr>
            <w:tcW w:w="840" w:type="dxa"/>
            <w:vAlign w:val="bottom"/>
            <w:tcBorders>
              <w:bottom w:val="single" w:sz="8" w:color="auto"/>
            </w:tcBorders>
          </w:tcPr>
          <w:p>
            <w:pPr>
              <w:jc w:val="right"/>
              <w:ind w:right="321"/>
              <w:spacing w:after="0"/>
              <w:rPr>
                <w:sz w:val="20"/>
                <w:szCs w:val="20"/>
                <w:color w:val="auto"/>
              </w:rPr>
            </w:pPr>
            <w:r>
              <w:rPr>
                <w:rFonts w:ascii="Arial" w:cs="Arial" w:eastAsia="Arial" w:hAnsi="Arial"/>
                <w:sz w:val="14"/>
                <w:szCs w:val="14"/>
                <w:color w:val="auto"/>
              </w:rPr>
              <w:t>2015</w:t>
            </w:r>
          </w:p>
        </w:tc>
      </w:tr>
      <w:tr>
        <w:trPr>
          <w:trHeight w:val="250"/>
        </w:trPr>
        <w:tc>
          <w:tcPr>
            <w:tcW w:w="7780" w:type="dxa"/>
            <w:vAlign w:val="bottom"/>
          </w:tcPr>
          <w:p>
            <w:pPr>
              <w:ind w:left="40"/>
              <w:spacing w:after="0"/>
              <w:rPr>
                <w:sz w:val="20"/>
                <w:szCs w:val="20"/>
                <w:color w:val="auto"/>
              </w:rPr>
            </w:pPr>
            <w:r>
              <w:rPr>
                <w:rFonts w:ascii="Arial" w:cs="Arial" w:eastAsia="Arial" w:hAnsi="Arial"/>
                <w:sz w:val="16"/>
                <w:szCs w:val="16"/>
                <w:color w:val="auto"/>
              </w:rPr>
              <w:t>U.S.</w:t>
            </w:r>
          </w:p>
        </w:tc>
        <w:tc>
          <w:tcPr>
            <w:tcW w:w="260" w:type="dxa"/>
            <w:vAlign w:val="bottom"/>
          </w:tcPr>
          <w:p>
            <w:pPr>
              <w:jc w:val="right"/>
              <w:ind w:right="59"/>
              <w:spacing w:after="0"/>
              <w:rPr>
                <w:sz w:val="20"/>
                <w:szCs w:val="20"/>
                <w:color w:val="auto"/>
              </w:rPr>
            </w:pPr>
            <w:r>
              <w:rPr>
                <w:rFonts w:ascii="Arial" w:cs="Arial" w:eastAsia="Arial" w:hAnsi="Arial"/>
                <w:sz w:val="16"/>
                <w:szCs w:val="16"/>
                <w:b w:val="1"/>
                <w:bCs w:val="1"/>
                <w:color w:val="auto"/>
              </w:rPr>
              <w:t>$</w:t>
            </w:r>
          </w:p>
        </w:tc>
        <w:tc>
          <w:tcPr>
            <w:tcW w:w="900" w:type="dxa"/>
            <w:vAlign w:val="bottom"/>
          </w:tcPr>
          <w:p>
            <w:pPr>
              <w:jc w:val="right"/>
              <w:ind w:right="43"/>
              <w:spacing w:after="0"/>
              <w:rPr>
                <w:sz w:val="20"/>
                <w:szCs w:val="20"/>
                <w:color w:val="auto"/>
              </w:rPr>
            </w:pPr>
            <w:r>
              <w:rPr>
                <w:rFonts w:ascii="Arial" w:cs="Arial" w:eastAsia="Arial" w:hAnsi="Arial"/>
                <w:sz w:val="16"/>
                <w:szCs w:val="16"/>
                <w:b w:val="1"/>
                <w:bCs w:val="1"/>
                <w:color w:val="auto"/>
              </w:rPr>
              <w:t>134,276</w:t>
            </w:r>
          </w:p>
        </w:tc>
        <w:tc>
          <w:tcPr>
            <w:tcW w:w="36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900" w:type="dxa"/>
            <w:vAlign w:val="bottom"/>
          </w:tcPr>
          <w:p>
            <w:pPr>
              <w:jc w:val="right"/>
              <w:ind w:right="61"/>
              <w:spacing w:after="0"/>
              <w:rPr>
                <w:sz w:val="20"/>
                <w:szCs w:val="20"/>
                <w:color w:val="auto"/>
              </w:rPr>
            </w:pPr>
            <w:r>
              <w:rPr>
                <w:rFonts w:ascii="Arial" w:cs="Arial" w:eastAsia="Arial" w:hAnsi="Arial"/>
                <w:sz w:val="16"/>
                <w:szCs w:val="16"/>
                <w:color w:val="auto"/>
              </w:rPr>
              <w:t>227,457</w:t>
            </w:r>
          </w:p>
        </w:tc>
        <w:tc>
          <w:tcPr>
            <w:tcW w:w="380" w:type="dxa"/>
            <w:vAlign w:val="bottom"/>
          </w:tcPr>
          <w:p>
            <w:pPr>
              <w:jc w:val="right"/>
              <w:ind w:right="99"/>
              <w:spacing w:after="0"/>
              <w:rPr>
                <w:sz w:val="20"/>
                <w:szCs w:val="20"/>
                <w:color w:val="auto"/>
              </w:rPr>
            </w:pPr>
            <w:r>
              <w:rPr>
                <w:rFonts w:ascii="Arial" w:cs="Arial" w:eastAsia="Arial" w:hAnsi="Arial"/>
                <w:sz w:val="16"/>
                <w:szCs w:val="16"/>
                <w:color w:val="auto"/>
              </w:rPr>
              <w:t>$</w:t>
            </w:r>
          </w:p>
        </w:tc>
        <w:tc>
          <w:tcPr>
            <w:tcW w:w="840" w:type="dxa"/>
            <w:vAlign w:val="bottom"/>
          </w:tcPr>
          <w:p>
            <w:pPr>
              <w:jc w:val="right"/>
              <w:spacing w:after="0"/>
              <w:rPr>
                <w:sz w:val="20"/>
                <w:szCs w:val="20"/>
                <w:color w:val="auto"/>
              </w:rPr>
            </w:pPr>
            <w:r>
              <w:rPr>
                <w:rFonts w:ascii="Arial" w:cs="Arial" w:eastAsia="Arial" w:hAnsi="Arial"/>
                <w:sz w:val="16"/>
                <w:szCs w:val="16"/>
                <w:color w:val="auto"/>
              </w:rPr>
              <w:t>(142,705)</w:t>
            </w:r>
          </w:p>
        </w:tc>
      </w:tr>
      <w:tr>
        <w:trPr>
          <w:trHeight w:val="283"/>
        </w:trPr>
        <w:tc>
          <w:tcPr>
            <w:tcW w:w="7780" w:type="dxa"/>
            <w:vAlign w:val="bottom"/>
          </w:tcPr>
          <w:p>
            <w:pPr>
              <w:ind w:left="40"/>
              <w:spacing w:after="0"/>
              <w:rPr>
                <w:sz w:val="20"/>
                <w:szCs w:val="20"/>
                <w:color w:val="auto"/>
              </w:rPr>
            </w:pPr>
            <w:r>
              <w:rPr>
                <w:rFonts w:ascii="Arial" w:cs="Arial" w:eastAsia="Arial" w:hAnsi="Arial"/>
                <w:sz w:val="16"/>
                <w:szCs w:val="16"/>
                <w:color w:val="auto"/>
              </w:rPr>
              <w:t>Non-U.S.</w:t>
            </w:r>
          </w:p>
        </w:tc>
        <w:tc>
          <w:tcPr>
            <w:tcW w:w="26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jc w:val="right"/>
              <w:ind w:right="43"/>
              <w:spacing w:after="0"/>
              <w:rPr>
                <w:sz w:val="20"/>
                <w:szCs w:val="20"/>
                <w:color w:val="auto"/>
              </w:rPr>
            </w:pPr>
            <w:r>
              <w:rPr>
                <w:rFonts w:ascii="Arial" w:cs="Arial" w:eastAsia="Arial" w:hAnsi="Arial"/>
                <w:sz w:val="16"/>
                <w:szCs w:val="16"/>
                <w:b w:val="1"/>
                <w:bCs w:val="1"/>
                <w:color w:val="auto"/>
              </w:rPr>
              <w:t>48,513</w:t>
            </w:r>
          </w:p>
        </w:tc>
        <w:tc>
          <w:tcPr>
            <w:tcW w:w="36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jc w:val="right"/>
              <w:ind w:right="61"/>
              <w:spacing w:after="0"/>
              <w:rPr>
                <w:sz w:val="20"/>
                <w:szCs w:val="20"/>
                <w:color w:val="auto"/>
              </w:rPr>
            </w:pPr>
            <w:r>
              <w:rPr>
                <w:rFonts w:ascii="Arial" w:cs="Arial" w:eastAsia="Arial" w:hAnsi="Arial"/>
                <w:sz w:val="16"/>
                <w:szCs w:val="16"/>
                <w:color w:val="auto"/>
              </w:rPr>
              <w:t>23,201</w:t>
            </w:r>
          </w:p>
        </w:tc>
        <w:tc>
          <w:tcPr>
            <w:tcW w:w="38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jc w:val="right"/>
              <w:ind w:right="21"/>
              <w:spacing w:after="0"/>
              <w:rPr>
                <w:sz w:val="20"/>
                <w:szCs w:val="20"/>
                <w:color w:val="auto"/>
              </w:rPr>
            </w:pPr>
            <w:r>
              <w:rPr>
                <w:rFonts w:ascii="Arial" w:cs="Arial" w:eastAsia="Arial" w:hAnsi="Arial"/>
                <w:sz w:val="16"/>
                <w:szCs w:val="16"/>
                <w:color w:val="auto"/>
              </w:rPr>
              <w:t>21,815</w:t>
            </w:r>
          </w:p>
        </w:tc>
      </w:tr>
      <w:tr>
        <w:trPr>
          <w:trHeight w:val="264"/>
        </w:trPr>
        <w:tc>
          <w:tcPr>
            <w:tcW w:w="7780" w:type="dxa"/>
            <w:vAlign w:val="bottom"/>
          </w:tcPr>
          <w:p>
            <w:pPr>
              <w:spacing w:after="0"/>
              <w:rPr>
                <w:sz w:val="22"/>
                <w:szCs w:val="22"/>
                <w:color w:val="auto"/>
              </w:rPr>
            </w:pPr>
          </w:p>
        </w:tc>
        <w:tc>
          <w:tcPr>
            <w:tcW w:w="26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b w:val="1"/>
                <w:bCs w:val="1"/>
                <w:color w:val="auto"/>
              </w:rPr>
              <w:t>$</w:t>
            </w:r>
          </w:p>
        </w:tc>
        <w:tc>
          <w:tcPr>
            <w:tcW w:w="900" w:type="dxa"/>
            <w:vAlign w:val="bottom"/>
            <w:tcBorders>
              <w:bottom w:val="single" w:sz="8" w:color="auto"/>
            </w:tcBorders>
          </w:tcPr>
          <w:p>
            <w:pPr>
              <w:jc w:val="right"/>
              <w:ind w:right="43"/>
              <w:spacing w:after="0"/>
              <w:rPr>
                <w:sz w:val="20"/>
                <w:szCs w:val="20"/>
                <w:color w:val="auto"/>
              </w:rPr>
            </w:pPr>
            <w:r>
              <w:rPr>
                <w:rFonts w:ascii="Arial" w:cs="Arial" w:eastAsia="Arial" w:hAnsi="Arial"/>
                <w:sz w:val="16"/>
                <w:szCs w:val="16"/>
                <w:b w:val="1"/>
                <w:bCs w:val="1"/>
                <w:color w:val="auto"/>
              </w:rPr>
              <w:t>182,789</w:t>
            </w:r>
          </w:p>
        </w:tc>
        <w:tc>
          <w:tcPr>
            <w:tcW w:w="36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w:t>
            </w:r>
          </w:p>
        </w:tc>
        <w:tc>
          <w:tcPr>
            <w:tcW w:w="900" w:type="dxa"/>
            <w:vAlign w:val="bottom"/>
            <w:tcBorders>
              <w:bottom w:val="single" w:sz="8" w:color="auto"/>
            </w:tcBorders>
          </w:tcPr>
          <w:p>
            <w:pPr>
              <w:jc w:val="right"/>
              <w:ind w:right="61"/>
              <w:spacing w:after="0"/>
              <w:rPr>
                <w:sz w:val="20"/>
                <w:szCs w:val="20"/>
                <w:color w:val="auto"/>
              </w:rPr>
            </w:pPr>
            <w:r>
              <w:rPr>
                <w:rFonts w:ascii="Arial" w:cs="Arial" w:eastAsia="Arial" w:hAnsi="Arial"/>
                <w:sz w:val="16"/>
                <w:szCs w:val="16"/>
                <w:color w:val="auto"/>
              </w:rPr>
              <w:t>250,658</w:t>
            </w:r>
          </w:p>
        </w:tc>
        <w:tc>
          <w:tcPr>
            <w:tcW w:w="38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(120,890)</w:t>
            </w:r>
          </w:p>
        </w:tc>
      </w:tr>
      <w:tr>
        <w:trPr>
          <w:trHeight w:val="20"/>
        </w:trPr>
        <w:tc>
          <w:tcPr>
            <w:tcW w:w="77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746" w:right="239" w:bottom="1440" w:gutter="0" w:footer="0" w:header="0"/>
        </w:sectPr>
      </w:pPr>
    </w:p>
    <w:p>
      <w:pPr>
        <w:spacing w:after="0" w:line="312"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91</w:t>
      </w:r>
    </w:p>
    <w:p>
      <w:pPr>
        <w:sectPr>
          <w:pgSz w:w="11900" w:h="16838" w:orient="portrait"/>
          <w:cols w:equalWidth="0" w:num="1">
            <w:col w:w="11420"/>
          </w:cols>
          <w:pgMar w:left="240" w:top="746" w:right="239" w:bottom="1440" w:gutter="0" w:footer="0" w:header="0"/>
          <w:type w:val="continuous"/>
        </w:sectPr>
      </w:pPr>
    </w:p>
    <w:bookmarkStart w:id="94" w:name="page95"/>
    <w:bookmarkEnd w:id="94"/>
    <w:p>
      <w:pPr>
        <w:spacing w:after="0"/>
        <w:rPr>
          <w:sz w:val="20"/>
          <w:szCs w:val="20"/>
          <w:color w:val="auto"/>
        </w:rPr>
      </w:pPr>
      <w:r>
        <w:rPr>
          <w:rFonts w:ascii="Arial" w:cs="Arial" w:eastAsia="Arial" w:hAnsi="Arial"/>
          <w:sz w:val="18"/>
          <w:szCs w:val="18"/>
          <w:color w:val="auto"/>
        </w:rPr>
        <w:t>The (benefit from) provision for income taxes on income (loss) from continuing operations consists of the following:</w:t>
      </w:r>
    </w:p>
    <w:p>
      <w:pPr>
        <w:spacing w:after="0" w:line="199"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778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(in thousands)</w:t>
            </w:r>
          </w:p>
        </w:tc>
        <w:tc>
          <w:tcPr>
            <w:tcW w:w="22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ind w:right="240"/>
              <w:spacing w:after="0"/>
              <w:rPr>
                <w:sz w:val="20"/>
                <w:szCs w:val="20"/>
                <w:color w:val="auto"/>
              </w:rPr>
            </w:pPr>
            <w:r>
              <w:rPr>
                <w:rFonts w:ascii="Arial" w:cs="Arial" w:eastAsia="Arial" w:hAnsi="Arial"/>
                <w:sz w:val="14"/>
                <w:szCs w:val="14"/>
                <w:b w:val="1"/>
                <w:bCs w:val="1"/>
                <w:color w:val="auto"/>
              </w:rPr>
              <w:t>Current</w:t>
            </w:r>
          </w:p>
        </w:tc>
        <w:tc>
          <w:tcPr>
            <w:tcW w:w="30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ind w:right="240"/>
              <w:spacing w:after="0"/>
              <w:rPr>
                <w:sz w:val="20"/>
                <w:szCs w:val="20"/>
                <w:color w:val="auto"/>
              </w:rPr>
            </w:pPr>
            <w:r>
              <w:rPr>
                <w:rFonts w:ascii="Arial" w:cs="Arial" w:eastAsia="Arial" w:hAnsi="Arial"/>
                <w:sz w:val="14"/>
                <w:szCs w:val="14"/>
                <w:b w:val="1"/>
                <w:bCs w:val="1"/>
                <w:color w:val="auto"/>
              </w:rPr>
              <w:t>Deferred</w:t>
            </w:r>
          </w:p>
        </w:tc>
        <w:tc>
          <w:tcPr>
            <w:tcW w:w="32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ind w:right="32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250"/>
        </w:trPr>
        <w:tc>
          <w:tcPr>
            <w:tcW w:w="7780" w:type="dxa"/>
            <w:vAlign w:val="bottom"/>
          </w:tcPr>
          <w:p>
            <w:pPr>
              <w:ind w:left="40"/>
              <w:spacing w:after="0"/>
              <w:rPr>
                <w:sz w:val="20"/>
                <w:szCs w:val="20"/>
                <w:color w:val="auto"/>
              </w:rPr>
            </w:pPr>
            <w:r>
              <w:rPr>
                <w:rFonts w:ascii="Arial" w:cs="Arial" w:eastAsia="Arial" w:hAnsi="Arial"/>
                <w:sz w:val="16"/>
                <w:szCs w:val="16"/>
                <w:b w:val="1"/>
                <w:bCs w:val="1"/>
                <w:color w:val="auto"/>
              </w:rPr>
              <w:t>Year Ended December 31, 2017</w:t>
            </w:r>
          </w:p>
        </w:tc>
        <w:tc>
          <w:tcPr>
            <w:tcW w:w="22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0"/>
        </w:trPr>
        <w:tc>
          <w:tcPr>
            <w:tcW w:w="7780" w:type="dxa"/>
            <w:vAlign w:val="bottom"/>
          </w:tcPr>
          <w:p>
            <w:pPr>
              <w:ind w:left="40"/>
              <w:spacing w:after="0"/>
              <w:rPr>
                <w:sz w:val="20"/>
                <w:szCs w:val="20"/>
                <w:color w:val="auto"/>
              </w:rPr>
            </w:pPr>
            <w:r>
              <w:rPr>
                <w:rFonts w:ascii="Arial" w:cs="Arial" w:eastAsia="Arial" w:hAnsi="Arial"/>
                <w:sz w:val="16"/>
                <w:szCs w:val="16"/>
                <w:b w:val="1"/>
                <w:bCs w:val="1"/>
                <w:color w:val="auto"/>
              </w:rPr>
              <w:t>U.S. Federal</w:t>
            </w:r>
          </w:p>
        </w:tc>
        <w:tc>
          <w:tcPr>
            <w:tcW w:w="220" w:type="dxa"/>
            <w:vAlign w:val="bottom"/>
          </w:tcPr>
          <w:p>
            <w:pPr>
              <w:jc w:val="right"/>
              <w:ind w:right="19"/>
              <w:spacing w:after="0"/>
              <w:rPr>
                <w:sz w:val="20"/>
                <w:szCs w:val="20"/>
                <w:color w:val="auto"/>
              </w:rPr>
            </w:pPr>
            <w:r>
              <w:rPr>
                <w:rFonts w:ascii="Arial" w:cs="Arial" w:eastAsia="Arial" w:hAnsi="Arial"/>
                <w:sz w:val="16"/>
                <w:szCs w:val="16"/>
                <w:b w:val="1"/>
                <w:bCs w:val="1"/>
                <w:color w:val="auto"/>
              </w:rPr>
              <w:t>$</w:t>
            </w:r>
          </w:p>
        </w:tc>
        <w:tc>
          <w:tcPr>
            <w:tcW w:w="940" w:type="dxa"/>
            <w:vAlign w:val="bottom"/>
          </w:tcPr>
          <w:p>
            <w:pPr>
              <w:jc w:val="right"/>
              <w:ind w:right="40"/>
              <w:spacing w:after="0"/>
              <w:rPr>
                <w:sz w:val="20"/>
                <w:szCs w:val="20"/>
                <w:color w:val="auto"/>
              </w:rPr>
            </w:pPr>
            <w:r>
              <w:rPr>
                <w:rFonts w:ascii="Arial" w:cs="Arial" w:eastAsia="Arial" w:hAnsi="Arial"/>
                <w:sz w:val="16"/>
                <w:szCs w:val="16"/>
                <w:b w:val="1"/>
                <w:bCs w:val="1"/>
                <w:color w:val="auto"/>
              </w:rPr>
              <w:t>10,743</w:t>
            </w:r>
          </w:p>
        </w:tc>
        <w:tc>
          <w:tcPr>
            <w:tcW w:w="300" w:type="dxa"/>
            <w:vAlign w:val="bottom"/>
          </w:tcPr>
          <w:p>
            <w:pPr>
              <w:jc w:val="right"/>
              <w:spacing w:after="0"/>
              <w:rPr>
                <w:sz w:val="20"/>
                <w:szCs w:val="20"/>
                <w:color w:val="auto"/>
              </w:rPr>
            </w:pPr>
            <w:r>
              <w:rPr>
                <w:rFonts w:ascii="Arial" w:cs="Arial" w:eastAsia="Arial" w:hAnsi="Arial"/>
                <w:sz w:val="16"/>
                <w:szCs w:val="16"/>
                <w:b w:val="1"/>
                <w:bCs w:val="1"/>
                <w:color w:val="auto"/>
              </w:rPr>
              <w:t>$</w:t>
            </w:r>
          </w:p>
        </w:tc>
        <w:tc>
          <w:tcPr>
            <w:tcW w:w="980" w:type="dxa"/>
            <w:vAlign w:val="bottom"/>
          </w:tcPr>
          <w:p>
            <w:pPr>
              <w:jc w:val="right"/>
              <w:ind w:right="20"/>
              <w:spacing w:after="0"/>
              <w:rPr>
                <w:sz w:val="20"/>
                <w:szCs w:val="20"/>
                <w:color w:val="auto"/>
              </w:rPr>
            </w:pPr>
            <w:r>
              <w:rPr>
                <w:rFonts w:ascii="Arial" w:cs="Arial" w:eastAsia="Arial" w:hAnsi="Arial"/>
                <w:sz w:val="16"/>
                <w:szCs w:val="16"/>
                <w:b w:val="1"/>
                <w:bCs w:val="1"/>
                <w:color w:val="auto"/>
              </w:rPr>
              <w:t>(153,217)</w:t>
            </w:r>
          </w:p>
        </w:tc>
        <w:tc>
          <w:tcPr>
            <w:tcW w:w="320" w:type="dxa"/>
            <w:vAlign w:val="bottom"/>
          </w:tcPr>
          <w:p>
            <w:pPr>
              <w:jc w:val="right"/>
              <w:ind w:right="59"/>
              <w:spacing w:after="0"/>
              <w:rPr>
                <w:sz w:val="20"/>
                <w:szCs w:val="20"/>
                <w:color w:val="auto"/>
              </w:rPr>
            </w:pPr>
            <w:r>
              <w:rPr>
                <w:rFonts w:ascii="Arial" w:cs="Arial" w:eastAsia="Arial" w:hAnsi="Arial"/>
                <w:sz w:val="16"/>
                <w:szCs w:val="16"/>
                <w:b w:val="1"/>
                <w:bCs w:val="1"/>
                <w:color w:val="auto"/>
              </w:rPr>
              <w:t>$</w:t>
            </w:r>
          </w:p>
        </w:tc>
        <w:tc>
          <w:tcPr>
            <w:tcW w:w="880" w:type="dxa"/>
            <w:vAlign w:val="bottom"/>
          </w:tcPr>
          <w:p>
            <w:pPr>
              <w:jc w:val="right"/>
              <w:spacing w:after="0"/>
              <w:rPr>
                <w:sz w:val="20"/>
                <w:szCs w:val="20"/>
                <w:color w:val="auto"/>
              </w:rPr>
            </w:pPr>
            <w:r>
              <w:rPr>
                <w:rFonts w:ascii="Arial" w:cs="Arial" w:eastAsia="Arial" w:hAnsi="Arial"/>
                <w:sz w:val="16"/>
                <w:szCs w:val="16"/>
                <w:b w:val="1"/>
                <w:bCs w:val="1"/>
                <w:color w:val="auto"/>
              </w:rPr>
              <w:t>(142,474)</w:t>
            </w:r>
          </w:p>
        </w:tc>
        <w:tc>
          <w:tcPr>
            <w:tcW w:w="0" w:type="dxa"/>
            <w:vAlign w:val="bottom"/>
          </w:tcPr>
          <w:p>
            <w:pPr>
              <w:spacing w:after="0"/>
              <w:rPr>
                <w:sz w:val="1"/>
                <w:szCs w:val="1"/>
                <w:color w:val="auto"/>
              </w:rPr>
            </w:pPr>
          </w:p>
        </w:tc>
      </w:tr>
      <w:tr>
        <w:trPr>
          <w:trHeight w:val="270"/>
        </w:trPr>
        <w:tc>
          <w:tcPr>
            <w:tcW w:w="7780" w:type="dxa"/>
            <w:vAlign w:val="bottom"/>
          </w:tcPr>
          <w:p>
            <w:pPr>
              <w:ind w:left="40"/>
              <w:spacing w:after="0"/>
              <w:rPr>
                <w:sz w:val="20"/>
                <w:szCs w:val="20"/>
                <w:color w:val="auto"/>
              </w:rPr>
            </w:pPr>
            <w:r>
              <w:rPr>
                <w:rFonts w:ascii="Arial" w:cs="Arial" w:eastAsia="Arial" w:hAnsi="Arial"/>
                <w:sz w:val="16"/>
                <w:szCs w:val="16"/>
                <w:b w:val="1"/>
                <w:bCs w:val="1"/>
                <w:color w:val="auto"/>
              </w:rPr>
              <w:t>State and Local</w:t>
            </w:r>
          </w:p>
        </w:tc>
        <w:tc>
          <w:tcPr>
            <w:tcW w:w="220" w:type="dxa"/>
            <w:vAlign w:val="bottom"/>
          </w:tcPr>
          <w:p>
            <w:pPr>
              <w:spacing w:after="0"/>
              <w:rPr>
                <w:sz w:val="23"/>
                <w:szCs w:val="23"/>
                <w:color w:val="auto"/>
              </w:rPr>
            </w:pPr>
          </w:p>
        </w:tc>
        <w:tc>
          <w:tcPr>
            <w:tcW w:w="940" w:type="dxa"/>
            <w:vAlign w:val="bottom"/>
          </w:tcPr>
          <w:p>
            <w:pPr>
              <w:jc w:val="right"/>
              <w:ind w:right="40"/>
              <w:spacing w:after="0"/>
              <w:rPr>
                <w:sz w:val="20"/>
                <w:szCs w:val="20"/>
                <w:color w:val="auto"/>
              </w:rPr>
            </w:pPr>
            <w:r>
              <w:rPr>
                <w:rFonts w:ascii="Arial" w:cs="Arial" w:eastAsia="Arial" w:hAnsi="Arial"/>
                <w:sz w:val="16"/>
                <w:szCs w:val="16"/>
                <w:b w:val="1"/>
                <w:bCs w:val="1"/>
                <w:color w:val="auto"/>
              </w:rPr>
              <w:t>5,930</w:t>
            </w:r>
          </w:p>
        </w:tc>
        <w:tc>
          <w:tcPr>
            <w:tcW w:w="300" w:type="dxa"/>
            <w:vAlign w:val="bottom"/>
          </w:tcPr>
          <w:p>
            <w:pPr>
              <w:spacing w:after="0"/>
              <w:rPr>
                <w:sz w:val="23"/>
                <w:szCs w:val="23"/>
                <w:color w:val="auto"/>
              </w:rPr>
            </w:pPr>
          </w:p>
        </w:tc>
        <w:tc>
          <w:tcPr>
            <w:tcW w:w="980" w:type="dxa"/>
            <w:vAlign w:val="bottom"/>
          </w:tcPr>
          <w:p>
            <w:pPr>
              <w:jc w:val="right"/>
              <w:ind w:right="80"/>
              <w:spacing w:after="0"/>
              <w:rPr>
                <w:sz w:val="20"/>
                <w:szCs w:val="20"/>
                <w:color w:val="auto"/>
              </w:rPr>
            </w:pPr>
            <w:r>
              <w:rPr>
                <w:rFonts w:ascii="Arial" w:cs="Arial" w:eastAsia="Arial" w:hAnsi="Arial"/>
                <w:sz w:val="16"/>
                <w:szCs w:val="16"/>
                <w:b w:val="1"/>
                <w:bCs w:val="1"/>
                <w:color w:val="auto"/>
              </w:rPr>
              <w:t>3,306</w:t>
            </w:r>
          </w:p>
        </w:tc>
        <w:tc>
          <w:tcPr>
            <w:tcW w:w="320" w:type="dxa"/>
            <w:vAlign w:val="bottom"/>
          </w:tcPr>
          <w:p>
            <w:pPr>
              <w:spacing w:after="0"/>
              <w:rPr>
                <w:sz w:val="23"/>
                <w:szCs w:val="23"/>
                <w:color w:val="auto"/>
              </w:rPr>
            </w:pPr>
          </w:p>
        </w:tc>
        <w:tc>
          <w:tcPr>
            <w:tcW w:w="880" w:type="dxa"/>
            <w:vAlign w:val="bottom"/>
          </w:tcPr>
          <w:p>
            <w:pPr>
              <w:jc w:val="right"/>
              <w:ind w:right="20"/>
              <w:spacing w:after="0"/>
              <w:rPr>
                <w:sz w:val="20"/>
                <w:szCs w:val="20"/>
                <w:color w:val="auto"/>
              </w:rPr>
            </w:pPr>
            <w:r>
              <w:rPr>
                <w:rFonts w:ascii="Arial" w:cs="Arial" w:eastAsia="Arial" w:hAnsi="Arial"/>
                <w:sz w:val="16"/>
                <w:szCs w:val="16"/>
                <w:b w:val="1"/>
                <w:bCs w:val="1"/>
                <w:color w:val="auto"/>
              </w:rPr>
              <w:t>9,236</w:t>
            </w:r>
          </w:p>
        </w:tc>
        <w:tc>
          <w:tcPr>
            <w:tcW w:w="0" w:type="dxa"/>
            <w:vAlign w:val="bottom"/>
          </w:tcPr>
          <w:p>
            <w:pPr>
              <w:spacing w:after="0"/>
              <w:rPr>
                <w:sz w:val="1"/>
                <w:szCs w:val="1"/>
                <w:color w:val="auto"/>
              </w:rPr>
            </w:pPr>
          </w:p>
        </w:tc>
      </w:tr>
      <w:tr>
        <w:trPr>
          <w:trHeight w:val="283"/>
        </w:trPr>
        <w:tc>
          <w:tcPr>
            <w:tcW w:w="7780" w:type="dxa"/>
            <w:vAlign w:val="bottom"/>
          </w:tcPr>
          <w:p>
            <w:pPr>
              <w:ind w:left="40"/>
              <w:spacing w:after="0"/>
              <w:rPr>
                <w:sz w:val="20"/>
                <w:szCs w:val="20"/>
                <w:color w:val="auto"/>
              </w:rPr>
            </w:pPr>
            <w:r>
              <w:rPr>
                <w:rFonts w:ascii="Arial" w:cs="Arial" w:eastAsia="Arial" w:hAnsi="Arial"/>
                <w:sz w:val="16"/>
                <w:szCs w:val="16"/>
                <w:b w:val="1"/>
                <w:bCs w:val="1"/>
                <w:color w:val="auto"/>
              </w:rPr>
              <w:t>Non-U.S.</w:t>
            </w:r>
          </w:p>
        </w:tc>
        <w:tc>
          <w:tcPr>
            <w:tcW w:w="22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b w:val="1"/>
                <w:bCs w:val="1"/>
                <w:color w:val="auto"/>
              </w:rPr>
              <w:t>10,079</w:t>
            </w:r>
          </w:p>
        </w:tc>
        <w:tc>
          <w:tcPr>
            <w:tcW w:w="30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jc w:val="right"/>
              <w:ind w:right="80"/>
              <w:spacing w:after="0"/>
              <w:rPr>
                <w:sz w:val="20"/>
                <w:szCs w:val="20"/>
                <w:color w:val="auto"/>
              </w:rPr>
            </w:pPr>
            <w:r>
              <w:rPr>
                <w:rFonts w:ascii="Arial" w:cs="Arial" w:eastAsia="Arial" w:hAnsi="Arial"/>
                <w:sz w:val="16"/>
                <w:szCs w:val="16"/>
                <w:b w:val="1"/>
                <w:bCs w:val="1"/>
                <w:color w:val="auto"/>
              </w:rPr>
              <w:t>3,459</w:t>
            </w:r>
          </w:p>
        </w:tc>
        <w:tc>
          <w:tcPr>
            <w:tcW w:w="32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b w:val="1"/>
                <w:bCs w:val="1"/>
                <w:color w:val="auto"/>
              </w:rPr>
              <w:t>13,538</w:t>
            </w:r>
          </w:p>
        </w:tc>
        <w:tc>
          <w:tcPr>
            <w:tcW w:w="0" w:type="dxa"/>
            <w:vAlign w:val="bottom"/>
          </w:tcPr>
          <w:p>
            <w:pPr>
              <w:spacing w:after="0"/>
              <w:rPr>
                <w:sz w:val="1"/>
                <w:szCs w:val="1"/>
                <w:color w:val="auto"/>
              </w:rPr>
            </w:pPr>
          </w:p>
        </w:tc>
      </w:tr>
      <w:tr>
        <w:trPr>
          <w:trHeight w:val="264"/>
        </w:trPr>
        <w:tc>
          <w:tcPr>
            <w:tcW w:w="7780" w:type="dxa"/>
            <w:vAlign w:val="bottom"/>
          </w:tcPr>
          <w:p>
            <w:pPr>
              <w:spacing w:after="0"/>
              <w:rPr>
                <w:sz w:val="22"/>
                <w:szCs w:val="22"/>
                <w:color w:val="auto"/>
              </w:rPr>
            </w:pPr>
          </w:p>
        </w:tc>
        <w:tc>
          <w:tcPr>
            <w:tcW w:w="2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b w:val="1"/>
                <w:bCs w:val="1"/>
                <w:color w:val="auto"/>
              </w:rPr>
              <w:t>$</w:t>
            </w:r>
          </w:p>
        </w:tc>
        <w:tc>
          <w:tcPr>
            <w:tcW w:w="94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b w:val="1"/>
                <w:bCs w:val="1"/>
                <w:color w:val="auto"/>
              </w:rPr>
              <w:t>26,752</w:t>
            </w:r>
          </w:p>
        </w:tc>
        <w:tc>
          <w:tcPr>
            <w:tcW w:w="3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w:t>
            </w:r>
          </w:p>
        </w:tc>
        <w:tc>
          <w:tcPr>
            <w:tcW w:w="98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b w:val="1"/>
                <w:bCs w:val="1"/>
                <w:color w:val="auto"/>
              </w:rPr>
              <w:t>(146,452)</w:t>
            </w:r>
          </w:p>
        </w:tc>
        <w:tc>
          <w:tcPr>
            <w:tcW w:w="32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b w:val="1"/>
                <w:bCs w:val="1"/>
                <w:color w:val="auto"/>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(119,700)</w:t>
            </w:r>
          </w:p>
        </w:tc>
        <w:tc>
          <w:tcPr>
            <w:tcW w:w="0" w:type="dxa"/>
            <w:vAlign w:val="bottom"/>
          </w:tcPr>
          <w:p>
            <w:pPr>
              <w:spacing w:after="0"/>
              <w:rPr>
                <w:sz w:val="1"/>
                <w:szCs w:val="1"/>
                <w:color w:val="auto"/>
              </w:rPr>
            </w:pPr>
          </w:p>
        </w:tc>
      </w:tr>
      <w:tr>
        <w:trPr>
          <w:trHeight w:val="20"/>
        </w:trPr>
        <w:tc>
          <w:tcPr>
            <w:tcW w:w="7780" w:type="dxa"/>
            <w:vAlign w:val="bottom"/>
            <w:vMerge w:val="restart"/>
          </w:tcPr>
          <w:p>
            <w:pPr>
              <w:ind w:left="40"/>
              <w:spacing w:after="0"/>
              <w:rPr>
                <w:sz w:val="20"/>
                <w:szCs w:val="20"/>
                <w:color w:val="auto"/>
              </w:rPr>
            </w:pPr>
            <w:r>
              <w:rPr>
                <w:rFonts w:ascii="Arial" w:cs="Arial" w:eastAsia="Arial" w:hAnsi="Arial"/>
                <w:sz w:val="16"/>
                <w:szCs w:val="16"/>
                <w:color w:val="auto"/>
              </w:rPr>
              <w:t>Year Ended December 31, 2016</w:t>
            </w:r>
          </w:p>
        </w:tc>
        <w:tc>
          <w:tcPr>
            <w:tcW w:w="2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8"/>
        </w:trPr>
        <w:tc>
          <w:tcPr>
            <w:tcW w:w="7780" w:type="dxa"/>
            <w:vAlign w:val="bottom"/>
            <w:vMerge w:val="continue"/>
          </w:tcPr>
          <w:p>
            <w:pPr>
              <w:spacing w:after="0"/>
              <w:rPr>
                <w:sz w:val="20"/>
                <w:szCs w:val="20"/>
                <w:color w:val="auto"/>
              </w:rPr>
            </w:pPr>
          </w:p>
        </w:tc>
        <w:tc>
          <w:tcPr>
            <w:tcW w:w="22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0"/>
        </w:trPr>
        <w:tc>
          <w:tcPr>
            <w:tcW w:w="7780" w:type="dxa"/>
            <w:vAlign w:val="bottom"/>
          </w:tcPr>
          <w:p>
            <w:pPr>
              <w:ind w:left="40"/>
              <w:spacing w:after="0"/>
              <w:rPr>
                <w:sz w:val="20"/>
                <w:szCs w:val="20"/>
                <w:color w:val="auto"/>
              </w:rPr>
            </w:pPr>
            <w:r>
              <w:rPr>
                <w:rFonts w:ascii="Arial" w:cs="Arial" w:eastAsia="Arial" w:hAnsi="Arial"/>
                <w:sz w:val="16"/>
                <w:szCs w:val="16"/>
                <w:color w:val="auto"/>
              </w:rPr>
              <w:t>U.S. Federal</w:t>
            </w:r>
          </w:p>
        </w:tc>
        <w:tc>
          <w:tcPr>
            <w:tcW w:w="22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940" w:type="dxa"/>
            <w:vAlign w:val="bottom"/>
          </w:tcPr>
          <w:p>
            <w:pPr>
              <w:jc w:val="right"/>
              <w:ind w:right="40"/>
              <w:spacing w:after="0"/>
              <w:rPr>
                <w:sz w:val="20"/>
                <w:szCs w:val="20"/>
                <w:color w:val="auto"/>
              </w:rPr>
            </w:pPr>
            <w:r>
              <w:rPr>
                <w:rFonts w:ascii="Arial" w:cs="Arial" w:eastAsia="Arial" w:hAnsi="Arial"/>
                <w:sz w:val="16"/>
                <w:szCs w:val="16"/>
                <w:color w:val="auto"/>
              </w:rPr>
              <w:t>56,342</w:t>
            </w:r>
          </w:p>
        </w:tc>
        <w:tc>
          <w:tcPr>
            <w:tcW w:w="300" w:type="dxa"/>
            <w:vAlign w:val="bottom"/>
          </w:tcPr>
          <w:p>
            <w:pPr>
              <w:jc w:val="right"/>
              <w:spacing w:after="0"/>
              <w:rPr>
                <w:sz w:val="20"/>
                <w:szCs w:val="20"/>
                <w:color w:val="auto"/>
              </w:rPr>
            </w:pPr>
            <w:r>
              <w:rPr>
                <w:rFonts w:ascii="Arial" w:cs="Arial" w:eastAsia="Arial" w:hAnsi="Arial"/>
                <w:sz w:val="16"/>
                <w:szCs w:val="16"/>
                <w:color w:val="auto"/>
              </w:rPr>
              <w:t>$</w:t>
            </w:r>
          </w:p>
        </w:tc>
        <w:tc>
          <w:tcPr>
            <w:tcW w:w="980" w:type="dxa"/>
            <w:vAlign w:val="bottom"/>
          </w:tcPr>
          <w:p>
            <w:pPr>
              <w:jc w:val="right"/>
              <w:ind w:right="80"/>
              <w:spacing w:after="0"/>
              <w:rPr>
                <w:sz w:val="20"/>
                <w:szCs w:val="20"/>
                <w:color w:val="auto"/>
              </w:rPr>
            </w:pPr>
            <w:r>
              <w:rPr>
                <w:rFonts w:ascii="Arial" w:cs="Arial" w:eastAsia="Arial" w:hAnsi="Arial"/>
                <w:sz w:val="16"/>
                <w:szCs w:val="16"/>
                <w:color w:val="auto"/>
              </w:rPr>
              <w:t>33,959</w:t>
            </w:r>
          </w:p>
        </w:tc>
        <w:tc>
          <w:tcPr>
            <w:tcW w:w="32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880" w:type="dxa"/>
            <w:vAlign w:val="bottom"/>
          </w:tcPr>
          <w:p>
            <w:pPr>
              <w:jc w:val="right"/>
              <w:ind w:right="20"/>
              <w:spacing w:after="0"/>
              <w:rPr>
                <w:sz w:val="20"/>
                <w:szCs w:val="20"/>
                <w:color w:val="auto"/>
              </w:rPr>
            </w:pPr>
            <w:r>
              <w:rPr>
                <w:rFonts w:ascii="Arial" w:cs="Arial" w:eastAsia="Arial" w:hAnsi="Arial"/>
                <w:sz w:val="16"/>
                <w:szCs w:val="16"/>
                <w:color w:val="auto"/>
              </w:rPr>
              <w:t>90,301</w:t>
            </w:r>
          </w:p>
        </w:tc>
        <w:tc>
          <w:tcPr>
            <w:tcW w:w="0" w:type="dxa"/>
            <w:vAlign w:val="bottom"/>
          </w:tcPr>
          <w:p>
            <w:pPr>
              <w:spacing w:after="0"/>
              <w:rPr>
                <w:sz w:val="1"/>
                <w:szCs w:val="1"/>
                <w:color w:val="auto"/>
              </w:rPr>
            </w:pPr>
          </w:p>
        </w:tc>
      </w:tr>
      <w:tr>
        <w:trPr>
          <w:trHeight w:val="270"/>
        </w:trPr>
        <w:tc>
          <w:tcPr>
            <w:tcW w:w="7780" w:type="dxa"/>
            <w:vAlign w:val="bottom"/>
          </w:tcPr>
          <w:p>
            <w:pPr>
              <w:ind w:left="40"/>
              <w:spacing w:after="0"/>
              <w:rPr>
                <w:sz w:val="20"/>
                <w:szCs w:val="20"/>
                <w:color w:val="auto"/>
              </w:rPr>
            </w:pPr>
            <w:r>
              <w:rPr>
                <w:rFonts w:ascii="Arial" w:cs="Arial" w:eastAsia="Arial" w:hAnsi="Arial"/>
                <w:sz w:val="16"/>
                <w:szCs w:val="16"/>
                <w:color w:val="auto"/>
              </w:rPr>
              <w:t>State and Local</w:t>
            </w:r>
          </w:p>
        </w:tc>
        <w:tc>
          <w:tcPr>
            <w:tcW w:w="220" w:type="dxa"/>
            <w:vAlign w:val="bottom"/>
          </w:tcPr>
          <w:p>
            <w:pPr>
              <w:spacing w:after="0"/>
              <w:rPr>
                <w:sz w:val="23"/>
                <w:szCs w:val="23"/>
                <w:color w:val="auto"/>
              </w:rPr>
            </w:pPr>
          </w:p>
        </w:tc>
        <w:tc>
          <w:tcPr>
            <w:tcW w:w="940" w:type="dxa"/>
            <w:vAlign w:val="bottom"/>
          </w:tcPr>
          <w:p>
            <w:pPr>
              <w:jc w:val="right"/>
              <w:ind w:right="40"/>
              <w:spacing w:after="0"/>
              <w:rPr>
                <w:sz w:val="20"/>
                <w:szCs w:val="20"/>
                <w:color w:val="auto"/>
              </w:rPr>
            </w:pPr>
            <w:r>
              <w:rPr>
                <w:rFonts w:ascii="Arial" w:cs="Arial" w:eastAsia="Arial" w:hAnsi="Arial"/>
                <w:sz w:val="16"/>
                <w:szCs w:val="16"/>
                <w:color w:val="auto"/>
              </w:rPr>
              <w:t>6,325</w:t>
            </w:r>
          </w:p>
        </w:tc>
        <w:tc>
          <w:tcPr>
            <w:tcW w:w="300" w:type="dxa"/>
            <w:vAlign w:val="bottom"/>
          </w:tcPr>
          <w:p>
            <w:pPr>
              <w:spacing w:after="0"/>
              <w:rPr>
                <w:sz w:val="23"/>
                <w:szCs w:val="23"/>
                <w:color w:val="auto"/>
              </w:rPr>
            </w:pPr>
          </w:p>
        </w:tc>
        <w:tc>
          <w:tcPr>
            <w:tcW w:w="980" w:type="dxa"/>
            <w:vAlign w:val="bottom"/>
          </w:tcPr>
          <w:p>
            <w:pPr>
              <w:jc w:val="right"/>
              <w:ind w:right="20"/>
              <w:spacing w:after="0"/>
              <w:rPr>
                <w:sz w:val="20"/>
                <w:szCs w:val="20"/>
                <w:color w:val="auto"/>
              </w:rPr>
            </w:pPr>
            <w:r>
              <w:rPr>
                <w:rFonts w:ascii="Arial" w:cs="Arial" w:eastAsia="Arial" w:hAnsi="Arial"/>
                <w:sz w:val="16"/>
                <w:szCs w:val="16"/>
                <w:color w:val="auto"/>
              </w:rPr>
              <w:t>(5,164)</w:t>
            </w:r>
          </w:p>
        </w:tc>
        <w:tc>
          <w:tcPr>
            <w:tcW w:w="320" w:type="dxa"/>
            <w:vAlign w:val="bottom"/>
          </w:tcPr>
          <w:p>
            <w:pPr>
              <w:spacing w:after="0"/>
              <w:rPr>
                <w:sz w:val="23"/>
                <w:szCs w:val="23"/>
                <w:color w:val="auto"/>
              </w:rPr>
            </w:pPr>
          </w:p>
        </w:tc>
        <w:tc>
          <w:tcPr>
            <w:tcW w:w="880" w:type="dxa"/>
            <w:vAlign w:val="bottom"/>
          </w:tcPr>
          <w:p>
            <w:pPr>
              <w:jc w:val="right"/>
              <w:ind w:right="20"/>
              <w:spacing w:after="0"/>
              <w:rPr>
                <w:sz w:val="20"/>
                <w:szCs w:val="20"/>
                <w:color w:val="auto"/>
              </w:rPr>
            </w:pPr>
            <w:r>
              <w:rPr>
                <w:rFonts w:ascii="Arial" w:cs="Arial" w:eastAsia="Arial" w:hAnsi="Arial"/>
                <w:sz w:val="16"/>
                <w:szCs w:val="16"/>
                <w:color w:val="auto"/>
              </w:rPr>
              <w:t>1,161</w:t>
            </w:r>
          </w:p>
        </w:tc>
        <w:tc>
          <w:tcPr>
            <w:tcW w:w="0" w:type="dxa"/>
            <w:vAlign w:val="bottom"/>
          </w:tcPr>
          <w:p>
            <w:pPr>
              <w:spacing w:after="0"/>
              <w:rPr>
                <w:sz w:val="1"/>
                <w:szCs w:val="1"/>
                <w:color w:val="auto"/>
              </w:rPr>
            </w:pPr>
          </w:p>
        </w:tc>
      </w:tr>
      <w:tr>
        <w:trPr>
          <w:trHeight w:val="283"/>
        </w:trPr>
        <w:tc>
          <w:tcPr>
            <w:tcW w:w="7780" w:type="dxa"/>
            <w:vAlign w:val="bottom"/>
          </w:tcPr>
          <w:p>
            <w:pPr>
              <w:ind w:left="40"/>
              <w:spacing w:after="0"/>
              <w:rPr>
                <w:sz w:val="20"/>
                <w:szCs w:val="20"/>
                <w:color w:val="auto"/>
              </w:rPr>
            </w:pPr>
            <w:r>
              <w:rPr>
                <w:rFonts w:ascii="Arial" w:cs="Arial" w:eastAsia="Arial" w:hAnsi="Arial"/>
                <w:sz w:val="16"/>
                <w:szCs w:val="16"/>
                <w:color w:val="auto"/>
              </w:rPr>
              <w:t>Non-U.S.</w:t>
            </w:r>
          </w:p>
        </w:tc>
        <w:tc>
          <w:tcPr>
            <w:tcW w:w="22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color w:val="auto"/>
              </w:rPr>
              <w:t>8,463</w:t>
            </w:r>
          </w:p>
        </w:tc>
        <w:tc>
          <w:tcPr>
            <w:tcW w:w="30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(18,725)</w:t>
            </w:r>
          </w:p>
        </w:tc>
        <w:tc>
          <w:tcPr>
            <w:tcW w:w="32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(10,262)</w:t>
            </w:r>
          </w:p>
        </w:tc>
        <w:tc>
          <w:tcPr>
            <w:tcW w:w="0" w:type="dxa"/>
            <w:vAlign w:val="bottom"/>
          </w:tcPr>
          <w:p>
            <w:pPr>
              <w:spacing w:after="0"/>
              <w:rPr>
                <w:sz w:val="1"/>
                <w:szCs w:val="1"/>
                <w:color w:val="auto"/>
              </w:rPr>
            </w:pPr>
          </w:p>
        </w:tc>
      </w:tr>
      <w:tr>
        <w:trPr>
          <w:trHeight w:val="264"/>
        </w:trPr>
        <w:tc>
          <w:tcPr>
            <w:tcW w:w="7780" w:type="dxa"/>
            <w:vAlign w:val="bottom"/>
          </w:tcPr>
          <w:p>
            <w:pPr>
              <w:spacing w:after="0"/>
              <w:rPr>
                <w:sz w:val="22"/>
                <w:szCs w:val="22"/>
                <w:color w:val="auto"/>
              </w:rPr>
            </w:pPr>
          </w:p>
        </w:tc>
        <w:tc>
          <w:tcPr>
            <w:tcW w:w="2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w:t>
            </w:r>
          </w:p>
        </w:tc>
        <w:tc>
          <w:tcPr>
            <w:tcW w:w="94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color w:val="auto"/>
              </w:rPr>
              <w:t>71,130</w:t>
            </w:r>
          </w:p>
        </w:tc>
        <w:tc>
          <w:tcPr>
            <w:tcW w:w="3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980" w:type="dxa"/>
            <w:vAlign w:val="bottom"/>
            <w:tcBorders>
              <w:bottom w:val="single" w:sz="8" w:color="auto"/>
            </w:tcBorders>
          </w:tcPr>
          <w:p>
            <w:pPr>
              <w:jc w:val="right"/>
              <w:ind w:right="80"/>
              <w:spacing w:after="0"/>
              <w:rPr>
                <w:sz w:val="20"/>
                <w:szCs w:val="20"/>
                <w:color w:val="auto"/>
              </w:rPr>
            </w:pPr>
            <w:r>
              <w:rPr>
                <w:rFonts w:ascii="Arial" w:cs="Arial" w:eastAsia="Arial" w:hAnsi="Arial"/>
                <w:sz w:val="16"/>
                <w:szCs w:val="16"/>
                <w:color w:val="auto"/>
              </w:rPr>
              <w:t>10,070</w:t>
            </w:r>
          </w:p>
        </w:tc>
        <w:tc>
          <w:tcPr>
            <w:tcW w:w="32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w:t>
            </w:r>
          </w:p>
        </w:tc>
        <w:tc>
          <w:tcPr>
            <w:tcW w:w="88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81,200</w:t>
            </w:r>
          </w:p>
        </w:tc>
        <w:tc>
          <w:tcPr>
            <w:tcW w:w="0" w:type="dxa"/>
            <w:vAlign w:val="bottom"/>
          </w:tcPr>
          <w:p>
            <w:pPr>
              <w:spacing w:after="0"/>
              <w:rPr>
                <w:sz w:val="1"/>
                <w:szCs w:val="1"/>
                <w:color w:val="auto"/>
              </w:rPr>
            </w:pPr>
          </w:p>
        </w:tc>
      </w:tr>
      <w:tr>
        <w:trPr>
          <w:trHeight w:val="20"/>
        </w:trPr>
        <w:tc>
          <w:tcPr>
            <w:tcW w:w="7780" w:type="dxa"/>
            <w:vAlign w:val="bottom"/>
            <w:vMerge w:val="restart"/>
          </w:tcPr>
          <w:p>
            <w:pPr>
              <w:ind w:left="40"/>
              <w:spacing w:after="0"/>
              <w:rPr>
                <w:sz w:val="20"/>
                <w:szCs w:val="20"/>
                <w:color w:val="auto"/>
              </w:rPr>
            </w:pPr>
            <w:r>
              <w:rPr>
                <w:rFonts w:ascii="Arial" w:cs="Arial" w:eastAsia="Arial" w:hAnsi="Arial"/>
                <w:sz w:val="16"/>
                <w:szCs w:val="16"/>
                <w:color w:val="auto"/>
              </w:rPr>
              <w:t>Year Ended December 31, 2015</w:t>
            </w:r>
          </w:p>
        </w:tc>
        <w:tc>
          <w:tcPr>
            <w:tcW w:w="2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8"/>
        </w:trPr>
        <w:tc>
          <w:tcPr>
            <w:tcW w:w="7780" w:type="dxa"/>
            <w:vAlign w:val="bottom"/>
            <w:vMerge w:val="continue"/>
          </w:tcPr>
          <w:p>
            <w:pPr>
              <w:spacing w:after="0"/>
              <w:rPr>
                <w:sz w:val="20"/>
                <w:szCs w:val="20"/>
                <w:color w:val="auto"/>
              </w:rPr>
            </w:pPr>
          </w:p>
        </w:tc>
        <w:tc>
          <w:tcPr>
            <w:tcW w:w="22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0"/>
        </w:trPr>
        <w:tc>
          <w:tcPr>
            <w:tcW w:w="7780" w:type="dxa"/>
            <w:vAlign w:val="bottom"/>
          </w:tcPr>
          <w:p>
            <w:pPr>
              <w:ind w:left="40"/>
              <w:spacing w:after="0"/>
              <w:rPr>
                <w:sz w:val="20"/>
                <w:szCs w:val="20"/>
                <w:color w:val="auto"/>
              </w:rPr>
            </w:pPr>
            <w:r>
              <w:rPr>
                <w:rFonts w:ascii="Arial" w:cs="Arial" w:eastAsia="Arial" w:hAnsi="Arial"/>
                <w:sz w:val="16"/>
                <w:szCs w:val="16"/>
                <w:color w:val="auto"/>
              </w:rPr>
              <w:t>U.S. Federal</w:t>
            </w:r>
          </w:p>
        </w:tc>
        <w:tc>
          <w:tcPr>
            <w:tcW w:w="22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940" w:type="dxa"/>
            <w:vAlign w:val="bottom"/>
          </w:tcPr>
          <w:p>
            <w:pPr>
              <w:jc w:val="right"/>
              <w:ind w:right="40"/>
              <w:spacing w:after="0"/>
              <w:rPr>
                <w:sz w:val="20"/>
                <w:szCs w:val="20"/>
                <w:color w:val="auto"/>
              </w:rPr>
            </w:pPr>
            <w:r>
              <w:rPr>
                <w:rFonts w:ascii="Arial" w:cs="Arial" w:eastAsia="Arial" w:hAnsi="Arial"/>
                <w:sz w:val="16"/>
                <w:szCs w:val="16"/>
                <w:color w:val="auto"/>
              </w:rPr>
              <w:t>5,728</w:t>
            </w:r>
          </w:p>
        </w:tc>
        <w:tc>
          <w:tcPr>
            <w:tcW w:w="300" w:type="dxa"/>
            <w:vAlign w:val="bottom"/>
          </w:tcPr>
          <w:p>
            <w:pPr>
              <w:jc w:val="right"/>
              <w:spacing w:after="0"/>
              <w:rPr>
                <w:sz w:val="20"/>
                <w:szCs w:val="20"/>
                <w:color w:val="auto"/>
              </w:rPr>
            </w:pPr>
            <w:r>
              <w:rPr>
                <w:rFonts w:ascii="Arial" w:cs="Arial" w:eastAsia="Arial" w:hAnsi="Arial"/>
                <w:sz w:val="16"/>
                <w:szCs w:val="16"/>
                <w:color w:val="auto"/>
              </w:rPr>
              <w:t>$</w:t>
            </w:r>
          </w:p>
        </w:tc>
        <w:tc>
          <w:tcPr>
            <w:tcW w:w="980" w:type="dxa"/>
            <w:vAlign w:val="bottom"/>
          </w:tcPr>
          <w:p>
            <w:pPr>
              <w:jc w:val="right"/>
              <w:ind w:right="80"/>
              <w:spacing w:after="0"/>
              <w:rPr>
                <w:sz w:val="20"/>
                <w:szCs w:val="20"/>
                <w:color w:val="auto"/>
              </w:rPr>
            </w:pPr>
            <w:r>
              <w:rPr>
                <w:rFonts w:ascii="Arial" w:cs="Arial" w:eastAsia="Arial" w:hAnsi="Arial"/>
                <w:sz w:val="16"/>
                <w:szCs w:val="16"/>
                <w:color w:val="auto"/>
              </w:rPr>
              <w:t>20,890</w:t>
            </w:r>
          </w:p>
        </w:tc>
        <w:tc>
          <w:tcPr>
            <w:tcW w:w="32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880" w:type="dxa"/>
            <w:vAlign w:val="bottom"/>
          </w:tcPr>
          <w:p>
            <w:pPr>
              <w:jc w:val="right"/>
              <w:ind w:right="20"/>
              <w:spacing w:after="0"/>
              <w:rPr>
                <w:sz w:val="20"/>
                <w:szCs w:val="20"/>
                <w:color w:val="auto"/>
              </w:rPr>
            </w:pPr>
            <w:r>
              <w:rPr>
                <w:rFonts w:ascii="Arial" w:cs="Arial" w:eastAsia="Arial" w:hAnsi="Arial"/>
                <w:sz w:val="16"/>
                <w:szCs w:val="16"/>
                <w:color w:val="auto"/>
              </w:rPr>
              <w:t>26,618</w:t>
            </w:r>
          </w:p>
        </w:tc>
        <w:tc>
          <w:tcPr>
            <w:tcW w:w="0" w:type="dxa"/>
            <w:vAlign w:val="bottom"/>
          </w:tcPr>
          <w:p>
            <w:pPr>
              <w:spacing w:after="0"/>
              <w:rPr>
                <w:sz w:val="1"/>
                <w:szCs w:val="1"/>
                <w:color w:val="auto"/>
              </w:rPr>
            </w:pPr>
          </w:p>
        </w:tc>
      </w:tr>
      <w:tr>
        <w:trPr>
          <w:trHeight w:val="270"/>
        </w:trPr>
        <w:tc>
          <w:tcPr>
            <w:tcW w:w="7780" w:type="dxa"/>
            <w:vAlign w:val="bottom"/>
          </w:tcPr>
          <w:p>
            <w:pPr>
              <w:ind w:left="40"/>
              <w:spacing w:after="0"/>
              <w:rPr>
                <w:sz w:val="20"/>
                <w:szCs w:val="20"/>
                <w:color w:val="auto"/>
              </w:rPr>
            </w:pPr>
            <w:r>
              <w:rPr>
                <w:rFonts w:ascii="Arial" w:cs="Arial" w:eastAsia="Arial" w:hAnsi="Arial"/>
                <w:sz w:val="16"/>
                <w:szCs w:val="16"/>
                <w:color w:val="auto"/>
              </w:rPr>
              <w:t>State and Local</w:t>
            </w:r>
          </w:p>
        </w:tc>
        <w:tc>
          <w:tcPr>
            <w:tcW w:w="220" w:type="dxa"/>
            <w:vAlign w:val="bottom"/>
          </w:tcPr>
          <w:p>
            <w:pPr>
              <w:spacing w:after="0"/>
              <w:rPr>
                <w:sz w:val="23"/>
                <w:szCs w:val="23"/>
                <w:color w:val="auto"/>
              </w:rPr>
            </w:pPr>
          </w:p>
        </w:tc>
        <w:tc>
          <w:tcPr>
            <w:tcW w:w="940" w:type="dxa"/>
            <w:vAlign w:val="bottom"/>
          </w:tcPr>
          <w:p>
            <w:pPr>
              <w:jc w:val="right"/>
              <w:ind w:right="40"/>
              <w:spacing w:after="0"/>
              <w:rPr>
                <w:sz w:val="20"/>
                <w:szCs w:val="20"/>
                <w:color w:val="auto"/>
              </w:rPr>
            </w:pPr>
            <w:r>
              <w:rPr>
                <w:rFonts w:ascii="Arial" w:cs="Arial" w:eastAsia="Arial" w:hAnsi="Arial"/>
                <w:sz w:val="16"/>
                <w:szCs w:val="16"/>
                <w:color w:val="auto"/>
              </w:rPr>
              <w:t>402</w:t>
            </w:r>
          </w:p>
        </w:tc>
        <w:tc>
          <w:tcPr>
            <w:tcW w:w="300" w:type="dxa"/>
            <w:vAlign w:val="bottom"/>
          </w:tcPr>
          <w:p>
            <w:pPr>
              <w:spacing w:after="0"/>
              <w:rPr>
                <w:sz w:val="23"/>
                <w:szCs w:val="23"/>
                <w:color w:val="auto"/>
              </w:rPr>
            </w:pPr>
          </w:p>
        </w:tc>
        <w:tc>
          <w:tcPr>
            <w:tcW w:w="980" w:type="dxa"/>
            <w:vAlign w:val="bottom"/>
          </w:tcPr>
          <w:p>
            <w:pPr>
              <w:jc w:val="right"/>
              <w:ind w:right="20"/>
              <w:spacing w:after="0"/>
              <w:rPr>
                <w:sz w:val="20"/>
                <w:szCs w:val="20"/>
                <w:color w:val="auto"/>
              </w:rPr>
            </w:pPr>
            <w:r>
              <w:rPr>
                <w:rFonts w:ascii="Arial" w:cs="Arial" w:eastAsia="Arial" w:hAnsi="Arial"/>
                <w:sz w:val="16"/>
                <w:szCs w:val="16"/>
                <w:color w:val="auto"/>
              </w:rPr>
              <w:t>(10,749)</w:t>
            </w:r>
          </w:p>
        </w:tc>
        <w:tc>
          <w:tcPr>
            <w:tcW w:w="320" w:type="dxa"/>
            <w:vAlign w:val="bottom"/>
          </w:tcPr>
          <w:p>
            <w:pPr>
              <w:spacing w:after="0"/>
              <w:rPr>
                <w:sz w:val="23"/>
                <w:szCs w:val="23"/>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(10,347)</w:t>
            </w:r>
          </w:p>
        </w:tc>
        <w:tc>
          <w:tcPr>
            <w:tcW w:w="0" w:type="dxa"/>
            <w:vAlign w:val="bottom"/>
          </w:tcPr>
          <w:p>
            <w:pPr>
              <w:spacing w:after="0"/>
              <w:rPr>
                <w:sz w:val="1"/>
                <w:szCs w:val="1"/>
                <w:color w:val="auto"/>
              </w:rPr>
            </w:pPr>
          </w:p>
        </w:tc>
      </w:tr>
      <w:tr>
        <w:trPr>
          <w:trHeight w:val="283"/>
        </w:trPr>
        <w:tc>
          <w:tcPr>
            <w:tcW w:w="7780" w:type="dxa"/>
            <w:vAlign w:val="bottom"/>
          </w:tcPr>
          <w:p>
            <w:pPr>
              <w:ind w:left="40"/>
              <w:spacing w:after="0"/>
              <w:rPr>
                <w:sz w:val="20"/>
                <w:szCs w:val="20"/>
                <w:color w:val="auto"/>
              </w:rPr>
            </w:pPr>
            <w:r>
              <w:rPr>
                <w:rFonts w:ascii="Arial" w:cs="Arial" w:eastAsia="Arial" w:hAnsi="Arial"/>
                <w:sz w:val="16"/>
                <w:szCs w:val="16"/>
                <w:color w:val="auto"/>
              </w:rPr>
              <w:t>Non-U.S.</w:t>
            </w:r>
          </w:p>
        </w:tc>
        <w:tc>
          <w:tcPr>
            <w:tcW w:w="22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color w:val="auto"/>
              </w:rPr>
              <w:t>2,441</w:t>
            </w:r>
          </w:p>
        </w:tc>
        <w:tc>
          <w:tcPr>
            <w:tcW w:w="30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jc w:val="right"/>
              <w:ind w:right="80"/>
              <w:spacing w:after="0"/>
              <w:rPr>
                <w:sz w:val="20"/>
                <w:szCs w:val="20"/>
                <w:color w:val="auto"/>
              </w:rPr>
            </w:pPr>
            <w:r>
              <w:rPr>
                <w:rFonts w:ascii="Arial" w:cs="Arial" w:eastAsia="Arial" w:hAnsi="Arial"/>
                <w:sz w:val="16"/>
                <w:szCs w:val="16"/>
                <w:color w:val="auto"/>
              </w:rPr>
              <w:t>1,788</w:t>
            </w:r>
          </w:p>
        </w:tc>
        <w:tc>
          <w:tcPr>
            <w:tcW w:w="32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4,229</w:t>
            </w:r>
          </w:p>
        </w:tc>
        <w:tc>
          <w:tcPr>
            <w:tcW w:w="0" w:type="dxa"/>
            <w:vAlign w:val="bottom"/>
          </w:tcPr>
          <w:p>
            <w:pPr>
              <w:spacing w:after="0"/>
              <w:rPr>
                <w:sz w:val="1"/>
                <w:szCs w:val="1"/>
                <w:color w:val="auto"/>
              </w:rPr>
            </w:pPr>
          </w:p>
        </w:tc>
      </w:tr>
      <w:tr>
        <w:trPr>
          <w:trHeight w:val="264"/>
        </w:trPr>
        <w:tc>
          <w:tcPr>
            <w:tcW w:w="7780" w:type="dxa"/>
            <w:vAlign w:val="bottom"/>
          </w:tcPr>
          <w:p>
            <w:pPr>
              <w:spacing w:after="0"/>
              <w:rPr>
                <w:sz w:val="22"/>
                <w:szCs w:val="22"/>
                <w:color w:val="auto"/>
              </w:rPr>
            </w:pPr>
          </w:p>
        </w:tc>
        <w:tc>
          <w:tcPr>
            <w:tcW w:w="2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w:t>
            </w:r>
          </w:p>
        </w:tc>
        <w:tc>
          <w:tcPr>
            <w:tcW w:w="94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color w:val="auto"/>
              </w:rPr>
              <w:t>8,571</w:t>
            </w:r>
          </w:p>
        </w:tc>
        <w:tc>
          <w:tcPr>
            <w:tcW w:w="3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980" w:type="dxa"/>
            <w:vAlign w:val="bottom"/>
            <w:tcBorders>
              <w:bottom w:val="single" w:sz="8" w:color="auto"/>
            </w:tcBorders>
          </w:tcPr>
          <w:p>
            <w:pPr>
              <w:jc w:val="right"/>
              <w:ind w:right="80"/>
              <w:spacing w:after="0"/>
              <w:rPr>
                <w:sz w:val="20"/>
                <w:szCs w:val="20"/>
                <w:color w:val="auto"/>
              </w:rPr>
            </w:pPr>
            <w:r>
              <w:rPr>
                <w:rFonts w:ascii="Arial" w:cs="Arial" w:eastAsia="Arial" w:hAnsi="Arial"/>
                <w:sz w:val="16"/>
                <w:szCs w:val="16"/>
                <w:color w:val="auto"/>
              </w:rPr>
              <w:t>11,929</w:t>
            </w:r>
          </w:p>
        </w:tc>
        <w:tc>
          <w:tcPr>
            <w:tcW w:w="32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w:t>
            </w:r>
          </w:p>
        </w:tc>
        <w:tc>
          <w:tcPr>
            <w:tcW w:w="88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20,500</w:t>
            </w:r>
          </w:p>
        </w:tc>
        <w:tc>
          <w:tcPr>
            <w:tcW w:w="0" w:type="dxa"/>
            <w:vAlign w:val="bottom"/>
          </w:tcPr>
          <w:p>
            <w:pPr>
              <w:spacing w:after="0"/>
              <w:rPr>
                <w:sz w:val="1"/>
                <w:szCs w:val="1"/>
                <w:color w:val="auto"/>
              </w:rPr>
            </w:pPr>
          </w:p>
        </w:tc>
      </w:tr>
      <w:tr>
        <w:trPr>
          <w:trHeight w:val="20"/>
        </w:trPr>
        <w:tc>
          <w:tcPr>
            <w:tcW w:w="77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8" w:lineRule="exact"/>
        <w:rPr>
          <w:sz w:val="20"/>
          <w:szCs w:val="20"/>
          <w:color w:val="auto"/>
        </w:rPr>
      </w:pPr>
    </w:p>
    <w:p>
      <w:pPr>
        <w:ind w:right="660"/>
        <w:spacing w:after="0" w:line="235" w:lineRule="auto"/>
        <w:rPr>
          <w:sz w:val="20"/>
          <w:szCs w:val="20"/>
          <w:color w:val="auto"/>
        </w:rPr>
      </w:pPr>
      <w:r>
        <w:rPr>
          <w:rFonts w:ascii="Arial" w:cs="Arial" w:eastAsia="Arial" w:hAnsi="Arial"/>
          <w:sz w:val="18"/>
          <w:szCs w:val="18"/>
          <w:color w:val="auto"/>
        </w:rPr>
        <w:t>The provision for income taxes on continuing operations differs from the amount of income tax determined by applying the U.S. Federal statutory rate of 35% to the income (loss) from continuing operations before taxes as a result of the following:</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778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2540" w:type="dxa"/>
            <w:vAlign w:val="bottom"/>
            <w:tcBorders>
              <w:bottom w:val="single" w:sz="8" w:color="auto"/>
            </w:tcBorders>
            <w:gridSpan w:val="4"/>
          </w:tcPr>
          <w:p>
            <w:pPr>
              <w:jc w:val="right"/>
              <w:ind w:right="19"/>
              <w:spacing w:after="0"/>
              <w:rPr>
                <w:sz w:val="20"/>
                <w:szCs w:val="20"/>
                <w:color w:val="auto"/>
              </w:rPr>
            </w:pPr>
            <w:r>
              <w:rPr>
                <w:rFonts w:ascii="Arial" w:cs="Arial" w:eastAsia="Arial" w:hAnsi="Arial"/>
                <w:sz w:val="14"/>
                <w:szCs w:val="14"/>
                <w:b w:val="1"/>
                <w:bCs w:val="1"/>
                <w:color w:val="auto"/>
              </w:rPr>
              <w:t>Year Ended December 31</w:t>
            </w:r>
          </w:p>
        </w:tc>
        <w:tc>
          <w:tcPr>
            <w:tcW w:w="840" w:type="dxa"/>
            <w:vAlign w:val="bottom"/>
            <w:tcBorders>
              <w:bottom w:val="single" w:sz="8" w:color="auto"/>
            </w:tcBorders>
          </w:tcPr>
          <w:p>
            <w:pPr>
              <w:spacing w:after="0"/>
              <w:rPr>
                <w:sz w:val="17"/>
                <w:szCs w:val="17"/>
                <w:color w:val="auto"/>
              </w:rPr>
            </w:pPr>
          </w:p>
        </w:tc>
      </w:tr>
      <w:tr>
        <w:trPr>
          <w:trHeight w:val="264"/>
        </w:trPr>
        <w:tc>
          <w:tcPr>
            <w:tcW w:w="778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(in thousands)</w:t>
            </w:r>
          </w:p>
        </w:tc>
        <w:tc>
          <w:tcPr>
            <w:tcW w:w="26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right"/>
              <w:ind w:right="380"/>
              <w:spacing w:after="0"/>
              <w:rPr>
                <w:sz w:val="20"/>
                <w:szCs w:val="20"/>
                <w:color w:val="auto"/>
              </w:rPr>
            </w:pPr>
            <w:r>
              <w:rPr>
                <w:rFonts w:ascii="Arial" w:cs="Arial" w:eastAsia="Arial" w:hAnsi="Arial"/>
                <w:sz w:val="14"/>
                <w:szCs w:val="14"/>
                <w:b w:val="1"/>
                <w:bCs w:val="1"/>
                <w:color w:val="auto"/>
              </w:rPr>
              <w:t>2017</w:t>
            </w:r>
          </w:p>
        </w:tc>
        <w:tc>
          <w:tcPr>
            <w:tcW w:w="32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jc w:val="right"/>
              <w:ind w:right="360"/>
              <w:spacing w:after="0"/>
              <w:rPr>
                <w:sz w:val="20"/>
                <w:szCs w:val="20"/>
                <w:color w:val="auto"/>
              </w:rPr>
            </w:pPr>
            <w:r>
              <w:rPr>
                <w:rFonts w:ascii="Arial" w:cs="Arial" w:eastAsia="Arial" w:hAnsi="Arial"/>
                <w:sz w:val="14"/>
                <w:szCs w:val="14"/>
                <w:color w:val="auto"/>
              </w:rPr>
              <w:t>2016</w:t>
            </w:r>
          </w:p>
        </w:tc>
        <w:tc>
          <w:tcPr>
            <w:tcW w:w="360" w:type="dxa"/>
            <w:vAlign w:val="bottom"/>
            <w:tcBorders>
              <w:bottom w:val="single" w:sz="8" w:color="auto"/>
            </w:tcBorders>
          </w:tcPr>
          <w:p>
            <w:pPr>
              <w:spacing w:after="0"/>
              <w:rPr>
                <w:sz w:val="22"/>
                <w:szCs w:val="22"/>
                <w:color w:val="auto"/>
              </w:rPr>
            </w:pPr>
          </w:p>
        </w:tc>
        <w:tc>
          <w:tcPr>
            <w:tcW w:w="840" w:type="dxa"/>
            <w:vAlign w:val="bottom"/>
            <w:tcBorders>
              <w:bottom w:val="single" w:sz="8" w:color="auto"/>
            </w:tcBorders>
          </w:tcPr>
          <w:p>
            <w:pPr>
              <w:jc w:val="right"/>
              <w:ind w:right="320"/>
              <w:spacing w:after="0"/>
              <w:rPr>
                <w:sz w:val="20"/>
                <w:szCs w:val="20"/>
                <w:color w:val="auto"/>
              </w:rPr>
            </w:pPr>
            <w:r>
              <w:rPr>
                <w:rFonts w:ascii="Arial" w:cs="Arial" w:eastAsia="Arial" w:hAnsi="Arial"/>
                <w:sz w:val="14"/>
                <w:szCs w:val="14"/>
                <w:color w:val="auto"/>
              </w:rPr>
              <w:t>2015</w:t>
            </w:r>
          </w:p>
        </w:tc>
      </w:tr>
      <w:tr>
        <w:trPr>
          <w:trHeight w:val="250"/>
        </w:trPr>
        <w:tc>
          <w:tcPr>
            <w:tcW w:w="7780" w:type="dxa"/>
            <w:vAlign w:val="bottom"/>
          </w:tcPr>
          <w:p>
            <w:pPr>
              <w:ind w:left="40"/>
              <w:spacing w:after="0"/>
              <w:rPr>
                <w:sz w:val="20"/>
                <w:szCs w:val="20"/>
                <w:color w:val="auto"/>
              </w:rPr>
            </w:pPr>
            <w:r>
              <w:rPr>
                <w:rFonts w:ascii="Arial" w:cs="Arial" w:eastAsia="Arial" w:hAnsi="Arial"/>
                <w:sz w:val="16"/>
                <w:szCs w:val="16"/>
                <w:color w:val="auto"/>
              </w:rPr>
              <w:t>U.S. Federal taxes at 35% statutory rate</w:t>
            </w:r>
          </w:p>
        </w:tc>
        <w:tc>
          <w:tcPr>
            <w:tcW w:w="260" w:type="dxa"/>
            <w:vAlign w:val="bottom"/>
          </w:tcPr>
          <w:p>
            <w:pPr>
              <w:jc w:val="right"/>
              <w:ind w:right="59"/>
              <w:spacing w:after="0"/>
              <w:rPr>
                <w:sz w:val="20"/>
                <w:szCs w:val="20"/>
                <w:color w:val="auto"/>
              </w:rPr>
            </w:pPr>
            <w:r>
              <w:rPr>
                <w:rFonts w:ascii="Arial" w:cs="Arial" w:eastAsia="Arial" w:hAnsi="Arial"/>
                <w:sz w:val="16"/>
                <w:szCs w:val="16"/>
                <w:b w:val="1"/>
                <w:bCs w:val="1"/>
                <w:color w:val="auto"/>
              </w:rPr>
              <w:t>$</w:t>
            </w:r>
          </w:p>
        </w:tc>
        <w:tc>
          <w:tcPr>
            <w:tcW w:w="940" w:type="dxa"/>
            <w:vAlign w:val="bottom"/>
          </w:tcPr>
          <w:p>
            <w:pPr>
              <w:jc w:val="right"/>
              <w:ind w:right="80"/>
              <w:spacing w:after="0"/>
              <w:rPr>
                <w:sz w:val="20"/>
                <w:szCs w:val="20"/>
                <w:color w:val="auto"/>
              </w:rPr>
            </w:pPr>
            <w:r>
              <w:rPr>
                <w:rFonts w:ascii="Arial" w:cs="Arial" w:eastAsia="Arial" w:hAnsi="Arial"/>
                <w:sz w:val="16"/>
                <w:szCs w:val="16"/>
                <w:b w:val="1"/>
                <w:bCs w:val="1"/>
                <w:color w:val="auto"/>
              </w:rPr>
              <w:t>63,976</w:t>
            </w:r>
          </w:p>
        </w:tc>
        <w:tc>
          <w:tcPr>
            <w:tcW w:w="32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920" w:type="dxa"/>
            <w:vAlign w:val="bottom"/>
          </w:tcPr>
          <w:p>
            <w:pPr>
              <w:jc w:val="right"/>
              <w:ind w:right="80"/>
              <w:spacing w:after="0"/>
              <w:rPr>
                <w:sz w:val="20"/>
                <w:szCs w:val="20"/>
                <w:color w:val="auto"/>
              </w:rPr>
            </w:pPr>
            <w:r>
              <w:rPr>
                <w:rFonts w:ascii="Arial" w:cs="Arial" w:eastAsia="Arial" w:hAnsi="Arial"/>
                <w:sz w:val="16"/>
                <w:szCs w:val="16"/>
                <w:color w:val="auto"/>
              </w:rPr>
              <w:t>87,731</w:t>
            </w:r>
          </w:p>
        </w:tc>
        <w:tc>
          <w:tcPr>
            <w:tcW w:w="360" w:type="dxa"/>
            <w:vAlign w:val="bottom"/>
          </w:tcPr>
          <w:p>
            <w:pPr>
              <w:jc w:val="right"/>
              <w:ind w:right="99"/>
              <w:spacing w:after="0"/>
              <w:rPr>
                <w:sz w:val="20"/>
                <w:szCs w:val="20"/>
                <w:color w:val="auto"/>
              </w:rPr>
            </w:pPr>
            <w:r>
              <w:rPr>
                <w:rFonts w:ascii="Arial" w:cs="Arial" w:eastAsia="Arial" w:hAnsi="Arial"/>
                <w:sz w:val="16"/>
                <w:szCs w:val="16"/>
                <w:color w:val="auto"/>
              </w:rPr>
              <w:t>$</w:t>
            </w:r>
          </w:p>
        </w:tc>
        <w:tc>
          <w:tcPr>
            <w:tcW w:w="840" w:type="dxa"/>
            <w:vAlign w:val="bottom"/>
          </w:tcPr>
          <w:p>
            <w:pPr>
              <w:jc w:val="right"/>
              <w:spacing w:after="0"/>
              <w:rPr>
                <w:sz w:val="20"/>
                <w:szCs w:val="20"/>
                <w:color w:val="auto"/>
              </w:rPr>
            </w:pPr>
            <w:r>
              <w:rPr>
                <w:rFonts w:ascii="Arial" w:cs="Arial" w:eastAsia="Arial" w:hAnsi="Arial"/>
                <w:sz w:val="16"/>
                <w:szCs w:val="16"/>
                <w:color w:val="auto"/>
              </w:rPr>
              <w:t>(42,311)</w:t>
            </w:r>
          </w:p>
        </w:tc>
      </w:tr>
      <w:tr>
        <w:trPr>
          <w:trHeight w:val="270"/>
        </w:trPr>
        <w:tc>
          <w:tcPr>
            <w:tcW w:w="7780" w:type="dxa"/>
            <w:vAlign w:val="bottom"/>
          </w:tcPr>
          <w:p>
            <w:pPr>
              <w:ind w:left="40"/>
              <w:spacing w:after="0"/>
              <w:rPr>
                <w:sz w:val="20"/>
                <w:szCs w:val="20"/>
                <w:color w:val="auto"/>
              </w:rPr>
            </w:pPr>
            <w:r>
              <w:rPr>
                <w:rFonts w:ascii="Arial" w:cs="Arial" w:eastAsia="Arial" w:hAnsi="Arial"/>
                <w:sz w:val="16"/>
                <w:szCs w:val="16"/>
                <w:color w:val="auto"/>
              </w:rPr>
              <w:t>State and local taxes, net of U.S. Federal tax</w:t>
            </w:r>
          </w:p>
        </w:tc>
        <w:tc>
          <w:tcPr>
            <w:tcW w:w="260" w:type="dxa"/>
            <w:vAlign w:val="bottom"/>
          </w:tcPr>
          <w:p>
            <w:pPr>
              <w:spacing w:after="0"/>
              <w:rPr>
                <w:sz w:val="23"/>
                <w:szCs w:val="23"/>
                <w:color w:val="auto"/>
              </w:rPr>
            </w:pPr>
          </w:p>
        </w:tc>
        <w:tc>
          <w:tcPr>
            <w:tcW w:w="940" w:type="dxa"/>
            <w:vAlign w:val="bottom"/>
          </w:tcPr>
          <w:p>
            <w:pPr>
              <w:jc w:val="right"/>
              <w:ind w:right="80"/>
              <w:spacing w:after="0"/>
              <w:rPr>
                <w:sz w:val="20"/>
                <w:szCs w:val="20"/>
                <w:color w:val="auto"/>
              </w:rPr>
            </w:pPr>
            <w:r>
              <w:rPr>
                <w:rFonts w:ascii="Arial" w:cs="Arial" w:eastAsia="Arial" w:hAnsi="Arial"/>
                <w:sz w:val="16"/>
                <w:szCs w:val="16"/>
                <w:b w:val="1"/>
                <w:bCs w:val="1"/>
                <w:color w:val="auto"/>
              </w:rPr>
              <w:t>6,949</w:t>
            </w:r>
          </w:p>
        </w:tc>
        <w:tc>
          <w:tcPr>
            <w:tcW w:w="320" w:type="dxa"/>
            <w:vAlign w:val="bottom"/>
          </w:tcPr>
          <w:p>
            <w:pPr>
              <w:spacing w:after="0"/>
              <w:rPr>
                <w:sz w:val="23"/>
                <w:szCs w:val="23"/>
                <w:color w:val="auto"/>
              </w:rPr>
            </w:pPr>
          </w:p>
        </w:tc>
        <w:tc>
          <w:tcPr>
            <w:tcW w:w="920" w:type="dxa"/>
            <w:vAlign w:val="bottom"/>
          </w:tcPr>
          <w:p>
            <w:pPr>
              <w:jc w:val="right"/>
              <w:ind w:right="20"/>
              <w:spacing w:after="0"/>
              <w:rPr>
                <w:sz w:val="20"/>
                <w:szCs w:val="20"/>
                <w:color w:val="auto"/>
              </w:rPr>
            </w:pPr>
            <w:r>
              <w:rPr>
                <w:rFonts w:ascii="Arial" w:cs="Arial" w:eastAsia="Arial" w:hAnsi="Arial"/>
                <w:sz w:val="16"/>
                <w:szCs w:val="16"/>
                <w:color w:val="auto"/>
              </w:rPr>
              <w:t>(2,965)</w:t>
            </w:r>
          </w:p>
        </w:tc>
        <w:tc>
          <w:tcPr>
            <w:tcW w:w="360" w:type="dxa"/>
            <w:vAlign w:val="bottom"/>
          </w:tcPr>
          <w:p>
            <w:pPr>
              <w:spacing w:after="0"/>
              <w:rPr>
                <w:sz w:val="23"/>
                <w:szCs w:val="23"/>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(3,441)</w:t>
            </w:r>
          </w:p>
        </w:tc>
      </w:tr>
      <w:tr>
        <w:trPr>
          <w:trHeight w:val="270"/>
        </w:trPr>
        <w:tc>
          <w:tcPr>
            <w:tcW w:w="7780" w:type="dxa"/>
            <w:vAlign w:val="bottom"/>
          </w:tcPr>
          <w:p>
            <w:pPr>
              <w:ind w:left="40"/>
              <w:spacing w:after="0"/>
              <w:rPr>
                <w:sz w:val="20"/>
                <w:szCs w:val="20"/>
                <w:color w:val="auto"/>
              </w:rPr>
            </w:pPr>
            <w:r>
              <w:rPr>
                <w:rFonts w:ascii="Arial" w:cs="Arial" w:eastAsia="Arial" w:hAnsi="Arial"/>
                <w:sz w:val="16"/>
                <w:szCs w:val="16"/>
                <w:color w:val="auto"/>
              </w:rPr>
              <w:t>Valuation allowances against state tax benefits, net of U.S. Federal tax</w:t>
            </w:r>
          </w:p>
        </w:tc>
        <w:tc>
          <w:tcPr>
            <w:tcW w:w="260" w:type="dxa"/>
            <w:vAlign w:val="bottom"/>
          </w:tcPr>
          <w:p>
            <w:pPr>
              <w:spacing w:after="0"/>
              <w:rPr>
                <w:sz w:val="23"/>
                <w:szCs w:val="23"/>
                <w:color w:val="auto"/>
              </w:rPr>
            </w:pPr>
          </w:p>
        </w:tc>
        <w:tc>
          <w:tcPr>
            <w:tcW w:w="940" w:type="dxa"/>
            <w:vAlign w:val="bottom"/>
          </w:tcPr>
          <w:p>
            <w:pPr>
              <w:jc w:val="right"/>
              <w:ind w:right="20"/>
              <w:spacing w:after="0"/>
              <w:rPr>
                <w:sz w:val="20"/>
                <w:szCs w:val="20"/>
                <w:color w:val="auto"/>
              </w:rPr>
            </w:pPr>
            <w:r>
              <w:rPr>
                <w:rFonts w:ascii="Arial" w:cs="Arial" w:eastAsia="Arial" w:hAnsi="Arial"/>
                <w:sz w:val="16"/>
                <w:szCs w:val="16"/>
                <w:b w:val="1"/>
                <w:bCs w:val="1"/>
                <w:color w:val="auto"/>
              </w:rPr>
              <w:t>(946)</w:t>
            </w:r>
          </w:p>
        </w:tc>
        <w:tc>
          <w:tcPr>
            <w:tcW w:w="320" w:type="dxa"/>
            <w:vAlign w:val="bottom"/>
          </w:tcPr>
          <w:p>
            <w:pPr>
              <w:spacing w:after="0"/>
              <w:rPr>
                <w:sz w:val="23"/>
                <w:szCs w:val="23"/>
                <w:color w:val="auto"/>
              </w:rPr>
            </w:pPr>
          </w:p>
        </w:tc>
        <w:tc>
          <w:tcPr>
            <w:tcW w:w="920" w:type="dxa"/>
            <w:vAlign w:val="bottom"/>
          </w:tcPr>
          <w:p>
            <w:pPr>
              <w:jc w:val="right"/>
              <w:ind w:right="80"/>
              <w:spacing w:after="0"/>
              <w:rPr>
                <w:sz w:val="20"/>
                <w:szCs w:val="20"/>
                <w:color w:val="auto"/>
              </w:rPr>
            </w:pPr>
            <w:r>
              <w:rPr>
                <w:rFonts w:ascii="Arial" w:cs="Arial" w:eastAsia="Arial" w:hAnsi="Arial"/>
                <w:sz w:val="16"/>
                <w:szCs w:val="16"/>
                <w:color w:val="auto"/>
              </w:rPr>
              <w:t>3,196</w:t>
            </w:r>
          </w:p>
        </w:tc>
        <w:tc>
          <w:tcPr>
            <w:tcW w:w="360" w:type="dxa"/>
            <w:vAlign w:val="bottom"/>
          </w:tcPr>
          <w:p>
            <w:pPr>
              <w:spacing w:after="0"/>
              <w:rPr>
                <w:sz w:val="23"/>
                <w:szCs w:val="23"/>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(3,285)</w:t>
            </w:r>
          </w:p>
        </w:tc>
      </w:tr>
      <w:tr>
        <w:trPr>
          <w:trHeight w:val="270"/>
        </w:trPr>
        <w:tc>
          <w:tcPr>
            <w:tcW w:w="7780" w:type="dxa"/>
            <w:vAlign w:val="bottom"/>
          </w:tcPr>
          <w:p>
            <w:pPr>
              <w:ind w:left="40"/>
              <w:spacing w:after="0"/>
              <w:rPr>
                <w:sz w:val="20"/>
                <w:szCs w:val="20"/>
                <w:color w:val="auto"/>
              </w:rPr>
            </w:pPr>
            <w:r>
              <w:rPr>
                <w:rFonts w:ascii="Arial" w:cs="Arial" w:eastAsia="Arial" w:hAnsi="Arial"/>
                <w:sz w:val="16"/>
                <w:szCs w:val="16"/>
                <w:color w:val="auto"/>
              </w:rPr>
              <w:t>Deferred taxes on future distributions of unremitted non-U.S. subsidiary earnings</w:t>
            </w:r>
          </w:p>
        </w:tc>
        <w:tc>
          <w:tcPr>
            <w:tcW w:w="260" w:type="dxa"/>
            <w:vAlign w:val="bottom"/>
          </w:tcPr>
          <w:p>
            <w:pPr>
              <w:spacing w:after="0"/>
              <w:rPr>
                <w:sz w:val="23"/>
                <w:szCs w:val="23"/>
                <w:color w:val="auto"/>
              </w:rPr>
            </w:pPr>
          </w:p>
        </w:tc>
        <w:tc>
          <w:tcPr>
            <w:tcW w:w="940" w:type="dxa"/>
            <w:vAlign w:val="bottom"/>
          </w:tcPr>
          <w:p>
            <w:pPr>
              <w:jc w:val="right"/>
              <w:ind w:right="80"/>
              <w:spacing w:after="0"/>
              <w:rPr>
                <w:sz w:val="20"/>
                <w:szCs w:val="20"/>
                <w:color w:val="auto"/>
              </w:rPr>
            </w:pPr>
            <w:r>
              <w:rPr>
                <w:rFonts w:ascii="Arial" w:cs="Arial" w:eastAsia="Arial" w:hAnsi="Arial"/>
                <w:sz w:val="16"/>
                <w:szCs w:val="16"/>
                <w:b w:val="1"/>
                <w:bCs w:val="1"/>
                <w:color w:val="auto"/>
              </w:rPr>
              <w:t>1,606</w:t>
            </w:r>
          </w:p>
        </w:tc>
        <w:tc>
          <w:tcPr>
            <w:tcW w:w="320" w:type="dxa"/>
            <w:vAlign w:val="bottom"/>
          </w:tcPr>
          <w:p>
            <w:pPr>
              <w:spacing w:after="0"/>
              <w:rPr>
                <w:sz w:val="23"/>
                <w:szCs w:val="23"/>
                <w:color w:val="auto"/>
              </w:rPr>
            </w:pPr>
          </w:p>
        </w:tc>
        <w:tc>
          <w:tcPr>
            <w:tcW w:w="920" w:type="dxa"/>
            <w:vAlign w:val="bottom"/>
          </w:tcPr>
          <w:p>
            <w:pPr>
              <w:jc w:val="right"/>
              <w:ind w:right="80"/>
              <w:spacing w:after="0"/>
              <w:rPr>
                <w:sz w:val="20"/>
                <w:szCs w:val="20"/>
                <w:color w:val="auto"/>
              </w:rPr>
            </w:pPr>
            <w:r>
              <w:rPr>
                <w:rFonts w:ascii="Arial" w:cs="Arial" w:eastAsia="Arial" w:hAnsi="Arial"/>
                <w:sz w:val="16"/>
                <w:szCs w:val="16"/>
                <w:color w:val="auto"/>
              </w:rPr>
              <w:t>1,993</w:t>
            </w:r>
          </w:p>
        </w:tc>
        <w:tc>
          <w:tcPr>
            <w:tcW w:w="360" w:type="dxa"/>
            <w:vAlign w:val="bottom"/>
          </w:tcPr>
          <w:p>
            <w:pPr>
              <w:spacing w:after="0"/>
              <w:rPr>
                <w:sz w:val="23"/>
                <w:szCs w:val="23"/>
                <w:color w:val="auto"/>
              </w:rPr>
            </w:pPr>
          </w:p>
        </w:tc>
        <w:tc>
          <w:tcPr>
            <w:tcW w:w="840" w:type="dxa"/>
            <w:vAlign w:val="bottom"/>
          </w:tcPr>
          <w:p>
            <w:pPr>
              <w:jc w:val="right"/>
              <w:ind w:right="20"/>
              <w:spacing w:after="0"/>
              <w:rPr>
                <w:sz w:val="20"/>
                <w:szCs w:val="20"/>
                <w:color w:val="auto"/>
              </w:rPr>
            </w:pPr>
            <w:r>
              <w:rPr>
                <w:rFonts w:ascii="Arial" w:cs="Arial" w:eastAsia="Arial" w:hAnsi="Arial"/>
                <w:sz w:val="16"/>
                <w:szCs w:val="16"/>
                <w:color w:val="auto"/>
              </w:rPr>
              <w:t>2,688</w:t>
            </w:r>
          </w:p>
        </w:tc>
      </w:tr>
      <w:tr>
        <w:trPr>
          <w:trHeight w:val="270"/>
        </w:trPr>
        <w:tc>
          <w:tcPr>
            <w:tcW w:w="7780" w:type="dxa"/>
            <w:vAlign w:val="bottom"/>
          </w:tcPr>
          <w:p>
            <w:pPr>
              <w:ind w:left="40"/>
              <w:spacing w:after="0"/>
              <w:rPr>
                <w:sz w:val="20"/>
                <w:szCs w:val="20"/>
                <w:color w:val="auto"/>
              </w:rPr>
            </w:pPr>
            <w:r>
              <w:rPr>
                <w:rFonts w:ascii="Arial" w:cs="Arial" w:eastAsia="Arial" w:hAnsi="Arial"/>
                <w:sz w:val="16"/>
                <w:szCs w:val="16"/>
                <w:color w:val="auto"/>
              </w:rPr>
              <w:t>Valuation allowances against other non-U.S. income tax benefits</w:t>
            </w:r>
          </w:p>
        </w:tc>
        <w:tc>
          <w:tcPr>
            <w:tcW w:w="260" w:type="dxa"/>
            <w:vAlign w:val="bottom"/>
          </w:tcPr>
          <w:p>
            <w:pPr>
              <w:spacing w:after="0"/>
              <w:rPr>
                <w:sz w:val="23"/>
                <w:szCs w:val="23"/>
                <w:color w:val="auto"/>
              </w:rPr>
            </w:pPr>
          </w:p>
        </w:tc>
        <w:tc>
          <w:tcPr>
            <w:tcW w:w="940" w:type="dxa"/>
            <w:vAlign w:val="bottom"/>
          </w:tcPr>
          <w:p>
            <w:pPr>
              <w:jc w:val="right"/>
              <w:ind w:right="20"/>
              <w:spacing w:after="0"/>
              <w:rPr>
                <w:sz w:val="20"/>
                <w:szCs w:val="20"/>
                <w:color w:val="auto"/>
              </w:rPr>
            </w:pPr>
            <w:r>
              <w:rPr>
                <w:rFonts w:ascii="Arial" w:cs="Arial" w:eastAsia="Arial" w:hAnsi="Arial"/>
                <w:sz w:val="16"/>
                <w:szCs w:val="16"/>
                <w:b w:val="1"/>
                <w:bCs w:val="1"/>
                <w:color w:val="auto"/>
              </w:rPr>
              <w:t>(1,935)</w:t>
            </w:r>
          </w:p>
        </w:tc>
        <w:tc>
          <w:tcPr>
            <w:tcW w:w="320" w:type="dxa"/>
            <w:vAlign w:val="bottom"/>
          </w:tcPr>
          <w:p>
            <w:pPr>
              <w:spacing w:after="0"/>
              <w:rPr>
                <w:sz w:val="23"/>
                <w:szCs w:val="23"/>
                <w:color w:val="auto"/>
              </w:rPr>
            </w:pPr>
          </w:p>
        </w:tc>
        <w:tc>
          <w:tcPr>
            <w:tcW w:w="920" w:type="dxa"/>
            <w:vAlign w:val="bottom"/>
          </w:tcPr>
          <w:p>
            <w:pPr>
              <w:jc w:val="right"/>
              <w:ind w:right="20"/>
              <w:spacing w:after="0"/>
              <w:rPr>
                <w:sz w:val="20"/>
                <w:szCs w:val="20"/>
                <w:color w:val="auto"/>
              </w:rPr>
            </w:pPr>
            <w:r>
              <w:rPr>
                <w:rFonts w:ascii="Arial" w:cs="Arial" w:eastAsia="Arial" w:hAnsi="Arial"/>
                <w:sz w:val="16"/>
                <w:szCs w:val="16"/>
                <w:color w:val="auto"/>
              </w:rPr>
              <w:t>(12,688)</w:t>
            </w:r>
          </w:p>
        </w:tc>
        <w:tc>
          <w:tcPr>
            <w:tcW w:w="360" w:type="dxa"/>
            <w:vAlign w:val="bottom"/>
          </w:tcPr>
          <w:p>
            <w:pPr>
              <w:spacing w:after="0"/>
              <w:rPr>
                <w:sz w:val="23"/>
                <w:szCs w:val="23"/>
                <w:color w:val="auto"/>
              </w:rPr>
            </w:pPr>
          </w:p>
        </w:tc>
        <w:tc>
          <w:tcPr>
            <w:tcW w:w="840" w:type="dxa"/>
            <w:vAlign w:val="bottom"/>
          </w:tcPr>
          <w:p>
            <w:pPr>
              <w:jc w:val="right"/>
              <w:ind w:right="20"/>
              <w:spacing w:after="0"/>
              <w:rPr>
                <w:sz w:val="20"/>
                <w:szCs w:val="20"/>
                <w:color w:val="auto"/>
              </w:rPr>
            </w:pPr>
            <w:r>
              <w:rPr>
                <w:rFonts w:ascii="Arial" w:cs="Arial" w:eastAsia="Arial" w:hAnsi="Arial"/>
                <w:sz w:val="16"/>
                <w:szCs w:val="16"/>
                <w:color w:val="auto"/>
              </w:rPr>
              <w:t>431</w:t>
            </w:r>
          </w:p>
        </w:tc>
      </w:tr>
      <w:tr>
        <w:trPr>
          <w:trHeight w:val="270"/>
        </w:trPr>
        <w:tc>
          <w:tcPr>
            <w:tcW w:w="7780" w:type="dxa"/>
            <w:vAlign w:val="bottom"/>
          </w:tcPr>
          <w:p>
            <w:pPr>
              <w:ind w:left="40"/>
              <w:spacing w:after="0"/>
              <w:rPr>
                <w:sz w:val="20"/>
                <w:szCs w:val="20"/>
                <w:color w:val="auto"/>
              </w:rPr>
            </w:pPr>
            <w:r>
              <w:rPr>
                <w:rFonts w:ascii="Arial" w:cs="Arial" w:eastAsia="Arial" w:hAnsi="Arial"/>
                <w:sz w:val="16"/>
                <w:szCs w:val="16"/>
                <w:color w:val="auto"/>
              </w:rPr>
              <w:t>Stock-based compensation</w:t>
            </w:r>
          </w:p>
        </w:tc>
        <w:tc>
          <w:tcPr>
            <w:tcW w:w="260" w:type="dxa"/>
            <w:vAlign w:val="bottom"/>
          </w:tcPr>
          <w:p>
            <w:pPr>
              <w:spacing w:after="0"/>
              <w:rPr>
                <w:sz w:val="23"/>
                <w:szCs w:val="23"/>
                <w:color w:val="auto"/>
              </w:rPr>
            </w:pPr>
          </w:p>
        </w:tc>
        <w:tc>
          <w:tcPr>
            <w:tcW w:w="940" w:type="dxa"/>
            <w:vAlign w:val="bottom"/>
          </w:tcPr>
          <w:p>
            <w:pPr>
              <w:jc w:val="right"/>
              <w:ind w:right="20"/>
              <w:spacing w:after="0"/>
              <w:rPr>
                <w:sz w:val="20"/>
                <w:szCs w:val="20"/>
                <w:color w:val="auto"/>
              </w:rPr>
            </w:pPr>
            <w:r>
              <w:rPr>
                <w:rFonts w:ascii="Arial" w:cs="Arial" w:eastAsia="Arial" w:hAnsi="Arial"/>
                <w:sz w:val="16"/>
                <w:szCs w:val="16"/>
                <w:b w:val="1"/>
                <w:bCs w:val="1"/>
                <w:color w:val="auto"/>
              </w:rPr>
              <w:t>(6,023)</w:t>
            </w:r>
          </w:p>
        </w:tc>
        <w:tc>
          <w:tcPr>
            <w:tcW w:w="320" w:type="dxa"/>
            <w:vAlign w:val="bottom"/>
          </w:tcPr>
          <w:p>
            <w:pPr>
              <w:spacing w:after="0"/>
              <w:rPr>
                <w:sz w:val="23"/>
                <w:szCs w:val="23"/>
                <w:color w:val="auto"/>
              </w:rPr>
            </w:pPr>
          </w:p>
        </w:tc>
        <w:tc>
          <w:tcPr>
            <w:tcW w:w="920" w:type="dxa"/>
            <w:vAlign w:val="bottom"/>
          </w:tcPr>
          <w:p>
            <w:pPr>
              <w:jc w:val="right"/>
              <w:ind w:right="80"/>
              <w:spacing w:after="0"/>
              <w:rPr>
                <w:sz w:val="20"/>
                <w:szCs w:val="20"/>
                <w:color w:val="auto"/>
              </w:rPr>
            </w:pPr>
            <w:r>
              <w:rPr>
                <w:rFonts w:ascii="Arial" w:cs="Arial" w:eastAsia="Arial" w:hAnsi="Arial"/>
                <w:sz w:val="16"/>
                <w:szCs w:val="16"/>
                <w:color w:val="auto"/>
              </w:rPr>
              <w:t>—</w:t>
            </w:r>
          </w:p>
        </w:tc>
        <w:tc>
          <w:tcPr>
            <w:tcW w:w="360" w:type="dxa"/>
            <w:vAlign w:val="bottom"/>
          </w:tcPr>
          <w:p>
            <w:pPr>
              <w:spacing w:after="0"/>
              <w:rPr>
                <w:sz w:val="23"/>
                <w:szCs w:val="23"/>
                <w:color w:val="auto"/>
              </w:rPr>
            </w:pPr>
          </w:p>
        </w:tc>
        <w:tc>
          <w:tcPr>
            <w:tcW w:w="840" w:type="dxa"/>
            <w:vAlign w:val="bottom"/>
          </w:tcPr>
          <w:p>
            <w:pPr>
              <w:jc w:val="right"/>
              <w:ind w:right="20"/>
              <w:spacing w:after="0"/>
              <w:rPr>
                <w:sz w:val="20"/>
                <w:szCs w:val="20"/>
                <w:color w:val="auto"/>
              </w:rPr>
            </w:pPr>
            <w:r>
              <w:rPr>
                <w:rFonts w:ascii="Arial" w:cs="Arial" w:eastAsia="Arial" w:hAnsi="Arial"/>
                <w:sz w:val="16"/>
                <w:szCs w:val="16"/>
                <w:color w:val="auto"/>
              </w:rPr>
              <w:t>—</w:t>
            </w:r>
          </w:p>
        </w:tc>
      </w:tr>
      <w:tr>
        <w:trPr>
          <w:trHeight w:val="270"/>
        </w:trPr>
        <w:tc>
          <w:tcPr>
            <w:tcW w:w="7780" w:type="dxa"/>
            <w:vAlign w:val="bottom"/>
          </w:tcPr>
          <w:p>
            <w:pPr>
              <w:ind w:left="40"/>
              <w:spacing w:after="0"/>
              <w:rPr>
                <w:sz w:val="20"/>
                <w:szCs w:val="20"/>
                <w:color w:val="auto"/>
              </w:rPr>
            </w:pPr>
            <w:r>
              <w:rPr>
                <w:rFonts w:ascii="Arial" w:cs="Arial" w:eastAsia="Arial" w:hAnsi="Arial"/>
                <w:sz w:val="16"/>
                <w:szCs w:val="16"/>
                <w:color w:val="auto"/>
              </w:rPr>
              <w:t>Goodwill impairments and dispositions</w:t>
            </w:r>
          </w:p>
        </w:tc>
        <w:tc>
          <w:tcPr>
            <w:tcW w:w="260" w:type="dxa"/>
            <w:vAlign w:val="bottom"/>
          </w:tcPr>
          <w:p>
            <w:pPr>
              <w:spacing w:after="0"/>
              <w:rPr>
                <w:sz w:val="23"/>
                <w:szCs w:val="23"/>
                <w:color w:val="auto"/>
              </w:rPr>
            </w:pPr>
          </w:p>
        </w:tc>
        <w:tc>
          <w:tcPr>
            <w:tcW w:w="940" w:type="dxa"/>
            <w:vAlign w:val="bottom"/>
          </w:tcPr>
          <w:p>
            <w:pPr>
              <w:jc w:val="right"/>
              <w:ind w:right="80"/>
              <w:spacing w:after="0"/>
              <w:rPr>
                <w:sz w:val="20"/>
                <w:szCs w:val="20"/>
                <w:color w:val="auto"/>
              </w:rPr>
            </w:pPr>
            <w:r>
              <w:rPr>
                <w:rFonts w:ascii="Arial" w:cs="Arial" w:eastAsia="Arial" w:hAnsi="Arial"/>
                <w:sz w:val="16"/>
                <w:szCs w:val="16"/>
                <w:b w:val="1"/>
                <w:bCs w:val="1"/>
                <w:color w:val="auto"/>
              </w:rPr>
              <w:t>—</w:t>
            </w:r>
          </w:p>
        </w:tc>
        <w:tc>
          <w:tcPr>
            <w:tcW w:w="320" w:type="dxa"/>
            <w:vAlign w:val="bottom"/>
          </w:tcPr>
          <w:p>
            <w:pPr>
              <w:spacing w:after="0"/>
              <w:rPr>
                <w:sz w:val="23"/>
                <w:szCs w:val="23"/>
                <w:color w:val="auto"/>
              </w:rPr>
            </w:pPr>
          </w:p>
        </w:tc>
        <w:tc>
          <w:tcPr>
            <w:tcW w:w="920" w:type="dxa"/>
            <w:vAlign w:val="bottom"/>
          </w:tcPr>
          <w:p>
            <w:pPr>
              <w:jc w:val="right"/>
              <w:ind w:right="20"/>
              <w:spacing w:after="0"/>
              <w:rPr>
                <w:sz w:val="20"/>
                <w:szCs w:val="20"/>
                <w:color w:val="auto"/>
              </w:rPr>
            </w:pPr>
            <w:r>
              <w:rPr>
                <w:rFonts w:ascii="Arial" w:cs="Arial" w:eastAsia="Arial" w:hAnsi="Arial"/>
                <w:sz w:val="16"/>
                <w:szCs w:val="16"/>
                <w:color w:val="auto"/>
              </w:rPr>
              <w:t>(5,631)</w:t>
            </w:r>
          </w:p>
        </w:tc>
        <w:tc>
          <w:tcPr>
            <w:tcW w:w="360" w:type="dxa"/>
            <w:vAlign w:val="bottom"/>
          </w:tcPr>
          <w:p>
            <w:pPr>
              <w:spacing w:after="0"/>
              <w:rPr>
                <w:sz w:val="23"/>
                <w:szCs w:val="23"/>
                <w:color w:val="auto"/>
              </w:rPr>
            </w:pPr>
          </w:p>
        </w:tc>
        <w:tc>
          <w:tcPr>
            <w:tcW w:w="840" w:type="dxa"/>
            <w:vAlign w:val="bottom"/>
          </w:tcPr>
          <w:p>
            <w:pPr>
              <w:jc w:val="right"/>
              <w:ind w:right="20"/>
              <w:spacing w:after="0"/>
              <w:rPr>
                <w:sz w:val="20"/>
                <w:szCs w:val="20"/>
                <w:color w:val="auto"/>
              </w:rPr>
            </w:pPr>
            <w:r>
              <w:rPr>
                <w:rFonts w:ascii="Arial" w:cs="Arial" w:eastAsia="Arial" w:hAnsi="Arial"/>
                <w:sz w:val="16"/>
                <w:szCs w:val="16"/>
                <w:color w:val="auto"/>
              </w:rPr>
              <w:t>63,889</w:t>
            </w:r>
          </w:p>
        </w:tc>
      </w:tr>
      <w:tr>
        <w:trPr>
          <w:trHeight w:val="270"/>
        </w:trPr>
        <w:tc>
          <w:tcPr>
            <w:tcW w:w="7780" w:type="dxa"/>
            <w:vAlign w:val="bottom"/>
          </w:tcPr>
          <w:p>
            <w:pPr>
              <w:ind w:left="40"/>
              <w:spacing w:after="0"/>
              <w:rPr>
                <w:sz w:val="20"/>
                <w:szCs w:val="20"/>
                <w:color w:val="auto"/>
              </w:rPr>
            </w:pPr>
            <w:r>
              <w:rPr>
                <w:rFonts w:ascii="Arial" w:cs="Arial" w:eastAsia="Arial" w:hAnsi="Arial"/>
                <w:sz w:val="16"/>
                <w:szCs w:val="16"/>
                <w:color w:val="auto"/>
              </w:rPr>
              <w:t>U.S. Federal Manufacturing Deduction tax benefits</w:t>
            </w:r>
          </w:p>
        </w:tc>
        <w:tc>
          <w:tcPr>
            <w:tcW w:w="260" w:type="dxa"/>
            <w:vAlign w:val="bottom"/>
          </w:tcPr>
          <w:p>
            <w:pPr>
              <w:spacing w:after="0"/>
              <w:rPr>
                <w:sz w:val="23"/>
                <w:szCs w:val="23"/>
                <w:color w:val="auto"/>
              </w:rPr>
            </w:pPr>
          </w:p>
        </w:tc>
        <w:tc>
          <w:tcPr>
            <w:tcW w:w="940" w:type="dxa"/>
            <w:vAlign w:val="bottom"/>
          </w:tcPr>
          <w:p>
            <w:pPr>
              <w:jc w:val="right"/>
              <w:ind w:right="20"/>
              <w:spacing w:after="0"/>
              <w:rPr>
                <w:sz w:val="20"/>
                <w:szCs w:val="20"/>
                <w:color w:val="auto"/>
              </w:rPr>
            </w:pPr>
            <w:r>
              <w:rPr>
                <w:rFonts w:ascii="Arial" w:cs="Arial" w:eastAsia="Arial" w:hAnsi="Arial"/>
                <w:sz w:val="16"/>
                <w:szCs w:val="16"/>
                <w:b w:val="1"/>
                <w:bCs w:val="1"/>
                <w:color w:val="auto"/>
              </w:rPr>
              <w:t>(1,329)</w:t>
            </w:r>
          </w:p>
        </w:tc>
        <w:tc>
          <w:tcPr>
            <w:tcW w:w="320" w:type="dxa"/>
            <w:vAlign w:val="bottom"/>
          </w:tcPr>
          <w:p>
            <w:pPr>
              <w:spacing w:after="0"/>
              <w:rPr>
                <w:sz w:val="23"/>
                <w:szCs w:val="23"/>
                <w:color w:val="auto"/>
              </w:rPr>
            </w:pPr>
          </w:p>
        </w:tc>
        <w:tc>
          <w:tcPr>
            <w:tcW w:w="920" w:type="dxa"/>
            <w:vAlign w:val="bottom"/>
          </w:tcPr>
          <w:p>
            <w:pPr>
              <w:jc w:val="right"/>
              <w:ind w:right="20"/>
              <w:spacing w:after="0"/>
              <w:rPr>
                <w:sz w:val="20"/>
                <w:szCs w:val="20"/>
                <w:color w:val="auto"/>
              </w:rPr>
            </w:pPr>
            <w:r>
              <w:rPr>
                <w:rFonts w:ascii="Arial" w:cs="Arial" w:eastAsia="Arial" w:hAnsi="Arial"/>
                <w:sz w:val="16"/>
                <w:szCs w:val="16"/>
                <w:color w:val="auto"/>
              </w:rPr>
              <w:t>(6,012)</w:t>
            </w:r>
          </w:p>
        </w:tc>
        <w:tc>
          <w:tcPr>
            <w:tcW w:w="360" w:type="dxa"/>
            <w:vAlign w:val="bottom"/>
          </w:tcPr>
          <w:p>
            <w:pPr>
              <w:spacing w:after="0"/>
              <w:rPr>
                <w:sz w:val="23"/>
                <w:szCs w:val="23"/>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(625)</w:t>
            </w:r>
          </w:p>
        </w:tc>
      </w:tr>
      <w:tr>
        <w:trPr>
          <w:trHeight w:val="270"/>
        </w:trPr>
        <w:tc>
          <w:tcPr>
            <w:tcW w:w="7780" w:type="dxa"/>
            <w:vAlign w:val="bottom"/>
          </w:tcPr>
          <w:p>
            <w:pPr>
              <w:ind w:left="40"/>
              <w:spacing w:after="0"/>
              <w:rPr>
                <w:sz w:val="20"/>
                <w:szCs w:val="20"/>
                <w:color w:val="auto"/>
              </w:rPr>
            </w:pPr>
            <w:r>
              <w:rPr>
                <w:rFonts w:ascii="Arial" w:cs="Arial" w:eastAsia="Arial" w:hAnsi="Arial"/>
                <w:sz w:val="16"/>
                <w:szCs w:val="16"/>
                <w:color w:val="auto"/>
              </w:rPr>
              <w:t>Write-off of deferred taxes related to intercompany loans</w:t>
            </w:r>
          </w:p>
        </w:tc>
        <w:tc>
          <w:tcPr>
            <w:tcW w:w="260" w:type="dxa"/>
            <w:vAlign w:val="bottom"/>
          </w:tcPr>
          <w:p>
            <w:pPr>
              <w:spacing w:after="0"/>
              <w:rPr>
                <w:sz w:val="23"/>
                <w:szCs w:val="23"/>
                <w:color w:val="auto"/>
              </w:rPr>
            </w:pPr>
          </w:p>
        </w:tc>
        <w:tc>
          <w:tcPr>
            <w:tcW w:w="940" w:type="dxa"/>
            <w:vAlign w:val="bottom"/>
          </w:tcPr>
          <w:p>
            <w:pPr>
              <w:jc w:val="right"/>
              <w:ind w:right="80"/>
              <w:spacing w:after="0"/>
              <w:rPr>
                <w:sz w:val="20"/>
                <w:szCs w:val="20"/>
                <w:color w:val="auto"/>
              </w:rPr>
            </w:pPr>
            <w:r>
              <w:rPr>
                <w:rFonts w:ascii="Arial" w:cs="Arial" w:eastAsia="Arial" w:hAnsi="Arial"/>
                <w:sz w:val="16"/>
                <w:szCs w:val="16"/>
                <w:b w:val="1"/>
                <w:bCs w:val="1"/>
                <w:color w:val="auto"/>
              </w:rPr>
              <w:t>—</w:t>
            </w:r>
          </w:p>
        </w:tc>
        <w:tc>
          <w:tcPr>
            <w:tcW w:w="320" w:type="dxa"/>
            <w:vAlign w:val="bottom"/>
          </w:tcPr>
          <w:p>
            <w:pPr>
              <w:spacing w:after="0"/>
              <w:rPr>
                <w:sz w:val="23"/>
                <w:szCs w:val="23"/>
                <w:color w:val="auto"/>
              </w:rPr>
            </w:pPr>
          </w:p>
        </w:tc>
        <w:tc>
          <w:tcPr>
            <w:tcW w:w="920" w:type="dxa"/>
            <w:vAlign w:val="bottom"/>
          </w:tcPr>
          <w:p>
            <w:pPr>
              <w:jc w:val="right"/>
              <w:ind w:right="80"/>
              <w:spacing w:after="0"/>
              <w:rPr>
                <w:sz w:val="20"/>
                <w:szCs w:val="20"/>
                <w:color w:val="auto"/>
              </w:rPr>
            </w:pPr>
            <w:r>
              <w:rPr>
                <w:rFonts w:ascii="Arial" w:cs="Arial" w:eastAsia="Arial" w:hAnsi="Arial"/>
                <w:sz w:val="16"/>
                <w:szCs w:val="16"/>
                <w:color w:val="auto"/>
              </w:rPr>
              <w:t>10,965</w:t>
            </w:r>
          </w:p>
        </w:tc>
        <w:tc>
          <w:tcPr>
            <w:tcW w:w="360" w:type="dxa"/>
            <w:vAlign w:val="bottom"/>
          </w:tcPr>
          <w:p>
            <w:pPr>
              <w:spacing w:after="0"/>
              <w:rPr>
                <w:sz w:val="23"/>
                <w:szCs w:val="23"/>
                <w:color w:val="auto"/>
              </w:rPr>
            </w:pPr>
          </w:p>
        </w:tc>
        <w:tc>
          <w:tcPr>
            <w:tcW w:w="840" w:type="dxa"/>
            <w:vAlign w:val="bottom"/>
          </w:tcPr>
          <w:p>
            <w:pPr>
              <w:jc w:val="right"/>
              <w:ind w:right="20"/>
              <w:spacing w:after="0"/>
              <w:rPr>
                <w:sz w:val="20"/>
                <w:szCs w:val="20"/>
                <w:color w:val="auto"/>
              </w:rPr>
            </w:pPr>
            <w:r>
              <w:rPr>
                <w:rFonts w:ascii="Arial" w:cs="Arial" w:eastAsia="Arial" w:hAnsi="Arial"/>
                <w:sz w:val="16"/>
                <w:szCs w:val="16"/>
                <w:color w:val="auto"/>
              </w:rPr>
              <w:t>—</w:t>
            </w:r>
          </w:p>
        </w:tc>
      </w:tr>
      <w:tr>
        <w:trPr>
          <w:trHeight w:val="270"/>
        </w:trPr>
        <w:tc>
          <w:tcPr>
            <w:tcW w:w="7780" w:type="dxa"/>
            <w:vAlign w:val="bottom"/>
          </w:tcPr>
          <w:p>
            <w:pPr>
              <w:ind w:left="40"/>
              <w:spacing w:after="0"/>
              <w:rPr>
                <w:sz w:val="20"/>
                <w:szCs w:val="20"/>
                <w:color w:val="auto"/>
              </w:rPr>
            </w:pPr>
            <w:r>
              <w:rPr>
                <w:rFonts w:ascii="Arial" w:cs="Arial" w:eastAsia="Arial" w:hAnsi="Arial"/>
                <w:sz w:val="16"/>
                <w:szCs w:val="16"/>
                <w:color w:val="auto"/>
              </w:rPr>
              <w:t>Deferred tax impact of U.S. Federal tax rate reduction to 21%, net of state tax impact</w:t>
            </w:r>
          </w:p>
        </w:tc>
        <w:tc>
          <w:tcPr>
            <w:tcW w:w="260" w:type="dxa"/>
            <w:vAlign w:val="bottom"/>
          </w:tcPr>
          <w:p>
            <w:pPr>
              <w:spacing w:after="0"/>
              <w:rPr>
                <w:sz w:val="23"/>
                <w:szCs w:val="23"/>
                <w:color w:val="auto"/>
              </w:rPr>
            </w:pPr>
          </w:p>
        </w:tc>
        <w:tc>
          <w:tcPr>
            <w:tcW w:w="940" w:type="dxa"/>
            <w:vAlign w:val="bottom"/>
          </w:tcPr>
          <w:p>
            <w:pPr>
              <w:jc w:val="right"/>
              <w:ind w:right="20"/>
              <w:spacing w:after="0"/>
              <w:rPr>
                <w:sz w:val="20"/>
                <w:szCs w:val="20"/>
                <w:color w:val="auto"/>
              </w:rPr>
            </w:pPr>
            <w:r>
              <w:rPr>
                <w:rFonts w:ascii="Arial" w:cs="Arial" w:eastAsia="Arial" w:hAnsi="Arial"/>
                <w:sz w:val="16"/>
                <w:szCs w:val="16"/>
                <w:b w:val="1"/>
                <w:bCs w:val="1"/>
                <w:color w:val="auto"/>
              </w:rPr>
              <w:t>(153,336)</w:t>
            </w:r>
          </w:p>
        </w:tc>
        <w:tc>
          <w:tcPr>
            <w:tcW w:w="320" w:type="dxa"/>
            <w:vAlign w:val="bottom"/>
          </w:tcPr>
          <w:p>
            <w:pPr>
              <w:spacing w:after="0"/>
              <w:rPr>
                <w:sz w:val="23"/>
                <w:szCs w:val="23"/>
                <w:color w:val="auto"/>
              </w:rPr>
            </w:pPr>
          </w:p>
        </w:tc>
        <w:tc>
          <w:tcPr>
            <w:tcW w:w="920" w:type="dxa"/>
            <w:vAlign w:val="bottom"/>
          </w:tcPr>
          <w:p>
            <w:pPr>
              <w:jc w:val="right"/>
              <w:ind w:right="80"/>
              <w:spacing w:after="0"/>
              <w:rPr>
                <w:sz w:val="20"/>
                <w:szCs w:val="20"/>
                <w:color w:val="auto"/>
              </w:rPr>
            </w:pPr>
            <w:r>
              <w:rPr>
                <w:rFonts w:ascii="Arial" w:cs="Arial" w:eastAsia="Arial" w:hAnsi="Arial"/>
                <w:sz w:val="16"/>
                <w:szCs w:val="16"/>
                <w:color w:val="auto"/>
              </w:rPr>
              <w:t>—</w:t>
            </w:r>
          </w:p>
        </w:tc>
        <w:tc>
          <w:tcPr>
            <w:tcW w:w="360" w:type="dxa"/>
            <w:vAlign w:val="bottom"/>
          </w:tcPr>
          <w:p>
            <w:pPr>
              <w:spacing w:after="0"/>
              <w:rPr>
                <w:sz w:val="23"/>
                <w:szCs w:val="23"/>
                <w:color w:val="auto"/>
              </w:rPr>
            </w:pPr>
          </w:p>
        </w:tc>
        <w:tc>
          <w:tcPr>
            <w:tcW w:w="840" w:type="dxa"/>
            <w:vAlign w:val="bottom"/>
          </w:tcPr>
          <w:p>
            <w:pPr>
              <w:jc w:val="right"/>
              <w:ind w:right="20"/>
              <w:spacing w:after="0"/>
              <w:rPr>
                <w:sz w:val="20"/>
                <w:szCs w:val="20"/>
                <w:color w:val="auto"/>
              </w:rPr>
            </w:pPr>
            <w:r>
              <w:rPr>
                <w:rFonts w:ascii="Arial" w:cs="Arial" w:eastAsia="Arial" w:hAnsi="Arial"/>
                <w:sz w:val="16"/>
                <w:szCs w:val="16"/>
                <w:color w:val="auto"/>
              </w:rPr>
              <w:t>—</w:t>
            </w:r>
          </w:p>
        </w:tc>
      </w:tr>
      <w:tr>
        <w:trPr>
          <w:trHeight w:val="270"/>
        </w:trPr>
        <w:tc>
          <w:tcPr>
            <w:tcW w:w="7780" w:type="dxa"/>
            <w:vAlign w:val="bottom"/>
          </w:tcPr>
          <w:p>
            <w:pPr>
              <w:ind w:left="40"/>
              <w:spacing w:after="0"/>
              <w:rPr>
                <w:sz w:val="20"/>
                <w:szCs w:val="20"/>
                <w:color w:val="auto"/>
              </w:rPr>
            </w:pPr>
            <w:r>
              <w:rPr>
                <w:rFonts w:ascii="Arial" w:cs="Arial" w:eastAsia="Arial" w:hAnsi="Arial"/>
                <w:sz w:val="16"/>
                <w:szCs w:val="16"/>
                <w:color w:val="auto"/>
              </w:rPr>
              <w:t>Deferred tax benefit on unremitted non-U.S. subsidiary earnings related to the Tax Act</w:t>
            </w:r>
          </w:p>
        </w:tc>
        <w:tc>
          <w:tcPr>
            <w:tcW w:w="260" w:type="dxa"/>
            <w:vAlign w:val="bottom"/>
          </w:tcPr>
          <w:p>
            <w:pPr>
              <w:spacing w:after="0"/>
              <w:rPr>
                <w:sz w:val="23"/>
                <w:szCs w:val="23"/>
                <w:color w:val="auto"/>
              </w:rPr>
            </w:pPr>
          </w:p>
        </w:tc>
        <w:tc>
          <w:tcPr>
            <w:tcW w:w="940" w:type="dxa"/>
            <w:vAlign w:val="bottom"/>
          </w:tcPr>
          <w:p>
            <w:pPr>
              <w:jc w:val="right"/>
              <w:ind w:right="20"/>
              <w:spacing w:after="0"/>
              <w:rPr>
                <w:sz w:val="20"/>
                <w:szCs w:val="20"/>
                <w:color w:val="auto"/>
              </w:rPr>
            </w:pPr>
            <w:r>
              <w:rPr>
                <w:rFonts w:ascii="Arial" w:cs="Arial" w:eastAsia="Arial" w:hAnsi="Arial"/>
                <w:sz w:val="16"/>
                <w:szCs w:val="16"/>
                <w:b w:val="1"/>
                <w:bCs w:val="1"/>
                <w:color w:val="auto"/>
              </w:rPr>
              <w:t>(28,324)</w:t>
            </w:r>
          </w:p>
        </w:tc>
        <w:tc>
          <w:tcPr>
            <w:tcW w:w="320" w:type="dxa"/>
            <w:vAlign w:val="bottom"/>
          </w:tcPr>
          <w:p>
            <w:pPr>
              <w:spacing w:after="0"/>
              <w:rPr>
                <w:sz w:val="23"/>
                <w:szCs w:val="23"/>
                <w:color w:val="auto"/>
              </w:rPr>
            </w:pPr>
          </w:p>
        </w:tc>
        <w:tc>
          <w:tcPr>
            <w:tcW w:w="920" w:type="dxa"/>
            <w:vAlign w:val="bottom"/>
          </w:tcPr>
          <w:p>
            <w:pPr>
              <w:jc w:val="right"/>
              <w:ind w:right="80"/>
              <w:spacing w:after="0"/>
              <w:rPr>
                <w:sz w:val="20"/>
                <w:szCs w:val="20"/>
                <w:color w:val="auto"/>
              </w:rPr>
            </w:pPr>
            <w:r>
              <w:rPr>
                <w:rFonts w:ascii="Arial" w:cs="Arial" w:eastAsia="Arial" w:hAnsi="Arial"/>
                <w:sz w:val="16"/>
                <w:szCs w:val="16"/>
                <w:color w:val="auto"/>
              </w:rPr>
              <w:t>—</w:t>
            </w:r>
          </w:p>
        </w:tc>
        <w:tc>
          <w:tcPr>
            <w:tcW w:w="360" w:type="dxa"/>
            <w:vAlign w:val="bottom"/>
          </w:tcPr>
          <w:p>
            <w:pPr>
              <w:spacing w:after="0"/>
              <w:rPr>
                <w:sz w:val="23"/>
                <w:szCs w:val="23"/>
                <w:color w:val="auto"/>
              </w:rPr>
            </w:pPr>
          </w:p>
        </w:tc>
        <w:tc>
          <w:tcPr>
            <w:tcW w:w="840" w:type="dxa"/>
            <w:vAlign w:val="bottom"/>
          </w:tcPr>
          <w:p>
            <w:pPr>
              <w:jc w:val="right"/>
              <w:ind w:right="20"/>
              <w:spacing w:after="0"/>
              <w:rPr>
                <w:sz w:val="20"/>
                <w:szCs w:val="20"/>
                <w:color w:val="auto"/>
              </w:rPr>
            </w:pPr>
            <w:r>
              <w:rPr>
                <w:rFonts w:ascii="Arial" w:cs="Arial" w:eastAsia="Arial" w:hAnsi="Arial"/>
                <w:sz w:val="16"/>
                <w:szCs w:val="16"/>
                <w:color w:val="auto"/>
              </w:rPr>
              <w:t>—</w:t>
            </w:r>
          </w:p>
        </w:tc>
      </w:tr>
      <w:tr>
        <w:trPr>
          <w:trHeight w:val="283"/>
        </w:trPr>
        <w:tc>
          <w:tcPr>
            <w:tcW w:w="7780" w:type="dxa"/>
            <w:vAlign w:val="bottom"/>
          </w:tcPr>
          <w:p>
            <w:pPr>
              <w:ind w:left="40"/>
              <w:spacing w:after="0"/>
              <w:rPr>
                <w:sz w:val="20"/>
                <w:szCs w:val="20"/>
                <w:color w:val="auto"/>
              </w:rPr>
            </w:pPr>
            <w:r>
              <w:rPr>
                <w:rFonts w:ascii="Arial" w:cs="Arial" w:eastAsia="Arial" w:hAnsi="Arial"/>
                <w:sz w:val="16"/>
                <w:szCs w:val="16"/>
                <w:color w:val="auto"/>
              </w:rPr>
              <w:t>Other, net</w:t>
            </w:r>
          </w:p>
        </w:tc>
        <w:tc>
          <w:tcPr>
            <w:tcW w:w="26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b w:val="1"/>
                <w:bCs w:val="1"/>
                <w:color w:val="auto"/>
              </w:rPr>
              <w:t>(338)</w:t>
            </w:r>
          </w:p>
        </w:tc>
        <w:tc>
          <w:tcPr>
            <w:tcW w:w="32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jc w:val="right"/>
              <w:ind w:right="80"/>
              <w:spacing w:after="0"/>
              <w:rPr>
                <w:sz w:val="20"/>
                <w:szCs w:val="20"/>
                <w:color w:val="auto"/>
              </w:rPr>
            </w:pPr>
            <w:r>
              <w:rPr>
                <w:rFonts w:ascii="Arial" w:cs="Arial" w:eastAsia="Arial" w:hAnsi="Arial"/>
                <w:sz w:val="16"/>
                <w:szCs w:val="16"/>
                <w:color w:val="auto"/>
              </w:rPr>
              <w:t>4,611</w:t>
            </w:r>
          </w:p>
        </w:tc>
        <w:tc>
          <w:tcPr>
            <w:tcW w:w="36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3,154</w:t>
            </w:r>
          </w:p>
        </w:tc>
      </w:tr>
      <w:tr>
        <w:trPr>
          <w:trHeight w:val="267"/>
        </w:trPr>
        <w:tc>
          <w:tcPr>
            <w:tcW w:w="7780" w:type="dxa"/>
            <w:vAlign w:val="bottom"/>
          </w:tcPr>
          <w:p>
            <w:pPr>
              <w:ind w:left="40"/>
              <w:spacing w:after="0"/>
              <w:rPr>
                <w:sz w:val="20"/>
                <w:szCs w:val="20"/>
                <w:color w:val="auto"/>
              </w:rPr>
            </w:pPr>
            <w:r>
              <w:rPr>
                <w:rFonts w:ascii="Arial" w:cs="Arial" w:eastAsia="Arial" w:hAnsi="Arial"/>
                <w:sz w:val="16"/>
                <w:szCs w:val="16"/>
                <w:b w:val="1"/>
                <w:bCs w:val="1"/>
                <w:color w:val="auto"/>
              </w:rPr>
              <w:t>(Benefit from) Provision for Income Taxes</w:t>
            </w:r>
          </w:p>
        </w:tc>
        <w:tc>
          <w:tcPr>
            <w:tcW w:w="26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b w:val="1"/>
                <w:bCs w:val="1"/>
                <w:color w:val="auto"/>
              </w:rPr>
              <w:t>$</w:t>
            </w:r>
          </w:p>
        </w:tc>
        <w:tc>
          <w:tcPr>
            <w:tcW w:w="94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b w:val="1"/>
                <w:bCs w:val="1"/>
                <w:color w:val="auto"/>
              </w:rPr>
              <w:t>(119,700)</w:t>
            </w:r>
          </w:p>
        </w:tc>
        <w:tc>
          <w:tcPr>
            <w:tcW w:w="32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w:t>
            </w:r>
          </w:p>
        </w:tc>
        <w:tc>
          <w:tcPr>
            <w:tcW w:w="920" w:type="dxa"/>
            <w:vAlign w:val="bottom"/>
            <w:tcBorders>
              <w:bottom w:val="single" w:sz="8" w:color="auto"/>
            </w:tcBorders>
          </w:tcPr>
          <w:p>
            <w:pPr>
              <w:jc w:val="right"/>
              <w:ind w:right="80"/>
              <w:spacing w:after="0"/>
              <w:rPr>
                <w:sz w:val="20"/>
                <w:szCs w:val="20"/>
                <w:color w:val="auto"/>
              </w:rPr>
            </w:pPr>
            <w:r>
              <w:rPr>
                <w:rFonts w:ascii="Arial" w:cs="Arial" w:eastAsia="Arial" w:hAnsi="Arial"/>
                <w:sz w:val="16"/>
                <w:szCs w:val="16"/>
                <w:color w:val="auto"/>
              </w:rPr>
              <w:t>81,200</w:t>
            </w:r>
          </w:p>
        </w:tc>
        <w:tc>
          <w:tcPr>
            <w:tcW w:w="36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rPr>
              <w:t>$</w:t>
            </w:r>
          </w:p>
        </w:tc>
        <w:tc>
          <w:tcPr>
            <w:tcW w:w="84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20,500</w:t>
            </w:r>
          </w:p>
        </w:tc>
      </w:tr>
      <w:tr>
        <w:trPr>
          <w:trHeight w:val="20"/>
        </w:trPr>
        <w:tc>
          <w:tcPr>
            <w:tcW w:w="77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ind w:right="80"/>
        <w:spacing w:after="0" w:line="222" w:lineRule="auto"/>
        <w:rPr>
          <w:sz w:val="20"/>
          <w:szCs w:val="20"/>
          <w:color w:val="auto"/>
        </w:rPr>
      </w:pPr>
      <w:r>
        <w:rPr>
          <w:rFonts w:ascii="Arial" w:cs="Arial" w:eastAsia="Arial" w:hAnsi="Arial"/>
          <w:sz w:val="18"/>
          <w:szCs w:val="18"/>
          <w:color w:val="auto"/>
        </w:rPr>
        <w:t>The Tax Act was enacted on December 22, 2017, making significant changes to the Internal Revenue Code. The SEC staff issued Staff Accounting Bulletin No. 118 (SAB 118) to address the application of U.S. GAAP in situations when a registrant does not have the necessary information available, prepared, or analyzed (including computations) in reasonable detail to complete the accounting for certain income tax effects of the Tax Act and allows the registrant to record provisional amounts during a measurement period not to extend beyond one year of the enactment date. The Company has not recognized any provisional tax expense related to the one-time transition tax, and recognized provisional tax benefits on the revaluation of deferred tax balances and included these estimates in its Consolidated Financial Statements for the year ended December 31, 2017. The ultimate impact may materially differ from these provisional amounts, due to, among other things, additional analysis, changes in interpretations and assumptions the Company made, additional regulatory guidance that may be issued, and actions the Company may take as a result of the Tax Act. In accordance with SAB 118, the Company has calculated a reasonable estimate of the impact of the Tax Act and recorded a provisional amount in its financial statements based on its understanding of the Tax Act and guidance available as of the date of this filing.</w:t>
      </w:r>
    </w:p>
    <w:p>
      <w:pPr>
        <w:spacing w:after="0" w:line="136" w:lineRule="exact"/>
        <w:rPr>
          <w:sz w:val="20"/>
          <w:szCs w:val="20"/>
          <w:color w:val="auto"/>
        </w:rPr>
      </w:pPr>
    </w:p>
    <w:p>
      <w:pPr>
        <w:spacing w:after="0" w:line="224" w:lineRule="auto"/>
        <w:rPr>
          <w:sz w:val="20"/>
          <w:szCs w:val="20"/>
          <w:color w:val="auto"/>
        </w:rPr>
      </w:pPr>
      <w:r>
        <w:rPr>
          <w:rFonts w:ascii="Arial" w:cs="Arial" w:eastAsia="Arial" w:hAnsi="Arial"/>
          <w:sz w:val="18"/>
          <w:szCs w:val="18"/>
          <w:color w:val="auto"/>
        </w:rPr>
        <w:t>Changes as a result of the Tax Act include, but are not limited to, a reduction in the federal corporate income tax rate from 35% to 21% effective January 1, 2018; the imposition of a one-time transition tax on historic earnings of certain non-U.S. subsidiaries that were previously tax deferred; and the imposition of new U.S. taxes on certain non-U.S. earnings. The U.S. Federal corporate income tax rate change resulted in a one-time, non-cash benefit and corresponding reduction of our U.S. Federal deferred tax liabilities, net of the state tax impact, of $153.3 million, which was recorded in the fourth quarter of 2017, the period in which the legislation was enacted. The Company estimates that it will not incur, and did not record, any liability with respect to the one-time U.S. transition tax</w:t>
      </w:r>
    </w:p>
    <w:p>
      <w:pPr>
        <w:sectPr>
          <w:pgSz w:w="11900" w:h="16838" w:orient="portrait"/>
          <w:cols w:equalWidth="0" w:num="1">
            <w:col w:w="11420"/>
          </w:cols>
          <w:pgMar w:left="240" w:top="1098" w:right="239" w:bottom="1440" w:gutter="0" w:footer="0" w:header="0"/>
        </w:sectPr>
      </w:pPr>
    </w:p>
    <w:p>
      <w:pPr>
        <w:spacing w:after="0" w:line="200" w:lineRule="exact"/>
        <w:rPr>
          <w:sz w:val="20"/>
          <w:szCs w:val="20"/>
          <w:color w:val="auto"/>
        </w:rPr>
      </w:pPr>
    </w:p>
    <w:p>
      <w:pPr>
        <w:spacing w:after="0" w:line="302"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92</w:t>
      </w:r>
    </w:p>
    <w:p>
      <w:pPr>
        <w:sectPr>
          <w:pgSz w:w="11900" w:h="16838" w:orient="portrait"/>
          <w:cols w:equalWidth="0" w:num="1">
            <w:col w:w="11420"/>
          </w:cols>
          <w:pgMar w:left="240" w:top="1098" w:right="239" w:bottom="1440" w:gutter="0" w:footer="0" w:header="0"/>
          <w:type w:val="continuous"/>
        </w:sectPr>
      </w:pPr>
    </w:p>
    <w:bookmarkStart w:id="95" w:name="page96"/>
    <w:bookmarkEnd w:id="95"/>
    <w:p>
      <w:pPr>
        <w:ind w:right="100"/>
        <w:spacing w:after="0" w:line="223" w:lineRule="auto"/>
        <w:rPr>
          <w:sz w:val="20"/>
          <w:szCs w:val="20"/>
          <w:color w:val="auto"/>
        </w:rPr>
      </w:pPr>
      <w:r>
        <w:rPr>
          <w:rFonts w:ascii="Arial" w:cs="Arial" w:eastAsia="Arial" w:hAnsi="Arial"/>
          <w:sz w:val="18"/>
          <w:szCs w:val="18"/>
          <w:color w:val="auto"/>
        </w:rPr>
        <w:t>imposed by the Tax Act on unremitted non-U.S. subsidiary earnings. The Company estimates that unremitted non-U.S. subsidiary earnings, when distributed, will not be subject to tax except to the extent non-U.S. withholding taxes are imposed. Accordingly, the Company recorded net deferred tax benefits and a corresponding reduction in deferred tax liabilities of $28.3 million in the fourth quarter of 2017 with respect to unremitted non-U.S. subsidiary earnings. Approximately $ 1.6 million of deferred tax liabilities remain recorded on the books with respect to future non-U.S. withholding taxes the Company estimates may be imposed on future cash distributions. The Company estimates that it will not receive a future U.S. tax benefit for $2.5 million of existing foreign tax credit carryovers as a result of the Tax Act changes; accordingly, the Company established a full valuation allowance of $2.5 million at December 31, 2017.</w:t>
      </w:r>
    </w:p>
    <w:p>
      <w:pPr>
        <w:spacing w:after="0" w:line="139" w:lineRule="exact"/>
        <w:rPr>
          <w:sz w:val="20"/>
          <w:szCs w:val="20"/>
          <w:color w:val="auto"/>
        </w:rPr>
      </w:pPr>
    </w:p>
    <w:p>
      <w:pPr>
        <w:ind w:right="60"/>
        <w:spacing w:after="0" w:line="227" w:lineRule="auto"/>
        <w:rPr>
          <w:sz w:val="20"/>
          <w:szCs w:val="20"/>
          <w:color w:val="auto"/>
        </w:rPr>
      </w:pPr>
      <w:r>
        <w:rPr>
          <w:rFonts w:ascii="Arial" w:cs="Arial" w:eastAsia="Arial" w:hAnsi="Arial"/>
          <w:sz w:val="18"/>
          <w:szCs w:val="18"/>
          <w:color w:val="auto"/>
        </w:rPr>
        <w:t>In March 2016, the FASB issued new guidance that requires all excess tax benefits and tax deficiencies related to stock-based compensation to be recognized in the income statement. The Company adopted the new guidance as of January 1, 2017. As a result of the adoption, the Company recognized $6.0 million in excess tax benefits related to stock-based compensation in 2017. Excess tax benefits and tax deficiencies that occurred prior to January 1, 2017 were not recognized in the income statement, and were instead recorded to additional paid-in capital.</w:t>
      </w:r>
    </w:p>
    <w:p>
      <w:pPr>
        <w:spacing w:after="0" w:line="135" w:lineRule="exact"/>
        <w:rPr>
          <w:sz w:val="20"/>
          <w:szCs w:val="20"/>
          <w:color w:val="auto"/>
        </w:rPr>
      </w:pPr>
    </w:p>
    <w:p>
      <w:pPr>
        <w:ind w:right="20"/>
        <w:spacing w:after="0" w:line="229" w:lineRule="auto"/>
        <w:rPr>
          <w:sz w:val="20"/>
          <w:szCs w:val="20"/>
          <w:color w:val="auto"/>
        </w:rPr>
      </w:pPr>
      <w:r>
        <w:rPr>
          <w:rFonts w:ascii="Arial" w:cs="Arial" w:eastAsia="Arial" w:hAnsi="Arial"/>
          <w:sz w:val="18"/>
          <w:szCs w:val="18"/>
          <w:color w:val="auto"/>
        </w:rPr>
        <w:t>During 2016, certain intercompany loans were capitalized and other intercompany loans were designated as long-term investments, resulting in the write-off of $11.0 million in U.S. deferred tax assets. Also, the Company benefited from a favorable $5.6 million out of period deferred tax adjustment related to the KHE goodwill impairment recorded in the third quarter of 2015.</w:t>
      </w:r>
    </w:p>
    <w:p>
      <w:pPr>
        <w:spacing w:after="0" w:line="137" w:lineRule="exact"/>
        <w:rPr>
          <w:sz w:val="20"/>
          <w:szCs w:val="20"/>
          <w:color w:val="auto"/>
        </w:rPr>
      </w:pPr>
    </w:p>
    <w:p>
      <w:pPr>
        <w:ind w:right="180"/>
        <w:spacing w:after="0" w:line="227" w:lineRule="auto"/>
        <w:rPr>
          <w:sz w:val="20"/>
          <w:szCs w:val="20"/>
          <w:color w:val="auto"/>
        </w:rPr>
      </w:pPr>
      <w:r>
        <w:rPr>
          <w:rFonts w:ascii="Arial" w:cs="Arial" w:eastAsia="Arial" w:hAnsi="Arial"/>
          <w:sz w:val="18"/>
          <w:szCs w:val="18"/>
          <w:color w:val="auto"/>
        </w:rPr>
        <w:t>During 2015, in addition to the income tax provision for continuing operations presented above, the Company also recorded tax expense on discontinued operations. Income from discontinued operations and net (loss) gain on dispositions of discontinued operations have been reclassified from previously reported income from operations and reported separately as income from discontinued operations, net of tax. Tax expense of $27.8 million was recorded in discontinued operations in 2015.</w:t>
      </w:r>
    </w:p>
    <w:p>
      <w:pPr>
        <w:spacing w:after="0" w:line="135" w:lineRule="exact"/>
        <w:rPr>
          <w:sz w:val="20"/>
          <w:szCs w:val="20"/>
          <w:color w:val="auto"/>
        </w:rPr>
      </w:pPr>
    </w:p>
    <w:p>
      <w:pPr>
        <w:spacing w:after="0"/>
        <w:rPr>
          <w:sz w:val="20"/>
          <w:szCs w:val="20"/>
          <w:color w:val="auto"/>
        </w:rPr>
      </w:pPr>
      <w:r>
        <w:rPr>
          <w:rFonts w:ascii="Arial" w:cs="Arial" w:eastAsia="Arial" w:hAnsi="Arial"/>
          <w:sz w:val="18"/>
          <w:szCs w:val="18"/>
          <w:color w:val="auto"/>
        </w:rPr>
        <w:t>Deferred income taxes consist of the following:</w:t>
      </w:r>
    </w:p>
    <w:p>
      <w:pPr>
        <w:spacing w:after="0" w:line="199"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9020" w:type="dxa"/>
            <w:vAlign w:val="bottom"/>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2120" w:type="dxa"/>
            <w:vAlign w:val="bottom"/>
            <w:tcBorders>
              <w:bottom w:val="single" w:sz="8" w:color="auto"/>
            </w:tcBorders>
            <w:gridSpan w:val="3"/>
          </w:tcPr>
          <w:p>
            <w:pPr>
              <w:jc w:val="right"/>
              <w:ind w:right="459"/>
              <w:spacing w:after="0"/>
              <w:rPr>
                <w:sz w:val="20"/>
                <w:szCs w:val="20"/>
                <w:color w:val="auto"/>
              </w:rPr>
            </w:pPr>
            <w:r>
              <w:rPr>
                <w:rFonts w:ascii="Arial" w:cs="Arial" w:eastAsia="Arial" w:hAnsi="Arial"/>
                <w:sz w:val="14"/>
                <w:szCs w:val="14"/>
                <w:b w:val="1"/>
                <w:bCs w:val="1"/>
                <w:color w:val="auto"/>
              </w:rPr>
              <w:t>As of December 31</w:t>
            </w:r>
          </w:p>
        </w:tc>
      </w:tr>
      <w:tr>
        <w:trPr>
          <w:trHeight w:val="264"/>
        </w:trPr>
        <w:tc>
          <w:tcPr>
            <w:tcW w:w="902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(in thousands)</w:t>
            </w:r>
          </w:p>
        </w:tc>
        <w:tc>
          <w:tcPr>
            <w:tcW w:w="28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jc w:val="right"/>
              <w:ind w:right="380"/>
              <w:spacing w:after="0"/>
              <w:rPr>
                <w:sz w:val="20"/>
                <w:szCs w:val="20"/>
                <w:color w:val="auto"/>
              </w:rPr>
            </w:pPr>
            <w:r>
              <w:rPr>
                <w:rFonts w:ascii="Arial" w:cs="Arial" w:eastAsia="Arial" w:hAnsi="Arial"/>
                <w:sz w:val="14"/>
                <w:szCs w:val="14"/>
                <w:b w:val="1"/>
                <w:bCs w:val="1"/>
                <w:color w:val="auto"/>
              </w:rPr>
              <w:t>2017</w:t>
            </w:r>
          </w:p>
        </w:tc>
        <w:tc>
          <w:tcPr>
            <w:tcW w:w="32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ind w:right="319"/>
              <w:spacing w:after="0"/>
              <w:rPr>
                <w:sz w:val="20"/>
                <w:szCs w:val="20"/>
                <w:color w:val="auto"/>
              </w:rPr>
            </w:pPr>
            <w:r>
              <w:rPr>
                <w:rFonts w:ascii="Arial" w:cs="Arial" w:eastAsia="Arial" w:hAnsi="Arial"/>
                <w:sz w:val="14"/>
                <w:szCs w:val="14"/>
                <w:color w:val="auto"/>
              </w:rPr>
              <w:t>2016</w:t>
            </w:r>
          </w:p>
        </w:tc>
      </w:tr>
      <w:tr>
        <w:trPr>
          <w:trHeight w:val="250"/>
        </w:trPr>
        <w:tc>
          <w:tcPr>
            <w:tcW w:w="9020" w:type="dxa"/>
            <w:vAlign w:val="bottom"/>
          </w:tcPr>
          <w:p>
            <w:pPr>
              <w:ind w:left="40"/>
              <w:spacing w:after="0"/>
              <w:rPr>
                <w:sz w:val="20"/>
                <w:szCs w:val="20"/>
                <w:color w:val="auto"/>
              </w:rPr>
            </w:pPr>
            <w:r>
              <w:rPr>
                <w:rFonts w:ascii="Arial" w:cs="Arial" w:eastAsia="Arial" w:hAnsi="Arial"/>
                <w:sz w:val="16"/>
                <w:szCs w:val="16"/>
                <w:color w:val="auto"/>
              </w:rPr>
              <w:t>Accrued postretirement benefits</w:t>
            </w:r>
          </w:p>
        </w:tc>
        <w:tc>
          <w:tcPr>
            <w:tcW w:w="280" w:type="dxa"/>
            <w:vAlign w:val="bottom"/>
          </w:tcPr>
          <w:p>
            <w:pPr>
              <w:jc w:val="right"/>
              <w:ind w:right="79"/>
              <w:spacing w:after="0"/>
              <w:rPr>
                <w:sz w:val="20"/>
                <w:szCs w:val="20"/>
                <w:color w:val="auto"/>
              </w:rPr>
            </w:pPr>
            <w:r>
              <w:rPr>
                <w:rFonts w:ascii="Arial" w:cs="Arial" w:eastAsia="Arial" w:hAnsi="Arial"/>
                <w:sz w:val="16"/>
                <w:szCs w:val="16"/>
                <w:b w:val="1"/>
                <w:bCs w:val="1"/>
                <w:color w:val="auto"/>
              </w:rPr>
              <w:t>$</w:t>
            </w:r>
          </w:p>
        </w:tc>
        <w:tc>
          <w:tcPr>
            <w:tcW w:w="920" w:type="dxa"/>
            <w:vAlign w:val="bottom"/>
          </w:tcPr>
          <w:p>
            <w:pPr>
              <w:jc w:val="right"/>
              <w:ind w:right="80"/>
              <w:spacing w:after="0"/>
              <w:rPr>
                <w:sz w:val="20"/>
                <w:szCs w:val="20"/>
                <w:color w:val="auto"/>
              </w:rPr>
            </w:pPr>
            <w:r>
              <w:rPr>
                <w:rFonts w:ascii="Arial" w:cs="Arial" w:eastAsia="Arial" w:hAnsi="Arial"/>
                <w:sz w:val="16"/>
                <w:szCs w:val="16"/>
                <w:b w:val="1"/>
                <w:bCs w:val="1"/>
                <w:color w:val="auto"/>
              </w:rPr>
              <w:t>5,333</w:t>
            </w:r>
          </w:p>
        </w:tc>
        <w:tc>
          <w:tcPr>
            <w:tcW w:w="32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880" w:type="dxa"/>
            <w:vAlign w:val="bottom"/>
          </w:tcPr>
          <w:p>
            <w:pPr>
              <w:jc w:val="right"/>
              <w:ind w:right="19"/>
              <w:spacing w:after="0"/>
              <w:rPr>
                <w:sz w:val="20"/>
                <w:szCs w:val="20"/>
                <w:color w:val="auto"/>
              </w:rPr>
            </w:pPr>
            <w:r>
              <w:rPr>
                <w:rFonts w:ascii="Arial" w:cs="Arial" w:eastAsia="Arial" w:hAnsi="Arial"/>
                <w:sz w:val="16"/>
                <w:szCs w:val="16"/>
                <w:color w:val="auto"/>
              </w:rPr>
              <w:t>9,444</w:t>
            </w:r>
          </w:p>
        </w:tc>
      </w:tr>
      <w:tr>
        <w:trPr>
          <w:trHeight w:val="270"/>
        </w:trPr>
        <w:tc>
          <w:tcPr>
            <w:tcW w:w="9020" w:type="dxa"/>
            <w:vAlign w:val="bottom"/>
          </w:tcPr>
          <w:p>
            <w:pPr>
              <w:ind w:left="40"/>
              <w:spacing w:after="0"/>
              <w:rPr>
                <w:sz w:val="20"/>
                <w:szCs w:val="20"/>
                <w:color w:val="auto"/>
              </w:rPr>
            </w:pPr>
            <w:r>
              <w:rPr>
                <w:rFonts w:ascii="Arial" w:cs="Arial" w:eastAsia="Arial" w:hAnsi="Arial"/>
                <w:sz w:val="16"/>
                <w:szCs w:val="16"/>
                <w:color w:val="auto"/>
              </w:rPr>
              <w:t>Other benefit obligations</w:t>
            </w:r>
          </w:p>
        </w:tc>
        <w:tc>
          <w:tcPr>
            <w:tcW w:w="280" w:type="dxa"/>
            <w:vAlign w:val="bottom"/>
          </w:tcPr>
          <w:p>
            <w:pPr>
              <w:spacing w:after="0"/>
              <w:rPr>
                <w:sz w:val="23"/>
                <w:szCs w:val="23"/>
                <w:color w:val="auto"/>
              </w:rPr>
            </w:pPr>
          </w:p>
        </w:tc>
        <w:tc>
          <w:tcPr>
            <w:tcW w:w="920" w:type="dxa"/>
            <w:vAlign w:val="bottom"/>
          </w:tcPr>
          <w:p>
            <w:pPr>
              <w:jc w:val="right"/>
              <w:ind w:right="80"/>
              <w:spacing w:after="0"/>
              <w:rPr>
                <w:sz w:val="20"/>
                <w:szCs w:val="20"/>
                <w:color w:val="auto"/>
              </w:rPr>
            </w:pPr>
            <w:r>
              <w:rPr>
                <w:rFonts w:ascii="Arial" w:cs="Arial" w:eastAsia="Arial" w:hAnsi="Arial"/>
                <w:sz w:val="16"/>
                <w:szCs w:val="16"/>
                <w:b w:val="1"/>
                <w:bCs w:val="1"/>
                <w:color w:val="auto"/>
              </w:rPr>
              <w:t>78,815</w:t>
            </w:r>
          </w:p>
        </w:tc>
        <w:tc>
          <w:tcPr>
            <w:tcW w:w="320" w:type="dxa"/>
            <w:vAlign w:val="bottom"/>
          </w:tcPr>
          <w:p>
            <w:pPr>
              <w:spacing w:after="0"/>
              <w:rPr>
                <w:sz w:val="23"/>
                <w:szCs w:val="23"/>
                <w:color w:val="auto"/>
              </w:rPr>
            </w:pPr>
          </w:p>
        </w:tc>
        <w:tc>
          <w:tcPr>
            <w:tcW w:w="880" w:type="dxa"/>
            <w:vAlign w:val="bottom"/>
          </w:tcPr>
          <w:p>
            <w:pPr>
              <w:jc w:val="right"/>
              <w:ind w:right="19"/>
              <w:spacing w:after="0"/>
              <w:rPr>
                <w:sz w:val="20"/>
                <w:szCs w:val="20"/>
                <w:color w:val="auto"/>
              </w:rPr>
            </w:pPr>
            <w:r>
              <w:rPr>
                <w:rFonts w:ascii="Arial" w:cs="Arial" w:eastAsia="Arial" w:hAnsi="Arial"/>
                <w:sz w:val="16"/>
                <w:szCs w:val="16"/>
                <w:color w:val="auto"/>
              </w:rPr>
              <w:t>120,792</w:t>
            </w:r>
          </w:p>
        </w:tc>
      </w:tr>
      <w:tr>
        <w:trPr>
          <w:trHeight w:val="270"/>
        </w:trPr>
        <w:tc>
          <w:tcPr>
            <w:tcW w:w="9020" w:type="dxa"/>
            <w:vAlign w:val="bottom"/>
          </w:tcPr>
          <w:p>
            <w:pPr>
              <w:ind w:left="40"/>
              <w:spacing w:after="0"/>
              <w:rPr>
                <w:sz w:val="20"/>
                <w:szCs w:val="20"/>
                <w:color w:val="auto"/>
              </w:rPr>
            </w:pPr>
            <w:r>
              <w:rPr>
                <w:rFonts w:ascii="Arial" w:cs="Arial" w:eastAsia="Arial" w:hAnsi="Arial"/>
                <w:sz w:val="16"/>
                <w:szCs w:val="16"/>
                <w:color w:val="auto"/>
              </w:rPr>
              <w:t>Accounts receivable</w:t>
            </w:r>
          </w:p>
        </w:tc>
        <w:tc>
          <w:tcPr>
            <w:tcW w:w="280" w:type="dxa"/>
            <w:vAlign w:val="bottom"/>
          </w:tcPr>
          <w:p>
            <w:pPr>
              <w:spacing w:after="0"/>
              <w:rPr>
                <w:sz w:val="23"/>
                <w:szCs w:val="23"/>
                <w:color w:val="auto"/>
              </w:rPr>
            </w:pPr>
          </w:p>
        </w:tc>
        <w:tc>
          <w:tcPr>
            <w:tcW w:w="920" w:type="dxa"/>
            <w:vAlign w:val="bottom"/>
          </w:tcPr>
          <w:p>
            <w:pPr>
              <w:jc w:val="right"/>
              <w:ind w:right="80"/>
              <w:spacing w:after="0"/>
              <w:rPr>
                <w:sz w:val="20"/>
                <w:szCs w:val="20"/>
                <w:color w:val="auto"/>
              </w:rPr>
            </w:pPr>
            <w:r>
              <w:rPr>
                <w:rFonts w:ascii="Arial" w:cs="Arial" w:eastAsia="Arial" w:hAnsi="Arial"/>
                <w:sz w:val="16"/>
                <w:szCs w:val="16"/>
                <w:b w:val="1"/>
                <w:bCs w:val="1"/>
                <w:color w:val="auto"/>
              </w:rPr>
              <w:t>5,481</w:t>
            </w:r>
          </w:p>
        </w:tc>
        <w:tc>
          <w:tcPr>
            <w:tcW w:w="320" w:type="dxa"/>
            <w:vAlign w:val="bottom"/>
          </w:tcPr>
          <w:p>
            <w:pPr>
              <w:spacing w:after="0"/>
              <w:rPr>
                <w:sz w:val="23"/>
                <w:szCs w:val="23"/>
                <w:color w:val="auto"/>
              </w:rPr>
            </w:pPr>
          </w:p>
        </w:tc>
        <w:tc>
          <w:tcPr>
            <w:tcW w:w="880" w:type="dxa"/>
            <w:vAlign w:val="bottom"/>
          </w:tcPr>
          <w:p>
            <w:pPr>
              <w:jc w:val="right"/>
              <w:ind w:right="19"/>
              <w:spacing w:after="0"/>
              <w:rPr>
                <w:sz w:val="20"/>
                <w:szCs w:val="20"/>
                <w:color w:val="auto"/>
              </w:rPr>
            </w:pPr>
            <w:r>
              <w:rPr>
                <w:rFonts w:ascii="Arial" w:cs="Arial" w:eastAsia="Arial" w:hAnsi="Arial"/>
                <w:sz w:val="16"/>
                <w:szCs w:val="16"/>
                <w:color w:val="auto"/>
              </w:rPr>
              <w:t>10,780</w:t>
            </w:r>
          </w:p>
        </w:tc>
      </w:tr>
      <w:tr>
        <w:trPr>
          <w:trHeight w:val="270"/>
        </w:trPr>
        <w:tc>
          <w:tcPr>
            <w:tcW w:w="9020" w:type="dxa"/>
            <w:vAlign w:val="bottom"/>
          </w:tcPr>
          <w:p>
            <w:pPr>
              <w:ind w:left="40"/>
              <w:spacing w:after="0"/>
              <w:rPr>
                <w:sz w:val="20"/>
                <w:szCs w:val="20"/>
                <w:color w:val="auto"/>
              </w:rPr>
            </w:pPr>
            <w:r>
              <w:rPr>
                <w:rFonts w:ascii="Arial" w:cs="Arial" w:eastAsia="Arial" w:hAnsi="Arial"/>
                <w:sz w:val="16"/>
                <w:szCs w:val="16"/>
                <w:color w:val="auto"/>
              </w:rPr>
              <w:t>State income tax loss carryforwards</w:t>
            </w:r>
          </w:p>
        </w:tc>
        <w:tc>
          <w:tcPr>
            <w:tcW w:w="280" w:type="dxa"/>
            <w:vAlign w:val="bottom"/>
          </w:tcPr>
          <w:p>
            <w:pPr>
              <w:spacing w:after="0"/>
              <w:rPr>
                <w:sz w:val="23"/>
                <w:szCs w:val="23"/>
                <w:color w:val="auto"/>
              </w:rPr>
            </w:pPr>
          </w:p>
        </w:tc>
        <w:tc>
          <w:tcPr>
            <w:tcW w:w="920" w:type="dxa"/>
            <w:vAlign w:val="bottom"/>
          </w:tcPr>
          <w:p>
            <w:pPr>
              <w:jc w:val="right"/>
              <w:ind w:right="80"/>
              <w:spacing w:after="0"/>
              <w:rPr>
                <w:sz w:val="20"/>
                <w:szCs w:val="20"/>
                <w:color w:val="auto"/>
              </w:rPr>
            </w:pPr>
            <w:r>
              <w:rPr>
                <w:rFonts w:ascii="Arial" w:cs="Arial" w:eastAsia="Arial" w:hAnsi="Arial"/>
                <w:sz w:val="16"/>
                <w:szCs w:val="16"/>
                <w:b w:val="1"/>
                <w:bCs w:val="1"/>
                <w:color w:val="auto"/>
              </w:rPr>
              <w:t>35,434</w:t>
            </w:r>
          </w:p>
        </w:tc>
        <w:tc>
          <w:tcPr>
            <w:tcW w:w="320" w:type="dxa"/>
            <w:vAlign w:val="bottom"/>
          </w:tcPr>
          <w:p>
            <w:pPr>
              <w:spacing w:after="0"/>
              <w:rPr>
                <w:sz w:val="23"/>
                <w:szCs w:val="23"/>
                <w:color w:val="auto"/>
              </w:rPr>
            </w:pPr>
          </w:p>
        </w:tc>
        <w:tc>
          <w:tcPr>
            <w:tcW w:w="880" w:type="dxa"/>
            <w:vAlign w:val="bottom"/>
          </w:tcPr>
          <w:p>
            <w:pPr>
              <w:jc w:val="right"/>
              <w:ind w:right="19"/>
              <w:spacing w:after="0"/>
              <w:rPr>
                <w:sz w:val="20"/>
                <w:szCs w:val="20"/>
                <w:color w:val="auto"/>
              </w:rPr>
            </w:pPr>
            <w:r>
              <w:rPr>
                <w:rFonts w:ascii="Arial" w:cs="Arial" w:eastAsia="Arial" w:hAnsi="Arial"/>
                <w:sz w:val="16"/>
                <w:szCs w:val="16"/>
                <w:color w:val="auto"/>
              </w:rPr>
              <w:t>23,178</w:t>
            </w:r>
          </w:p>
        </w:tc>
      </w:tr>
      <w:tr>
        <w:trPr>
          <w:trHeight w:val="270"/>
        </w:trPr>
        <w:tc>
          <w:tcPr>
            <w:tcW w:w="9020" w:type="dxa"/>
            <w:vAlign w:val="bottom"/>
          </w:tcPr>
          <w:p>
            <w:pPr>
              <w:ind w:left="40"/>
              <w:spacing w:after="0"/>
              <w:rPr>
                <w:sz w:val="20"/>
                <w:szCs w:val="20"/>
                <w:color w:val="auto"/>
              </w:rPr>
            </w:pPr>
            <w:r>
              <w:rPr>
                <w:rFonts w:ascii="Arial" w:cs="Arial" w:eastAsia="Arial" w:hAnsi="Arial"/>
                <w:sz w:val="16"/>
                <w:szCs w:val="16"/>
                <w:color w:val="auto"/>
              </w:rPr>
              <w:t>U.S. Federal income tax loss carryforwards</w:t>
            </w:r>
          </w:p>
        </w:tc>
        <w:tc>
          <w:tcPr>
            <w:tcW w:w="280" w:type="dxa"/>
            <w:vAlign w:val="bottom"/>
          </w:tcPr>
          <w:p>
            <w:pPr>
              <w:spacing w:after="0"/>
              <w:rPr>
                <w:sz w:val="23"/>
                <w:szCs w:val="23"/>
                <w:color w:val="auto"/>
              </w:rPr>
            </w:pPr>
          </w:p>
        </w:tc>
        <w:tc>
          <w:tcPr>
            <w:tcW w:w="920" w:type="dxa"/>
            <w:vAlign w:val="bottom"/>
          </w:tcPr>
          <w:p>
            <w:pPr>
              <w:jc w:val="right"/>
              <w:ind w:right="80"/>
              <w:spacing w:after="0"/>
              <w:rPr>
                <w:sz w:val="20"/>
                <w:szCs w:val="20"/>
                <w:color w:val="auto"/>
              </w:rPr>
            </w:pPr>
            <w:r>
              <w:rPr>
                <w:rFonts w:ascii="Arial" w:cs="Arial" w:eastAsia="Arial" w:hAnsi="Arial"/>
                <w:sz w:val="16"/>
                <w:szCs w:val="16"/>
                <w:b w:val="1"/>
                <w:bCs w:val="1"/>
                <w:color w:val="auto"/>
              </w:rPr>
              <w:t>2,857</w:t>
            </w:r>
          </w:p>
        </w:tc>
        <w:tc>
          <w:tcPr>
            <w:tcW w:w="320" w:type="dxa"/>
            <w:vAlign w:val="bottom"/>
          </w:tcPr>
          <w:p>
            <w:pPr>
              <w:spacing w:after="0"/>
              <w:rPr>
                <w:sz w:val="23"/>
                <w:szCs w:val="23"/>
                <w:color w:val="auto"/>
              </w:rPr>
            </w:pPr>
          </w:p>
        </w:tc>
        <w:tc>
          <w:tcPr>
            <w:tcW w:w="880" w:type="dxa"/>
            <w:vAlign w:val="bottom"/>
          </w:tcPr>
          <w:p>
            <w:pPr>
              <w:jc w:val="right"/>
              <w:ind w:right="19"/>
              <w:spacing w:after="0"/>
              <w:rPr>
                <w:sz w:val="20"/>
                <w:szCs w:val="20"/>
                <w:color w:val="auto"/>
              </w:rPr>
            </w:pPr>
            <w:r>
              <w:rPr>
                <w:rFonts w:ascii="Arial" w:cs="Arial" w:eastAsia="Arial" w:hAnsi="Arial"/>
                <w:sz w:val="16"/>
                <w:szCs w:val="16"/>
                <w:color w:val="auto"/>
              </w:rPr>
              <w:t>6,212</w:t>
            </w:r>
          </w:p>
        </w:tc>
      </w:tr>
      <w:tr>
        <w:trPr>
          <w:trHeight w:val="270"/>
        </w:trPr>
        <w:tc>
          <w:tcPr>
            <w:tcW w:w="9020" w:type="dxa"/>
            <w:vAlign w:val="bottom"/>
          </w:tcPr>
          <w:p>
            <w:pPr>
              <w:ind w:left="40"/>
              <w:spacing w:after="0"/>
              <w:rPr>
                <w:sz w:val="20"/>
                <w:szCs w:val="20"/>
                <w:color w:val="auto"/>
              </w:rPr>
            </w:pPr>
            <w:r>
              <w:rPr>
                <w:rFonts w:ascii="Arial" w:cs="Arial" w:eastAsia="Arial" w:hAnsi="Arial"/>
                <w:sz w:val="16"/>
                <w:szCs w:val="16"/>
                <w:color w:val="auto"/>
              </w:rPr>
              <w:t>U.S. Federal foreign income tax credit carryforwards</w:t>
            </w:r>
          </w:p>
        </w:tc>
        <w:tc>
          <w:tcPr>
            <w:tcW w:w="280" w:type="dxa"/>
            <w:vAlign w:val="bottom"/>
          </w:tcPr>
          <w:p>
            <w:pPr>
              <w:spacing w:after="0"/>
              <w:rPr>
                <w:sz w:val="23"/>
                <w:szCs w:val="23"/>
                <w:color w:val="auto"/>
              </w:rPr>
            </w:pPr>
          </w:p>
        </w:tc>
        <w:tc>
          <w:tcPr>
            <w:tcW w:w="920" w:type="dxa"/>
            <w:vAlign w:val="bottom"/>
          </w:tcPr>
          <w:p>
            <w:pPr>
              <w:jc w:val="right"/>
              <w:ind w:right="80"/>
              <w:spacing w:after="0"/>
              <w:rPr>
                <w:sz w:val="20"/>
                <w:szCs w:val="20"/>
                <w:color w:val="auto"/>
              </w:rPr>
            </w:pPr>
            <w:r>
              <w:rPr>
                <w:rFonts w:ascii="Arial" w:cs="Arial" w:eastAsia="Arial" w:hAnsi="Arial"/>
                <w:sz w:val="16"/>
                <w:szCs w:val="16"/>
                <w:b w:val="1"/>
                <w:bCs w:val="1"/>
                <w:color w:val="auto"/>
              </w:rPr>
              <w:t>2,522</w:t>
            </w:r>
          </w:p>
        </w:tc>
        <w:tc>
          <w:tcPr>
            <w:tcW w:w="320" w:type="dxa"/>
            <w:vAlign w:val="bottom"/>
          </w:tcPr>
          <w:p>
            <w:pPr>
              <w:spacing w:after="0"/>
              <w:rPr>
                <w:sz w:val="23"/>
                <w:szCs w:val="23"/>
                <w:color w:val="auto"/>
              </w:rPr>
            </w:pPr>
          </w:p>
        </w:tc>
        <w:tc>
          <w:tcPr>
            <w:tcW w:w="880" w:type="dxa"/>
            <w:vAlign w:val="bottom"/>
          </w:tcPr>
          <w:p>
            <w:pPr>
              <w:jc w:val="right"/>
              <w:ind w:right="19"/>
              <w:spacing w:after="0"/>
              <w:rPr>
                <w:sz w:val="20"/>
                <w:szCs w:val="20"/>
                <w:color w:val="auto"/>
              </w:rPr>
            </w:pPr>
            <w:r>
              <w:rPr>
                <w:rFonts w:ascii="Arial" w:cs="Arial" w:eastAsia="Arial" w:hAnsi="Arial"/>
                <w:sz w:val="16"/>
                <w:szCs w:val="16"/>
                <w:color w:val="auto"/>
              </w:rPr>
              <w:t>1,921</w:t>
            </w:r>
          </w:p>
        </w:tc>
      </w:tr>
      <w:tr>
        <w:trPr>
          <w:trHeight w:val="270"/>
        </w:trPr>
        <w:tc>
          <w:tcPr>
            <w:tcW w:w="9020" w:type="dxa"/>
            <w:vAlign w:val="bottom"/>
          </w:tcPr>
          <w:p>
            <w:pPr>
              <w:ind w:left="40"/>
              <w:spacing w:after="0"/>
              <w:rPr>
                <w:sz w:val="20"/>
                <w:szCs w:val="20"/>
                <w:color w:val="auto"/>
              </w:rPr>
            </w:pPr>
            <w:r>
              <w:rPr>
                <w:rFonts w:ascii="Arial" w:cs="Arial" w:eastAsia="Arial" w:hAnsi="Arial"/>
                <w:sz w:val="16"/>
                <w:szCs w:val="16"/>
                <w:color w:val="auto"/>
              </w:rPr>
              <w:t>Non-U.S. income tax loss carryforwards</w:t>
            </w:r>
          </w:p>
        </w:tc>
        <w:tc>
          <w:tcPr>
            <w:tcW w:w="280" w:type="dxa"/>
            <w:vAlign w:val="bottom"/>
          </w:tcPr>
          <w:p>
            <w:pPr>
              <w:spacing w:after="0"/>
              <w:rPr>
                <w:sz w:val="23"/>
                <w:szCs w:val="23"/>
                <w:color w:val="auto"/>
              </w:rPr>
            </w:pPr>
          </w:p>
        </w:tc>
        <w:tc>
          <w:tcPr>
            <w:tcW w:w="920" w:type="dxa"/>
            <w:vAlign w:val="bottom"/>
          </w:tcPr>
          <w:p>
            <w:pPr>
              <w:jc w:val="right"/>
              <w:ind w:right="80"/>
              <w:spacing w:after="0"/>
              <w:rPr>
                <w:sz w:val="20"/>
                <w:szCs w:val="20"/>
                <w:color w:val="auto"/>
              </w:rPr>
            </w:pPr>
            <w:r>
              <w:rPr>
                <w:rFonts w:ascii="Arial" w:cs="Arial" w:eastAsia="Arial" w:hAnsi="Arial"/>
                <w:sz w:val="16"/>
                <w:szCs w:val="16"/>
                <w:b w:val="1"/>
                <w:bCs w:val="1"/>
                <w:color w:val="auto"/>
              </w:rPr>
              <w:t>18,797</w:t>
            </w:r>
          </w:p>
        </w:tc>
        <w:tc>
          <w:tcPr>
            <w:tcW w:w="320" w:type="dxa"/>
            <w:vAlign w:val="bottom"/>
          </w:tcPr>
          <w:p>
            <w:pPr>
              <w:spacing w:after="0"/>
              <w:rPr>
                <w:sz w:val="23"/>
                <w:szCs w:val="23"/>
                <w:color w:val="auto"/>
              </w:rPr>
            </w:pPr>
          </w:p>
        </w:tc>
        <w:tc>
          <w:tcPr>
            <w:tcW w:w="880" w:type="dxa"/>
            <w:vAlign w:val="bottom"/>
          </w:tcPr>
          <w:p>
            <w:pPr>
              <w:jc w:val="right"/>
              <w:ind w:right="19"/>
              <w:spacing w:after="0"/>
              <w:rPr>
                <w:sz w:val="20"/>
                <w:szCs w:val="20"/>
                <w:color w:val="auto"/>
              </w:rPr>
            </w:pPr>
            <w:r>
              <w:rPr>
                <w:rFonts w:ascii="Arial" w:cs="Arial" w:eastAsia="Arial" w:hAnsi="Arial"/>
                <w:sz w:val="16"/>
                <w:szCs w:val="16"/>
                <w:color w:val="auto"/>
              </w:rPr>
              <w:t>19,246</w:t>
            </w:r>
          </w:p>
        </w:tc>
      </w:tr>
      <w:tr>
        <w:trPr>
          <w:trHeight w:val="270"/>
        </w:trPr>
        <w:tc>
          <w:tcPr>
            <w:tcW w:w="9020" w:type="dxa"/>
            <w:vAlign w:val="bottom"/>
          </w:tcPr>
          <w:p>
            <w:pPr>
              <w:ind w:left="40"/>
              <w:spacing w:after="0"/>
              <w:rPr>
                <w:sz w:val="20"/>
                <w:szCs w:val="20"/>
                <w:color w:val="auto"/>
              </w:rPr>
            </w:pPr>
            <w:r>
              <w:rPr>
                <w:rFonts w:ascii="Arial" w:cs="Arial" w:eastAsia="Arial" w:hAnsi="Arial"/>
                <w:sz w:val="16"/>
                <w:szCs w:val="16"/>
                <w:color w:val="auto"/>
              </w:rPr>
              <w:t>Non-U.S. capital loss carryforwards</w:t>
            </w:r>
          </w:p>
        </w:tc>
        <w:tc>
          <w:tcPr>
            <w:tcW w:w="280" w:type="dxa"/>
            <w:vAlign w:val="bottom"/>
          </w:tcPr>
          <w:p>
            <w:pPr>
              <w:spacing w:after="0"/>
              <w:rPr>
                <w:sz w:val="23"/>
                <w:szCs w:val="23"/>
                <w:color w:val="auto"/>
              </w:rPr>
            </w:pPr>
          </w:p>
        </w:tc>
        <w:tc>
          <w:tcPr>
            <w:tcW w:w="920" w:type="dxa"/>
            <w:vAlign w:val="bottom"/>
          </w:tcPr>
          <w:p>
            <w:pPr>
              <w:jc w:val="right"/>
              <w:ind w:right="80"/>
              <w:spacing w:after="0"/>
              <w:rPr>
                <w:sz w:val="20"/>
                <w:szCs w:val="20"/>
                <w:color w:val="auto"/>
              </w:rPr>
            </w:pPr>
            <w:r>
              <w:rPr>
                <w:rFonts w:ascii="Arial" w:cs="Arial" w:eastAsia="Arial" w:hAnsi="Arial"/>
                <w:sz w:val="16"/>
                <w:szCs w:val="16"/>
                <w:b w:val="1"/>
                <w:bCs w:val="1"/>
                <w:color w:val="auto"/>
              </w:rPr>
              <w:t>2,336</w:t>
            </w:r>
          </w:p>
        </w:tc>
        <w:tc>
          <w:tcPr>
            <w:tcW w:w="320" w:type="dxa"/>
            <w:vAlign w:val="bottom"/>
          </w:tcPr>
          <w:p>
            <w:pPr>
              <w:spacing w:after="0"/>
              <w:rPr>
                <w:sz w:val="23"/>
                <w:szCs w:val="23"/>
                <w:color w:val="auto"/>
              </w:rPr>
            </w:pPr>
          </w:p>
        </w:tc>
        <w:tc>
          <w:tcPr>
            <w:tcW w:w="880" w:type="dxa"/>
            <w:vAlign w:val="bottom"/>
          </w:tcPr>
          <w:p>
            <w:pPr>
              <w:jc w:val="right"/>
              <w:ind w:right="19"/>
              <w:spacing w:after="0"/>
              <w:rPr>
                <w:sz w:val="20"/>
                <w:szCs w:val="20"/>
                <w:color w:val="auto"/>
              </w:rPr>
            </w:pPr>
            <w:r>
              <w:rPr>
                <w:rFonts w:ascii="Arial" w:cs="Arial" w:eastAsia="Arial" w:hAnsi="Arial"/>
                <w:sz w:val="16"/>
                <w:szCs w:val="16"/>
                <w:color w:val="auto"/>
              </w:rPr>
              <w:t>1,929</w:t>
            </w:r>
          </w:p>
        </w:tc>
      </w:tr>
      <w:tr>
        <w:trPr>
          <w:trHeight w:val="283"/>
        </w:trPr>
        <w:tc>
          <w:tcPr>
            <w:tcW w:w="9020" w:type="dxa"/>
            <w:vAlign w:val="bottom"/>
          </w:tcPr>
          <w:p>
            <w:pPr>
              <w:ind w:left="40"/>
              <w:spacing w:after="0"/>
              <w:rPr>
                <w:sz w:val="20"/>
                <w:szCs w:val="20"/>
                <w:color w:val="auto"/>
              </w:rPr>
            </w:pPr>
            <w:r>
              <w:rPr>
                <w:rFonts w:ascii="Arial" w:cs="Arial" w:eastAsia="Arial" w:hAnsi="Arial"/>
                <w:sz w:val="16"/>
                <w:szCs w:val="16"/>
                <w:color w:val="auto"/>
              </w:rPr>
              <w:t>Other</w:t>
            </w:r>
          </w:p>
        </w:tc>
        <w:tc>
          <w:tcPr>
            <w:tcW w:w="28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jc w:val="right"/>
              <w:ind w:right="80"/>
              <w:spacing w:after="0"/>
              <w:rPr>
                <w:sz w:val="20"/>
                <w:szCs w:val="20"/>
                <w:color w:val="auto"/>
              </w:rPr>
            </w:pPr>
            <w:r>
              <w:rPr>
                <w:rFonts w:ascii="Arial" w:cs="Arial" w:eastAsia="Arial" w:hAnsi="Arial"/>
                <w:sz w:val="16"/>
                <w:szCs w:val="16"/>
                <w:b w:val="1"/>
                <w:bCs w:val="1"/>
                <w:color w:val="auto"/>
              </w:rPr>
              <w:t>26,546</w:t>
            </w:r>
          </w:p>
        </w:tc>
        <w:tc>
          <w:tcPr>
            <w:tcW w:w="32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44,401</w:t>
            </w:r>
          </w:p>
        </w:tc>
      </w:tr>
      <w:tr>
        <w:trPr>
          <w:trHeight w:val="251"/>
        </w:trPr>
        <w:tc>
          <w:tcPr>
            <w:tcW w:w="9020" w:type="dxa"/>
            <w:vAlign w:val="bottom"/>
          </w:tcPr>
          <w:p>
            <w:pPr>
              <w:ind w:left="40"/>
              <w:spacing w:after="0"/>
              <w:rPr>
                <w:sz w:val="20"/>
                <w:szCs w:val="20"/>
                <w:color w:val="auto"/>
              </w:rPr>
            </w:pPr>
            <w:r>
              <w:rPr>
                <w:rFonts w:ascii="Arial" w:cs="Arial" w:eastAsia="Arial" w:hAnsi="Arial"/>
                <w:sz w:val="16"/>
                <w:szCs w:val="16"/>
                <w:b w:val="1"/>
                <w:bCs w:val="1"/>
                <w:color w:val="auto"/>
              </w:rPr>
              <w:t>Deferred Tax Assets</w:t>
            </w:r>
          </w:p>
        </w:tc>
        <w:tc>
          <w:tcPr>
            <w:tcW w:w="280" w:type="dxa"/>
            <w:vAlign w:val="bottom"/>
          </w:tcPr>
          <w:p>
            <w:pPr>
              <w:spacing w:after="0"/>
              <w:rPr>
                <w:sz w:val="21"/>
                <w:szCs w:val="21"/>
                <w:color w:val="auto"/>
              </w:rPr>
            </w:pPr>
          </w:p>
        </w:tc>
        <w:tc>
          <w:tcPr>
            <w:tcW w:w="920" w:type="dxa"/>
            <w:vAlign w:val="bottom"/>
          </w:tcPr>
          <w:p>
            <w:pPr>
              <w:jc w:val="right"/>
              <w:ind w:right="80"/>
              <w:spacing w:after="0"/>
              <w:rPr>
                <w:sz w:val="20"/>
                <w:szCs w:val="20"/>
                <w:color w:val="auto"/>
              </w:rPr>
            </w:pPr>
            <w:r>
              <w:rPr>
                <w:rFonts w:ascii="Arial" w:cs="Arial" w:eastAsia="Arial" w:hAnsi="Arial"/>
                <w:sz w:val="16"/>
                <w:szCs w:val="16"/>
                <w:b w:val="1"/>
                <w:bCs w:val="1"/>
                <w:color w:val="auto"/>
              </w:rPr>
              <w:t>178,121</w:t>
            </w:r>
          </w:p>
        </w:tc>
        <w:tc>
          <w:tcPr>
            <w:tcW w:w="320" w:type="dxa"/>
            <w:vAlign w:val="bottom"/>
          </w:tcPr>
          <w:p>
            <w:pPr>
              <w:spacing w:after="0"/>
              <w:rPr>
                <w:sz w:val="21"/>
                <w:szCs w:val="21"/>
                <w:color w:val="auto"/>
              </w:rPr>
            </w:pPr>
          </w:p>
        </w:tc>
        <w:tc>
          <w:tcPr>
            <w:tcW w:w="880" w:type="dxa"/>
            <w:vAlign w:val="bottom"/>
          </w:tcPr>
          <w:p>
            <w:pPr>
              <w:jc w:val="right"/>
              <w:ind w:right="19"/>
              <w:spacing w:after="0"/>
              <w:rPr>
                <w:sz w:val="20"/>
                <w:szCs w:val="20"/>
                <w:color w:val="auto"/>
              </w:rPr>
            </w:pPr>
            <w:r>
              <w:rPr>
                <w:rFonts w:ascii="Arial" w:cs="Arial" w:eastAsia="Arial" w:hAnsi="Arial"/>
                <w:sz w:val="16"/>
                <w:szCs w:val="16"/>
                <w:color w:val="auto"/>
              </w:rPr>
              <w:t>237,903</w:t>
            </w:r>
          </w:p>
        </w:tc>
      </w:tr>
      <w:tr>
        <w:trPr>
          <w:trHeight w:val="283"/>
        </w:trPr>
        <w:tc>
          <w:tcPr>
            <w:tcW w:w="9020" w:type="dxa"/>
            <w:vAlign w:val="bottom"/>
          </w:tcPr>
          <w:p>
            <w:pPr>
              <w:ind w:left="40"/>
              <w:spacing w:after="0"/>
              <w:rPr>
                <w:sz w:val="20"/>
                <w:szCs w:val="20"/>
                <w:color w:val="auto"/>
              </w:rPr>
            </w:pPr>
            <w:r>
              <w:rPr>
                <w:rFonts w:ascii="Arial" w:cs="Arial" w:eastAsia="Arial" w:hAnsi="Arial"/>
                <w:sz w:val="16"/>
                <w:szCs w:val="16"/>
                <w:color w:val="auto"/>
              </w:rPr>
              <w:t>Valuation allowances</w:t>
            </w:r>
          </w:p>
        </w:tc>
        <w:tc>
          <w:tcPr>
            <w:tcW w:w="28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b w:val="1"/>
                <w:bCs w:val="1"/>
                <w:color w:val="auto"/>
              </w:rPr>
              <w:t>(48,742)</w:t>
            </w:r>
          </w:p>
        </w:tc>
        <w:tc>
          <w:tcPr>
            <w:tcW w:w="32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(41,319)</w:t>
            </w:r>
          </w:p>
        </w:tc>
      </w:tr>
      <w:tr>
        <w:trPr>
          <w:trHeight w:val="264"/>
        </w:trPr>
        <w:tc>
          <w:tcPr>
            <w:tcW w:w="9020" w:type="dxa"/>
            <w:vAlign w:val="bottom"/>
          </w:tcPr>
          <w:p>
            <w:pPr>
              <w:ind w:left="40"/>
              <w:spacing w:after="0"/>
              <w:rPr>
                <w:sz w:val="20"/>
                <w:szCs w:val="20"/>
                <w:color w:val="auto"/>
              </w:rPr>
            </w:pPr>
            <w:r>
              <w:rPr>
                <w:rFonts w:ascii="Arial" w:cs="Arial" w:eastAsia="Arial" w:hAnsi="Arial"/>
                <w:sz w:val="16"/>
                <w:szCs w:val="16"/>
                <w:b w:val="1"/>
                <w:bCs w:val="1"/>
                <w:color w:val="auto"/>
              </w:rPr>
              <w:t>Deferred Tax Assets, Net</w:t>
            </w:r>
          </w:p>
        </w:tc>
        <w:tc>
          <w:tcPr>
            <w:tcW w:w="28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b w:val="1"/>
                <w:bCs w:val="1"/>
                <w:color w:val="auto"/>
              </w:rPr>
              <w:t>$</w:t>
            </w:r>
          </w:p>
        </w:tc>
        <w:tc>
          <w:tcPr>
            <w:tcW w:w="920" w:type="dxa"/>
            <w:vAlign w:val="bottom"/>
            <w:tcBorders>
              <w:bottom w:val="single" w:sz="8" w:color="auto"/>
            </w:tcBorders>
          </w:tcPr>
          <w:p>
            <w:pPr>
              <w:jc w:val="right"/>
              <w:ind w:right="80"/>
              <w:spacing w:after="0"/>
              <w:rPr>
                <w:sz w:val="20"/>
                <w:szCs w:val="20"/>
                <w:color w:val="auto"/>
              </w:rPr>
            </w:pPr>
            <w:r>
              <w:rPr>
                <w:rFonts w:ascii="Arial" w:cs="Arial" w:eastAsia="Arial" w:hAnsi="Arial"/>
                <w:sz w:val="16"/>
                <w:szCs w:val="16"/>
                <w:b w:val="1"/>
                <w:bCs w:val="1"/>
                <w:color w:val="auto"/>
              </w:rPr>
              <w:t>129,379</w:t>
            </w:r>
          </w:p>
        </w:tc>
        <w:tc>
          <w:tcPr>
            <w:tcW w:w="32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w:t>
            </w:r>
          </w:p>
        </w:tc>
        <w:tc>
          <w:tcPr>
            <w:tcW w:w="88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196,584</w:t>
            </w:r>
          </w:p>
        </w:tc>
      </w:tr>
      <w:tr>
        <w:trPr>
          <w:trHeight w:val="251"/>
        </w:trPr>
        <w:tc>
          <w:tcPr>
            <w:tcW w:w="9020" w:type="dxa"/>
            <w:vAlign w:val="bottom"/>
          </w:tcPr>
          <w:p>
            <w:pPr>
              <w:ind w:left="40"/>
              <w:spacing w:after="0"/>
              <w:rPr>
                <w:sz w:val="20"/>
                <w:szCs w:val="20"/>
                <w:color w:val="auto"/>
              </w:rPr>
            </w:pPr>
            <w:r>
              <w:rPr>
                <w:rFonts w:ascii="Arial" w:cs="Arial" w:eastAsia="Arial" w:hAnsi="Arial"/>
                <w:sz w:val="16"/>
                <w:szCs w:val="16"/>
                <w:color w:val="auto"/>
              </w:rPr>
              <w:t>Property, plant and equipment</w:t>
            </w:r>
          </w:p>
        </w:tc>
        <w:tc>
          <w:tcPr>
            <w:tcW w:w="280" w:type="dxa"/>
            <w:vAlign w:val="bottom"/>
          </w:tcPr>
          <w:p>
            <w:pPr>
              <w:spacing w:after="0"/>
              <w:rPr>
                <w:sz w:val="21"/>
                <w:szCs w:val="21"/>
                <w:color w:val="auto"/>
              </w:rPr>
            </w:pPr>
          </w:p>
        </w:tc>
        <w:tc>
          <w:tcPr>
            <w:tcW w:w="920" w:type="dxa"/>
            <w:vAlign w:val="bottom"/>
          </w:tcPr>
          <w:p>
            <w:pPr>
              <w:jc w:val="right"/>
              <w:ind w:right="80"/>
              <w:spacing w:after="0"/>
              <w:rPr>
                <w:sz w:val="20"/>
                <w:szCs w:val="20"/>
                <w:color w:val="auto"/>
              </w:rPr>
            </w:pPr>
            <w:r>
              <w:rPr>
                <w:rFonts w:ascii="Arial" w:cs="Arial" w:eastAsia="Arial" w:hAnsi="Arial"/>
                <w:sz w:val="16"/>
                <w:szCs w:val="16"/>
                <w:b w:val="1"/>
                <w:bCs w:val="1"/>
                <w:color w:val="auto"/>
              </w:rPr>
              <w:t>11,248</w:t>
            </w:r>
          </w:p>
        </w:tc>
        <w:tc>
          <w:tcPr>
            <w:tcW w:w="320" w:type="dxa"/>
            <w:vAlign w:val="bottom"/>
          </w:tcPr>
          <w:p>
            <w:pPr>
              <w:spacing w:after="0"/>
              <w:rPr>
                <w:sz w:val="21"/>
                <w:szCs w:val="21"/>
                <w:color w:val="auto"/>
              </w:rPr>
            </w:pPr>
          </w:p>
        </w:tc>
        <w:tc>
          <w:tcPr>
            <w:tcW w:w="880" w:type="dxa"/>
            <w:vAlign w:val="bottom"/>
          </w:tcPr>
          <w:p>
            <w:pPr>
              <w:jc w:val="right"/>
              <w:ind w:right="19"/>
              <w:spacing w:after="0"/>
              <w:rPr>
                <w:sz w:val="20"/>
                <w:szCs w:val="20"/>
                <w:color w:val="auto"/>
              </w:rPr>
            </w:pPr>
            <w:r>
              <w:rPr>
                <w:rFonts w:ascii="Arial" w:cs="Arial" w:eastAsia="Arial" w:hAnsi="Arial"/>
                <w:sz w:val="16"/>
                <w:szCs w:val="16"/>
                <w:color w:val="auto"/>
              </w:rPr>
              <w:t>13,591</w:t>
            </w:r>
          </w:p>
        </w:tc>
      </w:tr>
      <w:tr>
        <w:trPr>
          <w:trHeight w:val="270"/>
        </w:trPr>
        <w:tc>
          <w:tcPr>
            <w:tcW w:w="9020" w:type="dxa"/>
            <w:vAlign w:val="bottom"/>
          </w:tcPr>
          <w:p>
            <w:pPr>
              <w:ind w:left="40"/>
              <w:spacing w:after="0"/>
              <w:rPr>
                <w:sz w:val="20"/>
                <w:szCs w:val="20"/>
                <w:color w:val="auto"/>
              </w:rPr>
            </w:pPr>
            <w:r>
              <w:rPr>
                <w:rFonts w:ascii="Arial" w:cs="Arial" w:eastAsia="Arial" w:hAnsi="Arial"/>
                <w:sz w:val="16"/>
                <w:szCs w:val="16"/>
                <w:color w:val="auto"/>
              </w:rPr>
              <w:t>Prepaid pension cost</w:t>
            </w:r>
          </w:p>
        </w:tc>
        <w:tc>
          <w:tcPr>
            <w:tcW w:w="280" w:type="dxa"/>
            <w:vAlign w:val="bottom"/>
          </w:tcPr>
          <w:p>
            <w:pPr>
              <w:spacing w:after="0"/>
              <w:rPr>
                <w:sz w:val="23"/>
                <w:szCs w:val="23"/>
                <w:color w:val="auto"/>
              </w:rPr>
            </w:pPr>
          </w:p>
        </w:tc>
        <w:tc>
          <w:tcPr>
            <w:tcW w:w="920" w:type="dxa"/>
            <w:vAlign w:val="bottom"/>
          </w:tcPr>
          <w:p>
            <w:pPr>
              <w:jc w:val="right"/>
              <w:ind w:right="80"/>
              <w:spacing w:after="0"/>
              <w:rPr>
                <w:sz w:val="20"/>
                <w:szCs w:val="20"/>
                <w:color w:val="auto"/>
              </w:rPr>
            </w:pPr>
            <w:r>
              <w:rPr>
                <w:rFonts w:ascii="Arial" w:cs="Arial" w:eastAsia="Arial" w:hAnsi="Arial"/>
                <w:sz w:val="16"/>
                <w:szCs w:val="16"/>
                <w:b w:val="1"/>
                <w:bCs w:val="1"/>
                <w:color w:val="auto"/>
              </w:rPr>
              <w:t>283,604</w:t>
            </w:r>
          </w:p>
        </w:tc>
        <w:tc>
          <w:tcPr>
            <w:tcW w:w="320" w:type="dxa"/>
            <w:vAlign w:val="bottom"/>
          </w:tcPr>
          <w:p>
            <w:pPr>
              <w:spacing w:after="0"/>
              <w:rPr>
                <w:sz w:val="23"/>
                <w:szCs w:val="23"/>
                <w:color w:val="auto"/>
              </w:rPr>
            </w:pPr>
          </w:p>
        </w:tc>
        <w:tc>
          <w:tcPr>
            <w:tcW w:w="880" w:type="dxa"/>
            <w:vAlign w:val="bottom"/>
          </w:tcPr>
          <w:p>
            <w:pPr>
              <w:jc w:val="right"/>
              <w:ind w:right="19"/>
              <w:spacing w:after="0"/>
              <w:rPr>
                <w:sz w:val="20"/>
                <w:szCs w:val="20"/>
                <w:color w:val="auto"/>
              </w:rPr>
            </w:pPr>
            <w:r>
              <w:rPr>
                <w:rFonts w:ascii="Arial" w:cs="Arial" w:eastAsia="Arial" w:hAnsi="Arial"/>
                <w:sz w:val="16"/>
                <w:szCs w:val="16"/>
                <w:color w:val="auto"/>
              </w:rPr>
              <w:t>349,878</w:t>
            </w:r>
          </w:p>
        </w:tc>
      </w:tr>
      <w:tr>
        <w:trPr>
          <w:trHeight w:val="270"/>
        </w:trPr>
        <w:tc>
          <w:tcPr>
            <w:tcW w:w="9020" w:type="dxa"/>
            <w:vAlign w:val="bottom"/>
          </w:tcPr>
          <w:p>
            <w:pPr>
              <w:ind w:left="40"/>
              <w:spacing w:after="0"/>
              <w:rPr>
                <w:sz w:val="20"/>
                <w:szCs w:val="20"/>
                <w:color w:val="auto"/>
              </w:rPr>
            </w:pPr>
            <w:r>
              <w:rPr>
                <w:rFonts w:ascii="Arial" w:cs="Arial" w:eastAsia="Arial" w:hAnsi="Arial"/>
                <w:sz w:val="16"/>
                <w:szCs w:val="16"/>
                <w:color w:val="auto"/>
              </w:rPr>
              <w:t>Unrealized gain on available-for-sale securities</w:t>
            </w:r>
          </w:p>
        </w:tc>
        <w:tc>
          <w:tcPr>
            <w:tcW w:w="280" w:type="dxa"/>
            <w:vAlign w:val="bottom"/>
          </w:tcPr>
          <w:p>
            <w:pPr>
              <w:spacing w:after="0"/>
              <w:rPr>
                <w:sz w:val="23"/>
                <w:szCs w:val="23"/>
                <w:color w:val="auto"/>
              </w:rPr>
            </w:pPr>
          </w:p>
        </w:tc>
        <w:tc>
          <w:tcPr>
            <w:tcW w:w="920" w:type="dxa"/>
            <w:vAlign w:val="bottom"/>
          </w:tcPr>
          <w:p>
            <w:pPr>
              <w:jc w:val="right"/>
              <w:ind w:right="80"/>
              <w:spacing w:after="0"/>
              <w:rPr>
                <w:sz w:val="20"/>
                <w:szCs w:val="20"/>
                <w:color w:val="auto"/>
              </w:rPr>
            </w:pPr>
            <w:r>
              <w:rPr>
                <w:rFonts w:ascii="Arial" w:cs="Arial" w:eastAsia="Arial" w:hAnsi="Arial"/>
                <w:sz w:val="16"/>
                <w:szCs w:val="16"/>
                <w:b w:val="1"/>
                <w:bCs w:val="1"/>
                <w:color w:val="auto"/>
              </w:rPr>
              <w:t>70,827</w:t>
            </w:r>
          </w:p>
        </w:tc>
        <w:tc>
          <w:tcPr>
            <w:tcW w:w="320" w:type="dxa"/>
            <w:vAlign w:val="bottom"/>
          </w:tcPr>
          <w:p>
            <w:pPr>
              <w:spacing w:after="0"/>
              <w:rPr>
                <w:sz w:val="23"/>
                <w:szCs w:val="23"/>
                <w:color w:val="auto"/>
              </w:rPr>
            </w:pPr>
          </w:p>
        </w:tc>
        <w:tc>
          <w:tcPr>
            <w:tcW w:w="880" w:type="dxa"/>
            <w:vAlign w:val="bottom"/>
          </w:tcPr>
          <w:p>
            <w:pPr>
              <w:jc w:val="right"/>
              <w:ind w:right="19"/>
              <w:spacing w:after="0"/>
              <w:rPr>
                <w:sz w:val="20"/>
                <w:szCs w:val="20"/>
                <w:color w:val="auto"/>
              </w:rPr>
            </w:pPr>
            <w:r>
              <w:rPr>
                <w:rFonts w:ascii="Arial" w:cs="Arial" w:eastAsia="Arial" w:hAnsi="Arial"/>
                <w:sz w:val="16"/>
                <w:szCs w:val="16"/>
                <w:color w:val="auto"/>
              </w:rPr>
              <w:t>61,964</w:t>
            </w:r>
          </w:p>
        </w:tc>
      </w:tr>
      <w:tr>
        <w:trPr>
          <w:trHeight w:val="270"/>
        </w:trPr>
        <w:tc>
          <w:tcPr>
            <w:tcW w:w="9020" w:type="dxa"/>
            <w:vAlign w:val="bottom"/>
          </w:tcPr>
          <w:p>
            <w:pPr>
              <w:ind w:left="40"/>
              <w:spacing w:after="0"/>
              <w:rPr>
                <w:sz w:val="20"/>
                <w:szCs w:val="20"/>
                <w:color w:val="auto"/>
              </w:rPr>
            </w:pPr>
            <w:r>
              <w:rPr>
                <w:rFonts w:ascii="Arial" w:cs="Arial" w:eastAsia="Arial" w:hAnsi="Arial"/>
                <w:sz w:val="16"/>
                <w:szCs w:val="16"/>
                <w:color w:val="auto"/>
              </w:rPr>
              <w:t>Goodwill and other intangible assets</w:t>
            </w:r>
          </w:p>
        </w:tc>
        <w:tc>
          <w:tcPr>
            <w:tcW w:w="280" w:type="dxa"/>
            <w:vAlign w:val="bottom"/>
          </w:tcPr>
          <w:p>
            <w:pPr>
              <w:spacing w:after="0"/>
              <w:rPr>
                <w:sz w:val="23"/>
                <w:szCs w:val="23"/>
                <w:color w:val="auto"/>
              </w:rPr>
            </w:pPr>
          </w:p>
        </w:tc>
        <w:tc>
          <w:tcPr>
            <w:tcW w:w="920" w:type="dxa"/>
            <w:vAlign w:val="bottom"/>
          </w:tcPr>
          <w:p>
            <w:pPr>
              <w:jc w:val="right"/>
              <w:ind w:right="80"/>
              <w:spacing w:after="0"/>
              <w:rPr>
                <w:sz w:val="20"/>
                <w:szCs w:val="20"/>
                <w:color w:val="auto"/>
              </w:rPr>
            </w:pPr>
            <w:r>
              <w:rPr>
                <w:rFonts w:ascii="Arial" w:cs="Arial" w:eastAsia="Arial" w:hAnsi="Arial"/>
                <w:sz w:val="16"/>
                <w:szCs w:val="16"/>
                <w:b w:val="1"/>
                <w:bCs w:val="1"/>
                <w:color w:val="auto"/>
              </w:rPr>
              <w:t>109,428</w:t>
            </w:r>
          </w:p>
        </w:tc>
        <w:tc>
          <w:tcPr>
            <w:tcW w:w="320" w:type="dxa"/>
            <w:vAlign w:val="bottom"/>
          </w:tcPr>
          <w:p>
            <w:pPr>
              <w:spacing w:after="0"/>
              <w:rPr>
                <w:sz w:val="23"/>
                <w:szCs w:val="23"/>
                <w:color w:val="auto"/>
              </w:rPr>
            </w:pPr>
          </w:p>
        </w:tc>
        <w:tc>
          <w:tcPr>
            <w:tcW w:w="880" w:type="dxa"/>
            <w:vAlign w:val="bottom"/>
          </w:tcPr>
          <w:p>
            <w:pPr>
              <w:jc w:val="right"/>
              <w:ind w:right="19"/>
              <w:spacing w:after="0"/>
              <w:rPr>
                <w:sz w:val="20"/>
                <w:szCs w:val="20"/>
                <w:color w:val="auto"/>
              </w:rPr>
            </w:pPr>
            <w:r>
              <w:rPr>
                <w:rFonts w:ascii="Arial" w:cs="Arial" w:eastAsia="Arial" w:hAnsi="Arial"/>
                <w:sz w:val="16"/>
                <w:szCs w:val="16"/>
                <w:color w:val="auto"/>
              </w:rPr>
              <w:t>132,997</w:t>
            </w:r>
          </w:p>
        </w:tc>
      </w:tr>
      <w:tr>
        <w:trPr>
          <w:trHeight w:val="283"/>
        </w:trPr>
        <w:tc>
          <w:tcPr>
            <w:tcW w:w="9020" w:type="dxa"/>
            <w:vAlign w:val="bottom"/>
          </w:tcPr>
          <w:p>
            <w:pPr>
              <w:ind w:left="40"/>
              <w:spacing w:after="0"/>
              <w:rPr>
                <w:sz w:val="20"/>
                <w:szCs w:val="20"/>
                <w:color w:val="auto"/>
              </w:rPr>
            </w:pPr>
            <w:r>
              <w:rPr>
                <w:rFonts w:ascii="Arial" w:cs="Arial" w:eastAsia="Arial" w:hAnsi="Arial"/>
                <w:sz w:val="16"/>
                <w:szCs w:val="16"/>
                <w:color w:val="auto"/>
              </w:rPr>
              <w:t>Non-U.S. withholding tax</w:t>
            </w:r>
          </w:p>
        </w:tc>
        <w:tc>
          <w:tcPr>
            <w:tcW w:w="28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jc w:val="right"/>
              <w:ind w:right="80"/>
              <w:spacing w:after="0"/>
              <w:rPr>
                <w:sz w:val="20"/>
                <w:szCs w:val="20"/>
                <w:color w:val="auto"/>
              </w:rPr>
            </w:pPr>
            <w:r>
              <w:rPr>
                <w:rFonts w:ascii="Arial" w:cs="Arial" w:eastAsia="Arial" w:hAnsi="Arial"/>
                <w:sz w:val="16"/>
                <w:szCs w:val="16"/>
                <w:b w:val="1"/>
                <w:bCs w:val="1"/>
                <w:color w:val="auto"/>
              </w:rPr>
              <w:t>1,606</w:t>
            </w:r>
          </w:p>
        </w:tc>
        <w:tc>
          <w:tcPr>
            <w:tcW w:w="32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w:t>
            </w:r>
          </w:p>
        </w:tc>
      </w:tr>
      <w:tr>
        <w:trPr>
          <w:trHeight w:val="264"/>
        </w:trPr>
        <w:tc>
          <w:tcPr>
            <w:tcW w:w="9020" w:type="dxa"/>
            <w:vAlign w:val="bottom"/>
          </w:tcPr>
          <w:p>
            <w:pPr>
              <w:ind w:left="40"/>
              <w:spacing w:after="0"/>
              <w:rPr>
                <w:sz w:val="20"/>
                <w:szCs w:val="20"/>
                <w:color w:val="auto"/>
              </w:rPr>
            </w:pPr>
            <w:r>
              <w:rPr>
                <w:rFonts w:ascii="Arial" w:cs="Arial" w:eastAsia="Arial" w:hAnsi="Arial"/>
                <w:sz w:val="16"/>
                <w:szCs w:val="16"/>
                <w:b w:val="1"/>
                <w:bCs w:val="1"/>
                <w:color w:val="auto"/>
              </w:rPr>
              <w:t>Deferred Tax Liabilities</w:t>
            </w:r>
          </w:p>
        </w:tc>
        <w:tc>
          <w:tcPr>
            <w:tcW w:w="28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b w:val="1"/>
                <w:bCs w:val="1"/>
                <w:color w:val="auto"/>
              </w:rPr>
              <w:t>$</w:t>
            </w:r>
          </w:p>
        </w:tc>
        <w:tc>
          <w:tcPr>
            <w:tcW w:w="920" w:type="dxa"/>
            <w:vAlign w:val="bottom"/>
            <w:tcBorders>
              <w:bottom w:val="single" w:sz="8" w:color="auto"/>
            </w:tcBorders>
          </w:tcPr>
          <w:p>
            <w:pPr>
              <w:jc w:val="right"/>
              <w:ind w:right="80"/>
              <w:spacing w:after="0"/>
              <w:rPr>
                <w:sz w:val="20"/>
                <w:szCs w:val="20"/>
                <w:color w:val="auto"/>
              </w:rPr>
            </w:pPr>
            <w:r>
              <w:rPr>
                <w:rFonts w:ascii="Arial" w:cs="Arial" w:eastAsia="Arial" w:hAnsi="Arial"/>
                <w:sz w:val="16"/>
                <w:szCs w:val="16"/>
                <w:b w:val="1"/>
                <w:bCs w:val="1"/>
                <w:color w:val="auto"/>
              </w:rPr>
              <w:t>476,713</w:t>
            </w:r>
          </w:p>
        </w:tc>
        <w:tc>
          <w:tcPr>
            <w:tcW w:w="32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w:t>
            </w:r>
          </w:p>
        </w:tc>
        <w:tc>
          <w:tcPr>
            <w:tcW w:w="88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558,430</w:t>
            </w:r>
          </w:p>
        </w:tc>
      </w:tr>
      <w:tr>
        <w:trPr>
          <w:trHeight w:val="267"/>
        </w:trPr>
        <w:tc>
          <w:tcPr>
            <w:tcW w:w="9020" w:type="dxa"/>
            <w:vAlign w:val="bottom"/>
          </w:tcPr>
          <w:p>
            <w:pPr>
              <w:ind w:left="40"/>
              <w:spacing w:after="0"/>
              <w:rPr>
                <w:sz w:val="20"/>
                <w:szCs w:val="20"/>
                <w:color w:val="auto"/>
              </w:rPr>
            </w:pPr>
            <w:r>
              <w:rPr>
                <w:rFonts w:ascii="Arial" w:cs="Arial" w:eastAsia="Arial" w:hAnsi="Arial"/>
                <w:sz w:val="16"/>
                <w:szCs w:val="16"/>
                <w:b w:val="1"/>
                <w:bCs w:val="1"/>
                <w:color w:val="auto"/>
              </w:rPr>
              <w:t>Deferred Income Tax Liabilities, Net</w:t>
            </w:r>
          </w:p>
        </w:tc>
        <w:tc>
          <w:tcPr>
            <w:tcW w:w="28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b w:val="1"/>
                <w:bCs w:val="1"/>
                <w:color w:val="auto"/>
              </w:rPr>
              <w:t>$</w:t>
            </w:r>
          </w:p>
        </w:tc>
        <w:tc>
          <w:tcPr>
            <w:tcW w:w="920" w:type="dxa"/>
            <w:vAlign w:val="bottom"/>
            <w:tcBorders>
              <w:bottom w:val="single" w:sz="8" w:color="auto"/>
            </w:tcBorders>
          </w:tcPr>
          <w:p>
            <w:pPr>
              <w:jc w:val="right"/>
              <w:ind w:right="80"/>
              <w:spacing w:after="0"/>
              <w:rPr>
                <w:sz w:val="20"/>
                <w:szCs w:val="20"/>
                <w:color w:val="auto"/>
              </w:rPr>
            </w:pPr>
            <w:r>
              <w:rPr>
                <w:rFonts w:ascii="Arial" w:cs="Arial" w:eastAsia="Arial" w:hAnsi="Arial"/>
                <w:sz w:val="16"/>
                <w:szCs w:val="16"/>
                <w:b w:val="1"/>
                <w:bCs w:val="1"/>
                <w:color w:val="auto"/>
              </w:rPr>
              <w:t>347,334</w:t>
            </w:r>
          </w:p>
        </w:tc>
        <w:tc>
          <w:tcPr>
            <w:tcW w:w="32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w:t>
            </w:r>
          </w:p>
        </w:tc>
        <w:tc>
          <w:tcPr>
            <w:tcW w:w="88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361,846</w:t>
            </w:r>
          </w:p>
        </w:tc>
      </w:tr>
      <w:tr>
        <w:trPr>
          <w:trHeight w:val="20"/>
        </w:trPr>
        <w:tc>
          <w:tcPr>
            <w:tcW w:w="90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ind w:right="420"/>
        <w:spacing w:after="0" w:line="235" w:lineRule="auto"/>
        <w:rPr>
          <w:sz w:val="20"/>
          <w:szCs w:val="20"/>
          <w:color w:val="auto"/>
        </w:rPr>
      </w:pPr>
      <w:r>
        <w:rPr>
          <w:rFonts w:ascii="Arial" w:cs="Arial" w:eastAsia="Arial" w:hAnsi="Arial"/>
          <w:sz w:val="18"/>
          <w:szCs w:val="18"/>
          <w:color w:val="auto"/>
        </w:rPr>
        <w:t>The Company has $635.1 million of state income tax net operating loss carryforwards available to offset future state taxable income. State income tax loss carryforwards, if unutilized, will start to expire approximately as follows:</w:t>
      </w:r>
    </w:p>
    <w:p>
      <w:pPr>
        <w:spacing w:after="0" w:line="154" w:lineRule="exact"/>
        <w:rPr>
          <w:sz w:val="20"/>
          <w:szCs w:val="20"/>
          <w:color w:val="auto"/>
        </w:rPr>
      </w:pPr>
    </w:p>
    <w:p>
      <w:pPr>
        <w:ind w:left="40"/>
        <w:spacing w:after="0"/>
        <w:rPr>
          <w:sz w:val="20"/>
          <w:szCs w:val="20"/>
          <w:color w:val="auto"/>
        </w:rPr>
      </w:pPr>
      <w:r>
        <w:rPr>
          <w:rFonts w:ascii="Arial" w:cs="Arial" w:eastAsia="Arial" w:hAnsi="Arial"/>
          <w:sz w:val="14"/>
          <w:szCs w:val="14"/>
          <w:color w:val="auto"/>
        </w:rPr>
        <w:t>(in millions)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4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46" w:lineRule="exact"/>
        <w:rPr>
          <w:sz w:val="20"/>
          <w:szCs w:val="20"/>
          <w:color w:val="auto"/>
        </w:rPr>
      </w:pPr>
    </w:p>
    <w:tbl>
      <w:tblPr>
        <w:tblLayout w:type="fixed"/>
        <w:tblInd w:w="40" w:type="dxa"/>
        <w:tblCellMar>
          <w:top w:w="0" w:type="dxa"/>
          <w:left w:w="0" w:type="dxa"/>
          <w:bottom w:w="0" w:type="dxa"/>
          <w:right w:w="0" w:type="dxa"/>
        </w:tblCellMar>
      </w:tblPr>
      <w:tr>
        <w:trPr>
          <w:trHeight w:val="195"/>
        </w:trPr>
        <w:tc>
          <w:tcPr>
            <w:tcW w:w="10480" w:type="dxa"/>
            <w:vAlign w:val="bottom"/>
          </w:tcPr>
          <w:p>
            <w:pPr>
              <w:spacing w:after="0"/>
              <w:rPr>
                <w:sz w:val="20"/>
                <w:szCs w:val="20"/>
                <w:color w:val="auto"/>
              </w:rPr>
            </w:pPr>
            <w:r>
              <w:rPr>
                <w:rFonts w:ascii="Arial" w:cs="Arial" w:eastAsia="Arial" w:hAnsi="Arial"/>
                <w:sz w:val="16"/>
                <w:szCs w:val="16"/>
                <w:color w:val="auto"/>
              </w:rPr>
              <w:t>2018</w:t>
            </w:r>
          </w:p>
        </w:tc>
        <w:tc>
          <w:tcPr>
            <w:tcW w:w="24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660" w:type="dxa"/>
            <w:vAlign w:val="bottom"/>
          </w:tcPr>
          <w:p>
            <w:pPr>
              <w:jc w:val="right"/>
              <w:ind w:right="19"/>
              <w:spacing w:after="0"/>
              <w:rPr>
                <w:sz w:val="20"/>
                <w:szCs w:val="20"/>
                <w:color w:val="auto"/>
              </w:rPr>
            </w:pPr>
            <w:r>
              <w:rPr>
                <w:rFonts w:ascii="Arial" w:cs="Arial" w:eastAsia="Arial" w:hAnsi="Arial"/>
                <w:sz w:val="16"/>
                <w:szCs w:val="16"/>
                <w:color w:val="auto"/>
              </w:rPr>
              <w:t>8.3</w:t>
            </w:r>
          </w:p>
        </w:tc>
      </w:tr>
      <w:tr>
        <w:trPr>
          <w:trHeight w:val="243"/>
        </w:trPr>
        <w:tc>
          <w:tcPr>
            <w:tcW w:w="10480" w:type="dxa"/>
            <w:vAlign w:val="bottom"/>
          </w:tcPr>
          <w:p>
            <w:pPr>
              <w:spacing w:after="0"/>
              <w:rPr>
                <w:sz w:val="20"/>
                <w:szCs w:val="20"/>
                <w:color w:val="auto"/>
              </w:rPr>
            </w:pPr>
            <w:r>
              <w:rPr>
                <w:rFonts w:ascii="Arial" w:cs="Arial" w:eastAsia="Arial" w:hAnsi="Arial"/>
                <w:sz w:val="16"/>
                <w:szCs w:val="16"/>
                <w:color w:val="auto"/>
              </w:rPr>
              <w:t>2019</w:t>
            </w:r>
          </w:p>
        </w:tc>
        <w:tc>
          <w:tcPr>
            <w:tcW w:w="240" w:type="dxa"/>
            <w:vAlign w:val="bottom"/>
          </w:tcPr>
          <w:p>
            <w:pPr>
              <w:spacing w:after="0"/>
              <w:rPr>
                <w:sz w:val="21"/>
                <w:szCs w:val="21"/>
                <w:color w:val="auto"/>
              </w:rPr>
            </w:pPr>
          </w:p>
        </w:tc>
        <w:tc>
          <w:tcPr>
            <w:tcW w:w="660" w:type="dxa"/>
            <w:vAlign w:val="bottom"/>
          </w:tcPr>
          <w:p>
            <w:pPr>
              <w:jc w:val="right"/>
              <w:ind w:right="19"/>
              <w:spacing w:after="0"/>
              <w:rPr>
                <w:sz w:val="20"/>
                <w:szCs w:val="20"/>
                <w:color w:val="auto"/>
              </w:rPr>
            </w:pPr>
            <w:r>
              <w:rPr>
                <w:rFonts w:ascii="Arial" w:cs="Arial" w:eastAsia="Arial" w:hAnsi="Arial"/>
                <w:sz w:val="16"/>
                <w:szCs w:val="16"/>
                <w:color w:val="auto"/>
              </w:rPr>
              <w:t>2.6</w:t>
            </w:r>
          </w:p>
        </w:tc>
      </w:tr>
      <w:tr>
        <w:trPr>
          <w:trHeight w:val="243"/>
        </w:trPr>
        <w:tc>
          <w:tcPr>
            <w:tcW w:w="10480" w:type="dxa"/>
            <w:vAlign w:val="bottom"/>
          </w:tcPr>
          <w:p>
            <w:pPr>
              <w:spacing w:after="0"/>
              <w:rPr>
                <w:sz w:val="20"/>
                <w:szCs w:val="20"/>
                <w:color w:val="auto"/>
              </w:rPr>
            </w:pPr>
            <w:r>
              <w:rPr>
                <w:rFonts w:ascii="Arial" w:cs="Arial" w:eastAsia="Arial" w:hAnsi="Arial"/>
                <w:sz w:val="16"/>
                <w:szCs w:val="16"/>
                <w:color w:val="auto"/>
              </w:rPr>
              <w:t>2020</w:t>
            </w:r>
          </w:p>
        </w:tc>
        <w:tc>
          <w:tcPr>
            <w:tcW w:w="240" w:type="dxa"/>
            <w:vAlign w:val="bottom"/>
          </w:tcPr>
          <w:p>
            <w:pPr>
              <w:spacing w:after="0"/>
              <w:rPr>
                <w:sz w:val="21"/>
                <w:szCs w:val="21"/>
                <w:color w:val="auto"/>
              </w:rPr>
            </w:pPr>
          </w:p>
        </w:tc>
        <w:tc>
          <w:tcPr>
            <w:tcW w:w="660" w:type="dxa"/>
            <w:vAlign w:val="bottom"/>
          </w:tcPr>
          <w:p>
            <w:pPr>
              <w:jc w:val="right"/>
              <w:ind w:right="19"/>
              <w:spacing w:after="0"/>
              <w:rPr>
                <w:sz w:val="20"/>
                <w:szCs w:val="20"/>
                <w:color w:val="auto"/>
              </w:rPr>
            </w:pPr>
            <w:r>
              <w:rPr>
                <w:rFonts w:ascii="Arial" w:cs="Arial" w:eastAsia="Arial" w:hAnsi="Arial"/>
                <w:sz w:val="16"/>
                <w:szCs w:val="16"/>
                <w:color w:val="auto"/>
              </w:rPr>
              <w:t>18.3</w:t>
            </w:r>
          </w:p>
        </w:tc>
      </w:tr>
      <w:tr>
        <w:trPr>
          <w:trHeight w:val="243"/>
        </w:trPr>
        <w:tc>
          <w:tcPr>
            <w:tcW w:w="10480" w:type="dxa"/>
            <w:vAlign w:val="bottom"/>
          </w:tcPr>
          <w:p>
            <w:pPr>
              <w:spacing w:after="0"/>
              <w:rPr>
                <w:sz w:val="20"/>
                <w:szCs w:val="20"/>
                <w:color w:val="auto"/>
              </w:rPr>
            </w:pPr>
            <w:r>
              <w:rPr>
                <w:rFonts w:ascii="Arial" w:cs="Arial" w:eastAsia="Arial" w:hAnsi="Arial"/>
                <w:sz w:val="16"/>
                <w:szCs w:val="16"/>
                <w:color w:val="auto"/>
              </w:rPr>
              <w:t>2021</w:t>
            </w:r>
          </w:p>
        </w:tc>
        <w:tc>
          <w:tcPr>
            <w:tcW w:w="240" w:type="dxa"/>
            <w:vAlign w:val="bottom"/>
          </w:tcPr>
          <w:p>
            <w:pPr>
              <w:spacing w:after="0"/>
              <w:rPr>
                <w:sz w:val="21"/>
                <w:szCs w:val="21"/>
                <w:color w:val="auto"/>
              </w:rPr>
            </w:pPr>
          </w:p>
        </w:tc>
        <w:tc>
          <w:tcPr>
            <w:tcW w:w="660" w:type="dxa"/>
            <w:vAlign w:val="bottom"/>
          </w:tcPr>
          <w:p>
            <w:pPr>
              <w:jc w:val="right"/>
              <w:ind w:right="19"/>
              <w:spacing w:after="0"/>
              <w:rPr>
                <w:sz w:val="20"/>
                <w:szCs w:val="20"/>
                <w:color w:val="auto"/>
              </w:rPr>
            </w:pPr>
            <w:r>
              <w:rPr>
                <w:rFonts w:ascii="Arial" w:cs="Arial" w:eastAsia="Arial" w:hAnsi="Arial"/>
                <w:sz w:val="16"/>
                <w:szCs w:val="16"/>
                <w:color w:val="auto"/>
              </w:rPr>
              <w:t>20.1</w:t>
            </w:r>
          </w:p>
        </w:tc>
      </w:tr>
      <w:tr>
        <w:trPr>
          <w:trHeight w:val="243"/>
        </w:trPr>
        <w:tc>
          <w:tcPr>
            <w:tcW w:w="10480" w:type="dxa"/>
            <w:vAlign w:val="bottom"/>
          </w:tcPr>
          <w:p>
            <w:pPr>
              <w:spacing w:after="0"/>
              <w:rPr>
                <w:sz w:val="20"/>
                <w:szCs w:val="20"/>
                <w:color w:val="auto"/>
              </w:rPr>
            </w:pPr>
            <w:r>
              <w:rPr>
                <w:rFonts w:ascii="Arial" w:cs="Arial" w:eastAsia="Arial" w:hAnsi="Arial"/>
                <w:sz w:val="16"/>
                <w:szCs w:val="16"/>
                <w:color w:val="auto"/>
              </w:rPr>
              <w:t>2022</w:t>
            </w:r>
          </w:p>
        </w:tc>
        <w:tc>
          <w:tcPr>
            <w:tcW w:w="240" w:type="dxa"/>
            <w:vAlign w:val="bottom"/>
          </w:tcPr>
          <w:p>
            <w:pPr>
              <w:spacing w:after="0"/>
              <w:rPr>
                <w:sz w:val="21"/>
                <w:szCs w:val="21"/>
                <w:color w:val="auto"/>
              </w:rPr>
            </w:pPr>
          </w:p>
        </w:tc>
        <w:tc>
          <w:tcPr>
            <w:tcW w:w="660" w:type="dxa"/>
            <w:vAlign w:val="bottom"/>
          </w:tcPr>
          <w:p>
            <w:pPr>
              <w:jc w:val="right"/>
              <w:ind w:right="19"/>
              <w:spacing w:after="0"/>
              <w:rPr>
                <w:sz w:val="20"/>
                <w:szCs w:val="20"/>
                <w:color w:val="auto"/>
              </w:rPr>
            </w:pPr>
            <w:r>
              <w:rPr>
                <w:rFonts w:ascii="Arial" w:cs="Arial" w:eastAsia="Arial" w:hAnsi="Arial"/>
                <w:sz w:val="16"/>
                <w:szCs w:val="16"/>
                <w:color w:val="auto"/>
              </w:rPr>
              <w:t>1.0</w:t>
            </w:r>
          </w:p>
        </w:tc>
      </w:tr>
      <w:tr>
        <w:trPr>
          <w:trHeight w:val="256"/>
        </w:trPr>
        <w:tc>
          <w:tcPr>
            <w:tcW w:w="10480" w:type="dxa"/>
            <w:vAlign w:val="bottom"/>
          </w:tcPr>
          <w:p>
            <w:pPr>
              <w:spacing w:after="0"/>
              <w:rPr>
                <w:sz w:val="20"/>
                <w:szCs w:val="20"/>
                <w:color w:val="auto"/>
              </w:rPr>
            </w:pPr>
            <w:r>
              <w:rPr>
                <w:rFonts w:ascii="Arial" w:cs="Arial" w:eastAsia="Arial" w:hAnsi="Arial"/>
                <w:sz w:val="16"/>
                <w:szCs w:val="16"/>
                <w:color w:val="auto"/>
              </w:rPr>
              <w:t>2023 and after</w:t>
            </w:r>
          </w:p>
        </w:tc>
        <w:tc>
          <w:tcPr>
            <w:tcW w:w="240" w:type="dxa"/>
            <w:vAlign w:val="bottom"/>
            <w:tcBorders>
              <w:bottom w:val="single" w:sz="8" w:color="auto"/>
            </w:tcBorders>
          </w:tcPr>
          <w:p>
            <w:pPr>
              <w:spacing w:after="0"/>
              <w:rPr>
                <w:sz w:val="22"/>
                <w:szCs w:val="22"/>
                <w:color w:val="auto"/>
              </w:rPr>
            </w:pPr>
          </w:p>
        </w:tc>
        <w:tc>
          <w:tcPr>
            <w:tcW w:w="66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584.8</w:t>
            </w:r>
          </w:p>
        </w:tc>
      </w:tr>
      <w:tr>
        <w:trPr>
          <w:trHeight w:val="240"/>
        </w:trPr>
        <w:tc>
          <w:tcPr>
            <w:tcW w:w="10480" w:type="dxa"/>
            <w:vAlign w:val="bottom"/>
          </w:tcPr>
          <w:p>
            <w:pPr>
              <w:spacing w:after="0"/>
              <w:rPr>
                <w:sz w:val="20"/>
                <w:szCs w:val="20"/>
                <w:color w:val="auto"/>
              </w:rPr>
            </w:pPr>
            <w:r>
              <w:rPr>
                <w:rFonts w:ascii="Arial" w:cs="Arial" w:eastAsia="Arial" w:hAnsi="Arial"/>
                <w:sz w:val="16"/>
                <w:szCs w:val="16"/>
                <w:b w:val="1"/>
                <w:bCs w:val="1"/>
                <w:color w:val="auto"/>
              </w:rPr>
              <w:t>Total</w:t>
            </w:r>
          </w:p>
        </w:tc>
        <w:tc>
          <w:tcPr>
            <w:tcW w:w="24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b w:val="1"/>
                <w:bCs w:val="1"/>
                <w:color w:val="auto"/>
              </w:rPr>
              <w:t>$</w:t>
            </w:r>
          </w:p>
        </w:tc>
        <w:tc>
          <w:tcPr>
            <w:tcW w:w="66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b w:val="1"/>
                <w:bCs w:val="1"/>
                <w:color w:val="auto"/>
              </w:rPr>
              <w:t>635.1</w:t>
            </w:r>
          </w:p>
        </w:tc>
      </w:tr>
      <w:tr>
        <w:trPr>
          <w:trHeight w:val="20"/>
        </w:trPr>
        <w:tc>
          <w:tcPr>
            <w:tcW w:w="104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746" w:right="239" w:bottom="1440" w:gutter="0" w:footer="0" w:header="0"/>
        </w:sectPr>
      </w:pPr>
    </w:p>
    <w:p>
      <w:pPr>
        <w:spacing w:after="0" w:line="312"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93</w:t>
      </w:r>
    </w:p>
    <w:p>
      <w:pPr>
        <w:sectPr>
          <w:pgSz w:w="11900" w:h="16838" w:orient="portrait"/>
          <w:cols w:equalWidth="0" w:num="1">
            <w:col w:w="11420"/>
          </w:cols>
          <w:pgMar w:left="240" w:top="746" w:right="239" w:bottom="1440" w:gutter="0" w:footer="0" w:header="0"/>
          <w:type w:val="continuous"/>
        </w:sectPr>
      </w:pPr>
    </w:p>
    <w:bookmarkStart w:id="96" w:name="page97"/>
    <w:bookmarkEnd w:id="96"/>
    <w:p>
      <w:pPr>
        <w:ind w:right="80"/>
        <w:spacing w:after="0" w:line="227" w:lineRule="auto"/>
        <w:rPr>
          <w:sz w:val="20"/>
          <w:szCs w:val="20"/>
          <w:color w:val="auto"/>
        </w:rPr>
      </w:pPr>
      <w:r>
        <w:rPr>
          <w:rFonts w:ascii="Arial" w:cs="Arial" w:eastAsia="Arial" w:hAnsi="Arial"/>
          <w:sz w:val="18"/>
          <w:szCs w:val="18"/>
          <w:color w:val="auto"/>
        </w:rPr>
        <w:t>The Company has recorded at December 31, 2017, $35.3 million in deferred state income tax assets, net of U.S. Federal income tax, with respect to these state income tax loss carryforwards. The Company has established $33.3 million in valuation allowances against these deferred state income tax assets, since the Company has determined that it is more likely than not that the majority of state tax losses may not be fully utilized in the future to reduce state taxable income.</w:t>
      </w:r>
    </w:p>
    <w:p>
      <w:pPr>
        <w:spacing w:after="0" w:line="135" w:lineRule="exact"/>
        <w:rPr>
          <w:sz w:val="20"/>
          <w:szCs w:val="20"/>
          <w:color w:val="auto"/>
        </w:rPr>
      </w:pPr>
    </w:p>
    <w:p>
      <w:pPr>
        <w:ind w:right="380"/>
        <w:spacing w:after="0" w:line="235" w:lineRule="auto"/>
        <w:rPr>
          <w:sz w:val="20"/>
          <w:szCs w:val="20"/>
          <w:color w:val="auto"/>
        </w:rPr>
      </w:pPr>
      <w:r>
        <w:rPr>
          <w:rFonts w:ascii="Arial" w:cs="Arial" w:eastAsia="Arial" w:hAnsi="Arial"/>
          <w:sz w:val="18"/>
          <w:szCs w:val="18"/>
          <w:color w:val="auto"/>
        </w:rPr>
        <w:t>The Company has $13.5 million of U.S. Federal income tax loss carryforwards obtained as a result of prior stock acquisitions. U.S. Federal income tax loss carryforwards are expected to be fully utilized as follows:</w:t>
      </w:r>
    </w:p>
    <w:p>
      <w:pPr>
        <w:spacing w:after="0" w:line="154" w:lineRule="exact"/>
        <w:rPr>
          <w:sz w:val="20"/>
          <w:szCs w:val="20"/>
          <w:color w:val="auto"/>
        </w:rPr>
      </w:pPr>
    </w:p>
    <w:p>
      <w:pPr>
        <w:ind w:left="40"/>
        <w:spacing w:after="0"/>
        <w:rPr>
          <w:sz w:val="20"/>
          <w:szCs w:val="20"/>
          <w:color w:val="auto"/>
        </w:rPr>
      </w:pPr>
      <w:r>
        <w:rPr>
          <w:rFonts w:ascii="Arial" w:cs="Arial" w:eastAsia="Arial" w:hAnsi="Arial"/>
          <w:sz w:val="14"/>
          <w:szCs w:val="14"/>
          <w:color w:val="auto"/>
        </w:rPr>
        <w:t>(in millions)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4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46" w:lineRule="exact"/>
        <w:rPr>
          <w:sz w:val="20"/>
          <w:szCs w:val="20"/>
          <w:color w:val="auto"/>
        </w:rPr>
      </w:pPr>
    </w:p>
    <w:tbl>
      <w:tblPr>
        <w:tblLayout w:type="fixed"/>
        <w:tblInd w:w="40" w:type="dxa"/>
        <w:tblCellMar>
          <w:top w:w="0" w:type="dxa"/>
          <w:left w:w="0" w:type="dxa"/>
          <w:bottom w:w="0" w:type="dxa"/>
          <w:right w:w="0" w:type="dxa"/>
        </w:tblCellMar>
      </w:tblPr>
      <w:tr>
        <w:trPr>
          <w:trHeight w:val="195"/>
        </w:trPr>
        <w:tc>
          <w:tcPr>
            <w:tcW w:w="10580" w:type="dxa"/>
            <w:vAlign w:val="bottom"/>
          </w:tcPr>
          <w:p>
            <w:pPr>
              <w:spacing w:after="0"/>
              <w:rPr>
                <w:sz w:val="20"/>
                <w:szCs w:val="20"/>
                <w:color w:val="auto"/>
              </w:rPr>
            </w:pPr>
            <w:r>
              <w:rPr>
                <w:rFonts w:ascii="Arial" w:cs="Arial" w:eastAsia="Arial" w:hAnsi="Arial"/>
                <w:sz w:val="16"/>
                <w:szCs w:val="16"/>
                <w:color w:val="auto"/>
              </w:rPr>
              <w:t>2018</w:t>
            </w:r>
          </w:p>
        </w:tc>
        <w:tc>
          <w:tcPr>
            <w:tcW w:w="24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560" w:type="dxa"/>
            <w:vAlign w:val="bottom"/>
          </w:tcPr>
          <w:p>
            <w:pPr>
              <w:jc w:val="right"/>
              <w:ind w:right="19"/>
              <w:spacing w:after="0"/>
              <w:rPr>
                <w:sz w:val="20"/>
                <w:szCs w:val="20"/>
                <w:color w:val="auto"/>
              </w:rPr>
            </w:pPr>
            <w:r>
              <w:rPr>
                <w:rFonts w:ascii="Arial" w:cs="Arial" w:eastAsia="Arial" w:hAnsi="Arial"/>
                <w:sz w:val="16"/>
                <w:szCs w:val="16"/>
                <w:color w:val="auto"/>
              </w:rPr>
              <w:t>3.6</w:t>
            </w:r>
          </w:p>
        </w:tc>
      </w:tr>
      <w:tr>
        <w:trPr>
          <w:trHeight w:val="243"/>
        </w:trPr>
        <w:tc>
          <w:tcPr>
            <w:tcW w:w="10580" w:type="dxa"/>
            <w:vAlign w:val="bottom"/>
          </w:tcPr>
          <w:p>
            <w:pPr>
              <w:spacing w:after="0"/>
              <w:rPr>
                <w:sz w:val="20"/>
                <w:szCs w:val="20"/>
                <w:color w:val="auto"/>
              </w:rPr>
            </w:pPr>
            <w:r>
              <w:rPr>
                <w:rFonts w:ascii="Arial" w:cs="Arial" w:eastAsia="Arial" w:hAnsi="Arial"/>
                <w:sz w:val="16"/>
                <w:szCs w:val="16"/>
                <w:color w:val="auto"/>
              </w:rPr>
              <w:t>2019</w:t>
            </w:r>
          </w:p>
        </w:tc>
        <w:tc>
          <w:tcPr>
            <w:tcW w:w="240" w:type="dxa"/>
            <w:vAlign w:val="bottom"/>
          </w:tcPr>
          <w:p>
            <w:pPr>
              <w:spacing w:after="0"/>
              <w:rPr>
                <w:sz w:val="21"/>
                <w:szCs w:val="21"/>
                <w:color w:val="auto"/>
              </w:rPr>
            </w:pPr>
          </w:p>
        </w:tc>
        <w:tc>
          <w:tcPr>
            <w:tcW w:w="560" w:type="dxa"/>
            <w:vAlign w:val="bottom"/>
          </w:tcPr>
          <w:p>
            <w:pPr>
              <w:jc w:val="right"/>
              <w:ind w:right="19"/>
              <w:spacing w:after="0"/>
              <w:rPr>
                <w:sz w:val="20"/>
                <w:szCs w:val="20"/>
                <w:color w:val="auto"/>
              </w:rPr>
            </w:pPr>
            <w:r>
              <w:rPr>
                <w:rFonts w:ascii="Arial" w:cs="Arial" w:eastAsia="Arial" w:hAnsi="Arial"/>
                <w:sz w:val="16"/>
                <w:szCs w:val="16"/>
                <w:color w:val="auto"/>
              </w:rPr>
              <w:t>3.3</w:t>
            </w:r>
          </w:p>
        </w:tc>
      </w:tr>
      <w:tr>
        <w:trPr>
          <w:trHeight w:val="243"/>
        </w:trPr>
        <w:tc>
          <w:tcPr>
            <w:tcW w:w="10580" w:type="dxa"/>
            <w:vAlign w:val="bottom"/>
          </w:tcPr>
          <w:p>
            <w:pPr>
              <w:spacing w:after="0"/>
              <w:rPr>
                <w:sz w:val="20"/>
                <w:szCs w:val="20"/>
                <w:color w:val="auto"/>
              </w:rPr>
            </w:pPr>
            <w:r>
              <w:rPr>
                <w:rFonts w:ascii="Arial" w:cs="Arial" w:eastAsia="Arial" w:hAnsi="Arial"/>
                <w:sz w:val="16"/>
                <w:szCs w:val="16"/>
                <w:color w:val="auto"/>
              </w:rPr>
              <w:t>2020</w:t>
            </w:r>
          </w:p>
        </w:tc>
        <w:tc>
          <w:tcPr>
            <w:tcW w:w="240" w:type="dxa"/>
            <w:vAlign w:val="bottom"/>
          </w:tcPr>
          <w:p>
            <w:pPr>
              <w:spacing w:after="0"/>
              <w:rPr>
                <w:sz w:val="21"/>
                <w:szCs w:val="21"/>
                <w:color w:val="auto"/>
              </w:rPr>
            </w:pPr>
          </w:p>
        </w:tc>
        <w:tc>
          <w:tcPr>
            <w:tcW w:w="560" w:type="dxa"/>
            <w:vAlign w:val="bottom"/>
          </w:tcPr>
          <w:p>
            <w:pPr>
              <w:jc w:val="right"/>
              <w:ind w:right="19"/>
              <w:spacing w:after="0"/>
              <w:rPr>
                <w:sz w:val="20"/>
                <w:szCs w:val="20"/>
                <w:color w:val="auto"/>
              </w:rPr>
            </w:pPr>
            <w:r>
              <w:rPr>
                <w:rFonts w:ascii="Arial" w:cs="Arial" w:eastAsia="Arial" w:hAnsi="Arial"/>
                <w:sz w:val="16"/>
                <w:szCs w:val="16"/>
                <w:color w:val="auto"/>
              </w:rPr>
              <w:t>3.3</w:t>
            </w:r>
          </w:p>
        </w:tc>
      </w:tr>
      <w:tr>
        <w:trPr>
          <w:trHeight w:val="243"/>
        </w:trPr>
        <w:tc>
          <w:tcPr>
            <w:tcW w:w="10580" w:type="dxa"/>
            <w:vAlign w:val="bottom"/>
          </w:tcPr>
          <w:p>
            <w:pPr>
              <w:spacing w:after="0"/>
              <w:rPr>
                <w:sz w:val="20"/>
                <w:szCs w:val="20"/>
                <w:color w:val="auto"/>
              </w:rPr>
            </w:pPr>
            <w:r>
              <w:rPr>
                <w:rFonts w:ascii="Arial" w:cs="Arial" w:eastAsia="Arial" w:hAnsi="Arial"/>
                <w:sz w:val="16"/>
                <w:szCs w:val="16"/>
                <w:color w:val="auto"/>
              </w:rPr>
              <w:t>2021</w:t>
            </w:r>
          </w:p>
        </w:tc>
        <w:tc>
          <w:tcPr>
            <w:tcW w:w="240" w:type="dxa"/>
            <w:vAlign w:val="bottom"/>
          </w:tcPr>
          <w:p>
            <w:pPr>
              <w:spacing w:after="0"/>
              <w:rPr>
                <w:sz w:val="21"/>
                <w:szCs w:val="21"/>
                <w:color w:val="auto"/>
              </w:rPr>
            </w:pPr>
          </w:p>
        </w:tc>
        <w:tc>
          <w:tcPr>
            <w:tcW w:w="560" w:type="dxa"/>
            <w:vAlign w:val="bottom"/>
          </w:tcPr>
          <w:p>
            <w:pPr>
              <w:jc w:val="right"/>
              <w:ind w:right="19"/>
              <w:spacing w:after="0"/>
              <w:rPr>
                <w:sz w:val="20"/>
                <w:szCs w:val="20"/>
                <w:color w:val="auto"/>
              </w:rPr>
            </w:pPr>
            <w:r>
              <w:rPr>
                <w:rFonts w:ascii="Arial" w:cs="Arial" w:eastAsia="Arial" w:hAnsi="Arial"/>
                <w:sz w:val="16"/>
                <w:szCs w:val="16"/>
                <w:color w:val="auto"/>
              </w:rPr>
              <w:t>1.1</w:t>
            </w:r>
          </w:p>
        </w:tc>
      </w:tr>
      <w:tr>
        <w:trPr>
          <w:trHeight w:val="243"/>
        </w:trPr>
        <w:tc>
          <w:tcPr>
            <w:tcW w:w="10580" w:type="dxa"/>
            <w:vAlign w:val="bottom"/>
          </w:tcPr>
          <w:p>
            <w:pPr>
              <w:spacing w:after="0"/>
              <w:rPr>
                <w:sz w:val="20"/>
                <w:szCs w:val="20"/>
                <w:color w:val="auto"/>
              </w:rPr>
            </w:pPr>
            <w:r>
              <w:rPr>
                <w:rFonts w:ascii="Arial" w:cs="Arial" w:eastAsia="Arial" w:hAnsi="Arial"/>
                <w:sz w:val="16"/>
                <w:szCs w:val="16"/>
                <w:color w:val="auto"/>
              </w:rPr>
              <w:t>2022</w:t>
            </w:r>
          </w:p>
        </w:tc>
        <w:tc>
          <w:tcPr>
            <w:tcW w:w="240" w:type="dxa"/>
            <w:vAlign w:val="bottom"/>
          </w:tcPr>
          <w:p>
            <w:pPr>
              <w:spacing w:after="0"/>
              <w:rPr>
                <w:sz w:val="21"/>
                <w:szCs w:val="21"/>
                <w:color w:val="auto"/>
              </w:rPr>
            </w:pPr>
          </w:p>
        </w:tc>
        <w:tc>
          <w:tcPr>
            <w:tcW w:w="560" w:type="dxa"/>
            <w:vAlign w:val="bottom"/>
          </w:tcPr>
          <w:p>
            <w:pPr>
              <w:jc w:val="right"/>
              <w:ind w:right="19"/>
              <w:spacing w:after="0"/>
              <w:rPr>
                <w:sz w:val="20"/>
                <w:szCs w:val="20"/>
                <w:color w:val="auto"/>
              </w:rPr>
            </w:pPr>
            <w:r>
              <w:rPr>
                <w:rFonts w:ascii="Arial" w:cs="Arial" w:eastAsia="Arial" w:hAnsi="Arial"/>
                <w:sz w:val="16"/>
                <w:szCs w:val="16"/>
                <w:color w:val="auto"/>
              </w:rPr>
              <w:t>0.9</w:t>
            </w:r>
          </w:p>
        </w:tc>
      </w:tr>
      <w:tr>
        <w:trPr>
          <w:trHeight w:val="256"/>
        </w:trPr>
        <w:tc>
          <w:tcPr>
            <w:tcW w:w="10580" w:type="dxa"/>
            <w:vAlign w:val="bottom"/>
          </w:tcPr>
          <w:p>
            <w:pPr>
              <w:spacing w:after="0"/>
              <w:rPr>
                <w:sz w:val="20"/>
                <w:szCs w:val="20"/>
                <w:color w:val="auto"/>
              </w:rPr>
            </w:pPr>
            <w:r>
              <w:rPr>
                <w:rFonts w:ascii="Arial" w:cs="Arial" w:eastAsia="Arial" w:hAnsi="Arial"/>
                <w:sz w:val="16"/>
                <w:szCs w:val="16"/>
                <w:color w:val="auto"/>
              </w:rPr>
              <w:t>2023 and after</w:t>
            </w:r>
          </w:p>
        </w:tc>
        <w:tc>
          <w:tcPr>
            <w:tcW w:w="240" w:type="dxa"/>
            <w:vAlign w:val="bottom"/>
            <w:tcBorders>
              <w:bottom w:val="single" w:sz="8" w:color="auto"/>
            </w:tcBorders>
          </w:tcPr>
          <w:p>
            <w:pPr>
              <w:spacing w:after="0"/>
              <w:rPr>
                <w:sz w:val="22"/>
                <w:szCs w:val="22"/>
                <w:color w:val="auto"/>
              </w:rPr>
            </w:pPr>
          </w:p>
        </w:tc>
        <w:tc>
          <w:tcPr>
            <w:tcW w:w="56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1.3</w:t>
            </w:r>
          </w:p>
        </w:tc>
      </w:tr>
      <w:tr>
        <w:trPr>
          <w:trHeight w:val="240"/>
        </w:trPr>
        <w:tc>
          <w:tcPr>
            <w:tcW w:w="10580" w:type="dxa"/>
            <w:vAlign w:val="bottom"/>
          </w:tcPr>
          <w:p>
            <w:pPr>
              <w:spacing w:after="0"/>
              <w:rPr>
                <w:sz w:val="20"/>
                <w:szCs w:val="20"/>
                <w:color w:val="auto"/>
              </w:rPr>
            </w:pPr>
            <w:r>
              <w:rPr>
                <w:rFonts w:ascii="Arial" w:cs="Arial" w:eastAsia="Arial" w:hAnsi="Arial"/>
                <w:sz w:val="16"/>
                <w:szCs w:val="16"/>
                <w:b w:val="1"/>
                <w:bCs w:val="1"/>
                <w:color w:val="auto"/>
              </w:rPr>
              <w:t>Total</w:t>
            </w:r>
          </w:p>
        </w:tc>
        <w:tc>
          <w:tcPr>
            <w:tcW w:w="24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b w:val="1"/>
                <w:bCs w:val="1"/>
                <w:color w:val="auto"/>
              </w:rPr>
              <w:t>$</w:t>
            </w:r>
          </w:p>
        </w:tc>
        <w:tc>
          <w:tcPr>
            <w:tcW w:w="56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b w:val="1"/>
                <w:bCs w:val="1"/>
                <w:color w:val="auto"/>
              </w:rPr>
              <w:t>13.5</w:t>
            </w:r>
          </w:p>
        </w:tc>
      </w:tr>
      <w:tr>
        <w:trPr>
          <w:trHeight w:val="20"/>
        </w:trPr>
        <w:tc>
          <w:tcPr>
            <w:tcW w:w="105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ind w:right="540"/>
        <w:spacing w:after="0" w:line="235" w:lineRule="auto"/>
        <w:rPr>
          <w:sz w:val="20"/>
          <w:szCs w:val="20"/>
          <w:color w:val="auto"/>
        </w:rPr>
      </w:pPr>
      <w:r>
        <w:rPr>
          <w:rFonts w:ascii="Arial" w:cs="Arial" w:eastAsia="Arial" w:hAnsi="Arial"/>
          <w:sz w:val="18"/>
          <w:szCs w:val="18"/>
          <w:color w:val="auto"/>
        </w:rPr>
        <w:t>The Company has established at December 31, 2017, $2.9 million in U.S. Federal deferred tax assets with respect to these U.S. Federal income tax loss carryforwards.</w:t>
      </w:r>
    </w:p>
    <w:p>
      <w:pPr>
        <w:spacing w:after="0" w:line="135" w:lineRule="exact"/>
        <w:rPr>
          <w:sz w:val="20"/>
          <w:szCs w:val="20"/>
          <w:color w:val="auto"/>
        </w:rPr>
      </w:pPr>
    </w:p>
    <w:p>
      <w:pPr>
        <w:ind w:right="80"/>
        <w:spacing w:after="0" w:line="223" w:lineRule="auto"/>
        <w:rPr>
          <w:sz w:val="20"/>
          <w:szCs w:val="20"/>
          <w:color w:val="auto"/>
        </w:rPr>
      </w:pPr>
      <w:r>
        <w:rPr>
          <w:rFonts w:ascii="Arial" w:cs="Arial" w:eastAsia="Arial" w:hAnsi="Arial"/>
          <w:sz w:val="18"/>
          <w:szCs w:val="18"/>
          <w:color w:val="auto"/>
        </w:rPr>
        <w:t>For U.S. Federal income tax purposes, the Company has $2.5 million of foreign tax credits available to be credited against future U.S. Federal income tax liabilities. If unutilized, $ 0.7 million of these foreign tax credits will expire in 2024, $0.7 million will expire in 2025, $ 0.7 million will expire in 2026, and $0.4 million will expire in 2027. The Company has established at December 31, 2017, $2.5 million of U.S. Federal deferred tax assets with respect to these U.S. Federal foreign tax credit carryforwards; however, due to changes to the rules relating to foreign tax credits under the Tax Act, a valuation allowance against these deferred tax assets was established during the fourth quarter of 2017 since the Company determined that it is more likely than not its foreign tax credit carryforwards may not be fully utilized in the future to reduce U.S. Federal income taxes.</w:t>
      </w:r>
    </w:p>
    <w:p>
      <w:pPr>
        <w:spacing w:after="0" w:line="139" w:lineRule="exact"/>
        <w:rPr>
          <w:sz w:val="20"/>
          <w:szCs w:val="20"/>
          <w:color w:val="auto"/>
        </w:rPr>
      </w:pPr>
    </w:p>
    <w:p>
      <w:pPr>
        <w:ind w:right="80"/>
        <w:spacing w:after="0" w:line="224" w:lineRule="auto"/>
        <w:rPr>
          <w:sz w:val="20"/>
          <w:szCs w:val="20"/>
          <w:color w:val="auto"/>
        </w:rPr>
      </w:pPr>
      <w:r>
        <w:rPr>
          <w:rFonts w:ascii="Arial" w:cs="Arial" w:eastAsia="Arial" w:hAnsi="Arial"/>
          <w:sz w:val="18"/>
          <w:szCs w:val="18"/>
          <w:color w:val="auto"/>
        </w:rPr>
        <w:t>The Company has $68.4 million of non-U.S. income tax loss carryforwards, as a result of operating losses and carryforwards obtained through prior stock acquisitions that are available to offset future non-U.S. taxable income and has recorded, with respect to these losses, $18.8 million in non-U.S. deferred income tax assets. The Company has established $5.6 million in valuation allowances against the deferred tax assets recorded for the portion of non-U.S. tax losses that may not be fully utilized to reduce future non-U.S. taxable income. The $68.4 million of non-U.S. income tax loss carryforwards consist of $57.4 million in losses that may be carried forward indefinitely; $7.0 million of losses that, if unutilized, will expire in varying amounts through 2022; and $3.9 million of losses that, if unutilized, will start to expire after 2022.</w:t>
      </w:r>
    </w:p>
    <w:p>
      <w:pPr>
        <w:spacing w:after="0" w:line="137" w:lineRule="exact"/>
        <w:rPr>
          <w:sz w:val="20"/>
          <w:szCs w:val="20"/>
          <w:color w:val="auto"/>
        </w:rPr>
      </w:pPr>
    </w:p>
    <w:p>
      <w:pPr>
        <w:ind w:right="80"/>
        <w:spacing w:after="0" w:line="227" w:lineRule="auto"/>
        <w:rPr>
          <w:sz w:val="20"/>
          <w:szCs w:val="20"/>
          <w:color w:val="auto"/>
        </w:rPr>
      </w:pPr>
      <w:r>
        <w:rPr>
          <w:rFonts w:ascii="Arial" w:cs="Arial" w:eastAsia="Arial" w:hAnsi="Arial"/>
          <w:sz w:val="18"/>
          <w:szCs w:val="18"/>
          <w:color w:val="auto"/>
        </w:rPr>
        <w:t>The Company has $7.8 million of non-U.S. capital loss carryforwards that may be carried forward indefinitely and are available to offset future non-U.S. capital gains. The Company recorded a $2.3 million non-U.S. deferred income tax asset for these non-U.S. capital loss carryforwards and has established a full valuation allowance against this non-U.S. deferred tax asset since the Company has determined that it is more likely than not that the capital loss carryforwards may not be fully utilized to reduce taxable income in the future.</w:t>
      </w:r>
    </w:p>
    <w:p>
      <w:pPr>
        <w:spacing w:after="0" w:line="135" w:lineRule="exact"/>
        <w:rPr>
          <w:sz w:val="20"/>
          <w:szCs w:val="20"/>
          <w:color w:val="auto"/>
        </w:rPr>
      </w:pPr>
    </w:p>
    <w:p>
      <w:pPr>
        <w:spacing w:after="0"/>
        <w:rPr>
          <w:sz w:val="20"/>
          <w:szCs w:val="20"/>
          <w:color w:val="auto"/>
        </w:rPr>
      </w:pPr>
      <w:r>
        <w:rPr>
          <w:rFonts w:ascii="Arial" w:cs="Arial" w:eastAsia="Arial" w:hAnsi="Arial"/>
          <w:sz w:val="18"/>
          <w:szCs w:val="18"/>
          <w:color w:val="auto"/>
        </w:rPr>
        <w:t>Deferred tax valuation allowances and changes in deferred tax valuation allowances were as follows:</w:t>
      </w:r>
    </w:p>
    <w:p>
      <w:pPr>
        <w:spacing w:after="0" w:line="145"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880" w:type="dxa"/>
            <w:vAlign w:val="bottom"/>
          </w:tcPr>
          <w:p>
            <w:pPr>
              <w:spacing w:after="0"/>
              <w:rPr>
                <w:sz w:val="14"/>
                <w:szCs w:val="14"/>
                <w:color w:val="auto"/>
              </w:rPr>
            </w:pPr>
          </w:p>
        </w:tc>
        <w:tc>
          <w:tcPr>
            <w:tcW w:w="3140" w:type="dxa"/>
            <w:vAlign w:val="bottom"/>
            <w:gridSpan w:val="2"/>
          </w:tcPr>
          <w:p>
            <w:pPr>
              <w:jc w:val="right"/>
              <w:ind w:right="21"/>
              <w:spacing w:after="0"/>
              <w:rPr>
                <w:sz w:val="20"/>
                <w:szCs w:val="20"/>
                <w:color w:val="auto"/>
              </w:rPr>
            </w:pPr>
            <w:r>
              <w:rPr>
                <w:rFonts w:ascii="Arial" w:cs="Arial" w:eastAsia="Arial" w:hAnsi="Arial"/>
                <w:sz w:val="14"/>
                <w:szCs w:val="14"/>
                <w:b w:val="1"/>
                <w:bCs w:val="1"/>
                <w:color w:val="auto"/>
              </w:rPr>
              <w:t>Balance at Beginning of</w:t>
            </w:r>
          </w:p>
        </w:tc>
        <w:tc>
          <w:tcPr>
            <w:tcW w:w="280" w:type="dxa"/>
            <w:vAlign w:val="bottom"/>
          </w:tcPr>
          <w:p>
            <w:pPr>
              <w:spacing w:after="0"/>
              <w:rPr>
                <w:sz w:val="14"/>
                <w:szCs w:val="14"/>
                <w:color w:val="auto"/>
              </w:rPr>
            </w:pPr>
          </w:p>
        </w:tc>
        <w:tc>
          <w:tcPr>
            <w:tcW w:w="1520" w:type="dxa"/>
            <w:vAlign w:val="bottom"/>
          </w:tcPr>
          <w:p>
            <w:pPr>
              <w:jc w:val="right"/>
              <w:ind w:right="203"/>
              <w:spacing w:after="0"/>
              <w:rPr>
                <w:sz w:val="20"/>
                <w:szCs w:val="20"/>
                <w:color w:val="auto"/>
              </w:rPr>
            </w:pPr>
            <w:r>
              <w:rPr>
                <w:rFonts w:ascii="Arial" w:cs="Arial" w:eastAsia="Arial" w:hAnsi="Arial"/>
                <w:sz w:val="14"/>
                <w:szCs w:val="14"/>
                <w:b w:val="1"/>
                <w:bCs w:val="1"/>
                <w:color w:val="auto"/>
              </w:rPr>
              <w:t>Tax Expense and</w:t>
            </w:r>
          </w:p>
        </w:tc>
        <w:tc>
          <w:tcPr>
            <w:tcW w:w="38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520" w:type="dxa"/>
            <w:vAlign w:val="bottom"/>
          </w:tcPr>
          <w:p>
            <w:pPr>
              <w:jc w:val="right"/>
              <w:ind w:right="163"/>
              <w:spacing w:after="0"/>
              <w:rPr>
                <w:sz w:val="20"/>
                <w:szCs w:val="20"/>
                <w:color w:val="auto"/>
              </w:rPr>
            </w:pPr>
            <w:r>
              <w:rPr>
                <w:rFonts w:ascii="Arial" w:cs="Arial" w:eastAsia="Arial" w:hAnsi="Arial"/>
                <w:sz w:val="14"/>
                <w:szCs w:val="14"/>
                <w:b w:val="1"/>
                <w:bCs w:val="1"/>
                <w:color w:val="auto"/>
              </w:rPr>
              <w:t>Balance at End of</w:t>
            </w:r>
          </w:p>
        </w:tc>
      </w:tr>
      <w:tr>
        <w:trPr>
          <w:trHeight w:val="196"/>
        </w:trPr>
        <w:tc>
          <w:tcPr>
            <w:tcW w:w="288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(in thousands)</w:t>
            </w:r>
          </w:p>
        </w:tc>
        <w:tc>
          <w:tcPr>
            <w:tcW w:w="1740" w:type="dxa"/>
            <w:vAlign w:val="bottom"/>
            <w:tcBorders>
              <w:bottom w:val="single" w:sz="8" w:color="auto"/>
            </w:tcBorders>
          </w:tcPr>
          <w:p>
            <w:pPr>
              <w:spacing w:after="0"/>
              <w:rPr>
                <w:sz w:val="17"/>
                <w:szCs w:val="17"/>
                <w:color w:val="auto"/>
              </w:rPr>
            </w:pPr>
          </w:p>
        </w:tc>
        <w:tc>
          <w:tcPr>
            <w:tcW w:w="1400" w:type="dxa"/>
            <w:vAlign w:val="bottom"/>
            <w:tcBorders>
              <w:bottom w:val="single" w:sz="8" w:color="auto"/>
            </w:tcBorders>
          </w:tcPr>
          <w:p>
            <w:pPr>
              <w:jc w:val="right"/>
              <w:ind w:right="601"/>
              <w:spacing w:after="0"/>
              <w:rPr>
                <w:sz w:val="20"/>
                <w:szCs w:val="20"/>
                <w:color w:val="auto"/>
              </w:rPr>
            </w:pPr>
            <w:r>
              <w:rPr>
                <w:rFonts w:ascii="Arial" w:cs="Arial" w:eastAsia="Arial" w:hAnsi="Arial"/>
                <w:sz w:val="14"/>
                <w:szCs w:val="14"/>
                <w:b w:val="1"/>
                <w:bCs w:val="1"/>
                <w:color w:val="auto"/>
              </w:rPr>
              <w:t>Period</w:t>
            </w:r>
          </w:p>
        </w:tc>
        <w:tc>
          <w:tcPr>
            <w:tcW w:w="280" w:type="dxa"/>
            <w:vAlign w:val="bottom"/>
            <w:tcBorders>
              <w:bottom w:val="single" w:sz="8" w:color="auto"/>
            </w:tcBorders>
          </w:tcPr>
          <w:p>
            <w:pPr>
              <w:spacing w:after="0"/>
              <w:rPr>
                <w:sz w:val="17"/>
                <w:szCs w:val="17"/>
                <w:color w:val="auto"/>
              </w:rPr>
            </w:pPr>
          </w:p>
        </w:tc>
        <w:tc>
          <w:tcPr>
            <w:tcW w:w="1520" w:type="dxa"/>
            <w:vAlign w:val="bottom"/>
            <w:tcBorders>
              <w:bottom w:val="single" w:sz="8" w:color="auto"/>
            </w:tcBorders>
          </w:tcPr>
          <w:p>
            <w:pPr>
              <w:jc w:val="right"/>
              <w:ind w:right="383"/>
              <w:spacing w:after="0"/>
              <w:rPr>
                <w:sz w:val="20"/>
                <w:szCs w:val="20"/>
                <w:color w:val="auto"/>
              </w:rPr>
            </w:pPr>
            <w:r>
              <w:rPr>
                <w:rFonts w:ascii="Arial" w:cs="Arial" w:eastAsia="Arial" w:hAnsi="Arial"/>
                <w:sz w:val="14"/>
                <w:szCs w:val="14"/>
                <w:b w:val="1"/>
                <w:bCs w:val="1"/>
                <w:color w:val="auto"/>
              </w:rPr>
              <w:t>Revaluation</w:t>
            </w:r>
          </w:p>
        </w:tc>
        <w:tc>
          <w:tcPr>
            <w:tcW w:w="380" w:type="dxa"/>
            <w:vAlign w:val="bottom"/>
            <w:tcBorders>
              <w:bottom w:val="single" w:sz="8" w:color="auto"/>
            </w:tcBorders>
          </w:tcPr>
          <w:p>
            <w:pPr>
              <w:spacing w:after="0"/>
              <w:rPr>
                <w:sz w:val="17"/>
                <w:szCs w:val="17"/>
                <w:color w:val="auto"/>
              </w:rPr>
            </w:pPr>
          </w:p>
        </w:tc>
        <w:tc>
          <w:tcPr>
            <w:tcW w:w="1460" w:type="dxa"/>
            <w:vAlign w:val="bottom"/>
            <w:tcBorders>
              <w:bottom w:val="single" w:sz="8" w:color="auto"/>
            </w:tcBorders>
          </w:tcPr>
          <w:p>
            <w:pPr>
              <w:jc w:val="right"/>
              <w:ind w:right="421"/>
              <w:spacing w:after="0"/>
              <w:rPr>
                <w:sz w:val="20"/>
                <w:szCs w:val="20"/>
                <w:color w:val="auto"/>
              </w:rPr>
            </w:pPr>
            <w:r>
              <w:rPr>
                <w:rFonts w:ascii="Arial" w:cs="Arial" w:eastAsia="Arial" w:hAnsi="Arial"/>
                <w:sz w:val="14"/>
                <w:szCs w:val="14"/>
                <w:b w:val="1"/>
                <w:bCs w:val="1"/>
                <w:color w:val="auto"/>
              </w:rPr>
              <w:t>Deductions</w:t>
            </w:r>
          </w:p>
        </w:tc>
        <w:tc>
          <w:tcPr>
            <w:tcW w:w="240" w:type="dxa"/>
            <w:vAlign w:val="bottom"/>
            <w:tcBorders>
              <w:bottom w:val="single" w:sz="8" w:color="auto"/>
            </w:tcBorders>
          </w:tcPr>
          <w:p>
            <w:pPr>
              <w:spacing w:after="0"/>
              <w:rPr>
                <w:sz w:val="17"/>
                <w:szCs w:val="17"/>
                <w:color w:val="auto"/>
              </w:rPr>
            </w:pPr>
          </w:p>
        </w:tc>
        <w:tc>
          <w:tcPr>
            <w:tcW w:w="1520" w:type="dxa"/>
            <w:vAlign w:val="bottom"/>
            <w:tcBorders>
              <w:bottom w:val="single" w:sz="8" w:color="auto"/>
            </w:tcBorders>
          </w:tcPr>
          <w:p>
            <w:pPr>
              <w:jc w:val="right"/>
              <w:ind w:right="543"/>
              <w:spacing w:after="0"/>
              <w:rPr>
                <w:sz w:val="20"/>
                <w:szCs w:val="20"/>
                <w:color w:val="auto"/>
              </w:rPr>
            </w:pPr>
            <w:r>
              <w:rPr>
                <w:rFonts w:ascii="Arial" w:cs="Arial" w:eastAsia="Arial" w:hAnsi="Arial"/>
                <w:sz w:val="14"/>
                <w:szCs w:val="14"/>
                <w:b w:val="1"/>
                <w:bCs w:val="1"/>
                <w:color w:val="auto"/>
              </w:rPr>
              <w:t>Period</w:t>
            </w:r>
          </w:p>
        </w:tc>
      </w:tr>
      <w:tr>
        <w:trPr>
          <w:trHeight w:val="250"/>
        </w:trPr>
        <w:tc>
          <w:tcPr>
            <w:tcW w:w="2880" w:type="dxa"/>
            <w:vAlign w:val="bottom"/>
          </w:tcPr>
          <w:p>
            <w:pPr>
              <w:ind w:left="40"/>
              <w:spacing w:after="0"/>
              <w:rPr>
                <w:sz w:val="20"/>
                <w:szCs w:val="20"/>
                <w:color w:val="auto"/>
              </w:rPr>
            </w:pPr>
            <w:r>
              <w:rPr>
                <w:rFonts w:ascii="Arial" w:cs="Arial" w:eastAsia="Arial" w:hAnsi="Arial"/>
                <w:sz w:val="16"/>
                <w:szCs w:val="16"/>
                <w:b w:val="1"/>
                <w:bCs w:val="1"/>
                <w:color w:val="auto"/>
              </w:rPr>
              <w:t>Year ended</w:t>
            </w:r>
          </w:p>
        </w:tc>
        <w:tc>
          <w:tcPr>
            <w:tcW w:w="1740" w:type="dxa"/>
            <w:vAlign w:val="bottom"/>
          </w:tcPr>
          <w:p>
            <w:pPr>
              <w:spacing w:after="0"/>
              <w:rPr>
                <w:sz w:val="21"/>
                <w:szCs w:val="21"/>
                <w:color w:val="auto"/>
              </w:rPr>
            </w:pPr>
          </w:p>
        </w:tc>
        <w:tc>
          <w:tcPr>
            <w:tcW w:w="14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5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4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520" w:type="dxa"/>
            <w:vAlign w:val="bottom"/>
          </w:tcPr>
          <w:p>
            <w:pPr>
              <w:spacing w:after="0"/>
              <w:rPr>
                <w:sz w:val="21"/>
                <w:szCs w:val="21"/>
                <w:color w:val="auto"/>
              </w:rPr>
            </w:pPr>
          </w:p>
        </w:tc>
      </w:tr>
      <w:tr>
        <w:trPr>
          <w:trHeight w:val="270"/>
        </w:trPr>
        <w:tc>
          <w:tcPr>
            <w:tcW w:w="2880" w:type="dxa"/>
            <w:vAlign w:val="bottom"/>
          </w:tcPr>
          <w:p>
            <w:pPr>
              <w:ind w:left="40"/>
              <w:spacing w:after="0"/>
              <w:rPr>
                <w:sz w:val="20"/>
                <w:szCs w:val="20"/>
                <w:color w:val="auto"/>
              </w:rPr>
            </w:pPr>
            <w:r>
              <w:rPr>
                <w:rFonts w:ascii="Arial" w:cs="Arial" w:eastAsia="Arial" w:hAnsi="Arial"/>
                <w:sz w:val="16"/>
                <w:szCs w:val="16"/>
                <w:b w:val="1"/>
                <w:bCs w:val="1"/>
                <w:color w:val="auto"/>
              </w:rPr>
              <w:t>December 31, 2017</w:t>
            </w:r>
          </w:p>
        </w:tc>
        <w:tc>
          <w:tcPr>
            <w:tcW w:w="1740" w:type="dxa"/>
            <w:vAlign w:val="bottom"/>
          </w:tcPr>
          <w:p>
            <w:pPr>
              <w:jc w:val="right"/>
              <w:ind w:right="181"/>
              <w:spacing w:after="0"/>
              <w:rPr>
                <w:sz w:val="20"/>
                <w:szCs w:val="20"/>
                <w:color w:val="auto"/>
              </w:rPr>
            </w:pPr>
            <w:r>
              <w:rPr>
                <w:rFonts w:ascii="Arial" w:cs="Arial" w:eastAsia="Arial" w:hAnsi="Arial"/>
                <w:sz w:val="16"/>
                <w:szCs w:val="16"/>
                <w:b w:val="1"/>
                <w:bCs w:val="1"/>
                <w:color w:val="auto"/>
              </w:rPr>
              <w:t>$</w:t>
            </w:r>
          </w:p>
        </w:tc>
        <w:tc>
          <w:tcPr>
            <w:tcW w:w="1400" w:type="dxa"/>
            <w:vAlign w:val="bottom"/>
          </w:tcPr>
          <w:p>
            <w:pPr>
              <w:jc w:val="right"/>
              <w:ind w:right="81"/>
              <w:spacing w:after="0"/>
              <w:rPr>
                <w:sz w:val="20"/>
                <w:szCs w:val="20"/>
                <w:color w:val="auto"/>
              </w:rPr>
            </w:pPr>
            <w:r>
              <w:rPr>
                <w:rFonts w:ascii="Arial" w:cs="Arial" w:eastAsia="Arial" w:hAnsi="Arial"/>
                <w:sz w:val="16"/>
                <w:szCs w:val="16"/>
                <w:b w:val="1"/>
                <w:bCs w:val="1"/>
                <w:color w:val="auto"/>
              </w:rPr>
              <w:t>41,319</w:t>
            </w:r>
          </w:p>
        </w:tc>
        <w:tc>
          <w:tcPr>
            <w:tcW w:w="280" w:type="dxa"/>
            <w:vAlign w:val="bottom"/>
          </w:tcPr>
          <w:p>
            <w:pPr>
              <w:jc w:val="right"/>
              <w:spacing w:after="0"/>
              <w:rPr>
                <w:sz w:val="20"/>
                <w:szCs w:val="20"/>
                <w:color w:val="auto"/>
              </w:rPr>
            </w:pPr>
            <w:r>
              <w:rPr>
                <w:rFonts w:ascii="Arial" w:cs="Arial" w:eastAsia="Arial" w:hAnsi="Arial"/>
                <w:sz w:val="16"/>
                <w:szCs w:val="16"/>
                <w:b w:val="1"/>
                <w:bCs w:val="1"/>
                <w:color w:val="auto"/>
              </w:rPr>
              <w:t>$</w:t>
            </w:r>
          </w:p>
        </w:tc>
        <w:tc>
          <w:tcPr>
            <w:tcW w:w="1520" w:type="dxa"/>
            <w:vAlign w:val="bottom"/>
          </w:tcPr>
          <w:p>
            <w:pPr>
              <w:jc w:val="right"/>
              <w:ind w:right="43"/>
              <w:spacing w:after="0"/>
              <w:rPr>
                <w:sz w:val="20"/>
                <w:szCs w:val="20"/>
                <w:color w:val="auto"/>
              </w:rPr>
            </w:pPr>
            <w:r>
              <w:rPr>
                <w:rFonts w:ascii="Arial" w:cs="Arial" w:eastAsia="Arial" w:hAnsi="Arial"/>
                <w:sz w:val="16"/>
                <w:szCs w:val="16"/>
                <w:b w:val="1"/>
                <w:bCs w:val="1"/>
                <w:color w:val="auto"/>
              </w:rPr>
              <w:t>7,423</w:t>
            </w:r>
          </w:p>
        </w:tc>
        <w:tc>
          <w:tcPr>
            <w:tcW w:w="380" w:type="dxa"/>
            <w:vAlign w:val="bottom"/>
          </w:tcPr>
          <w:p>
            <w:pPr>
              <w:jc w:val="right"/>
              <w:ind w:right="99"/>
              <w:spacing w:after="0"/>
              <w:rPr>
                <w:sz w:val="20"/>
                <w:szCs w:val="20"/>
                <w:color w:val="auto"/>
              </w:rPr>
            </w:pPr>
            <w:r>
              <w:rPr>
                <w:rFonts w:ascii="Arial" w:cs="Arial" w:eastAsia="Arial" w:hAnsi="Arial"/>
                <w:sz w:val="16"/>
                <w:szCs w:val="16"/>
                <w:b w:val="1"/>
                <w:bCs w:val="1"/>
                <w:color w:val="auto"/>
              </w:rPr>
              <w:t>$</w:t>
            </w:r>
          </w:p>
        </w:tc>
        <w:tc>
          <w:tcPr>
            <w:tcW w:w="1460" w:type="dxa"/>
            <w:vAlign w:val="bottom"/>
          </w:tcPr>
          <w:p>
            <w:pPr>
              <w:jc w:val="right"/>
              <w:ind w:right="81"/>
              <w:spacing w:after="0"/>
              <w:rPr>
                <w:sz w:val="20"/>
                <w:szCs w:val="20"/>
                <w:color w:val="auto"/>
              </w:rPr>
            </w:pPr>
            <w:r>
              <w:rPr>
                <w:rFonts w:ascii="Arial" w:cs="Arial" w:eastAsia="Arial" w:hAnsi="Arial"/>
                <w:sz w:val="16"/>
                <w:szCs w:val="16"/>
                <w:b w:val="1"/>
                <w:bCs w:val="1"/>
                <w:color w:val="auto"/>
              </w:rPr>
              <w:t>—</w:t>
            </w:r>
          </w:p>
        </w:tc>
        <w:tc>
          <w:tcPr>
            <w:tcW w:w="240" w:type="dxa"/>
            <w:vAlign w:val="bottom"/>
          </w:tcPr>
          <w:p>
            <w:pPr>
              <w:jc w:val="right"/>
              <w:spacing w:after="0"/>
              <w:rPr>
                <w:sz w:val="20"/>
                <w:szCs w:val="20"/>
                <w:color w:val="auto"/>
              </w:rPr>
            </w:pPr>
            <w:r>
              <w:rPr>
                <w:rFonts w:ascii="Arial" w:cs="Arial" w:eastAsia="Arial" w:hAnsi="Arial"/>
                <w:sz w:val="16"/>
                <w:szCs w:val="16"/>
                <w:b w:val="1"/>
                <w:bCs w:val="1"/>
                <w:color w:val="auto"/>
              </w:rPr>
              <w:t>$</w:t>
            </w:r>
          </w:p>
        </w:tc>
        <w:tc>
          <w:tcPr>
            <w:tcW w:w="1520" w:type="dxa"/>
            <w:vAlign w:val="bottom"/>
          </w:tcPr>
          <w:p>
            <w:pPr>
              <w:jc w:val="right"/>
              <w:ind w:right="23"/>
              <w:spacing w:after="0"/>
              <w:rPr>
                <w:sz w:val="20"/>
                <w:szCs w:val="20"/>
                <w:color w:val="auto"/>
              </w:rPr>
            </w:pPr>
            <w:r>
              <w:rPr>
                <w:rFonts w:ascii="Arial" w:cs="Arial" w:eastAsia="Arial" w:hAnsi="Arial"/>
                <w:sz w:val="16"/>
                <w:szCs w:val="16"/>
                <w:b w:val="1"/>
                <w:bCs w:val="1"/>
                <w:color w:val="auto"/>
              </w:rPr>
              <w:t>48,742</w:t>
            </w:r>
          </w:p>
        </w:tc>
      </w:tr>
      <w:tr>
        <w:trPr>
          <w:trHeight w:val="270"/>
        </w:trPr>
        <w:tc>
          <w:tcPr>
            <w:tcW w:w="2880" w:type="dxa"/>
            <w:vAlign w:val="bottom"/>
          </w:tcPr>
          <w:p>
            <w:pPr>
              <w:ind w:left="40"/>
              <w:spacing w:after="0"/>
              <w:rPr>
                <w:sz w:val="20"/>
                <w:szCs w:val="20"/>
                <w:color w:val="auto"/>
              </w:rPr>
            </w:pPr>
            <w:r>
              <w:rPr>
                <w:rFonts w:ascii="Arial" w:cs="Arial" w:eastAsia="Arial" w:hAnsi="Arial"/>
                <w:sz w:val="16"/>
                <w:szCs w:val="16"/>
                <w:color w:val="auto"/>
              </w:rPr>
              <w:t>December 31, 2016</w:t>
            </w:r>
          </w:p>
        </w:tc>
        <w:tc>
          <w:tcPr>
            <w:tcW w:w="1740" w:type="dxa"/>
            <w:vAlign w:val="bottom"/>
          </w:tcPr>
          <w:p>
            <w:pPr>
              <w:jc w:val="right"/>
              <w:ind w:right="181"/>
              <w:spacing w:after="0"/>
              <w:rPr>
                <w:sz w:val="20"/>
                <w:szCs w:val="20"/>
                <w:color w:val="auto"/>
              </w:rPr>
            </w:pPr>
            <w:r>
              <w:rPr>
                <w:rFonts w:ascii="Arial" w:cs="Arial" w:eastAsia="Arial" w:hAnsi="Arial"/>
                <w:sz w:val="16"/>
                <w:szCs w:val="16"/>
                <w:color w:val="auto"/>
              </w:rPr>
              <w:t>$</w:t>
            </w:r>
          </w:p>
        </w:tc>
        <w:tc>
          <w:tcPr>
            <w:tcW w:w="1400" w:type="dxa"/>
            <w:vAlign w:val="bottom"/>
          </w:tcPr>
          <w:p>
            <w:pPr>
              <w:jc w:val="right"/>
              <w:ind w:right="81"/>
              <w:spacing w:after="0"/>
              <w:rPr>
                <w:sz w:val="20"/>
                <w:szCs w:val="20"/>
                <w:color w:val="auto"/>
              </w:rPr>
            </w:pPr>
            <w:r>
              <w:rPr>
                <w:rFonts w:ascii="Arial" w:cs="Arial" w:eastAsia="Arial" w:hAnsi="Arial"/>
                <w:sz w:val="16"/>
                <w:szCs w:val="16"/>
                <w:color w:val="auto"/>
              </w:rPr>
              <w:t>69,545</w:t>
            </w:r>
          </w:p>
        </w:tc>
        <w:tc>
          <w:tcPr>
            <w:tcW w:w="280" w:type="dxa"/>
            <w:vAlign w:val="bottom"/>
          </w:tcPr>
          <w:p>
            <w:pPr>
              <w:jc w:val="right"/>
              <w:spacing w:after="0"/>
              <w:rPr>
                <w:sz w:val="20"/>
                <w:szCs w:val="20"/>
                <w:color w:val="auto"/>
              </w:rPr>
            </w:pPr>
            <w:r>
              <w:rPr>
                <w:rFonts w:ascii="Arial" w:cs="Arial" w:eastAsia="Arial" w:hAnsi="Arial"/>
                <w:sz w:val="16"/>
                <w:szCs w:val="16"/>
                <w:color w:val="auto"/>
              </w:rPr>
              <w:t>$</w:t>
            </w:r>
          </w:p>
        </w:tc>
        <w:tc>
          <w:tcPr>
            <w:tcW w:w="1520" w:type="dxa"/>
            <w:vAlign w:val="bottom"/>
          </w:tcPr>
          <w:p>
            <w:pPr>
              <w:jc w:val="right"/>
              <w:ind w:right="43"/>
              <w:spacing w:after="0"/>
              <w:rPr>
                <w:sz w:val="20"/>
                <w:szCs w:val="20"/>
                <w:color w:val="auto"/>
              </w:rPr>
            </w:pPr>
            <w:r>
              <w:rPr>
                <w:rFonts w:ascii="Arial" w:cs="Arial" w:eastAsia="Arial" w:hAnsi="Arial"/>
                <w:sz w:val="16"/>
                <w:szCs w:val="16"/>
                <w:color w:val="auto"/>
              </w:rPr>
              <w:t>4,709</w:t>
            </w:r>
          </w:p>
        </w:tc>
        <w:tc>
          <w:tcPr>
            <w:tcW w:w="380" w:type="dxa"/>
            <w:vAlign w:val="bottom"/>
          </w:tcPr>
          <w:p>
            <w:pPr>
              <w:jc w:val="right"/>
              <w:ind w:right="99"/>
              <w:spacing w:after="0"/>
              <w:rPr>
                <w:sz w:val="20"/>
                <w:szCs w:val="20"/>
                <w:color w:val="auto"/>
              </w:rPr>
            </w:pPr>
            <w:r>
              <w:rPr>
                <w:rFonts w:ascii="Arial" w:cs="Arial" w:eastAsia="Arial" w:hAnsi="Arial"/>
                <w:sz w:val="16"/>
                <w:szCs w:val="16"/>
                <w:color w:val="auto"/>
              </w:rPr>
              <w:t>$</w:t>
            </w:r>
          </w:p>
        </w:tc>
        <w:tc>
          <w:tcPr>
            <w:tcW w:w="1460" w:type="dxa"/>
            <w:vAlign w:val="bottom"/>
          </w:tcPr>
          <w:p>
            <w:pPr>
              <w:jc w:val="right"/>
              <w:ind w:right="21"/>
              <w:spacing w:after="0"/>
              <w:rPr>
                <w:sz w:val="20"/>
                <w:szCs w:val="20"/>
                <w:color w:val="auto"/>
              </w:rPr>
            </w:pPr>
            <w:r>
              <w:rPr>
                <w:rFonts w:ascii="Arial" w:cs="Arial" w:eastAsia="Arial" w:hAnsi="Arial"/>
                <w:sz w:val="16"/>
                <w:szCs w:val="16"/>
                <w:color w:val="auto"/>
              </w:rPr>
              <w:t>(32,935)</w:t>
            </w:r>
          </w:p>
        </w:tc>
        <w:tc>
          <w:tcPr>
            <w:tcW w:w="240" w:type="dxa"/>
            <w:vAlign w:val="bottom"/>
          </w:tcPr>
          <w:p>
            <w:pPr>
              <w:jc w:val="right"/>
              <w:spacing w:after="0"/>
              <w:rPr>
                <w:sz w:val="20"/>
                <w:szCs w:val="20"/>
                <w:color w:val="auto"/>
              </w:rPr>
            </w:pPr>
            <w:r>
              <w:rPr>
                <w:rFonts w:ascii="Arial" w:cs="Arial" w:eastAsia="Arial" w:hAnsi="Arial"/>
                <w:sz w:val="16"/>
                <w:szCs w:val="16"/>
                <w:color w:val="auto"/>
              </w:rPr>
              <w:t>$</w:t>
            </w:r>
          </w:p>
        </w:tc>
        <w:tc>
          <w:tcPr>
            <w:tcW w:w="1520" w:type="dxa"/>
            <w:vAlign w:val="bottom"/>
          </w:tcPr>
          <w:p>
            <w:pPr>
              <w:jc w:val="right"/>
              <w:ind w:right="23"/>
              <w:spacing w:after="0"/>
              <w:rPr>
                <w:sz w:val="20"/>
                <w:szCs w:val="20"/>
                <w:color w:val="auto"/>
              </w:rPr>
            </w:pPr>
            <w:r>
              <w:rPr>
                <w:rFonts w:ascii="Arial" w:cs="Arial" w:eastAsia="Arial" w:hAnsi="Arial"/>
                <w:sz w:val="16"/>
                <w:szCs w:val="16"/>
                <w:color w:val="auto"/>
              </w:rPr>
              <w:t>41,319</w:t>
            </w:r>
          </w:p>
        </w:tc>
      </w:tr>
      <w:tr>
        <w:trPr>
          <w:trHeight w:val="270"/>
        </w:trPr>
        <w:tc>
          <w:tcPr>
            <w:tcW w:w="2880" w:type="dxa"/>
            <w:vAlign w:val="bottom"/>
          </w:tcPr>
          <w:p>
            <w:pPr>
              <w:ind w:left="40"/>
              <w:spacing w:after="0"/>
              <w:rPr>
                <w:sz w:val="20"/>
                <w:szCs w:val="20"/>
                <w:color w:val="auto"/>
              </w:rPr>
            </w:pPr>
            <w:r>
              <w:rPr>
                <w:rFonts w:ascii="Arial" w:cs="Arial" w:eastAsia="Arial" w:hAnsi="Arial"/>
                <w:sz w:val="16"/>
                <w:szCs w:val="16"/>
                <w:color w:val="auto"/>
              </w:rPr>
              <w:t>December 31, 2015</w:t>
            </w:r>
          </w:p>
        </w:tc>
        <w:tc>
          <w:tcPr>
            <w:tcW w:w="1740" w:type="dxa"/>
            <w:vAlign w:val="bottom"/>
          </w:tcPr>
          <w:p>
            <w:pPr>
              <w:jc w:val="right"/>
              <w:ind w:right="181"/>
              <w:spacing w:after="0"/>
              <w:rPr>
                <w:sz w:val="20"/>
                <w:szCs w:val="20"/>
                <w:color w:val="auto"/>
              </w:rPr>
            </w:pPr>
            <w:r>
              <w:rPr>
                <w:rFonts w:ascii="Arial" w:cs="Arial" w:eastAsia="Arial" w:hAnsi="Arial"/>
                <w:sz w:val="16"/>
                <w:szCs w:val="16"/>
                <w:color w:val="auto"/>
              </w:rPr>
              <w:t>$</w:t>
            </w:r>
          </w:p>
        </w:tc>
        <w:tc>
          <w:tcPr>
            <w:tcW w:w="1400" w:type="dxa"/>
            <w:vAlign w:val="bottom"/>
          </w:tcPr>
          <w:p>
            <w:pPr>
              <w:jc w:val="right"/>
              <w:ind w:right="81"/>
              <w:spacing w:after="0"/>
              <w:rPr>
                <w:sz w:val="20"/>
                <w:szCs w:val="20"/>
                <w:color w:val="auto"/>
              </w:rPr>
            </w:pPr>
            <w:r>
              <w:rPr>
                <w:rFonts w:ascii="Arial" w:cs="Arial" w:eastAsia="Arial" w:hAnsi="Arial"/>
                <w:sz w:val="16"/>
                <w:szCs w:val="16"/>
                <w:color w:val="auto"/>
              </w:rPr>
              <w:t>65,521</w:t>
            </w:r>
          </w:p>
        </w:tc>
        <w:tc>
          <w:tcPr>
            <w:tcW w:w="280" w:type="dxa"/>
            <w:vAlign w:val="bottom"/>
          </w:tcPr>
          <w:p>
            <w:pPr>
              <w:jc w:val="right"/>
              <w:spacing w:after="0"/>
              <w:rPr>
                <w:sz w:val="20"/>
                <w:szCs w:val="20"/>
                <w:color w:val="auto"/>
              </w:rPr>
            </w:pPr>
            <w:r>
              <w:rPr>
                <w:rFonts w:ascii="Arial" w:cs="Arial" w:eastAsia="Arial" w:hAnsi="Arial"/>
                <w:sz w:val="16"/>
                <w:szCs w:val="16"/>
                <w:color w:val="auto"/>
              </w:rPr>
              <w:t>$</w:t>
            </w:r>
          </w:p>
        </w:tc>
        <w:tc>
          <w:tcPr>
            <w:tcW w:w="1520" w:type="dxa"/>
            <w:vAlign w:val="bottom"/>
          </w:tcPr>
          <w:p>
            <w:pPr>
              <w:jc w:val="right"/>
              <w:ind w:right="43"/>
              <w:spacing w:after="0"/>
              <w:rPr>
                <w:sz w:val="20"/>
                <w:szCs w:val="20"/>
                <w:color w:val="auto"/>
              </w:rPr>
            </w:pPr>
            <w:r>
              <w:rPr>
                <w:rFonts w:ascii="Arial" w:cs="Arial" w:eastAsia="Arial" w:hAnsi="Arial"/>
                <w:sz w:val="16"/>
                <w:szCs w:val="16"/>
                <w:color w:val="auto"/>
              </w:rPr>
              <w:t>4,024</w:t>
            </w:r>
          </w:p>
        </w:tc>
        <w:tc>
          <w:tcPr>
            <w:tcW w:w="380" w:type="dxa"/>
            <w:vAlign w:val="bottom"/>
          </w:tcPr>
          <w:p>
            <w:pPr>
              <w:jc w:val="right"/>
              <w:ind w:right="99"/>
              <w:spacing w:after="0"/>
              <w:rPr>
                <w:sz w:val="20"/>
                <w:szCs w:val="20"/>
                <w:color w:val="auto"/>
              </w:rPr>
            </w:pPr>
            <w:r>
              <w:rPr>
                <w:rFonts w:ascii="Arial" w:cs="Arial" w:eastAsia="Arial" w:hAnsi="Arial"/>
                <w:sz w:val="16"/>
                <w:szCs w:val="16"/>
                <w:color w:val="auto"/>
              </w:rPr>
              <w:t>$</w:t>
            </w:r>
          </w:p>
        </w:tc>
        <w:tc>
          <w:tcPr>
            <w:tcW w:w="1460" w:type="dxa"/>
            <w:vAlign w:val="bottom"/>
          </w:tcPr>
          <w:p>
            <w:pPr>
              <w:jc w:val="right"/>
              <w:ind w:right="81"/>
              <w:spacing w:after="0"/>
              <w:rPr>
                <w:sz w:val="20"/>
                <w:szCs w:val="20"/>
                <w:color w:val="auto"/>
              </w:rPr>
            </w:pPr>
            <w:r>
              <w:rPr>
                <w:rFonts w:ascii="Arial" w:cs="Arial" w:eastAsia="Arial" w:hAnsi="Arial"/>
                <w:sz w:val="16"/>
                <w:szCs w:val="16"/>
                <w:color w:val="auto"/>
              </w:rPr>
              <w:t>—</w:t>
            </w:r>
          </w:p>
        </w:tc>
        <w:tc>
          <w:tcPr>
            <w:tcW w:w="240" w:type="dxa"/>
            <w:vAlign w:val="bottom"/>
          </w:tcPr>
          <w:p>
            <w:pPr>
              <w:jc w:val="right"/>
              <w:spacing w:after="0"/>
              <w:rPr>
                <w:sz w:val="20"/>
                <w:szCs w:val="20"/>
                <w:color w:val="auto"/>
              </w:rPr>
            </w:pPr>
            <w:r>
              <w:rPr>
                <w:rFonts w:ascii="Arial" w:cs="Arial" w:eastAsia="Arial" w:hAnsi="Arial"/>
                <w:sz w:val="16"/>
                <w:szCs w:val="16"/>
                <w:color w:val="auto"/>
              </w:rPr>
              <w:t>$</w:t>
            </w:r>
          </w:p>
        </w:tc>
        <w:tc>
          <w:tcPr>
            <w:tcW w:w="1520" w:type="dxa"/>
            <w:vAlign w:val="bottom"/>
          </w:tcPr>
          <w:p>
            <w:pPr>
              <w:jc w:val="right"/>
              <w:ind w:right="23"/>
              <w:spacing w:after="0"/>
              <w:rPr>
                <w:sz w:val="20"/>
                <w:szCs w:val="20"/>
                <w:color w:val="auto"/>
              </w:rPr>
            </w:pPr>
            <w:r>
              <w:rPr>
                <w:rFonts w:ascii="Arial" w:cs="Arial" w:eastAsia="Arial" w:hAnsi="Arial"/>
                <w:sz w:val="16"/>
                <w:szCs w:val="16"/>
                <w:color w:val="auto"/>
              </w:rPr>
              <w:t>69,545</w:t>
            </w:r>
          </w:p>
        </w:tc>
      </w:tr>
    </w:tbl>
    <w:p>
      <w:pPr>
        <w:spacing w:after="0" w:line="167" w:lineRule="exact"/>
        <w:rPr>
          <w:sz w:val="20"/>
          <w:szCs w:val="20"/>
          <w:color w:val="auto"/>
        </w:rPr>
      </w:pPr>
    </w:p>
    <w:p>
      <w:pPr>
        <w:ind w:right="40"/>
        <w:spacing w:after="0" w:line="223" w:lineRule="auto"/>
        <w:rPr>
          <w:sz w:val="20"/>
          <w:szCs w:val="20"/>
          <w:color w:val="auto"/>
        </w:rPr>
      </w:pPr>
      <w:r>
        <w:rPr>
          <w:rFonts w:ascii="Arial" w:cs="Arial" w:eastAsia="Arial" w:hAnsi="Arial"/>
          <w:sz w:val="18"/>
          <w:szCs w:val="18"/>
          <w:color w:val="auto"/>
        </w:rPr>
        <w:t>The Company has established $38.0 million in valuation allowances against deferred state tax assets recognized, net of U.S. Federal tax. As stated above, approximately $33.3 million of the valuation allowances, net of U.S. Federal income tax, relate to state income tax loss carryforwards. The Company has established valuation allowances against deferred state income tax assets, without considering potentially offsetting deferred tax liabilities established with respect to prepaid pension cost and goodwill for the state jurisdictions that do not conform to the U.S. indefinite carryforward period for losses generated after December 31, 2017. Prepaid pension cost and goodwill have not been considered a source of future taxable income for realizing those state deferred tax assets recognized since these temporary differences are not likely to reverse in the foreseeable future. The valuation allowances established against deferred state income tax assets may increase or decrease within the next 12 months, based on operating results or the market value of investment holdings. The Company will be monitoring</w:t>
      </w:r>
    </w:p>
    <w:p>
      <w:pPr>
        <w:spacing w:after="0" w:line="200" w:lineRule="exact"/>
        <w:rPr>
          <w:sz w:val="20"/>
          <w:szCs w:val="20"/>
          <w:color w:val="auto"/>
        </w:rPr>
      </w:pPr>
    </w:p>
    <w:p>
      <w:pPr>
        <w:spacing w:after="0" w:line="30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94</w:t>
      </w:r>
    </w:p>
    <w:p>
      <w:pPr>
        <w:sectPr>
          <w:pgSz w:w="11900" w:h="16838" w:orient="portrait"/>
          <w:cols w:equalWidth="0" w:num="1">
            <w:col w:w="11420"/>
          </w:cols>
          <w:pgMar w:left="240" w:top="746" w:right="239" w:bottom="1440" w:gutter="0" w:footer="0" w:header="0"/>
        </w:sectPr>
      </w:pPr>
    </w:p>
    <w:bookmarkStart w:id="97" w:name="page98"/>
    <w:bookmarkEnd w:id="97"/>
    <w:p>
      <w:pPr>
        <w:ind w:right="60"/>
        <w:spacing w:after="0" w:line="227" w:lineRule="auto"/>
        <w:rPr>
          <w:sz w:val="20"/>
          <w:szCs w:val="20"/>
          <w:color w:val="auto"/>
        </w:rPr>
      </w:pPr>
      <w:r>
        <w:rPr>
          <w:rFonts w:ascii="Arial" w:cs="Arial" w:eastAsia="Arial" w:hAnsi="Arial"/>
          <w:sz w:val="18"/>
          <w:szCs w:val="18"/>
          <w:color w:val="auto"/>
        </w:rPr>
        <w:t>future results on a quarterly basis to determine whether the valuation allowances provided against deferred state tax assets should be increased or decreased, as future circumstances warrant. The Company anticipates that the education division may release valuation allowances against state deferred tax assets of approximately $22.7 million within the next 12 months, as the education division may generate positive operating results that would support the realization of these deferred tax assets.</w:t>
      </w:r>
    </w:p>
    <w:p>
      <w:pPr>
        <w:spacing w:after="0" w:line="135" w:lineRule="exact"/>
        <w:rPr>
          <w:sz w:val="20"/>
          <w:szCs w:val="20"/>
          <w:color w:val="auto"/>
        </w:rPr>
      </w:pPr>
    </w:p>
    <w:p>
      <w:pPr>
        <w:ind w:right="100"/>
        <w:spacing w:after="0" w:line="229" w:lineRule="auto"/>
        <w:rPr>
          <w:sz w:val="20"/>
          <w:szCs w:val="20"/>
          <w:color w:val="auto"/>
        </w:rPr>
      </w:pPr>
      <w:r>
        <w:rPr>
          <w:rFonts w:ascii="Arial" w:cs="Arial" w:eastAsia="Arial" w:hAnsi="Arial"/>
          <w:sz w:val="18"/>
          <w:szCs w:val="18"/>
          <w:color w:val="auto"/>
        </w:rPr>
        <w:t>The Company has established $8.2 million in valuation allowances against non-U.S. deferred tax assets, and, as stated above, $5.6 million of the non-U.S. valuation allowances relate to non-U.S. income tax loss carryforwards and $2.3 million relate to non-U.S. capital loss carryforwards. In addition, the Company has established $0.3 million in valuation allowances against other non-U.S. deferred tax assets.</w:t>
      </w:r>
    </w:p>
    <w:p>
      <w:pPr>
        <w:spacing w:after="0" w:line="137" w:lineRule="exact"/>
        <w:rPr>
          <w:sz w:val="20"/>
          <w:szCs w:val="20"/>
          <w:color w:val="auto"/>
        </w:rPr>
      </w:pPr>
    </w:p>
    <w:p>
      <w:pPr>
        <w:spacing w:after="0" w:line="224" w:lineRule="auto"/>
        <w:rPr>
          <w:sz w:val="20"/>
          <w:szCs w:val="20"/>
          <w:color w:val="auto"/>
        </w:rPr>
      </w:pPr>
      <w:r>
        <w:rPr>
          <w:rFonts w:ascii="Arial" w:cs="Arial" w:eastAsia="Arial" w:hAnsi="Arial"/>
          <w:sz w:val="18"/>
          <w:szCs w:val="18"/>
          <w:color w:val="auto"/>
        </w:rPr>
        <w:t>Deferred U.S. Federal and state income taxes had historically been recorded with respect to undistributed earnings of investments in non-U.S. subsidiaries to the extent taxable dividend income would be recognized if such earnings were distributed. Deferred income taxes recorded with respect to undistributed earnings of investments in non-U.S. subsidiaries were recorded net of foreign tax credits with respect to such undistributed earnings estimated to be creditable against future U.S. Federal tax liabilities. At December 31, 2016, net U.S. Federal and state deferred income tax liabilities of approximately $23.8 million were recorded with respect to undistributed earnings of investments in non-U.S. subsidiaries based on the year-end position.</w:t>
      </w:r>
    </w:p>
    <w:p>
      <w:pPr>
        <w:spacing w:after="0" w:line="137" w:lineRule="exact"/>
        <w:rPr>
          <w:sz w:val="20"/>
          <w:szCs w:val="20"/>
          <w:color w:val="auto"/>
        </w:rPr>
      </w:pPr>
    </w:p>
    <w:p>
      <w:pPr>
        <w:ind w:right="120"/>
        <w:spacing w:after="0" w:line="223" w:lineRule="auto"/>
        <w:rPr>
          <w:sz w:val="20"/>
          <w:szCs w:val="20"/>
          <w:color w:val="auto"/>
        </w:rPr>
      </w:pPr>
      <w:r>
        <w:rPr>
          <w:rFonts w:ascii="Arial" w:cs="Arial" w:eastAsia="Arial" w:hAnsi="Arial"/>
          <w:sz w:val="18"/>
          <w:szCs w:val="18"/>
          <w:color w:val="auto"/>
        </w:rPr>
        <w:t>As noted above, the Company removed its net U.S. federal and state deferred tax liabilities on undistributed earnings of investments in non-U.S. subsidiaries because the Company does not expect to pay any transition tax under the Tax Act. Further, the Tax Act provides a 100% dividends received deduction for distributions from non-U.S. subsidiaries after December 31, 2017, subject to certain holding period requirements. The Tax Act establishes a new regime, the Global Intangible Low Taxed Income (GILTI) tax, that may currently subject to U.S. tax the operations of non-U.S. subsidiaries. The GILTI tax is imposed annually based on all current year non-U.S. operations starting January 1, 2018. The Company has not yet decided whether to elect to record the GILTI tax regime as either a deferred tax accounting item or as a periodic tax expense, and is not yet able to quantify the 2017 tax provision impact, if any. Accordingly, the Company has not made any tax provision adjustment with respect to the new GILTI tax in the 2017 tax provision.</w:t>
      </w:r>
    </w:p>
    <w:p>
      <w:pPr>
        <w:spacing w:after="0" w:line="136" w:lineRule="exact"/>
        <w:rPr>
          <w:sz w:val="20"/>
          <w:szCs w:val="20"/>
          <w:color w:val="auto"/>
        </w:rPr>
      </w:pPr>
    </w:p>
    <w:p>
      <w:pPr>
        <w:jc w:val="both"/>
        <w:ind w:right="400"/>
        <w:spacing w:after="0" w:line="229" w:lineRule="auto"/>
        <w:rPr>
          <w:sz w:val="20"/>
          <w:szCs w:val="20"/>
          <w:color w:val="auto"/>
        </w:rPr>
      </w:pPr>
      <w:r>
        <w:rPr>
          <w:rFonts w:ascii="Arial" w:cs="Arial" w:eastAsia="Arial" w:hAnsi="Arial"/>
          <w:sz w:val="18"/>
          <w:szCs w:val="18"/>
          <w:color w:val="auto"/>
        </w:rPr>
        <w:t>The book value of investments in the stocks of non-U.S. subsidiaries exceeded the tax basis by approximately $113.2 million and $103.3 million at December 31, 2017 and 2016. If the investment in non-U.S. subsidiaries were held for sale instead of being held indefinitely, it is possible additional U.S. Federal and state tax liabilities may be recorded, but calculation of the tax due is not practicable.</w:t>
      </w:r>
    </w:p>
    <w:p>
      <w:pPr>
        <w:spacing w:after="0" w:line="137" w:lineRule="exact"/>
        <w:rPr>
          <w:sz w:val="20"/>
          <w:szCs w:val="20"/>
          <w:color w:val="auto"/>
        </w:rPr>
      </w:pPr>
    </w:p>
    <w:p>
      <w:pPr>
        <w:ind w:right="20"/>
        <w:spacing w:after="0" w:line="235" w:lineRule="auto"/>
        <w:rPr>
          <w:sz w:val="20"/>
          <w:szCs w:val="20"/>
          <w:color w:val="auto"/>
        </w:rPr>
      </w:pPr>
      <w:r>
        <w:rPr>
          <w:rFonts w:ascii="Arial" w:cs="Arial" w:eastAsia="Arial" w:hAnsi="Arial"/>
          <w:sz w:val="18"/>
          <w:szCs w:val="18"/>
          <w:color w:val="auto"/>
        </w:rPr>
        <w:t>The Company does not currently anticipate that within the next 12 months there will be any events requiring the establishment of any valuation allowances against U.S. Federal net deferred tax assets.</w:t>
      </w:r>
    </w:p>
    <w:p>
      <w:pPr>
        <w:spacing w:after="0" w:line="135" w:lineRule="exact"/>
        <w:rPr>
          <w:sz w:val="20"/>
          <w:szCs w:val="20"/>
          <w:color w:val="auto"/>
        </w:rPr>
      </w:pPr>
    </w:p>
    <w:p>
      <w:pPr>
        <w:ind w:right="60"/>
        <w:spacing w:after="0" w:line="223" w:lineRule="auto"/>
        <w:rPr>
          <w:sz w:val="20"/>
          <w:szCs w:val="20"/>
          <w:color w:val="auto"/>
        </w:rPr>
      </w:pPr>
      <w:r>
        <w:rPr>
          <w:rFonts w:ascii="Arial" w:cs="Arial" w:eastAsia="Arial" w:hAnsi="Arial"/>
          <w:sz w:val="18"/>
          <w:szCs w:val="18"/>
          <w:color w:val="auto"/>
        </w:rPr>
        <w:t>In the third quarter of 2016, the Company released $19.3 million of valuation allowance previously recorded on its operations in Australia, as the Company determined that it was more likely than not that the benefit of the net deferred tax assets would be realized based on improved operating results. The remaining valuation allowances established against non-U.S. deferred tax assets are recorded at the education division and other businesses. The remaining non-U.S. valuation allowances may increase or decrease within the next 12 months, based on operating results. As a result, the Company is unable to estimate the potential tax impact, given the uncertain operating environment. The Company will be monitoring future education division and other businesses’ operating results and projected future operating results on a quarterly basis to determine whether the valuation allowances provided against non-U.S. deferred tax assets should be increased or decreased, as future circumstances warrant.</w:t>
      </w:r>
    </w:p>
    <w:p>
      <w:pPr>
        <w:spacing w:after="0" w:line="136" w:lineRule="exact"/>
        <w:rPr>
          <w:sz w:val="20"/>
          <w:szCs w:val="20"/>
          <w:color w:val="auto"/>
        </w:rPr>
      </w:pPr>
    </w:p>
    <w:p>
      <w:pPr>
        <w:spacing w:after="0" w:line="224" w:lineRule="auto"/>
        <w:rPr>
          <w:sz w:val="20"/>
          <w:szCs w:val="20"/>
          <w:color w:val="auto"/>
        </w:rPr>
      </w:pPr>
      <w:r>
        <w:rPr>
          <w:rFonts w:ascii="Arial" w:cs="Arial" w:eastAsia="Arial" w:hAnsi="Arial"/>
          <w:sz w:val="18"/>
          <w:szCs w:val="18"/>
          <w:color w:val="auto"/>
        </w:rPr>
        <w:t>During 2017, the Internal Revenue Service (IRS) completed its examination of the Company’s 2013 tax return and the Company received a $9.7 million refund primarily related to capital loss carryforwards. The Company is no longer under examination by the IRS, and has not been contacted by the IRS about any further examinations. Barring the start of another IRS examination, the Company expects that the U.S. Federal statute of limitations for the 2013 and 2014 tax years will expire in July 2018 and September 2018, respectively. The Company files income tax returns with the U.S. Federal government and in various state, local and non-U.S. governmental jurisdictions, with the consolidated U.S. Federal tax return filing considered the only major tax jurisdiction.</w:t>
      </w:r>
    </w:p>
    <w:p>
      <w:pPr>
        <w:spacing w:after="0" w:line="137" w:lineRule="exact"/>
        <w:rPr>
          <w:sz w:val="20"/>
          <w:szCs w:val="20"/>
          <w:color w:val="auto"/>
        </w:rPr>
      </w:pPr>
    </w:p>
    <w:p>
      <w:pPr>
        <w:ind w:right="280"/>
        <w:spacing w:after="0" w:line="229" w:lineRule="auto"/>
        <w:rPr>
          <w:sz w:val="20"/>
          <w:szCs w:val="20"/>
          <w:color w:val="auto"/>
        </w:rPr>
      </w:pPr>
      <w:r>
        <w:rPr>
          <w:rFonts w:ascii="Arial" w:cs="Arial" w:eastAsia="Arial" w:hAnsi="Arial"/>
          <w:sz w:val="18"/>
          <w:szCs w:val="18"/>
          <w:color w:val="auto"/>
        </w:rPr>
        <w:t>The Company endeavors to comply with tax laws and regulations where it does business, but cannot guarantee that, if challenged, the Company’s interpretation of all relevant tax laws and regulations will prevail and that all tax benefits recorded in the financial statements will ultimately be recognized in full.</w:t>
      </w:r>
    </w:p>
    <w:p>
      <w:pPr>
        <w:spacing w:after="0" w:line="200" w:lineRule="exact"/>
        <w:rPr>
          <w:sz w:val="20"/>
          <w:szCs w:val="20"/>
          <w:color w:val="auto"/>
        </w:rPr>
      </w:pPr>
    </w:p>
    <w:p>
      <w:pPr>
        <w:spacing w:after="0" w:line="301"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95</w:t>
      </w:r>
    </w:p>
    <w:p>
      <w:pPr>
        <w:sectPr>
          <w:pgSz w:w="11900" w:h="16838" w:orient="portrait"/>
          <w:cols w:equalWidth="0" w:num="1">
            <w:col w:w="11360"/>
          </w:cols>
          <w:pgMar w:left="240" w:top="746" w:right="299" w:bottom="1440" w:gutter="0" w:footer="0" w:header="0"/>
        </w:sectPr>
      </w:pPr>
    </w:p>
    <w:bookmarkStart w:id="98" w:name="page99"/>
    <w:bookmarkEnd w:id="98"/>
    <w:p>
      <w:pPr>
        <w:spacing w:after="0"/>
        <w:rPr>
          <w:sz w:val="20"/>
          <w:szCs w:val="20"/>
          <w:color w:val="auto"/>
        </w:rPr>
      </w:pPr>
      <w:r>
        <w:rPr>
          <w:rFonts w:ascii="Arial" w:cs="Arial" w:eastAsia="Arial" w:hAnsi="Arial"/>
          <w:sz w:val="18"/>
          <w:szCs w:val="18"/>
          <w:color w:val="auto"/>
        </w:rPr>
        <w:t>The following summarizes the Company’s unrecognized tax benefits, excluding interest and penalties, for the respective periods:</w:t>
      </w:r>
    </w:p>
    <w:p>
      <w:pPr>
        <w:spacing w:after="0" w:line="199" w:lineRule="exact"/>
        <w:rPr>
          <w:sz w:val="20"/>
          <w:szCs w:val="20"/>
          <w:color w:val="auto"/>
        </w:rPr>
      </w:pPr>
    </w:p>
    <w:p>
      <w:pPr>
        <w:ind w:left="8700"/>
        <w:spacing w:after="0"/>
        <w:rPr>
          <w:sz w:val="20"/>
          <w:szCs w:val="20"/>
          <w:color w:val="auto"/>
        </w:rPr>
      </w:pPr>
      <w:r>
        <w:rPr>
          <w:rFonts w:ascii="Arial" w:cs="Arial" w:eastAsia="Arial" w:hAnsi="Arial"/>
          <w:sz w:val="14"/>
          <w:szCs w:val="14"/>
          <w:b w:val="1"/>
          <w:bCs w:val="1"/>
          <w:color w:val="auto"/>
        </w:rPr>
        <w:t>Year Ended 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4910455</wp:posOffset>
            </wp:positionH>
            <wp:positionV relativeFrom="paragraph">
              <wp:posOffset>26035</wp:posOffset>
            </wp:positionV>
            <wp:extent cx="2306955"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44">
                      <a:extLst>
                        <a:ext uri="{28A0092B-C50C-407E-A947-70E740481C1C}"/>
                      </a:extLst>
                    </a:blip>
                    <a:srcRect/>
                    <a:stretch>
                      <a:fillRect/>
                    </a:stretch>
                  </pic:blipFill>
                  <pic:spPr bwMode="auto">
                    <a:xfrm>
                      <a:off x="0" y="0"/>
                      <a:ext cx="2306955" cy="8890"/>
                    </a:xfrm>
                    <a:prstGeom prst="rect">
                      <a:avLst/>
                    </a:prstGeom>
                    <a:noFill/>
                  </pic:spPr>
                </pic:pic>
              </a:graphicData>
            </a:graphic>
          </wp:anchor>
        </w:drawing>
      </w:r>
    </w:p>
    <w:p>
      <w:pPr>
        <w:spacing w:after="0" w:line="103"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454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(in thousands)</w:t>
            </w:r>
          </w:p>
        </w:tc>
        <w:tc>
          <w:tcPr>
            <w:tcW w:w="4400" w:type="dxa"/>
            <w:vAlign w:val="bottom"/>
            <w:tcBorders>
              <w:bottom w:val="single" w:sz="8" w:color="auto"/>
            </w:tcBorders>
          </w:tcPr>
          <w:p>
            <w:pPr>
              <w:jc w:val="right"/>
              <w:ind w:right="408"/>
              <w:spacing w:after="0"/>
              <w:rPr>
                <w:sz w:val="20"/>
                <w:szCs w:val="20"/>
                <w:color w:val="auto"/>
              </w:rPr>
            </w:pPr>
            <w:r>
              <w:rPr>
                <w:rFonts w:ascii="Arial" w:cs="Arial" w:eastAsia="Arial" w:hAnsi="Arial"/>
                <w:sz w:val="14"/>
                <w:szCs w:val="14"/>
                <w:b w:val="1"/>
                <w:bCs w:val="1"/>
                <w:color w:val="auto"/>
              </w:rPr>
              <w:t>2017</w:t>
            </w:r>
          </w:p>
        </w:tc>
        <w:tc>
          <w:tcPr>
            <w:tcW w:w="1240" w:type="dxa"/>
            <w:vAlign w:val="bottom"/>
            <w:tcBorders>
              <w:bottom w:val="single" w:sz="8" w:color="auto"/>
            </w:tcBorders>
          </w:tcPr>
          <w:p>
            <w:pPr>
              <w:jc w:val="right"/>
              <w:ind w:right="388"/>
              <w:spacing w:after="0"/>
              <w:rPr>
                <w:sz w:val="20"/>
                <w:szCs w:val="20"/>
                <w:color w:val="auto"/>
              </w:rPr>
            </w:pPr>
            <w:r>
              <w:rPr>
                <w:rFonts w:ascii="Arial" w:cs="Arial" w:eastAsia="Arial" w:hAnsi="Arial"/>
                <w:sz w:val="14"/>
                <w:szCs w:val="14"/>
                <w:color w:val="auto"/>
              </w:rPr>
              <w:t>2016</w:t>
            </w:r>
          </w:p>
        </w:tc>
        <w:tc>
          <w:tcPr>
            <w:tcW w:w="1180" w:type="dxa"/>
            <w:vAlign w:val="bottom"/>
            <w:tcBorders>
              <w:bottom w:val="single" w:sz="8" w:color="auto"/>
            </w:tcBorders>
          </w:tcPr>
          <w:p>
            <w:pPr>
              <w:jc w:val="right"/>
              <w:ind w:right="328"/>
              <w:spacing w:after="0"/>
              <w:rPr>
                <w:sz w:val="20"/>
                <w:szCs w:val="20"/>
                <w:color w:val="auto"/>
              </w:rPr>
            </w:pPr>
            <w:r>
              <w:rPr>
                <w:rFonts w:ascii="Arial" w:cs="Arial" w:eastAsia="Arial" w:hAnsi="Arial"/>
                <w:sz w:val="14"/>
                <w:szCs w:val="14"/>
                <w:color w:val="auto"/>
              </w:rPr>
              <w:t>2015</w:t>
            </w:r>
          </w:p>
        </w:tc>
      </w:tr>
    </w:tbl>
    <w:p>
      <w:pPr>
        <w:spacing w:after="0" w:line="36" w:lineRule="exact"/>
        <w:rPr>
          <w:sz w:val="20"/>
          <w:szCs w:val="20"/>
          <w:color w:val="auto"/>
        </w:rPr>
      </w:pPr>
    </w:p>
    <w:p>
      <w:pPr>
        <w:sectPr>
          <w:pgSz w:w="11900" w:h="16838" w:orient="portrait"/>
          <w:cols w:equalWidth="0" w:num="1">
            <w:col w:w="11420"/>
          </w:cols>
          <w:pgMar w:left="240" w:top="746" w:right="239" w:bottom="1440" w:gutter="0" w:footer="0" w:header="0"/>
        </w:sectPr>
      </w:pPr>
    </w:p>
    <w:p>
      <w:pPr>
        <w:ind w:left="40"/>
        <w:spacing w:after="0"/>
        <w:rPr>
          <w:sz w:val="20"/>
          <w:szCs w:val="20"/>
          <w:color w:val="auto"/>
        </w:rPr>
      </w:pPr>
      <w:r>
        <w:rPr>
          <w:rFonts w:ascii="Arial" w:cs="Arial" w:eastAsia="Arial" w:hAnsi="Arial"/>
          <w:sz w:val="16"/>
          <w:szCs w:val="16"/>
          <w:b w:val="1"/>
          <w:bCs w:val="1"/>
          <w:color w:val="auto"/>
        </w:rPr>
        <w:t>Beginning unrecognized tax benefits</w:t>
      </w:r>
    </w:p>
    <w:p>
      <w:pPr>
        <w:spacing w:after="0" w:line="106" w:lineRule="exact"/>
        <w:rPr>
          <w:sz w:val="20"/>
          <w:szCs w:val="20"/>
          <w:color w:val="auto"/>
        </w:rPr>
      </w:pPr>
    </w:p>
    <w:p>
      <w:pPr>
        <w:ind w:left="280"/>
        <w:spacing w:after="0"/>
        <w:rPr>
          <w:sz w:val="20"/>
          <w:szCs w:val="20"/>
          <w:color w:val="auto"/>
        </w:rPr>
      </w:pPr>
      <w:r>
        <w:rPr>
          <w:rFonts w:ascii="Arial" w:cs="Arial" w:eastAsia="Arial" w:hAnsi="Arial"/>
          <w:sz w:val="16"/>
          <w:szCs w:val="16"/>
          <w:color w:val="auto"/>
        </w:rPr>
        <w:t>Increases related to current year tax positions</w:t>
      </w:r>
    </w:p>
    <w:p>
      <w:pPr>
        <w:spacing w:after="0" w:line="86" w:lineRule="exact"/>
        <w:rPr>
          <w:sz w:val="20"/>
          <w:szCs w:val="20"/>
          <w:color w:val="auto"/>
        </w:rPr>
      </w:pPr>
    </w:p>
    <w:p>
      <w:pPr>
        <w:ind w:left="280"/>
        <w:spacing w:after="0"/>
        <w:rPr>
          <w:sz w:val="20"/>
          <w:szCs w:val="20"/>
          <w:color w:val="auto"/>
        </w:rPr>
      </w:pPr>
      <w:r>
        <w:rPr>
          <w:rFonts w:ascii="Arial" w:cs="Arial" w:eastAsia="Arial" w:hAnsi="Arial"/>
          <w:sz w:val="16"/>
          <w:szCs w:val="16"/>
          <w:color w:val="auto"/>
        </w:rPr>
        <w:t>Increases related to prior year tax positions</w:t>
      </w:r>
    </w:p>
    <w:p>
      <w:pPr>
        <w:spacing w:after="0" w:line="86" w:lineRule="exact"/>
        <w:rPr>
          <w:sz w:val="20"/>
          <w:szCs w:val="20"/>
          <w:color w:val="auto"/>
        </w:rPr>
      </w:pPr>
    </w:p>
    <w:p>
      <w:pPr>
        <w:ind w:left="280"/>
        <w:spacing w:after="0"/>
        <w:rPr>
          <w:sz w:val="20"/>
          <w:szCs w:val="20"/>
          <w:color w:val="auto"/>
        </w:rPr>
      </w:pPr>
      <w:r>
        <w:rPr>
          <w:rFonts w:ascii="Arial" w:cs="Arial" w:eastAsia="Arial" w:hAnsi="Arial"/>
          <w:sz w:val="16"/>
          <w:szCs w:val="16"/>
          <w:color w:val="auto"/>
        </w:rPr>
        <w:t>Decreases related to prior year tax positions</w:t>
      </w:r>
    </w:p>
    <w:p>
      <w:pPr>
        <w:spacing w:after="0" w:line="86" w:lineRule="exact"/>
        <w:rPr>
          <w:sz w:val="20"/>
          <w:szCs w:val="20"/>
          <w:color w:val="auto"/>
        </w:rPr>
      </w:pPr>
    </w:p>
    <w:p>
      <w:pPr>
        <w:ind w:left="280"/>
        <w:spacing w:after="0"/>
        <w:rPr>
          <w:sz w:val="20"/>
          <w:szCs w:val="20"/>
          <w:color w:val="auto"/>
        </w:rPr>
      </w:pPr>
      <w:r>
        <w:rPr>
          <w:rFonts w:ascii="Arial" w:cs="Arial" w:eastAsia="Arial" w:hAnsi="Arial"/>
          <w:sz w:val="16"/>
          <w:szCs w:val="16"/>
          <w:color w:val="auto"/>
        </w:rPr>
        <w:t>Decreases related to settlement with tax authorities</w:t>
      </w:r>
    </w:p>
    <w:p>
      <w:pPr>
        <w:spacing w:after="0" w:line="86" w:lineRule="exact"/>
        <w:rPr>
          <w:sz w:val="20"/>
          <w:szCs w:val="20"/>
          <w:color w:val="auto"/>
        </w:rPr>
      </w:pPr>
    </w:p>
    <w:p>
      <w:pPr>
        <w:ind w:left="280"/>
        <w:spacing w:after="0"/>
        <w:rPr>
          <w:sz w:val="20"/>
          <w:szCs w:val="20"/>
          <w:color w:val="auto"/>
        </w:rPr>
      </w:pPr>
      <w:r>
        <w:rPr>
          <w:rFonts w:ascii="Arial" w:cs="Arial" w:eastAsia="Arial" w:hAnsi="Arial"/>
          <w:sz w:val="16"/>
          <w:szCs w:val="16"/>
          <w:color w:val="auto"/>
        </w:rPr>
        <w:t>Decreases due to lapse of applicable statutes of limitations</w:t>
      </w:r>
    </w:p>
    <w:p>
      <w:pPr>
        <w:spacing w:after="0" w:line="93" w:lineRule="exact"/>
        <w:rPr>
          <w:sz w:val="20"/>
          <w:szCs w:val="20"/>
          <w:color w:val="auto"/>
        </w:rPr>
      </w:pPr>
    </w:p>
    <w:p>
      <w:pPr>
        <w:ind w:left="40"/>
        <w:spacing w:after="0"/>
        <w:rPr>
          <w:sz w:val="20"/>
          <w:szCs w:val="20"/>
          <w:color w:val="auto"/>
        </w:rPr>
      </w:pPr>
      <w:r>
        <w:rPr>
          <w:rFonts w:ascii="Arial" w:cs="Arial" w:eastAsia="Arial" w:hAnsi="Arial"/>
          <w:sz w:val="16"/>
          <w:szCs w:val="16"/>
          <w:b w:val="1"/>
          <w:bCs w:val="1"/>
          <w:color w:val="auto"/>
        </w:rPr>
        <w:t>Ending unrecognized tax benefits</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5"/>
        </w:trPr>
        <w:tc>
          <w:tcPr>
            <w:tcW w:w="320" w:type="dxa"/>
            <w:vAlign w:val="bottom"/>
          </w:tcPr>
          <w:p>
            <w:pPr>
              <w:jc w:val="right"/>
              <w:ind w:right="119"/>
              <w:spacing w:after="0"/>
              <w:rPr>
                <w:sz w:val="20"/>
                <w:szCs w:val="20"/>
                <w:color w:val="auto"/>
              </w:rPr>
            </w:pPr>
            <w:r>
              <w:rPr>
                <w:rFonts w:ascii="Arial" w:cs="Arial" w:eastAsia="Arial" w:hAnsi="Arial"/>
                <w:sz w:val="16"/>
                <w:szCs w:val="16"/>
                <w:b w:val="1"/>
                <w:bCs w:val="1"/>
                <w:color w:val="auto"/>
              </w:rPr>
              <w:t>$</w:t>
            </w:r>
          </w:p>
        </w:tc>
        <w:tc>
          <w:tcPr>
            <w:tcW w:w="840" w:type="dxa"/>
            <w:vAlign w:val="bottom"/>
          </w:tcPr>
          <w:p>
            <w:pPr>
              <w:jc w:val="right"/>
              <w:ind w:right="39"/>
              <w:spacing w:after="0"/>
              <w:rPr>
                <w:sz w:val="20"/>
                <w:szCs w:val="20"/>
                <w:color w:val="auto"/>
              </w:rPr>
            </w:pPr>
            <w:r>
              <w:rPr>
                <w:rFonts w:ascii="Arial" w:cs="Arial" w:eastAsia="Arial" w:hAnsi="Arial"/>
                <w:sz w:val="16"/>
                <w:szCs w:val="16"/>
                <w:b w:val="1"/>
                <w:bCs w:val="1"/>
                <w:color w:val="auto"/>
              </w:rPr>
              <w:t>17,331</w:t>
            </w:r>
          </w:p>
        </w:tc>
        <w:tc>
          <w:tcPr>
            <w:tcW w:w="420" w:type="dxa"/>
            <w:vAlign w:val="bottom"/>
          </w:tcPr>
          <w:p>
            <w:pPr>
              <w:jc w:val="right"/>
              <w:ind w:right="139"/>
              <w:spacing w:after="0"/>
              <w:rPr>
                <w:sz w:val="20"/>
                <w:szCs w:val="20"/>
                <w:color w:val="auto"/>
              </w:rPr>
            </w:pPr>
            <w:r>
              <w:rPr>
                <w:rFonts w:ascii="Arial" w:cs="Arial" w:eastAsia="Arial" w:hAnsi="Arial"/>
                <w:sz w:val="16"/>
                <w:szCs w:val="16"/>
                <w:color w:val="auto"/>
              </w:rPr>
              <w:t>$</w:t>
            </w:r>
          </w:p>
        </w:tc>
        <w:tc>
          <w:tcPr>
            <w:tcW w:w="820" w:type="dxa"/>
            <w:vAlign w:val="bottom"/>
          </w:tcPr>
          <w:p>
            <w:pPr>
              <w:jc w:val="right"/>
              <w:ind w:right="39"/>
              <w:spacing w:after="0"/>
              <w:rPr>
                <w:sz w:val="20"/>
                <w:szCs w:val="20"/>
                <w:color w:val="auto"/>
              </w:rPr>
            </w:pPr>
            <w:r>
              <w:rPr>
                <w:rFonts w:ascii="Arial" w:cs="Arial" w:eastAsia="Arial" w:hAnsi="Arial"/>
                <w:sz w:val="16"/>
                <w:szCs w:val="16"/>
                <w:color w:val="auto"/>
              </w:rPr>
              <w:t>17,331</w:t>
            </w:r>
          </w:p>
        </w:tc>
        <w:tc>
          <w:tcPr>
            <w:tcW w:w="420" w:type="dxa"/>
            <w:vAlign w:val="bottom"/>
          </w:tcPr>
          <w:p>
            <w:pPr>
              <w:jc w:val="right"/>
              <w:ind w:right="139"/>
              <w:spacing w:after="0"/>
              <w:rPr>
                <w:sz w:val="20"/>
                <w:szCs w:val="20"/>
                <w:color w:val="auto"/>
              </w:rPr>
            </w:pPr>
            <w:r>
              <w:rPr>
                <w:rFonts w:ascii="Arial" w:cs="Arial" w:eastAsia="Arial" w:hAnsi="Arial"/>
                <w:sz w:val="16"/>
                <w:szCs w:val="16"/>
                <w:color w:val="auto"/>
              </w:rPr>
              <w:t>$</w:t>
            </w:r>
          </w:p>
        </w:tc>
        <w:tc>
          <w:tcPr>
            <w:tcW w:w="800" w:type="dxa"/>
            <w:vAlign w:val="bottom"/>
          </w:tcPr>
          <w:p>
            <w:pPr>
              <w:jc w:val="right"/>
              <w:ind w:right="19"/>
              <w:spacing w:after="0"/>
              <w:rPr>
                <w:sz w:val="20"/>
                <w:szCs w:val="20"/>
                <w:color w:val="auto"/>
              </w:rPr>
            </w:pPr>
            <w:r>
              <w:rPr>
                <w:rFonts w:ascii="Arial" w:cs="Arial" w:eastAsia="Arial" w:hAnsi="Arial"/>
                <w:sz w:val="16"/>
                <w:szCs w:val="16"/>
                <w:color w:val="auto"/>
              </w:rPr>
              <w:t>19,817</w:t>
            </w:r>
          </w:p>
        </w:tc>
      </w:tr>
      <w:tr>
        <w:trPr>
          <w:trHeight w:val="270"/>
        </w:trPr>
        <w:tc>
          <w:tcPr>
            <w:tcW w:w="320" w:type="dxa"/>
            <w:vAlign w:val="bottom"/>
          </w:tcPr>
          <w:p>
            <w:pPr>
              <w:spacing w:after="0"/>
              <w:rPr>
                <w:sz w:val="23"/>
                <w:szCs w:val="23"/>
                <w:color w:val="auto"/>
              </w:rPr>
            </w:pPr>
          </w:p>
        </w:tc>
        <w:tc>
          <w:tcPr>
            <w:tcW w:w="840" w:type="dxa"/>
            <w:vAlign w:val="bottom"/>
          </w:tcPr>
          <w:p>
            <w:pPr>
              <w:jc w:val="right"/>
              <w:ind w:right="39"/>
              <w:spacing w:after="0"/>
              <w:rPr>
                <w:sz w:val="20"/>
                <w:szCs w:val="20"/>
                <w:color w:val="auto"/>
              </w:rPr>
            </w:pPr>
            <w:r>
              <w:rPr>
                <w:rFonts w:ascii="Arial" w:cs="Arial" w:eastAsia="Arial" w:hAnsi="Arial"/>
                <w:sz w:val="16"/>
                <w:szCs w:val="16"/>
                <w:b w:val="1"/>
                <w:bCs w:val="1"/>
                <w:color w:val="auto"/>
              </w:rPr>
              <w:t>—</w:t>
            </w:r>
          </w:p>
        </w:tc>
        <w:tc>
          <w:tcPr>
            <w:tcW w:w="420" w:type="dxa"/>
            <w:vAlign w:val="bottom"/>
          </w:tcPr>
          <w:p>
            <w:pPr>
              <w:spacing w:after="0"/>
              <w:rPr>
                <w:sz w:val="23"/>
                <w:szCs w:val="23"/>
                <w:color w:val="auto"/>
              </w:rPr>
            </w:pPr>
          </w:p>
        </w:tc>
        <w:tc>
          <w:tcPr>
            <w:tcW w:w="82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420" w:type="dxa"/>
            <w:vAlign w:val="bottom"/>
          </w:tcPr>
          <w:p>
            <w:pPr>
              <w:spacing w:after="0"/>
              <w:rPr>
                <w:sz w:val="23"/>
                <w:szCs w:val="23"/>
                <w:color w:val="auto"/>
              </w:rPr>
            </w:pPr>
          </w:p>
        </w:tc>
        <w:tc>
          <w:tcPr>
            <w:tcW w:w="800" w:type="dxa"/>
            <w:vAlign w:val="bottom"/>
          </w:tcPr>
          <w:p>
            <w:pPr>
              <w:jc w:val="right"/>
              <w:ind w:right="19"/>
              <w:spacing w:after="0"/>
              <w:rPr>
                <w:sz w:val="20"/>
                <w:szCs w:val="20"/>
                <w:color w:val="auto"/>
              </w:rPr>
            </w:pPr>
            <w:r>
              <w:rPr>
                <w:rFonts w:ascii="Arial" w:cs="Arial" w:eastAsia="Arial" w:hAnsi="Arial"/>
                <w:sz w:val="16"/>
                <w:szCs w:val="16"/>
                <w:color w:val="auto"/>
              </w:rPr>
              <w:t>—</w:t>
            </w:r>
          </w:p>
        </w:tc>
      </w:tr>
      <w:tr>
        <w:trPr>
          <w:trHeight w:val="270"/>
        </w:trPr>
        <w:tc>
          <w:tcPr>
            <w:tcW w:w="320" w:type="dxa"/>
            <w:vAlign w:val="bottom"/>
          </w:tcPr>
          <w:p>
            <w:pPr>
              <w:spacing w:after="0"/>
              <w:rPr>
                <w:sz w:val="23"/>
                <w:szCs w:val="23"/>
                <w:color w:val="auto"/>
              </w:rPr>
            </w:pPr>
          </w:p>
        </w:tc>
        <w:tc>
          <w:tcPr>
            <w:tcW w:w="840" w:type="dxa"/>
            <w:vAlign w:val="bottom"/>
          </w:tcPr>
          <w:p>
            <w:pPr>
              <w:jc w:val="right"/>
              <w:ind w:right="39"/>
              <w:spacing w:after="0"/>
              <w:rPr>
                <w:sz w:val="20"/>
                <w:szCs w:val="20"/>
                <w:color w:val="auto"/>
              </w:rPr>
            </w:pPr>
            <w:r>
              <w:rPr>
                <w:rFonts w:ascii="Arial" w:cs="Arial" w:eastAsia="Arial" w:hAnsi="Arial"/>
                <w:sz w:val="16"/>
                <w:szCs w:val="16"/>
                <w:b w:val="1"/>
                <w:bCs w:val="1"/>
                <w:color w:val="auto"/>
              </w:rPr>
              <w:t>—</w:t>
            </w:r>
          </w:p>
        </w:tc>
        <w:tc>
          <w:tcPr>
            <w:tcW w:w="420" w:type="dxa"/>
            <w:vAlign w:val="bottom"/>
          </w:tcPr>
          <w:p>
            <w:pPr>
              <w:spacing w:after="0"/>
              <w:rPr>
                <w:sz w:val="23"/>
                <w:szCs w:val="23"/>
                <w:color w:val="auto"/>
              </w:rPr>
            </w:pPr>
          </w:p>
        </w:tc>
        <w:tc>
          <w:tcPr>
            <w:tcW w:w="82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420" w:type="dxa"/>
            <w:vAlign w:val="bottom"/>
          </w:tcPr>
          <w:p>
            <w:pPr>
              <w:spacing w:after="0"/>
              <w:rPr>
                <w:sz w:val="23"/>
                <w:szCs w:val="23"/>
                <w:color w:val="auto"/>
              </w:rPr>
            </w:pPr>
          </w:p>
        </w:tc>
        <w:tc>
          <w:tcPr>
            <w:tcW w:w="800" w:type="dxa"/>
            <w:vAlign w:val="bottom"/>
          </w:tcPr>
          <w:p>
            <w:pPr>
              <w:jc w:val="right"/>
              <w:ind w:right="19"/>
              <w:spacing w:after="0"/>
              <w:rPr>
                <w:sz w:val="20"/>
                <w:szCs w:val="20"/>
                <w:color w:val="auto"/>
              </w:rPr>
            </w:pPr>
            <w:r>
              <w:rPr>
                <w:rFonts w:ascii="Arial" w:cs="Arial" w:eastAsia="Arial" w:hAnsi="Arial"/>
                <w:sz w:val="16"/>
                <w:szCs w:val="16"/>
                <w:color w:val="auto"/>
              </w:rPr>
              <w:t>—</w:t>
            </w:r>
          </w:p>
        </w:tc>
      </w:tr>
      <w:tr>
        <w:trPr>
          <w:trHeight w:val="270"/>
        </w:trPr>
        <w:tc>
          <w:tcPr>
            <w:tcW w:w="320" w:type="dxa"/>
            <w:vAlign w:val="bottom"/>
          </w:tcPr>
          <w:p>
            <w:pPr>
              <w:spacing w:after="0"/>
              <w:rPr>
                <w:sz w:val="23"/>
                <w:szCs w:val="23"/>
                <w:color w:val="auto"/>
              </w:rPr>
            </w:pPr>
          </w:p>
        </w:tc>
        <w:tc>
          <w:tcPr>
            <w:tcW w:w="840" w:type="dxa"/>
            <w:vAlign w:val="bottom"/>
          </w:tcPr>
          <w:p>
            <w:pPr>
              <w:jc w:val="right"/>
              <w:ind w:right="39"/>
              <w:spacing w:after="0"/>
              <w:rPr>
                <w:sz w:val="20"/>
                <w:szCs w:val="20"/>
                <w:color w:val="auto"/>
              </w:rPr>
            </w:pPr>
            <w:r>
              <w:rPr>
                <w:rFonts w:ascii="Arial" w:cs="Arial" w:eastAsia="Arial" w:hAnsi="Arial"/>
                <w:sz w:val="16"/>
                <w:szCs w:val="16"/>
                <w:b w:val="1"/>
                <w:bCs w:val="1"/>
                <w:color w:val="auto"/>
              </w:rPr>
              <w:t>—</w:t>
            </w:r>
          </w:p>
        </w:tc>
        <w:tc>
          <w:tcPr>
            <w:tcW w:w="420" w:type="dxa"/>
            <w:vAlign w:val="bottom"/>
          </w:tcPr>
          <w:p>
            <w:pPr>
              <w:spacing w:after="0"/>
              <w:rPr>
                <w:sz w:val="23"/>
                <w:szCs w:val="23"/>
                <w:color w:val="auto"/>
              </w:rPr>
            </w:pPr>
          </w:p>
        </w:tc>
        <w:tc>
          <w:tcPr>
            <w:tcW w:w="82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420" w:type="dxa"/>
            <w:vAlign w:val="bottom"/>
          </w:tcPr>
          <w:p>
            <w:pPr>
              <w:spacing w:after="0"/>
              <w:rPr>
                <w:sz w:val="23"/>
                <w:szCs w:val="23"/>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(2,486)</w:t>
            </w:r>
          </w:p>
        </w:tc>
      </w:tr>
      <w:tr>
        <w:trPr>
          <w:trHeight w:val="270"/>
        </w:trPr>
        <w:tc>
          <w:tcPr>
            <w:tcW w:w="320" w:type="dxa"/>
            <w:vAlign w:val="bottom"/>
          </w:tcPr>
          <w:p>
            <w:pPr>
              <w:spacing w:after="0"/>
              <w:rPr>
                <w:sz w:val="23"/>
                <w:szCs w:val="23"/>
                <w:color w:val="auto"/>
              </w:rPr>
            </w:pPr>
          </w:p>
        </w:tc>
        <w:tc>
          <w:tcPr>
            <w:tcW w:w="840" w:type="dxa"/>
            <w:vAlign w:val="bottom"/>
          </w:tcPr>
          <w:p>
            <w:pPr>
              <w:jc w:val="right"/>
              <w:ind w:right="39"/>
              <w:spacing w:after="0"/>
              <w:rPr>
                <w:sz w:val="20"/>
                <w:szCs w:val="20"/>
                <w:color w:val="auto"/>
              </w:rPr>
            </w:pPr>
            <w:r>
              <w:rPr>
                <w:rFonts w:ascii="Arial" w:cs="Arial" w:eastAsia="Arial" w:hAnsi="Arial"/>
                <w:sz w:val="16"/>
                <w:szCs w:val="16"/>
                <w:b w:val="1"/>
                <w:bCs w:val="1"/>
                <w:color w:val="auto"/>
              </w:rPr>
              <w:t>—</w:t>
            </w:r>
          </w:p>
        </w:tc>
        <w:tc>
          <w:tcPr>
            <w:tcW w:w="420" w:type="dxa"/>
            <w:vAlign w:val="bottom"/>
          </w:tcPr>
          <w:p>
            <w:pPr>
              <w:spacing w:after="0"/>
              <w:rPr>
                <w:sz w:val="23"/>
                <w:szCs w:val="23"/>
                <w:color w:val="auto"/>
              </w:rPr>
            </w:pPr>
          </w:p>
        </w:tc>
        <w:tc>
          <w:tcPr>
            <w:tcW w:w="82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420" w:type="dxa"/>
            <w:vAlign w:val="bottom"/>
          </w:tcPr>
          <w:p>
            <w:pPr>
              <w:spacing w:after="0"/>
              <w:rPr>
                <w:sz w:val="23"/>
                <w:szCs w:val="23"/>
                <w:color w:val="auto"/>
              </w:rPr>
            </w:pPr>
          </w:p>
        </w:tc>
        <w:tc>
          <w:tcPr>
            <w:tcW w:w="800" w:type="dxa"/>
            <w:vAlign w:val="bottom"/>
          </w:tcPr>
          <w:p>
            <w:pPr>
              <w:jc w:val="right"/>
              <w:ind w:right="19"/>
              <w:spacing w:after="0"/>
              <w:rPr>
                <w:sz w:val="20"/>
                <w:szCs w:val="20"/>
                <w:color w:val="auto"/>
              </w:rPr>
            </w:pPr>
            <w:r>
              <w:rPr>
                <w:rFonts w:ascii="Arial" w:cs="Arial" w:eastAsia="Arial" w:hAnsi="Arial"/>
                <w:sz w:val="16"/>
                <w:szCs w:val="16"/>
                <w:color w:val="auto"/>
              </w:rPr>
              <w:t>—</w:t>
            </w:r>
          </w:p>
        </w:tc>
      </w:tr>
      <w:tr>
        <w:trPr>
          <w:trHeight w:val="283"/>
        </w:trPr>
        <w:tc>
          <w:tcPr>
            <w:tcW w:w="32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b w:val="1"/>
                <w:bCs w:val="1"/>
                <w:color w:val="auto"/>
              </w:rPr>
              <w:t>—</w:t>
            </w:r>
          </w:p>
        </w:tc>
        <w:tc>
          <w:tcPr>
            <w:tcW w:w="42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42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w:t>
            </w:r>
          </w:p>
        </w:tc>
      </w:tr>
      <w:tr>
        <w:trPr>
          <w:trHeight w:val="264"/>
        </w:trPr>
        <w:tc>
          <w:tcPr>
            <w:tcW w:w="32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b w:val="1"/>
                <w:bCs w:val="1"/>
                <w:color w:val="auto"/>
              </w:rPr>
              <w:t>$</w:t>
            </w:r>
          </w:p>
        </w:tc>
        <w:tc>
          <w:tcPr>
            <w:tcW w:w="84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b w:val="1"/>
                <w:bCs w:val="1"/>
                <w:color w:val="auto"/>
              </w:rPr>
              <w:t>17,331</w:t>
            </w:r>
          </w:p>
        </w:tc>
        <w:tc>
          <w:tcPr>
            <w:tcW w:w="42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color w:val="auto"/>
              </w:rPr>
              <w:t>$</w:t>
            </w:r>
          </w:p>
        </w:tc>
        <w:tc>
          <w:tcPr>
            <w:tcW w:w="82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17,331</w:t>
            </w:r>
          </w:p>
        </w:tc>
        <w:tc>
          <w:tcPr>
            <w:tcW w:w="42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color w:val="auto"/>
              </w:rPr>
              <w:t>$</w:t>
            </w:r>
          </w:p>
        </w:tc>
        <w:tc>
          <w:tcPr>
            <w:tcW w:w="8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17,331</w:t>
            </w:r>
          </w:p>
        </w:tc>
      </w:tr>
      <w:tr>
        <w:trPr>
          <w:trHeight w:val="20"/>
        </w:trPr>
        <w:tc>
          <w:tcPr>
            <w:tcW w:w="3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sectPr>
          <w:pgSz w:w="11900" w:h="16838" w:orient="portrait"/>
          <w:cols w:equalWidth="0" w:num="2">
            <w:col w:w="7020" w:space="720"/>
            <w:col w:w="3680"/>
          </w:cols>
          <w:pgMar w:left="240" w:top="746" w:right="239" w:bottom="1440" w:gutter="0" w:footer="0" w:header="0"/>
          <w:type w:val="continuous"/>
        </w:sectPr>
      </w:pPr>
    </w:p>
    <w:p>
      <w:pPr>
        <w:ind w:right="40"/>
        <w:spacing w:after="0" w:line="223" w:lineRule="auto"/>
        <w:rPr>
          <w:sz w:val="20"/>
          <w:szCs w:val="20"/>
          <w:color w:val="auto"/>
        </w:rPr>
      </w:pPr>
      <w:r>
        <w:rPr>
          <w:rFonts w:ascii="Arial" w:cs="Arial" w:eastAsia="Arial" w:hAnsi="Arial"/>
          <w:sz w:val="18"/>
          <w:szCs w:val="18"/>
          <w:color w:val="auto"/>
        </w:rPr>
        <w:t>The unrecognized tax benefits mainly relate to state income tax filing positions applicable to the 2014 tax period. In making these determinations, the Company presumes that taxing authorities pursuing examinations of the Company’s compliance with tax law filing requirements will have full knowledge of all relevant information, and, if necessary, the Company will pursue resolution of disputed tax positions by appeals or litigation. Although the Company cannot predict the timing of resolution with tax authorities, the Company estimates that no portion of unrecognized tax benefits will be reduced in the next 12 months due to settlement with the tax authorities. However, due to lapse of statutes of limitations, the Company expects that approximately $15.7 million of the unrecognized tax benefits will be recognized, and the Company will record a $3.5 million state tax benefit, net of $0.7 million federal tax expense during 2018. Subsequently, the Company expects that a $1.7 million state tax benefit, net of $0.4 million federal tax expense, will reduce the effective tax rate in the future if recognized.</w:t>
      </w:r>
    </w:p>
    <w:p>
      <w:pPr>
        <w:spacing w:after="0" w:line="136" w:lineRule="exact"/>
        <w:rPr>
          <w:sz w:val="20"/>
          <w:szCs w:val="20"/>
          <w:color w:val="auto"/>
        </w:rPr>
      </w:pPr>
    </w:p>
    <w:p>
      <w:pPr>
        <w:jc w:val="both"/>
        <w:ind w:right="200"/>
        <w:spacing w:after="0" w:line="229" w:lineRule="auto"/>
        <w:rPr>
          <w:sz w:val="20"/>
          <w:szCs w:val="20"/>
          <w:color w:val="auto"/>
        </w:rPr>
      </w:pPr>
      <w:r>
        <w:rPr>
          <w:rFonts w:ascii="Arial" w:cs="Arial" w:eastAsia="Arial" w:hAnsi="Arial"/>
          <w:sz w:val="18"/>
          <w:szCs w:val="18"/>
          <w:color w:val="auto"/>
        </w:rPr>
        <w:t>The Company classifies interest and penalties related to uncertain tax positions as a component of interest and other expenses, respectively. As of December 31, 2017, the Company has accrued $1.1 million of interest related to the unrecognized tax benefits. The Company has not accrued any penalties related to the unrecognized tax benefits.</w:t>
      </w:r>
    </w:p>
    <w:p>
      <w:pPr>
        <w:spacing w:after="0" w:line="115" w:lineRule="exact"/>
        <w:rPr>
          <w:sz w:val="20"/>
          <w:szCs w:val="20"/>
          <w:color w:val="auto"/>
        </w:rPr>
      </w:pPr>
    </w:p>
    <w:p>
      <w:pPr>
        <w:ind w:left="500" w:hanging="492"/>
        <w:spacing w:after="0"/>
        <w:tabs>
          <w:tab w:leader="none" w:pos="500" w:val="left"/>
        </w:tabs>
        <w:numPr>
          <w:ilvl w:val="0"/>
          <w:numId w:val="71"/>
        </w:numPr>
        <w:rPr>
          <w:rFonts w:ascii="Arial" w:cs="Arial" w:eastAsia="Arial" w:hAnsi="Arial"/>
          <w:sz w:val="18"/>
          <w:szCs w:val="18"/>
          <w:b w:val="1"/>
          <w:bCs w:val="1"/>
          <w:color w:val="auto"/>
        </w:rPr>
      </w:pPr>
      <w:r>
        <w:rPr>
          <w:rFonts w:ascii="Arial" w:cs="Arial" w:eastAsia="Arial" w:hAnsi="Arial"/>
          <w:sz w:val="18"/>
          <w:szCs w:val="18"/>
          <w:b w:val="1"/>
          <w:bCs w:val="1"/>
          <w:color w:val="auto"/>
        </w:rPr>
        <w:t>DEBT</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color w:val="auto"/>
        </w:rPr>
        <w:t>The Company’s borrowings consist of the following:</w:t>
      </w:r>
    </w:p>
    <w:p>
      <w:pPr>
        <w:spacing w:after="0" w:line="199"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9020" w:type="dxa"/>
            <w:vAlign w:val="bottom"/>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2120" w:type="dxa"/>
            <w:vAlign w:val="bottom"/>
            <w:tcBorders>
              <w:bottom w:val="single" w:sz="8" w:color="auto"/>
            </w:tcBorders>
            <w:gridSpan w:val="3"/>
          </w:tcPr>
          <w:p>
            <w:pPr>
              <w:jc w:val="right"/>
              <w:ind w:right="460"/>
              <w:spacing w:after="0"/>
              <w:rPr>
                <w:sz w:val="20"/>
                <w:szCs w:val="20"/>
                <w:color w:val="auto"/>
              </w:rPr>
            </w:pPr>
            <w:r>
              <w:rPr>
                <w:rFonts w:ascii="Arial" w:cs="Arial" w:eastAsia="Arial" w:hAnsi="Arial"/>
                <w:sz w:val="14"/>
                <w:szCs w:val="14"/>
                <w:b w:val="1"/>
                <w:bCs w:val="1"/>
                <w:color w:val="auto"/>
              </w:rPr>
              <w:t>As of December 31</w:t>
            </w:r>
          </w:p>
        </w:tc>
        <w:tc>
          <w:tcPr>
            <w:tcW w:w="0" w:type="dxa"/>
            <w:vAlign w:val="bottom"/>
          </w:tcPr>
          <w:p>
            <w:pPr>
              <w:spacing w:after="0"/>
              <w:rPr>
                <w:sz w:val="1"/>
                <w:szCs w:val="1"/>
                <w:color w:val="auto"/>
              </w:rPr>
            </w:pPr>
          </w:p>
        </w:tc>
      </w:tr>
      <w:tr>
        <w:trPr>
          <w:trHeight w:val="264"/>
        </w:trPr>
        <w:tc>
          <w:tcPr>
            <w:tcW w:w="902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(in thousands)</w:t>
            </w:r>
          </w:p>
        </w:tc>
        <w:tc>
          <w:tcPr>
            <w:tcW w:w="28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jc w:val="right"/>
              <w:ind w:right="381"/>
              <w:spacing w:after="0"/>
              <w:rPr>
                <w:sz w:val="20"/>
                <w:szCs w:val="20"/>
                <w:color w:val="auto"/>
              </w:rPr>
            </w:pPr>
            <w:r>
              <w:rPr>
                <w:rFonts w:ascii="Arial" w:cs="Arial" w:eastAsia="Arial" w:hAnsi="Arial"/>
                <w:sz w:val="14"/>
                <w:szCs w:val="14"/>
                <w:b w:val="1"/>
                <w:bCs w:val="1"/>
                <w:color w:val="auto"/>
              </w:rPr>
              <w:t>2017</w:t>
            </w:r>
          </w:p>
        </w:tc>
        <w:tc>
          <w:tcPr>
            <w:tcW w:w="32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ind w:right="320"/>
              <w:spacing w:after="0"/>
              <w:rPr>
                <w:sz w:val="20"/>
                <w:szCs w:val="20"/>
                <w:color w:val="auto"/>
              </w:rPr>
            </w:pPr>
            <w:r>
              <w:rPr>
                <w:rFonts w:ascii="Arial" w:cs="Arial" w:eastAsia="Arial" w:hAnsi="Arial"/>
                <w:sz w:val="14"/>
                <w:szCs w:val="14"/>
                <w:color w:val="auto"/>
              </w:rPr>
              <w:t>2016</w:t>
            </w:r>
          </w:p>
        </w:tc>
        <w:tc>
          <w:tcPr>
            <w:tcW w:w="0" w:type="dxa"/>
            <w:vAlign w:val="bottom"/>
          </w:tcPr>
          <w:p>
            <w:pPr>
              <w:spacing w:after="0"/>
              <w:rPr>
                <w:sz w:val="1"/>
                <w:szCs w:val="1"/>
                <w:color w:val="auto"/>
              </w:rPr>
            </w:pPr>
          </w:p>
        </w:tc>
      </w:tr>
      <w:tr>
        <w:trPr>
          <w:trHeight w:val="306"/>
        </w:trPr>
        <w:tc>
          <w:tcPr>
            <w:tcW w:w="9020" w:type="dxa"/>
            <w:vAlign w:val="bottom"/>
          </w:tcPr>
          <w:p>
            <w:pPr>
              <w:ind w:left="40"/>
              <w:spacing w:after="0"/>
              <w:rPr>
                <w:sz w:val="20"/>
                <w:szCs w:val="20"/>
                <w:color w:val="auto"/>
              </w:rPr>
            </w:pPr>
            <w:r>
              <w:rPr>
                <w:rFonts w:ascii="Arial" w:cs="Arial" w:eastAsia="Arial" w:hAnsi="Arial"/>
                <w:sz w:val="16"/>
                <w:szCs w:val="16"/>
                <w:color w:val="auto"/>
              </w:rPr>
              <w:t xml:space="preserve">7.25% unsecured notes due February 1, 2019 </w:t>
            </w:r>
            <w:r>
              <w:rPr>
                <w:rFonts w:ascii="Arial" w:cs="Arial" w:eastAsia="Arial" w:hAnsi="Arial"/>
                <w:sz w:val="21"/>
                <w:szCs w:val="21"/>
                <w:color w:val="auto"/>
                <w:vertAlign w:val="superscript"/>
              </w:rPr>
              <w:t>(1)</w:t>
            </w:r>
          </w:p>
        </w:tc>
        <w:tc>
          <w:tcPr>
            <w:tcW w:w="280" w:type="dxa"/>
            <w:vAlign w:val="bottom"/>
          </w:tcPr>
          <w:p>
            <w:pPr>
              <w:jc w:val="right"/>
              <w:ind w:right="79"/>
              <w:spacing w:after="0"/>
              <w:rPr>
                <w:sz w:val="20"/>
                <w:szCs w:val="20"/>
                <w:color w:val="auto"/>
              </w:rPr>
            </w:pPr>
            <w:r>
              <w:rPr>
                <w:rFonts w:ascii="Arial" w:cs="Arial" w:eastAsia="Arial" w:hAnsi="Arial"/>
                <w:sz w:val="16"/>
                <w:szCs w:val="16"/>
                <w:b w:val="1"/>
                <w:bCs w:val="1"/>
                <w:color w:val="auto"/>
              </w:rPr>
              <w:t>$</w:t>
            </w:r>
          </w:p>
        </w:tc>
        <w:tc>
          <w:tcPr>
            <w:tcW w:w="920" w:type="dxa"/>
            <w:vAlign w:val="bottom"/>
          </w:tcPr>
          <w:p>
            <w:pPr>
              <w:jc w:val="right"/>
              <w:ind w:right="81"/>
              <w:spacing w:after="0"/>
              <w:rPr>
                <w:sz w:val="20"/>
                <w:szCs w:val="20"/>
                <w:color w:val="auto"/>
              </w:rPr>
            </w:pPr>
            <w:r>
              <w:rPr>
                <w:rFonts w:ascii="Arial" w:cs="Arial" w:eastAsia="Arial" w:hAnsi="Arial"/>
                <w:sz w:val="16"/>
                <w:szCs w:val="16"/>
                <w:b w:val="1"/>
                <w:bCs w:val="1"/>
                <w:color w:val="auto"/>
              </w:rPr>
              <w:t>399,507</w:t>
            </w:r>
          </w:p>
        </w:tc>
        <w:tc>
          <w:tcPr>
            <w:tcW w:w="32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880" w:type="dxa"/>
            <w:vAlign w:val="bottom"/>
          </w:tcPr>
          <w:p>
            <w:pPr>
              <w:jc w:val="right"/>
              <w:ind w:right="20"/>
              <w:spacing w:after="0"/>
              <w:rPr>
                <w:sz w:val="20"/>
                <w:szCs w:val="20"/>
                <w:color w:val="auto"/>
              </w:rPr>
            </w:pPr>
            <w:r>
              <w:rPr>
                <w:rFonts w:ascii="Arial" w:cs="Arial" w:eastAsia="Arial" w:hAnsi="Arial"/>
                <w:sz w:val="16"/>
                <w:szCs w:val="16"/>
                <w:color w:val="auto"/>
              </w:rPr>
              <w:t>399,052</w:t>
            </w:r>
          </w:p>
        </w:tc>
        <w:tc>
          <w:tcPr>
            <w:tcW w:w="0" w:type="dxa"/>
            <w:vAlign w:val="bottom"/>
          </w:tcPr>
          <w:p>
            <w:pPr>
              <w:spacing w:after="0"/>
              <w:rPr>
                <w:sz w:val="1"/>
                <w:szCs w:val="1"/>
                <w:color w:val="auto"/>
              </w:rPr>
            </w:pPr>
          </w:p>
        </w:tc>
      </w:tr>
      <w:tr>
        <w:trPr>
          <w:trHeight w:val="270"/>
        </w:trPr>
        <w:tc>
          <w:tcPr>
            <w:tcW w:w="9020" w:type="dxa"/>
            <w:vAlign w:val="bottom"/>
          </w:tcPr>
          <w:p>
            <w:pPr>
              <w:ind w:left="40"/>
              <w:spacing w:after="0"/>
              <w:rPr>
                <w:sz w:val="20"/>
                <w:szCs w:val="20"/>
                <w:color w:val="auto"/>
              </w:rPr>
            </w:pPr>
            <w:r>
              <w:rPr>
                <w:rFonts w:ascii="Arial" w:cs="Arial" w:eastAsia="Arial" w:hAnsi="Arial"/>
                <w:sz w:val="16"/>
                <w:szCs w:val="16"/>
                <w:color w:val="auto"/>
              </w:rPr>
              <w:t xml:space="preserve">U.K. Credit facility </w:t>
            </w:r>
            <w:r>
              <w:rPr>
                <w:rFonts w:ascii="Arial" w:cs="Arial" w:eastAsia="Arial" w:hAnsi="Arial"/>
                <w:sz w:val="21"/>
                <w:szCs w:val="21"/>
                <w:color w:val="auto"/>
                <w:vertAlign w:val="superscript"/>
              </w:rPr>
              <w:t>(2)</w:t>
            </w:r>
          </w:p>
        </w:tc>
        <w:tc>
          <w:tcPr>
            <w:tcW w:w="280" w:type="dxa"/>
            <w:vAlign w:val="bottom"/>
          </w:tcPr>
          <w:p>
            <w:pPr>
              <w:spacing w:after="0"/>
              <w:rPr>
                <w:sz w:val="23"/>
                <w:szCs w:val="23"/>
                <w:color w:val="auto"/>
              </w:rPr>
            </w:pPr>
          </w:p>
        </w:tc>
        <w:tc>
          <w:tcPr>
            <w:tcW w:w="920" w:type="dxa"/>
            <w:vAlign w:val="bottom"/>
          </w:tcPr>
          <w:p>
            <w:pPr>
              <w:jc w:val="right"/>
              <w:ind w:right="81"/>
              <w:spacing w:after="0"/>
              <w:rPr>
                <w:sz w:val="20"/>
                <w:szCs w:val="20"/>
                <w:color w:val="auto"/>
              </w:rPr>
            </w:pPr>
            <w:r>
              <w:rPr>
                <w:rFonts w:ascii="Arial" w:cs="Arial" w:eastAsia="Arial" w:hAnsi="Arial"/>
                <w:sz w:val="16"/>
                <w:szCs w:val="16"/>
                <w:b w:val="1"/>
                <w:bCs w:val="1"/>
                <w:color w:val="auto"/>
              </w:rPr>
              <w:t>93,671</w:t>
            </w:r>
          </w:p>
        </w:tc>
        <w:tc>
          <w:tcPr>
            <w:tcW w:w="320" w:type="dxa"/>
            <w:vAlign w:val="bottom"/>
          </w:tcPr>
          <w:p>
            <w:pPr>
              <w:spacing w:after="0"/>
              <w:rPr>
                <w:sz w:val="23"/>
                <w:szCs w:val="23"/>
                <w:color w:val="auto"/>
              </w:rPr>
            </w:pPr>
          </w:p>
        </w:tc>
        <w:tc>
          <w:tcPr>
            <w:tcW w:w="880" w:type="dxa"/>
            <w:vAlign w:val="bottom"/>
          </w:tcPr>
          <w:p>
            <w:pPr>
              <w:jc w:val="right"/>
              <w:ind w:right="20"/>
              <w:spacing w:after="0"/>
              <w:rPr>
                <w:sz w:val="20"/>
                <w:szCs w:val="20"/>
                <w:color w:val="auto"/>
              </w:rPr>
            </w:pPr>
            <w:r>
              <w:rPr>
                <w:rFonts w:ascii="Arial" w:cs="Arial" w:eastAsia="Arial" w:hAnsi="Arial"/>
                <w:sz w:val="16"/>
                <w:szCs w:val="16"/>
                <w:color w:val="auto"/>
              </w:rPr>
              <w:t>91,316</w:t>
            </w:r>
          </w:p>
        </w:tc>
        <w:tc>
          <w:tcPr>
            <w:tcW w:w="0" w:type="dxa"/>
            <w:vAlign w:val="bottom"/>
          </w:tcPr>
          <w:p>
            <w:pPr>
              <w:spacing w:after="0"/>
              <w:rPr>
                <w:sz w:val="1"/>
                <w:szCs w:val="1"/>
                <w:color w:val="auto"/>
              </w:rPr>
            </w:pPr>
          </w:p>
        </w:tc>
      </w:tr>
      <w:tr>
        <w:trPr>
          <w:trHeight w:val="228"/>
        </w:trPr>
        <w:tc>
          <w:tcPr>
            <w:tcW w:w="9020" w:type="dxa"/>
            <w:vAlign w:val="bottom"/>
          </w:tcPr>
          <w:p>
            <w:pPr>
              <w:ind w:left="40"/>
              <w:spacing w:after="0"/>
              <w:rPr>
                <w:sz w:val="20"/>
                <w:szCs w:val="20"/>
                <w:color w:val="auto"/>
              </w:rPr>
            </w:pPr>
            <w:r>
              <w:rPr>
                <w:rFonts w:ascii="Arial" w:cs="Arial" w:eastAsia="Arial" w:hAnsi="Arial"/>
                <w:sz w:val="16"/>
                <w:szCs w:val="16"/>
                <w:color w:val="auto"/>
              </w:rPr>
              <w:t>Other indebtedness</w:t>
            </w:r>
          </w:p>
        </w:tc>
        <w:tc>
          <w:tcPr>
            <w:tcW w:w="28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81"/>
              <w:spacing w:after="0"/>
              <w:rPr>
                <w:sz w:val="20"/>
                <w:szCs w:val="20"/>
                <w:color w:val="auto"/>
              </w:rPr>
            </w:pPr>
            <w:r>
              <w:rPr>
                <w:rFonts w:ascii="Arial" w:cs="Arial" w:eastAsia="Arial" w:hAnsi="Arial"/>
                <w:sz w:val="16"/>
                <w:szCs w:val="16"/>
                <w:b w:val="1"/>
                <w:bCs w:val="1"/>
                <w:color w:val="auto"/>
              </w:rPr>
              <w:t>109</w:t>
            </w:r>
          </w:p>
        </w:tc>
        <w:tc>
          <w:tcPr>
            <w:tcW w:w="32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1,479</w:t>
            </w:r>
          </w:p>
        </w:tc>
        <w:tc>
          <w:tcPr>
            <w:tcW w:w="0" w:type="dxa"/>
            <w:vAlign w:val="bottom"/>
          </w:tcPr>
          <w:p>
            <w:pPr>
              <w:spacing w:after="0"/>
              <w:rPr>
                <w:sz w:val="1"/>
                <w:szCs w:val="1"/>
                <w:color w:val="auto"/>
              </w:rPr>
            </w:pPr>
          </w:p>
        </w:tc>
      </w:tr>
      <w:tr>
        <w:trPr>
          <w:trHeight w:val="251"/>
        </w:trPr>
        <w:tc>
          <w:tcPr>
            <w:tcW w:w="9020" w:type="dxa"/>
            <w:vAlign w:val="bottom"/>
          </w:tcPr>
          <w:p>
            <w:pPr>
              <w:ind w:left="40"/>
              <w:spacing w:after="0"/>
              <w:rPr>
                <w:sz w:val="20"/>
                <w:szCs w:val="20"/>
                <w:color w:val="auto"/>
              </w:rPr>
            </w:pPr>
            <w:r>
              <w:rPr>
                <w:rFonts w:ascii="Arial" w:cs="Arial" w:eastAsia="Arial" w:hAnsi="Arial"/>
                <w:sz w:val="16"/>
                <w:szCs w:val="16"/>
                <w:b w:val="1"/>
                <w:bCs w:val="1"/>
                <w:color w:val="auto"/>
              </w:rPr>
              <w:t>Total Debt</w:t>
            </w:r>
          </w:p>
        </w:tc>
        <w:tc>
          <w:tcPr>
            <w:tcW w:w="280" w:type="dxa"/>
            <w:vAlign w:val="bottom"/>
          </w:tcPr>
          <w:p>
            <w:pPr>
              <w:spacing w:after="0"/>
              <w:rPr>
                <w:sz w:val="21"/>
                <w:szCs w:val="21"/>
                <w:color w:val="auto"/>
              </w:rPr>
            </w:pPr>
          </w:p>
        </w:tc>
        <w:tc>
          <w:tcPr>
            <w:tcW w:w="920" w:type="dxa"/>
            <w:vAlign w:val="bottom"/>
          </w:tcPr>
          <w:p>
            <w:pPr>
              <w:jc w:val="right"/>
              <w:ind w:right="81"/>
              <w:spacing w:after="0"/>
              <w:rPr>
                <w:sz w:val="20"/>
                <w:szCs w:val="20"/>
                <w:color w:val="auto"/>
              </w:rPr>
            </w:pPr>
            <w:r>
              <w:rPr>
                <w:rFonts w:ascii="Arial" w:cs="Arial" w:eastAsia="Arial" w:hAnsi="Arial"/>
                <w:sz w:val="16"/>
                <w:szCs w:val="16"/>
                <w:b w:val="1"/>
                <w:bCs w:val="1"/>
                <w:color w:val="auto"/>
              </w:rPr>
              <w:t>493,287</w:t>
            </w:r>
          </w:p>
        </w:tc>
        <w:tc>
          <w:tcPr>
            <w:tcW w:w="320" w:type="dxa"/>
            <w:vAlign w:val="bottom"/>
          </w:tcPr>
          <w:p>
            <w:pPr>
              <w:spacing w:after="0"/>
              <w:rPr>
                <w:sz w:val="21"/>
                <w:szCs w:val="21"/>
                <w:color w:val="auto"/>
              </w:rPr>
            </w:pPr>
          </w:p>
        </w:tc>
        <w:tc>
          <w:tcPr>
            <w:tcW w:w="880" w:type="dxa"/>
            <w:vAlign w:val="bottom"/>
          </w:tcPr>
          <w:p>
            <w:pPr>
              <w:jc w:val="right"/>
              <w:ind w:right="20"/>
              <w:spacing w:after="0"/>
              <w:rPr>
                <w:sz w:val="20"/>
                <w:szCs w:val="20"/>
                <w:color w:val="auto"/>
              </w:rPr>
            </w:pPr>
            <w:r>
              <w:rPr>
                <w:rFonts w:ascii="Arial" w:cs="Arial" w:eastAsia="Arial" w:hAnsi="Arial"/>
                <w:sz w:val="16"/>
                <w:szCs w:val="16"/>
                <w:color w:val="auto"/>
              </w:rPr>
              <w:t>491,847</w:t>
            </w:r>
          </w:p>
        </w:tc>
        <w:tc>
          <w:tcPr>
            <w:tcW w:w="0" w:type="dxa"/>
            <w:vAlign w:val="bottom"/>
          </w:tcPr>
          <w:p>
            <w:pPr>
              <w:spacing w:after="0"/>
              <w:rPr>
                <w:sz w:val="1"/>
                <w:szCs w:val="1"/>
                <w:color w:val="auto"/>
              </w:rPr>
            </w:pPr>
          </w:p>
        </w:tc>
      </w:tr>
      <w:tr>
        <w:trPr>
          <w:trHeight w:val="283"/>
        </w:trPr>
        <w:tc>
          <w:tcPr>
            <w:tcW w:w="9020" w:type="dxa"/>
            <w:vAlign w:val="bottom"/>
          </w:tcPr>
          <w:p>
            <w:pPr>
              <w:ind w:left="40"/>
              <w:spacing w:after="0"/>
              <w:rPr>
                <w:sz w:val="20"/>
                <w:szCs w:val="20"/>
                <w:color w:val="auto"/>
              </w:rPr>
            </w:pPr>
            <w:r>
              <w:rPr>
                <w:rFonts w:ascii="Arial" w:cs="Arial" w:eastAsia="Arial" w:hAnsi="Arial"/>
                <w:sz w:val="16"/>
                <w:szCs w:val="16"/>
                <w:color w:val="auto"/>
              </w:rPr>
              <w:t>Less: current portion</w:t>
            </w:r>
          </w:p>
        </w:tc>
        <w:tc>
          <w:tcPr>
            <w:tcW w:w="28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jc w:val="right"/>
              <w:ind w:right="21"/>
              <w:spacing w:after="0"/>
              <w:rPr>
                <w:sz w:val="20"/>
                <w:szCs w:val="20"/>
                <w:color w:val="auto"/>
              </w:rPr>
            </w:pPr>
            <w:r>
              <w:rPr>
                <w:rFonts w:ascii="Arial" w:cs="Arial" w:eastAsia="Arial" w:hAnsi="Arial"/>
                <w:sz w:val="16"/>
                <w:szCs w:val="16"/>
                <w:b w:val="1"/>
                <w:bCs w:val="1"/>
                <w:color w:val="auto"/>
              </w:rPr>
              <w:t>(6,726)</w:t>
            </w:r>
          </w:p>
        </w:tc>
        <w:tc>
          <w:tcPr>
            <w:tcW w:w="32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(6,128)</w:t>
            </w:r>
          </w:p>
        </w:tc>
        <w:tc>
          <w:tcPr>
            <w:tcW w:w="0" w:type="dxa"/>
            <w:vAlign w:val="bottom"/>
          </w:tcPr>
          <w:p>
            <w:pPr>
              <w:spacing w:after="0"/>
              <w:rPr>
                <w:sz w:val="1"/>
                <w:szCs w:val="1"/>
                <w:color w:val="auto"/>
              </w:rPr>
            </w:pPr>
          </w:p>
        </w:tc>
      </w:tr>
      <w:tr>
        <w:trPr>
          <w:trHeight w:val="264"/>
        </w:trPr>
        <w:tc>
          <w:tcPr>
            <w:tcW w:w="9020" w:type="dxa"/>
            <w:vAlign w:val="bottom"/>
          </w:tcPr>
          <w:p>
            <w:pPr>
              <w:ind w:left="40"/>
              <w:spacing w:after="0"/>
              <w:rPr>
                <w:sz w:val="20"/>
                <w:szCs w:val="20"/>
                <w:color w:val="auto"/>
              </w:rPr>
            </w:pPr>
            <w:r>
              <w:rPr>
                <w:rFonts w:ascii="Arial" w:cs="Arial" w:eastAsia="Arial" w:hAnsi="Arial"/>
                <w:sz w:val="16"/>
                <w:szCs w:val="16"/>
                <w:b w:val="1"/>
                <w:bCs w:val="1"/>
                <w:color w:val="auto"/>
              </w:rPr>
              <w:t>Total Long-Term Debt</w:t>
            </w:r>
          </w:p>
        </w:tc>
        <w:tc>
          <w:tcPr>
            <w:tcW w:w="28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b w:val="1"/>
                <w:bCs w:val="1"/>
                <w:color w:val="auto"/>
              </w:rPr>
              <w:t>$</w:t>
            </w:r>
          </w:p>
        </w:tc>
        <w:tc>
          <w:tcPr>
            <w:tcW w:w="920" w:type="dxa"/>
            <w:vAlign w:val="bottom"/>
            <w:tcBorders>
              <w:bottom w:val="single" w:sz="8" w:color="auto"/>
            </w:tcBorders>
          </w:tcPr>
          <w:p>
            <w:pPr>
              <w:jc w:val="right"/>
              <w:ind w:right="81"/>
              <w:spacing w:after="0"/>
              <w:rPr>
                <w:sz w:val="20"/>
                <w:szCs w:val="20"/>
                <w:color w:val="auto"/>
              </w:rPr>
            </w:pPr>
            <w:r>
              <w:rPr>
                <w:rFonts w:ascii="Arial" w:cs="Arial" w:eastAsia="Arial" w:hAnsi="Arial"/>
                <w:sz w:val="16"/>
                <w:szCs w:val="16"/>
                <w:b w:val="1"/>
                <w:bCs w:val="1"/>
                <w:color w:val="auto"/>
              </w:rPr>
              <w:t>486,561</w:t>
            </w:r>
          </w:p>
        </w:tc>
        <w:tc>
          <w:tcPr>
            <w:tcW w:w="32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w:t>
            </w:r>
          </w:p>
        </w:tc>
        <w:tc>
          <w:tcPr>
            <w:tcW w:w="88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485,719</w:t>
            </w:r>
          </w:p>
        </w:tc>
        <w:tc>
          <w:tcPr>
            <w:tcW w:w="0" w:type="dxa"/>
            <w:vAlign w:val="bottom"/>
          </w:tcPr>
          <w:p>
            <w:pPr>
              <w:spacing w:after="0"/>
              <w:rPr>
                <w:sz w:val="1"/>
                <w:szCs w:val="1"/>
                <w:color w:val="auto"/>
              </w:rPr>
            </w:pPr>
          </w:p>
        </w:tc>
      </w:tr>
      <w:tr>
        <w:trPr>
          <w:trHeight w:val="20"/>
        </w:trPr>
        <w:tc>
          <w:tcPr>
            <w:tcW w:w="9020" w:type="dxa"/>
            <w:vAlign w:val="bottom"/>
            <w:vMerge w:val="restart"/>
          </w:tcPr>
          <w:p>
            <w:pPr>
              <w:spacing w:after="0"/>
              <w:rPr>
                <w:sz w:val="20"/>
                <w:szCs w:val="20"/>
                <w:color w:val="auto"/>
              </w:rPr>
            </w:pPr>
            <w:r>
              <w:rPr>
                <w:rFonts w:ascii="Arial" w:cs="Arial" w:eastAsia="Arial" w:hAnsi="Arial"/>
                <w:sz w:val="11"/>
                <w:szCs w:val="11"/>
                <w:color w:val="auto"/>
              </w:rPr>
              <w:t>____________</w:t>
            </w:r>
          </w:p>
        </w:tc>
        <w:tc>
          <w:tcPr>
            <w:tcW w:w="2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0"/>
        </w:trPr>
        <w:tc>
          <w:tcPr>
            <w:tcW w:w="9020" w:type="dxa"/>
            <w:vAlign w:val="bottom"/>
            <w:vMerge w:val="continue"/>
          </w:tcPr>
          <w:p>
            <w:pPr>
              <w:spacing w:after="0"/>
              <w:rPr>
                <w:sz w:val="12"/>
                <w:szCs w:val="12"/>
                <w:color w:val="auto"/>
              </w:rPr>
            </w:pPr>
          </w:p>
        </w:tc>
        <w:tc>
          <w:tcPr>
            <w:tcW w:w="28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0" w:type="dxa"/>
            <w:vAlign w:val="bottom"/>
          </w:tcPr>
          <w:p>
            <w:pPr>
              <w:spacing w:after="0"/>
              <w:rPr>
                <w:sz w:val="1"/>
                <w:szCs w:val="1"/>
                <w:color w:val="auto"/>
              </w:rPr>
            </w:pPr>
          </w:p>
        </w:tc>
      </w:tr>
    </w:tbl>
    <w:p>
      <w:pPr>
        <w:spacing w:after="0" w:line="192" w:lineRule="exact"/>
        <w:rPr>
          <w:sz w:val="20"/>
          <w:szCs w:val="20"/>
          <w:color w:val="auto"/>
        </w:rPr>
      </w:pPr>
    </w:p>
    <w:p>
      <w:pPr>
        <w:ind w:left="260" w:hanging="252"/>
        <w:spacing w:after="0"/>
        <w:tabs>
          <w:tab w:leader="none" w:pos="260" w:val="left"/>
        </w:tabs>
        <w:numPr>
          <w:ilvl w:val="0"/>
          <w:numId w:val="72"/>
        </w:numPr>
        <w:rPr>
          <w:rFonts w:ascii="Arial" w:cs="Arial" w:eastAsia="Arial" w:hAnsi="Arial"/>
          <w:sz w:val="13"/>
          <w:szCs w:val="13"/>
          <w:color w:val="auto"/>
        </w:rPr>
      </w:pPr>
      <w:r>
        <w:rPr>
          <w:rFonts w:ascii="Arial" w:cs="Arial" w:eastAsia="Arial" w:hAnsi="Arial"/>
          <w:sz w:val="13"/>
          <w:szCs w:val="13"/>
          <w:color w:val="auto"/>
        </w:rPr>
        <w:t>The carrying value is net of $0.1 million of unamortized debt issuance costs as of December 31, 2016.</w:t>
      </w:r>
    </w:p>
    <w:p>
      <w:pPr>
        <w:spacing w:after="0" w:line="39" w:lineRule="exact"/>
        <w:rPr>
          <w:rFonts w:ascii="Arial" w:cs="Arial" w:eastAsia="Arial" w:hAnsi="Arial"/>
          <w:sz w:val="13"/>
          <w:szCs w:val="13"/>
          <w:color w:val="auto"/>
        </w:rPr>
      </w:pPr>
    </w:p>
    <w:p>
      <w:pPr>
        <w:ind w:left="260" w:hanging="252"/>
        <w:spacing w:after="0"/>
        <w:tabs>
          <w:tab w:leader="none" w:pos="260" w:val="left"/>
        </w:tabs>
        <w:numPr>
          <w:ilvl w:val="0"/>
          <w:numId w:val="72"/>
        </w:numPr>
        <w:rPr>
          <w:rFonts w:ascii="Arial" w:cs="Arial" w:eastAsia="Arial" w:hAnsi="Arial"/>
          <w:sz w:val="13"/>
          <w:szCs w:val="13"/>
          <w:color w:val="auto"/>
        </w:rPr>
      </w:pPr>
      <w:r>
        <w:rPr>
          <w:rFonts w:ascii="Arial" w:cs="Arial" w:eastAsia="Arial" w:hAnsi="Arial"/>
          <w:sz w:val="13"/>
          <w:szCs w:val="13"/>
          <w:color w:val="auto"/>
        </w:rPr>
        <w:t>The carrying value is net of $0.4 million and $0.5 million of unamortized debt issuance costs as of December 31, 2017 and 2016, respectively.</w:t>
      </w:r>
    </w:p>
    <w:p>
      <w:pPr>
        <w:spacing w:after="0" w:line="139" w:lineRule="exact"/>
        <w:rPr>
          <w:sz w:val="20"/>
          <w:szCs w:val="20"/>
          <w:color w:val="auto"/>
        </w:rPr>
      </w:pPr>
    </w:p>
    <w:p>
      <w:pPr>
        <w:spacing w:after="0" w:line="229" w:lineRule="auto"/>
        <w:rPr>
          <w:sz w:val="20"/>
          <w:szCs w:val="20"/>
          <w:color w:val="auto"/>
        </w:rPr>
      </w:pPr>
      <w:r>
        <w:rPr>
          <w:rFonts w:ascii="Arial" w:cs="Arial" w:eastAsia="Arial" w:hAnsi="Arial"/>
          <w:sz w:val="18"/>
          <w:szCs w:val="18"/>
          <w:color w:val="auto"/>
        </w:rPr>
        <w:t>The Company did not borrow funds under its USD revolving credit facility in 2017 or 2016. The Company’s other indebtedness at December 31, 2017, is at an interest rate of 2% and matures in 2026. The Company’s other indebtedness at December 31, 2016, is at interest rates of 2% to 6% and matures between 2019 and 2026.</w:t>
      </w:r>
    </w:p>
    <w:p>
      <w:pPr>
        <w:spacing w:after="0" w:line="231" w:lineRule="exact"/>
        <w:rPr>
          <w:sz w:val="20"/>
          <w:szCs w:val="20"/>
          <w:color w:val="auto"/>
        </w:rPr>
      </w:pPr>
    </w:p>
    <w:p>
      <w:pPr>
        <w:ind w:right="20"/>
        <w:spacing w:after="0" w:line="251" w:lineRule="auto"/>
        <w:rPr>
          <w:sz w:val="20"/>
          <w:szCs w:val="20"/>
          <w:color w:val="auto"/>
        </w:rPr>
      </w:pPr>
      <w:r>
        <w:rPr>
          <w:rFonts w:ascii="Arial" w:cs="Arial" w:eastAsia="Arial" w:hAnsi="Arial"/>
          <w:sz w:val="18"/>
          <w:szCs w:val="18"/>
          <w:color w:val="auto"/>
        </w:rPr>
        <w:t>On July 14, 2016, Kaplan entered into a credit agreement (the Kaplan Credit Agreement) among Kaplan International Holdings Limited, as borrower, the lenders party thereto, HSBC BANK PLC as Facility Agent, and other agents party thereto. The Kaplan Credit Agreement provides for a four-year credit facility in an aggregate principal amount of £75 million. Borrowings bear interest at a rate per annum of LIBOR plus an applicable interest rate margin between 1.25% and 1.75%, in each case determined on a quarterly basis by reference to a pricing grid based upon the Company’s total leverage ratio. The Kaplan Credit Agreement requires that 6.66% of the amount of the loan be repaid on the first three anniversaries of funding, with the remaining balance due on July 1, 2020. The Kaplan Credit Agreement contains terms and conditions, including remedies in the event of a default by the Company, typical of facilities of this type and requires the Company to maintain a leverage ratio of not greater than 3.5 to 1.0 and a consolidated interest coverage ratio of at least 3.5 to 1.0 based upon the ratio of consolidated adjusted EBITDA to consolidated interest expense as determined pursuant to the Kaplan Credit Agreement. As of December 31, 2017, the Company is in compliance with all financial covenants.</w:t>
      </w:r>
    </w:p>
    <w:p>
      <w:pPr>
        <w:spacing w:after="0" w:line="158" w:lineRule="exact"/>
        <w:rPr>
          <w:sz w:val="20"/>
          <w:szCs w:val="20"/>
          <w:color w:val="auto"/>
        </w:rPr>
      </w:pPr>
    </w:p>
    <w:p>
      <w:pPr>
        <w:ind w:right="360"/>
        <w:spacing w:after="0" w:line="262" w:lineRule="auto"/>
        <w:rPr>
          <w:sz w:val="20"/>
          <w:szCs w:val="20"/>
          <w:color w:val="auto"/>
        </w:rPr>
      </w:pPr>
      <w:r>
        <w:rPr>
          <w:rFonts w:ascii="Arial" w:cs="Arial" w:eastAsia="Arial" w:hAnsi="Arial"/>
          <w:sz w:val="18"/>
          <w:szCs w:val="18"/>
          <w:color w:val="auto"/>
        </w:rPr>
        <w:t>On July 25, 2016, Kaplan borrowed £75 million under the Kaplan Credit Agreement. On the same date, Kaplan entered into an interest rate swap agreement with a total notional value of £75 million and a maturity date of July 1,</w:t>
      </w:r>
    </w:p>
    <w:p>
      <w:pPr>
        <w:sectPr>
          <w:pgSz w:w="11900" w:h="16838" w:orient="portrait"/>
          <w:cols w:equalWidth="0" w:num="1">
            <w:col w:w="11420"/>
          </w:cols>
          <w:pgMar w:left="240" w:top="746" w:right="239" w:bottom="1440" w:gutter="0" w:footer="0" w:header="0"/>
          <w:type w:val="continuous"/>
        </w:sectPr>
      </w:pPr>
    </w:p>
    <w:p>
      <w:pPr>
        <w:spacing w:after="0" w:line="200" w:lineRule="exact"/>
        <w:rPr>
          <w:sz w:val="20"/>
          <w:szCs w:val="20"/>
          <w:color w:val="auto"/>
        </w:rPr>
      </w:pPr>
    </w:p>
    <w:p>
      <w:pPr>
        <w:spacing w:after="0" w:line="212"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96</w:t>
      </w:r>
    </w:p>
    <w:p>
      <w:pPr>
        <w:sectPr>
          <w:pgSz w:w="11900" w:h="16838" w:orient="portrait"/>
          <w:cols w:equalWidth="0" w:num="1">
            <w:col w:w="11420"/>
          </w:cols>
          <w:pgMar w:left="240" w:top="746" w:right="239" w:bottom="1440" w:gutter="0" w:footer="0" w:header="0"/>
          <w:type w:val="continuous"/>
        </w:sectPr>
      </w:pPr>
    </w:p>
    <w:bookmarkStart w:id="99" w:name="page100"/>
    <w:bookmarkEnd w:id="99"/>
    <w:p>
      <w:pPr>
        <w:spacing w:after="0" w:line="252" w:lineRule="auto"/>
        <w:rPr>
          <w:sz w:val="20"/>
          <w:szCs w:val="20"/>
          <w:color w:val="auto"/>
        </w:rPr>
      </w:pPr>
      <w:r>
        <w:rPr>
          <w:rFonts w:ascii="Arial" w:cs="Arial" w:eastAsia="Arial" w:hAnsi="Arial"/>
          <w:sz w:val="18"/>
          <w:szCs w:val="18"/>
          <w:color w:val="auto"/>
        </w:rPr>
        <w:t>2020. The interest rate swap agreement will pay Kaplan variable interest on the £75 million notional amount at the three-month LIBOR, and Kaplan will pay the counterparties a fixed rate of 0.51%, effectively resulting in a total fixed interest rate of 2.01% on the outstanding borrowings at the current applicable margin of 1.50%. The interest rate swap agreement was entered into to convert the variable rate British pound borrowing under the Kaplan Credit Agreement into a fixed rate borrowing. The Company provided a guarantee on any borrowings under the Kaplan Credit Agreement. Based on the terms of the interest rate swap agreement and the underlying borrowing, the interest rate swap agreement was determined to be effective and thus qualifies as a cash flow hedge. As such, changes in the fair value of the interest rate swap are recorded in other comprehensive income on the accompanying Consolidated Balance Sheets until earnings are affected by the variability of cash flows.</w:t>
      </w:r>
    </w:p>
    <w:p>
      <w:pPr>
        <w:spacing w:after="0" w:line="58" w:lineRule="exact"/>
        <w:rPr>
          <w:sz w:val="20"/>
          <w:szCs w:val="20"/>
          <w:color w:val="auto"/>
        </w:rPr>
      </w:pPr>
    </w:p>
    <w:p>
      <w:pPr>
        <w:ind w:right="60"/>
        <w:spacing w:after="0" w:line="225" w:lineRule="auto"/>
        <w:rPr>
          <w:sz w:val="20"/>
          <w:szCs w:val="20"/>
          <w:color w:val="auto"/>
        </w:rPr>
      </w:pPr>
      <w:r>
        <w:rPr>
          <w:rFonts w:ascii="Arial" w:cs="Arial" w:eastAsia="Arial" w:hAnsi="Arial"/>
          <w:sz w:val="18"/>
          <w:szCs w:val="18"/>
          <w:color w:val="auto"/>
        </w:rPr>
        <w:t>In January 2009, the Company issued $400 million in unsecured ten-year fixed-rate notes due February 1, 2019 (the Notes). The Notes have a coupon rate of 7.25% per annum, payable semiannually on February 1 and August 1. Under the terms of the Notes, unless the Company has exercised its right to redeem the Notes, the Company is required to offer to repurchase the Notes in cash at 101% of the principal amount, plus accrued and unpaid interest, upon the occurrence of both a Change of Control and Below Investment Grade Rating Events as described in the Prospectus Supplement of January 27, 2009.</w:t>
      </w:r>
    </w:p>
    <w:p>
      <w:pPr>
        <w:spacing w:after="0" w:line="137" w:lineRule="exact"/>
        <w:rPr>
          <w:sz w:val="20"/>
          <w:szCs w:val="20"/>
          <w:color w:val="auto"/>
        </w:rPr>
      </w:pPr>
    </w:p>
    <w:p>
      <w:pPr>
        <w:ind w:right="160"/>
        <w:spacing w:after="0" w:line="235" w:lineRule="auto"/>
        <w:rPr>
          <w:sz w:val="20"/>
          <w:szCs w:val="20"/>
          <w:color w:val="auto"/>
        </w:rPr>
      </w:pPr>
      <w:r>
        <w:rPr>
          <w:rFonts w:ascii="Arial" w:cs="Arial" w:eastAsia="Arial" w:hAnsi="Arial"/>
          <w:sz w:val="18"/>
          <w:szCs w:val="18"/>
          <w:color w:val="auto"/>
        </w:rPr>
        <w:t>In June 2015, Cable ONE issued $550 million in debt. With the Cable ONE spin-off effective on July 1, 2015, the Cable ONE debt is no longer an obligation of the Company.</w:t>
      </w:r>
    </w:p>
    <w:p>
      <w:pPr>
        <w:spacing w:after="0" w:line="135" w:lineRule="exact"/>
        <w:rPr>
          <w:sz w:val="20"/>
          <w:szCs w:val="20"/>
          <w:color w:val="auto"/>
        </w:rPr>
      </w:pPr>
    </w:p>
    <w:p>
      <w:pPr>
        <w:ind w:right="20"/>
        <w:spacing w:after="0" w:line="219" w:lineRule="auto"/>
        <w:rPr>
          <w:sz w:val="20"/>
          <w:szCs w:val="20"/>
          <w:color w:val="auto"/>
        </w:rPr>
      </w:pPr>
      <w:r>
        <w:rPr>
          <w:rFonts w:ascii="Arial" w:cs="Arial" w:eastAsia="Arial" w:hAnsi="Arial"/>
          <w:sz w:val="18"/>
          <w:szCs w:val="18"/>
          <w:color w:val="auto"/>
        </w:rPr>
        <w:t>On June 29, 2015, the Company entered into a credit agreement (the Credit Agreement) providing for a U.S. $200 million five-year revolving credit facility (the Facility) with each of the lenders party thereto, Wells Fargo Bank, National Association as Administrative Agent (Wells Fargo), JPMorgan Chase Bank, N.A., as Syndication Agent, and HSBC Bank USA, National Association, as Documentation Agent (the Credit Agreement). The Company is required to pay a commitment fee on a quarterly basis, based on the Company’s leverage ratio, of between 0.15% and 0.25% of the amount of the Facility. Any borrowings are made on an unsecured basis and bear interest at the Company’s</w:t>
      </w:r>
    </w:p>
    <w:p>
      <w:pPr>
        <w:spacing w:after="0" w:line="1" w:lineRule="exact"/>
        <w:rPr>
          <w:sz w:val="20"/>
          <w:szCs w:val="20"/>
          <w:color w:val="auto"/>
        </w:rPr>
      </w:pPr>
    </w:p>
    <w:p>
      <w:pPr>
        <w:ind w:right="40"/>
        <w:spacing w:after="0" w:line="222" w:lineRule="auto"/>
        <w:rPr>
          <w:sz w:val="20"/>
          <w:szCs w:val="20"/>
          <w:color w:val="auto"/>
        </w:rPr>
      </w:pPr>
      <w:r>
        <w:rPr>
          <w:rFonts w:ascii="Arial" w:cs="Arial" w:eastAsia="Arial" w:hAnsi="Arial"/>
          <w:sz w:val="18"/>
          <w:szCs w:val="18"/>
          <w:color w:val="auto"/>
        </w:rPr>
        <w:t>option, either at (a) a fluctuating interest rate equal to the highest of Wells Fargo’s prime rate, 0.50 percent above the Federal funds rate or the one-month Eurodollar rate plus 1%, or (b) the Eurodollar rate for the applicable interest period as defined in the Credit Agreement, which is generally a periodic rate equal to LIBOR, in each case plus an applicable margin that depends on the Company’s consolidated debt to consolidated adjusted EBITDA (as determined pursuant to the Credit Agreement, “leverage ratio”). The Company may draw on the Facility for general corporate purposes. The Facility will expire on July 1, 2020, unless the Company and the banks agree to extend the term. Any outstanding borrowings must be repaid on or prior to the final termination date. The Credit Agreement contains terms and conditions, including remedies in the event of a default by the Company, typical of facilities of this type and requires the Company to maintain a leverage ratio of not greater than 3.5 to 1.0 and a consolidated interest coverage ratio of at least 3.5 to 1.0 based upon the ratio of consolidated adjusted EBITDA to consolidated interest expense as determined pursuant to the Credit Agreement. As of December 31, 2017, the Company is in compliance with all financial covenants.</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color w:val="auto"/>
        </w:rPr>
        <w:t>During 2017 and 2016, the Company had average borrowings outstanding of approximately $493.2 million and $443.9 million, respectively, at</w:t>
      </w:r>
    </w:p>
    <w:p>
      <w:pPr>
        <w:spacing w:after="0" w:line="219" w:lineRule="auto"/>
        <w:rPr>
          <w:sz w:val="20"/>
          <w:szCs w:val="20"/>
          <w:color w:val="auto"/>
        </w:rPr>
      </w:pPr>
      <w:r>
        <w:rPr>
          <w:rFonts w:ascii="Arial" w:cs="Arial" w:eastAsia="Arial" w:hAnsi="Arial"/>
          <w:sz w:val="18"/>
          <w:szCs w:val="18"/>
          <w:color w:val="auto"/>
        </w:rPr>
        <w:t>average annual interest rates of approximately 6.3% and 6.7%, respectively. The Company incurred net interest expense of $27.3 million,</w:t>
      </w:r>
    </w:p>
    <w:p>
      <w:pPr>
        <w:spacing w:after="0" w:line="219" w:lineRule="auto"/>
        <w:rPr>
          <w:sz w:val="20"/>
          <w:szCs w:val="20"/>
          <w:color w:val="auto"/>
        </w:rPr>
      </w:pPr>
      <w:r>
        <w:rPr>
          <w:rFonts w:ascii="Arial" w:cs="Arial" w:eastAsia="Arial" w:hAnsi="Arial"/>
          <w:sz w:val="18"/>
          <w:szCs w:val="18"/>
          <w:color w:val="auto"/>
        </w:rPr>
        <w:t>$32.3 million and $30.7 million during 2017, 2016 and 2015, respectively. The Company recorded interest income of $2.3 million and interest</w:t>
      </w:r>
    </w:p>
    <w:p>
      <w:pPr>
        <w:spacing w:after="0" w:line="219" w:lineRule="auto"/>
        <w:rPr>
          <w:sz w:val="20"/>
          <w:szCs w:val="20"/>
          <w:color w:val="auto"/>
        </w:rPr>
      </w:pPr>
      <w:r>
        <w:rPr>
          <w:rFonts w:ascii="Arial" w:cs="Arial" w:eastAsia="Arial" w:hAnsi="Arial"/>
          <w:sz w:val="18"/>
          <w:szCs w:val="18"/>
          <w:color w:val="auto"/>
        </w:rPr>
        <w:t>expense of $2.7 million for the years ended December 31, 2017 and 2016, respectively, to adjust the fair value of the mandatorily redeemable</w:t>
      </w:r>
    </w:p>
    <w:p>
      <w:pPr>
        <w:spacing w:after="0" w:line="219" w:lineRule="auto"/>
        <w:rPr>
          <w:sz w:val="20"/>
          <w:szCs w:val="20"/>
          <w:color w:val="auto"/>
        </w:rPr>
      </w:pPr>
      <w:r>
        <w:rPr>
          <w:rFonts w:ascii="Arial" w:cs="Arial" w:eastAsia="Arial" w:hAnsi="Arial"/>
          <w:sz w:val="18"/>
          <w:szCs w:val="18"/>
          <w:color w:val="auto"/>
        </w:rPr>
        <w:t>noncontrolling interest (see Note 3). The fair value of the mandatorily redeemable noncontrolling interest is based on an EBITDA multiple,</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adjusted for working capital and other items, which approximates fair value (Level 3 fair value assessment).</w:t>
      </w:r>
    </w:p>
    <w:p>
      <w:pPr>
        <w:spacing w:after="0" w:line="144" w:lineRule="exact"/>
        <w:rPr>
          <w:sz w:val="20"/>
          <w:szCs w:val="20"/>
          <w:color w:val="auto"/>
        </w:rPr>
      </w:pPr>
    </w:p>
    <w:p>
      <w:pPr>
        <w:jc w:val="both"/>
        <w:ind w:right="200"/>
        <w:spacing w:after="0" w:line="229" w:lineRule="auto"/>
        <w:rPr>
          <w:sz w:val="20"/>
          <w:szCs w:val="20"/>
          <w:color w:val="auto"/>
        </w:rPr>
      </w:pPr>
      <w:r>
        <w:rPr>
          <w:rFonts w:ascii="Arial" w:cs="Arial" w:eastAsia="Arial" w:hAnsi="Arial"/>
          <w:sz w:val="18"/>
          <w:szCs w:val="18"/>
          <w:color w:val="auto"/>
        </w:rPr>
        <w:t>At December 31, 2017 and 2016, the fair value of the Company’s 7.25% unsecured notes, based on quoted market prices (Level 2 fair value assessment), totaled $414.7 million and $438.7 million, respectively, compared with the carrying amount of $399.5 million and $399.1 million. The carrying value of the Company’s other unsecured debt at December 31, 2017, approximates fair value.</w:t>
      </w:r>
    </w:p>
    <w:p>
      <w:pPr>
        <w:spacing w:after="0" w:line="200" w:lineRule="exact"/>
        <w:rPr>
          <w:sz w:val="20"/>
          <w:szCs w:val="20"/>
          <w:color w:val="auto"/>
        </w:rPr>
      </w:pPr>
    </w:p>
    <w:p>
      <w:pPr>
        <w:spacing w:after="0" w:line="30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97</w:t>
      </w:r>
    </w:p>
    <w:p>
      <w:pPr>
        <w:sectPr>
          <w:pgSz w:w="11900" w:h="16838" w:orient="portrait"/>
          <w:cols w:equalWidth="0" w:num="1">
            <w:col w:w="11420"/>
          </w:cols>
          <w:pgMar w:left="240" w:top="841" w:right="239" w:bottom="1440" w:gutter="0" w:footer="0" w:header="0"/>
        </w:sectPr>
      </w:pPr>
    </w:p>
    <w:bookmarkStart w:id="100" w:name="page101"/>
    <w:bookmarkEnd w:id="100"/>
    <w:p>
      <w:pPr>
        <w:ind w:left="500" w:hanging="492"/>
        <w:spacing w:after="0"/>
        <w:tabs>
          <w:tab w:leader="none" w:pos="500" w:val="left"/>
        </w:tabs>
        <w:numPr>
          <w:ilvl w:val="0"/>
          <w:numId w:val="73"/>
        </w:numPr>
        <w:rPr>
          <w:rFonts w:ascii="Arial" w:cs="Arial" w:eastAsia="Arial" w:hAnsi="Arial"/>
          <w:sz w:val="18"/>
          <w:szCs w:val="18"/>
          <w:b w:val="1"/>
          <w:bCs w:val="1"/>
          <w:color w:val="auto"/>
        </w:rPr>
      </w:pPr>
      <w:r>
        <w:rPr>
          <w:rFonts w:ascii="Arial" w:cs="Arial" w:eastAsia="Arial" w:hAnsi="Arial"/>
          <w:sz w:val="18"/>
          <w:szCs w:val="18"/>
          <w:b w:val="1"/>
          <w:bCs w:val="1"/>
          <w:color w:val="auto"/>
        </w:rPr>
        <w:t>FAIR VALUE MEASUREMENTS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color w:val="auto"/>
        </w:rPr>
        <w:t>The Company’s financial assets and liabilities measured at fair value on a recurring basis were as follows:</w:t>
      </w:r>
    </w:p>
    <w:p>
      <w:pPr>
        <w:spacing w:after="0" w:line="199"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652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2180" w:type="dxa"/>
            <w:vAlign w:val="bottom"/>
            <w:tcBorders>
              <w:bottom w:val="single" w:sz="8" w:color="auto"/>
            </w:tcBorders>
            <w:gridSpan w:val="3"/>
          </w:tcPr>
          <w:p>
            <w:pPr>
              <w:ind w:left="120"/>
              <w:spacing w:after="0"/>
              <w:rPr>
                <w:sz w:val="20"/>
                <w:szCs w:val="20"/>
                <w:color w:val="auto"/>
              </w:rPr>
            </w:pPr>
            <w:r>
              <w:rPr>
                <w:rFonts w:ascii="Arial" w:cs="Arial" w:eastAsia="Arial" w:hAnsi="Arial"/>
                <w:sz w:val="14"/>
                <w:szCs w:val="14"/>
                <w:b w:val="1"/>
                <w:bCs w:val="1"/>
                <w:color w:val="auto"/>
              </w:rPr>
              <w:t>As of December 31, 2017</w:t>
            </w:r>
          </w:p>
        </w:tc>
        <w:tc>
          <w:tcPr>
            <w:tcW w:w="34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64"/>
        </w:trPr>
        <w:tc>
          <w:tcPr>
            <w:tcW w:w="652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(in thousands)</w:t>
            </w:r>
          </w:p>
        </w:tc>
        <w:tc>
          <w:tcPr>
            <w:tcW w:w="22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280"/>
              <w:spacing w:after="0"/>
              <w:rPr>
                <w:sz w:val="20"/>
                <w:szCs w:val="20"/>
                <w:color w:val="auto"/>
              </w:rPr>
            </w:pPr>
            <w:r>
              <w:rPr>
                <w:rFonts w:ascii="Arial" w:cs="Arial" w:eastAsia="Arial" w:hAnsi="Arial"/>
                <w:sz w:val="14"/>
                <w:szCs w:val="14"/>
                <w:b w:val="1"/>
                <w:bCs w:val="1"/>
                <w:color w:val="auto"/>
              </w:rPr>
              <w:t>Level 1</w:t>
            </w:r>
          </w:p>
        </w:tc>
        <w:tc>
          <w:tcPr>
            <w:tcW w:w="32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ind w:left="100"/>
              <w:spacing w:after="0"/>
              <w:rPr>
                <w:sz w:val="20"/>
                <w:szCs w:val="20"/>
                <w:color w:val="auto"/>
              </w:rPr>
            </w:pPr>
            <w:r>
              <w:rPr>
                <w:rFonts w:ascii="Arial" w:cs="Arial" w:eastAsia="Arial" w:hAnsi="Arial"/>
                <w:sz w:val="14"/>
                <w:szCs w:val="14"/>
                <w:b w:val="1"/>
                <w:bCs w:val="1"/>
                <w:color w:val="auto"/>
              </w:rPr>
              <w:t>Level 2</w:t>
            </w:r>
          </w:p>
        </w:tc>
        <w:tc>
          <w:tcPr>
            <w:tcW w:w="32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right"/>
              <w:ind w:right="259"/>
              <w:spacing w:after="0"/>
              <w:rPr>
                <w:sz w:val="20"/>
                <w:szCs w:val="20"/>
                <w:color w:val="auto"/>
              </w:rPr>
            </w:pPr>
            <w:r>
              <w:rPr>
                <w:rFonts w:ascii="Arial" w:cs="Arial" w:eastAsia="Arial" w:hAnsi="Arial"/>
                <w:sz w:val="14"/>
                <w:szCs w:val="14"/>
                <w:b w:val="1"/>
                <w:bCs w:val="1"/>
                <w:color w:val="auto"/>
              </w:rPr>
              <w:t>Level 3</w:t>
            </w:r>
          </w:p>
        </w:tc>
        <w:tc>
          <w:tcPr>
            <w:tcW w:w="34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ind w:right="32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250"/>
        </w:trPr>
        <w:tc>
          <w:tcPr>
            <w:tcW w:w="6520" w:type="dxa"/>
            <w:vAlign w:val="bottom"/>
          </w:tcPr>
          <w:p>
            <w:pPr>
              <w:ind w:left="40"/>
              <w:spacing w:after="0"/>
              <w:rPr>
                <w:sz w:val="20"/>
                <w:szCs w:val="20"/>
                <w:color w:val="auto"/>
              </w:rPr>
            </w:pPr>
            <w:r>
              <w:rPr>
                <w:rFonts w:ascii="Arial" w:cs="Arial" w:eastAsia="Arial" w:hAnsi="Arial"/>
                <w:sz w:val="16"/>
                <w:szCs w:val="16"/>
                <w:b w:val="1"/>
                <w:bCs w:val="1"/>
                <w:color w:val="auto"/>
              </w:rPr>
              <w:t>Assets</w:t>
            </w:r>
          </w:p>
        </w:tc>
        <w:tc>
          <w:tcPr>
            <w:tcW w:w="22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326"/>
        </w:trPr>
        <w:tc>
          <w:tcPr>
            <w:tcW w:w="6520" w:type="dxa"/>
            <w:vAlign w:val="bottom"/>
          </w:tcPr>
          <w:p>
            <w:pPr>
              <w:ind w:left="40"/>
              <w:spacing w:after="0"/>
              <w:rPr>
                <w:sz w:val="20"/>
                <w:szCs w:val="20"/>
                <w:color w:val="auto"/>
              </w:rPr>
            </w:pPr>
            <w:r>
              <w:rPr>
                <w:rFonts w:ascii="Arial" w:cs="Arial" w:eastAsia="Arial" w:hAnsi="Arial"/>
                <w:sz w:val="16"/>
                <w:szCs w:val="16"/>
                <w:b w:val="1"/>
                <w:bCs w:val="1"/>
                <w:color w:val="auto"/>
              </w:rPr>
              <w:t>Money market investments</w:t>
            </w:r>
            <w:r>
              <w:rPr>
                <w:rFonts w:ascii="Arial" w:cs="Arial" w:eastAsia="Arial" w:hAnsi="Arial"/>
                <w:sz w:val="21"/>
                <w:szCs w:val="21"/>
                <w:b w:val="1"/>
                <w:bCs w:val="1"/>
                <w:color w:val="auto"/>
                <w:vertAlign w:val="superscript"/>
              </w:rPr>
              <w:t>(1)</w:t>
            </w:r>
          </w:p>
        </w:tc>
        <w:tc>
          <w:tcPr>
            <w:tcW w:w="220" w:type="dxa"/>
            <w:vAlign w:val="bottom"/>
          </w:tcPr>
          <w:p>
            <w:pPr>
              <w:jc w:val="right"/>
              <w:ind w:right="19"/>
              <w:spacing w:after="0"/>
              <w:rPr>
                <w:sz w:val="20"/>
                <w:szCs w:val="20"/>
                <w:color w:val="auto"/>
              </w:rPr>
            </w:pPr>
            <w:r>
              <w:rPr>
                <w:rFonts w:ascii="Arial" w:cs="Arial" w:eastAsia="Arial" w:hAnsi="Arial"/>
                <w:sz w:val="16"/>
                <w:szCs w:val="16"/>
                <w:b w:val="1"/>
                <w:bCs w:val="1"/>
                <w:color w:val="auto"/>
              </w:rPr>
              <w:t>$</w:t>
            </w:r>
          </w:p>
        </w:tc>
        <w:tc>
          <w:tcPr>
            <w:tcW w:w="960" w:type="dxa"/>
            <w:vAlign w:val="bottom"/>
          </w:tcPr>
          <w:p>
            <w:pPr>
              <w:jc w:val="right"/>
              <w:ind w:right="40"/>
              <w:spacing w:after="0"/>
              <w:rPr>
                <w:sz w:val="20"/>
                <w:szCs w:val="20"/>
                <w:color w:val="auto"/>
              </w:rPr>
            </w:pPr>
            <w:r>
              <w:rPr>
                <w:rFonts w:ascii="Arial" w:cs="Arial" w:eastAsia="Arial" w:hAnsi="Arial"/>
                <w:sz w:val="16"/>
                <w:szCs w:val="16"/>
                <w:b w:val="1"/>
                <w:bCs w:val="1"/>
                <w:color w:val="auto"/>
              </w:rPr>
              <w:t>—</w:t>
            </w:r>
          </w:p>
        </w:tc>
        <w:tc>
          <w:tcPr>
            <w:tcW w:w="320" w:type="dxa"/>
            <w:vAlign w:val="bottom"/>
          </w:tcPr>
          <w:p>
            <w:pPr>
              <w:jc w:val="right"/>
              <w:ind w:right="19"/>
              <w:spacing w:after="0"/>
              <w:rPr>
                <w:sz w:val="20"/>
                <w:szCs w:val="20"/>
                <w:color w:val="auto"/>
              </w:rPr>
            </w:pPr>
            <w:r>
              <w:rPr>
                <w:rFonts w:ascii="Arial" w:cs="Arial" w:eastAsia="Arial" w:hAnsi="Arial"/>
                <w:sz w:val="16"/>
                <w:szCs w:val="16"/>
                <w:b w:val="1"/>
                <w:bCs w:val="1"/>
                <w:color w:val="auto"/>
              </w:rPr>
              <w:t>$</w:t>
            </w:r>
          </w:p>
        </w:tc>
        <w:tc>
          <w:tcPr>
            <w:tcW w:w="920" w:type="dxa"/>
            <w:vAlign w:val="bottom"/>
          </w:tcPr>
          <w:p>
            <w:pPr>
              <w:jc w:val="right"/>
              <w:ind w:right="41"/>
              <w:spacing w:after="0"/>
              <w:rPr>
                <w:sz w:val="20"/>
                <w:szCs w:val="20"/>
                <w:color w:val="auto"/>
              </w:rPr>
            </w:pPr>
            <w:r>
              <w:rPr>
                <w:rFonts w:ascii="Arial" w:cs="Arial" w:eastAsia="Arial" w:hAnsi="Arial"/>
                <w:sz w:val="16"/>
                <w:szCs w:val="16"/>
                <w:b w:val="1"/>
                <w:bCs w:val="1"/>
                <w:color w:val="auto"/>
              </w:rPr>
              <w:t>217,628</w:t>
            </w:r>
          </w:p>
        </w:tc>
        <w:tc>
          <w:tcPr>
            <w:tcW w:w="320" w:type="dxa"/>
            <w:vAlign w:val="bottom"/>
          </w:tcPr>
          <w:p>
            <w:pPr>
              <w:jc w:val="right"/>
              <w:ind w:right="19"/>
              <w:spacing w:after="0"/>
              <w:rPr>
                <w:sz w:val="20"/>
                <w:szCs w:val="20"/>
                <w:color w:val="auto"/>
              </w:rPr>
            </w:pPr>
            <w:r>
              <w:rPr>
                <w:rFonts w:ascii="Arial" w:cs="Arial" w:eastAsia="Arial" w:hAnsi="Arial"/>
                <w:sz w:val="16"/>
                <w:szCs w:val="16"/>
                <w:b w:val="1"/>
                <w:bCs w:val="1"/>
                <w:color w:val="auto"/>
              </w:rPr>
              <w:t>$</w:t>
            </w:r>
          </w:p>
        </w:tc>
        <w:tc>
          <w:tcPr>
            <w:tcW w:w="940" w:type="dxa"/>
            <w:vAlign w:val="bottom"/>
          </w:tcPr>
          <w:p>
            <w:pPr>
              <w:jc w:val="right"/>
              <w:ind w:right="59"/>
              <w:spacing w:after="0"/>
              <w:rPr>
                <w:sz w:val="20"/>
                <w:szCs w:val="20"/>
                <w:color w:val="auto"/>
              </w:rPr>
            </w:pPr>
            <w:r>
              <w:rPr>
                <w:rFonts w:ascii="Arial" w:cs="Arial" w:eastAsia="Arial" w:hAnsi="Arial"/>
                <w:sz w:val="16"/>
                <w:szCs w:val="16"/>
                <w:b w:val="1"/>
                <w:bCs w:val="1"/>
                <w:color w:val="auto"/>
              </w:rPr>
              <w:t>—</w:t>
            </w:r>
          </w:p>
        </w:tc>
        <w:tc>
          <w:tcPr>
            <w:tcW w:w="340" w:type="dxa"/>
            <w:vAlign w:val="bottom"/>
          </w:tcPr>
          <w:p>
            <w:pPr>
              <w:jc w:val="right"/>
              <w:ind w:right="59"/>
              <w:spacing w:after="0"/>
              <w:rPr>
                <w:sz w:val="20"/>
                <w:szCs w:val="20"/>
                <w:color w:val="auto"/>
              </w:rPr>
            </w:pPr>
            <w:r>
              <w:rPr>
                <w:rFonts w:ascii="Arial" w:cs="Arial" w:eastAsia="Arial" w:hAnsi="Arial"/>
                <w:sz w:val="16"/>
                <w:szCs w:val="16"/>
                <w:b w:val="1"/>
                <w:bCs w:val="1"/>
                <w:color w:val="auto"/>
              </w:rPr>
              <w:t>$</w:t>
            </w:r>
          </w:p>
        </w:tc>
        <w:tc>
          <w:tcPr>
            <w:tcW w:w="880" w:type="dxa"/>
            <w:vAlign w:val="bottom"/>
          </w:tcPr>
          <w:p>
            <w:pPr>
              <w:jc w:val="right"/>
              <w:ind w:right="20"/>
              <w:spacing w:after="0"/>
              <w:rPr>
                <w:sz w:val="20"/>
                <w:szCs w:val="20"/>
                <w:color w:val="auto"/>
              </w:rPr>
            </w:pPr>
            <w:r>
              <w:rPr>
                <w:rFonts w:ascii="Arial" w:cs="Arial" w:eastAsia="Arial" w:hAnsi="Arial"/>
                <w:sz w:val="16"/>
                <w:szCs w:val="16"/>
                <w:b w:val="1"/>
                <w:bCs w:val="1"/>
                <w:color w:val="auto"/>
              </w:rPr>
              <w:t>217,628</w:t>
            </w:r>
          </w:p>
        </w:tc>
        <w:tc>
          <w:tcPr>
            <w:tcW w:w="0" w:type="dxa"/>
            <w:vAlign w:val="bottom"/>
          </w:tcPr>
          <w:p>
            <w:pPr>
              <w:spacing w:after="0"/>
              <w:rPr>
                <w:sz w:val="1"/>
                <w:szCs w:val="1"/>
                <w:color w:val="auto"/>
              </w:rPr>
            </w:pPr>
          </w:p>
        </w:tc>
      </w:tr>
      <w:tr>
        <w:trPr>
          <w:trHeight w:val="270"/>
        </w:trPr>
        <w:tc>
          <w:tcPr>
            <w:tcW w:w="6520" w:type="dxa"/>
            <w:vAlign w:val="bottom"/>
          </w:tcPr>
          <w:p>
            <w:pPr>
              <w:ind w:left="40"/>
              <w:spacing w:after="0"/>
              <w:rPr>
                <w:sz w:val="20"/>
                <w:szCs w:val="20"/>
                <w:color w:val="auto"/>
              </w:rPr>
            </w:pPr>
            <w:r>
              <w:rPr>
                <w:rFonts w:ascii="Arial" w:cs="Arial" w:eastAsia="Arial" w:hAnsi="Arial"/>
                <w:sz w:val="16"/>
                <w:szCs w:val="16"/>
                <w:b w:val="1"/>
                <w:bCs w:val="1"/>
                <w:color w:val="auto"/>
              </w:rPr>
              <w:t>Marketable equity securities</w:t>
            </w:r>
            <w:r>
              <w:rPr>
                <w:rFonts w:ascii="Arial" w:cs="Arial" w:eastAsia="Arial" w:hAnsi="Arial"/>
                <w:sz w:val="21"/>
                <w:szCs w:val="21"/>
                <w:b w:val="1"/>
                <w:bCs w:val="1"/>
                <w:color w:val="auto"/>
                <w:vertAlign w:val="superscript"/>
              </w:rPr>
              <w:t>(3)</w:t>
            </w:r>
          </w:p>
        </w:tc>
        <w:tc>
          <w:tcPr>
            <w:tcW w:w="220" w:type="dxa"/>
            <w:vAlign w:val="bottom"/>
          </w:tcPr>
          <w:p>
            <w:pPr>
              <w:spacing w:after="0"/>
              <w:rPr>
                <w:sz w:val="23"/>
                <w:szCs w:val="23"/>
                <w:color w:val="auto"/>
              </w:rPr>
            </w:pPr>
          </w:p>
        </w:tc>
        <w:tc>
          <w:tcPr>
            <w:tcW w:w="960" w:type="dxa"/>
            <w:vAlign w:val="bottom"/>
          </w:tcPr>
          <w:p>
            <w:pPr>
              <w:jc w:val="right"/>
              <w:ind w:right="40"/>
              <w:spacing w:after="0"/>
              <w:rPr>
                <w:sz w:val="20"/>
                <w:szCs w:val="20"/>
                <w:color w:val="auto"/>
              </w:rPr>
            </w:pPr>
            <w:r>
              <w:rPr>
                <w:rFonts w:ascii="Arial" w:cs="Arial" w:eastAsia="Arial" w:hAnsi="Arial"/>
                <w:sz w:val="16"/>
                <w:szCs w:val="16"/>
                <w:b w:val="1"/>
                <w:bCs w:val="1"/>
                <w:color w:val="auto"/>
              </w:rPr>
              <w:t>536,315</w:t>
            </w:r>
          </w:p>
        </w:tc>
        <w:tc>
          <w:tcPr>
            <w:tcW w:w="320" w:type="dxa"/>
            <w:vAlign w:val="bottom"/>
          </w:tcPr>
          <w:p>
            <w:pPr>
              <w:spacing w:after="0"/>
              <w:rPr>
                <w:sz w:val="23"/>
                <w:szCs w:val="23"/>
                <w:color w:val="auto"/>
              </w:rPr>
            </w:pPr>
          </w:p>
        </w:tc>
        <w:tc>
          <w:tcPr>
            <w:tcW w:w="920" w:type="dxa"/>
            <w:vAlign w:val="bottom"/>
          </w:tcPr>
          <w:p>
            <w:pPr>
              <w:jc w:val="right"/>
              <w:ind w:right="41"/>
              <w:spacing w:after="0"/>
              <w:rPr>
                <w:sz w:val="20"/>
                <w:szCs w:val="20"/>
                <w:color w:val="auto"/>
              </w:rPr>
            </w:pPr>
            <w:r>
              <w:rPr>
                <w:rFonts w:ascii="Arial" w:cs="Arial" w:eastAsia="Arial" w:hAnsi="Arial"/>
                <w:sz w:val="16"/>
                <w:szCs w:val="16"/>
                <w:b w:val="1"/>
                <w:bCs w:val="1"/>
                <w:color w:val="auto"/>
              </w:rPr>
              <w:t>—</w:t>
            </w:r>
          </w:p>
        </w:tc>
        <w:tc>
          <w:tcPr>
            <w:tcW w:w="320" w:type="dxa"/>
            <w:vAlign w:val="bottom"/>
          </w:tcPr>
          <w:p>
            <w:pPr>
              <w:spacing w:after="0"/>
              <w:rPr>
                <w:sz w:val="23"/>
                <w:szCs w:val="23"/>
                <w:color w:val="auto"/>
              </w:rPr>
            </w:pPr>
          </w:p>
        </w:tc>
        <w:tc>
          <w:tcPr>
            <w:tcW w:w="940" w:type="dxa"/>
            <w:vAlign w:val="bottom"/>
          </w:tcPr>
          <w:p>
            <w:pPr>
              <w:jc w:val="right"/>
              <w:ind w:right="59"/>
              <w:spacing w:after="0"/>
              <w:rPr>
                <w:sz w:val="20"/>
                <w:szCs w:val="20"/>
                <w:color w:val="auto"/>
              </w:rPr>
            </w:pPr>
            <w:r>
              <w:rPr>
                <w:rFonts w:ascii="Arial" w:cs="Arial" w:eastAsia="Arial" w:hAnsi="Arial"/>
                <w:sz w:val="16"/>
                <w:szCs w:val="16"/>
                <w:b w:val="1"/>
                <w:bCs w:val="1"/>
                <w:color w:val="auto"/>
              </w:rPr>
              <w:t>—</w:t>
            </w:r>
          </w:p>
        </w:tc>
        <w:tc>
          <w:tcPr>
            <w:tcW w:w="340" w:type="dxa"/>
            <w:vAlign w:val="bottom"/>
          </w:tcPr>
          <w:p>
            <w:pPr>
              <w:spacing w:after="0"/>
              <w:rPr>
                <w:sz w:val="23"/>
                <w:szCs w:val="23"/>
                <w:color w:val="auto"/>
              </w:rPr>
            </w:pPr>
          </w:p>
        </w:tc>
        <w:tc>
          <w:tcPr>
            <w:tcW w:w="880" w:type="dxa"/>
            <w:vAlign w:val="bottom"/>
          </w:tcPr>
          <w:p>
            <w:pPr>
              <w:jc w:val="right"/>
              <w:ind w:right="20"/>
              <w:spacing w:after="0"/>
              <w:rPr>
                <w:sz w:val="20"/>
                <w:szCs w:val="20"/>
                <w:color w:val="auto"/>
              </w:rPr>
            </w:pPr>
            <w:r>
              <w:rPr>
                <w:rFonts w:ascii="Arial" w:cs="Arial" w:eastAsia="Arial" w:hAnsi="Arial"/>
                <w:sz w:val="16"/>
                <w:szCs w:val="16"/>
                <w:b w:val="1"/>
                <w:bCs w:val="1"/>
                <w:color w:val="auto"/>
              </w:rPr>
              <w:t>536,315</w:t>
            </w:r>
          </w:p>
        </w:tc>
        <w:tc>
          <w:tcPr>
            <w:tcW w:w="0" w:type="dxa"/>
            <w:vAlign w:val="bottom"/>
          </w:tcPr>
          <w:p>
            <w:pPr>
              <w:spacing w:after="0"/>
              <w:rPr>
                <w:sz w:val="1"/>
                <w:szCs w:val="1"/>
                <w:color w:val="auto"/>
              </w:rPr>
            </w:pPr>
          </w:p>
        </w:tc>
      </w:tr>
      <w:tr>
        <w:trPr>
          <w:trHeight w:val="234"/>
        </w:trPr>
        <w:tc>
          <w:tcPr>
            <w:tcW w:w="6520" w:type="dxa"/>
            <w:vAlign w:val="bottom"/>
          </w:tcPr>
          <w:p>
            <w:pPr>
              <w:ind w:left="40"/>
              <w:spacing w:after="0" w:line="234" w:lineRule="exact"/>
              <w:rPr>
                <w:sz w:val="20"/>
                <w:szCs w:val="20"/>
                <w:color w:val="auto"/>
              </w:rPr>
            </w:pPr>
            <w:r>
              <w:rPr>
                <w:rFonts w:ascii="Arial" w:cs="Arial" w:eastAsia="Arial" w:hAnsi="Arial"/>
                <w:sz w:val="16"/>
                <w:szCs w:val="16"/>
                <w:b w:val="1"/>
                <w:bCs w:val="1"/>
                <w:color w:val="auto"/>
              </w:rPr>
              <w:t>Other current investments</w:t>
            </w:r>
            <w:r>
              <w:rPr>
                <w:rFonts w:ascii="Arial" w:cs="Arial" w:eastAsia="Arial" w:hAnsi="Arial"/>
                <w:sz w:val="21"/>
                <w:szCs w:val="21"/>
                <w:b w:val="1"/>
                <w:bCs w:val="1"/>
                <w:color w:val="auto"/>
                <w:vertAlign w:val="superscript"/>
              </w:rPr>
              <w:t>(4)</w:t>
            </w:r>
          </w:p>
        </w:tc>
        <w:tc>
          <w:tcPr>
            <w:tcW w:w="22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b w:val="1"/>
                <w:bCs w:val="1"/>
                <w:color w:val="auto"/>
              </w:rPr>
              <w:t>9,831</w:t>
            </w:r>
          </w:p>
        </w:tc>
        <w:tc>
          <w:tcPr>
            <w:tcW w:w="32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ind w:right="41"/>
              <w:spacing w:after="0"/>
              <w:rPr>
                <w:sz w:val="20"/>
                <w:szCs w:val="20"/>
                <w:color w:val="auto"/>
              </w:rPr>
            </w:pPr>
            <w:r>
              <w:rPr>
                <w:rFonts w:ascii="Arial" w:cs="Arial" w:eastAsia="Arial" w:hAnsi="Arial"/>
                <w:sz w:val="16"/>
                <w:szCs w:val="16"/>
                <w:b w:val="1"/>
                <w:bCs w:val="1"/>
                <w:color w:val="auto"/>
              </w:rPr>
              <w:t>11,007</w:t>
            </w:r>
          </w:p>
        </w:tc>
        <w:tc>
          <w:tcPr>
            <w:tcW w:w="32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b w:val="1"/>
                <w:bCs w:val="1"/>
                <w:color w:val="auto"/>
              </w:rPr>
              <w:t>—</w:t>
            </w:r>
          </w:p>
        </w:tc>
        <w:tc>
          <w:tcPr>
            <w:tcW w:w="34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b w:val="1"/>
                <w:bCs w:val="1"/>
                <w:color w:val="auto"/>
              </w:rPr>
              <w:t>20,838</w:t>
            </w:r>
          </w:p>
        </w:tc>
        <w:tc>
          <w:tcPr>
            <w:tcW w:w="0" w:type="dxa"/>
            <w:vAlign w:val="bottom"/>
          </w:tcPr>
          <w:p>
            <w:pPr>
              <w:spacing w:after="0"/>
              <w:rPr>
                <w:sz w:val="1"/>
                <w:szCs w:val="1"/>
                <w:color w:val="auto"/>
              </w:rPr>
            </w:pPr>
          </w:p>
        </w:tc>
      </w:tr>
      <w:tr>
        <w:trPr>
          <w:trHeight w:val="258"/>
        </w:trPr>
        <w:tc>
          <w:tcPr>
            <w:tcW w:w="6520" w:type="dxa"/>
            <w:vAlign w:val="bottom"/>
          </w:tcPr>
          <w:p>
            <w:pPr>
              <w:ind w:left="280"/>
              <w:spacing w:after="0"/>
              <w:rPr>
                <w:sz w:val="20"/>
                <w:szCs w:val="20"/>
                <w:color w:val="auto"/>
              </w:rPr>
            </w:pPr>
            <w:r>
              <w:rPr>
                <w:rFonts w:ascii="Arial" w:cs="Arial" w:eastAsia="Arial" w:hAnsi="Arial"/>
                <w:sz w:val="16"/>
                <w:szCs w:val="16"/>
                <w:b w:val="1"/>
                <w:bCs w:val="1"/>
                <w:color w:val="auto"/>
              </w:rPr>
              <w:t>Total Financial Assets</w:t>
            </w:r>
          </w:p>
        </w:tc>
        <w:tc>
          <w:tcPr>
            <w:tcW w:w="2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b w:val="1"/>
                <w:bCs w:val="1"/>
                <w:color w:val="auto"/>
              </w:rPr>
              <w:t>$</w:t>
            </w:r>
          </w:p>
        </w:tc>
        <w:tc>
          <w:tcPr>
            <w:tcW w:w="96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b w:val="1"/>
                <w:bCs w:val="1"/>
                <w:color w:val="auto"/>
              </w:rPr>
              <w:t>546,146</w:t>
            </w:r>
          </w:p>
        </w:tc>
        <w:tc>
          <w:tcPr>
            <w:tcW w:w="3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b w:val="1"/>
                <w:bCs w:val="1"/>
                <w:color w:val="auto"/>
              </w:rPr>
              <w:t>$</w:t>
            </w:r>
          </w:p>
        </w:tc>
        <w:tc>
          <w:tcPr>
            <w:tcW w:w="920" w:type="dxa"/>
            <w:vAlign w:val="bottom"/>
            <w:tcBorders>
              <w:bottom w:val="single" w:sz="8" w:color="auto"/>
            </w:tcBorders>
          </w:tcPr>
          <w:p>
            <w:pPr>
              <w:jc w:val="right"/>
              <w:ind w:right="41"/>
              <w:spacing w:after="0"/>
              <w:rPr>
                <w:sz w:val="20"/>
                <w:szCs w:val="20"/>
                <w:color w:val="auto"/>
              </w:rPr>
            </w:pPr>
            <w:r>
              <w:rPr>
                <w:rFonts w:ascii="Arial" w:cs="Arial" w:eastAsia="Arial" w:hAnsi="Arial"/>
                <w:sz w:val="16"/>
                <w:szCs w:val="16"/>
                <w:b w:val="1"/>
                <w:bCs w:val="1"/>
                <w:color w:val="auto"/>
              </w:rPr>
              <w:t>228,635</w:t>
            </w:r>
          </w:p>
        </w:tc>
        <w:tc>
          <w:tcPr>
            <w:tcW w:w="3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b w:val="1"/>
                <w:bCs w:val="1"/>
                <w:color w:val="auto"/>
              </w:rPr>
              <w:t>$</w:t>
            </w:r>
          </w:p>
        </w:tc>
        <w:tc>
          <w:tcPr>
            <w:tcW w:w="94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b w:val="1"/>
                <w:bCs w:val="1"/>
                <w:color w:val="auto"/>
              </w:rPr>
              <w:t>—</w:t>
            </w:r>
          </w:p>
        </w:tc>
        <w:tc>
          <w:tcPr>
            <w:tcW w:w="34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b w:val="1"/>
                <w:bCs w:val="1"/>
                <w:color w:val="auto"/>
              </w:rPr>
              <w:t>$</w:t>
            </w:r>
          </w:p>
        </w:tc>
        <w:tc>
          <w:tcPr>
            <w:tcW w:w="88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b w:val="1"/>
                <w:bCs w:val="1"/>
                <w:color w:val="auto"/>
              </w:rPr>
              <w:t>774,781</w:t>
            </w:r>
          </w:p>
        </w:tc>
        <w:tc>
          <w:tcPr>
            <w:tcW w:w="0" w:type="dxa"/>
            <w:vAlign w:val="bottom"/>
          </w:tcPr>
          <w:p>
            <w:pPr>
              <w:spacing w:after="0"/>
              <w:rPr>
                <w:sz w:val="1"/>
                <w:szCs w:val="1"/>
                <w:color w:val="auto"/>
              </w:rPr>
            </w:pPr>
          </w:p>
        </w:tc>
      </w:tr>
      <w:tr>
        <w:trPr>
          <w:trHeight w:val="20"/>
        </w:trPr>
        <w:tc>
          <w:tcPr>
            <w:tcW w:w="6520" w:type="dxa"/>
            <w:vAlign w:val="bottom"/>
            <w:vMerge w:val="restart"/>
          </w:tcPr>
          <w:p>
            <w:pPr>
              <w:ind w:left="40"/>
              <w:spacing w:after="0"/>
              <w:rPr>
                <w:sz w:val="20"/>
                <w:szCs w:val="20"/>
                <w:color w:val="auto"/>
              </w:rPr>
            </w:pPr>
            <w:r>
              <w:rPr>
                <w:rFonts w:ascii="Arial" w:cs="Arial" w:eastAsia="Arial" w:hAnsi="Arial"/>
                <w:sz w:val="16"/>
                <w:szCs w:val="16"/>
                <w:b w:val="1"/>
                <w:bCs w:val="1"/>
                <w:color w:val="auto"/>
              </w:rPr>
              <w:t>Liabilities</w:t>
            </w:r>
          </w:p>
        </w:tc>
        <w:tc>
          <w:tcPr>
            <w:tcW w:w="2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6520" w:type="dxa"/>
            <w:vAlign w:val="bottom"/>
            <w:vMerge w:val="continue"/>
          </w:tcPr>
          <w:p>
            <w:pPr>
              <w:spacing w:after="0"/>
              <w:rPr>
                <w:sz w:val="20"/>
                <w:szCs w:val="20"/>
                <w:color w:val="auto"/>
              </w:rPr>
            </w:pPr>
          </w:p>
        </w:tc>
        <w:tc>
          <w:tcPr>
            <w:tcW w:w="22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26"/>
        </w:trPr>
        <w:tc>
          <w:tcPr>
            <w:tcW w:w="6520" w:type="dxa"/>
            <w:vAlign w:val="bottom"/>
          </w:tcPr>
          <w:p>
            <w:pPr>
              <w:ind w:left="40"/>
              <w:spacing w:after="0"/>
              <w:rPr>
                <w:sz w:val="20"/>
                <w:szCs w:val="20"/>
                <w:color w:val="auto"/>
              </w:rPr>
            </w:pPr>
            <w:r>
              <w:rPr>
                <w:rFonts w:ascii="Arial" w:cs="Arial" w:eastAsia="Arial" w:hAnsi="Arial"/>
                <w:sz w:val="16"/>
                <w:szCs w:val="16"/>
                <w:b w:val="1"/>
                <w:bCs w:val="1"/>
                <w:color w:val="auto"/>
              </w:rPr>
              <w:t>Deferred compensation plan liabilities</w:t>
            </w:r>
            <w:r>
              <w:rPr>
                <w:rFonts w:ascii="Arial" w:cs="Arial" w:eastAsia="Arial" w:hAnsi="Arial"/>
                <w:sz w:val="21"/>
                <w:szCs w:val="21"/>
                <w:b w:val="1"/>
                <w:bCs w:val="1"/>
                <w:color w:val="auto"/>
                <w:vertAlign w:val="superscript"/>
              </w:rPr>
              <w:t>(5)</w:t>
            </w:r>
          </w:p>
        </w:tc>
        <w:tc>
          <w:tcPr>
            <w:tcW w:w="220" w:type="dxa"/>
            <w:vAlign w:val="bottom"/>
          </w:tcPr>
          <w:p>
            <w:pPr>
              <w:jc w:val="right"/>
              <w:ind w:right="19"/>
              <w:spacing w:after="0"/>
              <w:rPr>
                <w:sz w:val="20"/>
                <w:szCs w:val="20"/>
                <w:color w:val="auto"/>
              </w:rPr>
            </w:pPr>
            <w:r>
              <w:rPr>
                <w:rFonts w:ascii="Arial" w:cs="Arial" w:eastAsia="Arial" w:hAnsi="Arial"/>
                <w:sz w:val="16"/>
                <w:szCs w:val="16"/>
                <w:b w:val="1"/>
                <w:bCs w:val="1"/>
                <w:color w:val="auto"/>
              </w:rPr>
              <w:t>$</w:t>
            </w:r>
          </w:p>
        </w:tc>
        <w:tc>
          <w:tcPr>
            <w:tcW w:w="960" w:type="dxa"/>
            <w:vAlign w:val="bottom"/>
          </w:tcPr>
          <w:p>
            <w:pPr>
              <w:jc w:val="right"/>
              <w:ind w:right="40"/>
              <w:spacing w:after="0"/>
              <w:rPr>
                <w:sz w:val="20"/>
                <w:szCs w:val="20"/>
                <w:color w:val="auto"/>
              </w:rPr>
            </w:pPr>
            <w:r>
              <w:rPr>
                <w:rFonts w:ascii="Arial" w:cs="Arial" w:eastAsia="Arial" w:hAnsi="Arial"/>
                <w:sz w:val="16"/>
                <w:szCs w:val="16"/>
                <w:b w:val="1"/>
                <w:bCs w:val="1"/>
                <w:color w:val="auto"/>
              </w:rPr>
              <w:t>—</w:t>
            </w:r>
          </w:p>
        </w:tc>
        <w:tc>
          <w:tcPr>
            <w:tcW w:w="320" w:type="dxa"/>
            <w:vAlign w:val="bottom"/>
          </w:tcPr>
          <w:p>
            <w:pPr>
              <w:jc w:val="right"/>
              <w:ind w:right="19"/>
              <w:spacing w:after="0"/>
              <w:rPr>
                <w:sz w:val="20"/>
                <w:szCs w:val="20"/>
                <w:color w:val="auto"/>
              </w:rPr>
            </w:pPr>
            <w:r>
              <w:rPr>
                <w:rFonts w:ascii="Arial" w:cs="Arial" w:eastAsia="Arial" w:hAnsi="Arial"/>
                <w:sz w:val="16"/>
                <w:szCs w:val="16"/>
                <w:b w:val="1"/>
                <w:bCs w:val="1"/>
                <w:color w:val="auto"/>
              </w:rPr>
              <w:t>$</w:t>
            </w:r>
          </w:p>
        </w:tc>
        <w:tc>
          <w:tcPr>
            <w:tcW w:w="920" w:type="dxa"/>
            <w:vAlign w:val="bottom"/>
          </w:tcPr>
          <w:p>
            <w:pPr>
              <w:jc w:val="right"/>
              <w:ind w:right="41"/>
              <w:spacing w:after="0"/>
              <w:rPr>
                <w:sz w:val="20"/>
                <w:szCs w:val="20"/>
                <w:color w:val="auto"/>
              </w:rPr>
            </w:pPr>
            <w:r>
              <w:rPr>
                <w:rFonts w:ascii="Arial" w:cs="Arial" w:eastAsia="Arial" w:hAnsi="Arial"/>
                <w:sz w:val="16"/>
                <w:szCs w:val="16"/>
                <w:b w:val="1"/>
                <w:bCs w:val="1"/>
                <w:color w:val="auto"/>
              </w:rPr>
              <w:t>43,414</w:t>
            </w:r>
          </w:p>
        </w:tc>
        <w:tc>
          <w:tcPr>
            <w:tcW w:w="320" w:type="dxa"/>
            <w:vAlign w:val="bottom"/>
          </w:tcPr>
          <w:p>
            <w:pPr>
              <w:jc w:val="right"/>
              <w:ind w:right="19"/>
              <w:spacing w:after="0"/>
              <w:rPr>
                <w:sz w:val="20"/>
                <w:szCs w:val="20"/>
                <w:color w:val="auto"/>
              </w:rPr>
            </w:pPr>
            <w:r>
              <w:rPr>
                <w:rFonts w:ascii="Arial" w:cs="Arial" w:eastAsia="Arial" w:hAnsi="Arial"/>
                <w:sz w:val="16"/>
                <w:szCs w:val="16"/>
                <w:b w:val="1"/>
                <w:bCs w:val="1"/>
                <w:color w:val="auto"/>
              </w:rPr>
              <w:t>$</w:t>
            </w:r>
          </w:p>
        </w:tc>
        <w:tc>
          <w:tcPr>
            <w:tcW w:w="940" w:type="dxa"/>
            <w:vAlign w:val="bottom"/>
          </w:tcPr>
          <w:p>
            <w:pPr>
              <w:jc w:val="right"/>
              <w:ind w:right="59"/>
              <w:spacing w:after="0"/>
              <w:rPr>
                <w:sz w:val="20"/>
                <w:szCs w:val="20"/>
                <w:color w:val="auto"/>
              </w:rPr>
            </w:pPr>
            <w:r>
              <w:rPr>
                <w:rFonts w:ascii="Arial" w:cs="Arial" w:eastAsia="Arial" w:hAnsi="Arial"/>
                <w:sz w:val="16"/>
                <w:szCs w:val="16"/>
                <w:b w:val="1"/>
                <w:bCs w:val="1"/>
                <w:color w:val="auto"/>
              </w:rPr>
              <w:t>—</w:t>
            </w:r>
          </w:p>
        </w:tc>
        <w:tc>
          <w:tcPr>
            <w:tcW w:w="340" w:type="dxa"/>
            <w:vAlign w:val="bottom"/>
          </w:tcPr>
          <w:p>
            <w:pPr>
              <w:jc w:val="right"/>
              <w:ind w:right="59"/>
              <w:spacing w:after="0"/>
              <w:rPr>
                <w:sz w:val="20"/>
                <w:szCs w:val="20"/>
                <w:color w:val="auto"/>
              </w:rPr>
            </w:pPr>
            <w:r>
              <w:rPr>
                <w:rFonts w:ascii="Arial" w:cs="Arial" w:eastAsia="Arial" w:hAnsi="Arial"/>
                <w:sz w:val="16"/>
                <w:szCs w:val="16"/>
                <w:b w:val="1"/>
                <w:bCs w:val="1"/>
                <w:color w:val="auto"/>
              </w:rPr>
              <w:t>$</w:t>
            </w:r>
          </w:p>
        </w:tc>
        <w:tc>
          <w:tcPr>
            <w:tcW w:w="880" w:type="dxa"/>
            <w:vAlign w:val="bottom"/>
          </w:tcPr>
          <w:p>
            <w:pPr>
              <w:jc w:val="right"/>
              <w:ind w:right="20"/>
              <w:spacing w:after="0"/>
              <w:rPr>
                <w:sz w:val="20"/>
                <w:szCs w:val="20"/>
                <w:color w:val="auto"/>
              </w:rPr>
            </w:pPr>
            <w:r>
              <w:rPr>
                <w:rFonts w:ascii="Arial" w:cs="Arial" w:eastAsia="Arial" w:hAnsi="Arial"/>
                <w:sz w:val="16"/>
                <w:szCs w:val="16"/>
                <w:b w:val="1"/>
                <w:bCs w:val="1"/>
                <w:color w:val="auto"/>
              </w:rPr>
              <w:t>43,414</w:t>
            </w:r>
          </w:p>
        </w:tc>
        <w:tc>
          <w:tcPr>
            <w:tcW w:w="0" w:type="dxa"/>
            <w:vAlign w:val="bottom"/>
          </w:tcPr>
          <w:p>
            <w:pPr>
              <w:spacing w:after="0"/>
              <w:rPr>
                <w:sz w:val="1"/>
                <w:szCs w:val="1"/>
                <w:color w:val="auto"/>
              </w:rPr>
            </w:pPr>
          </w:p>
        </w:tc>
      </w:tr>
      <w:tr>
        <w:trPr>
          <w:trHeight w:val="270"/>
        </w:trPr>
        <w:tc>
          <w:tcPr>
            <w:tcW w:w="6520" w:type="dxa"/>
            <w:vAlign w:val="bottom"/>
          </w:tcPr>
          <w:p>
            <w:pPr>
              <w:ind w:left="40"/>
              <w:spacing w:after="0"/>
              <w:rPr>
                <w:sz w:val="20"/>
                <w:szCs w:val="20"/>
                <w:color w:val="auto"/>
              </w:rPr>
            </w:pPr>
            <w:r>
              <w:rPr>
                <w:rFonts w:ascii="Arial" w:cs="Arial" w:eastAsia="Arial" w:hAnsi="Arial"/>
                <w:sz w:val="16"/>
                <w:szCs w:val="16"/>
                <w:b w:val="1"/>
                <w:bCs w:val="1"/>
                <w:color w:val="auto"/>
              </w:rPr>
              <w:t>Interest rate swap</w:t>
            </w:r>
            <w:r>
              <w:rPr>
                <w:rFonts w:ascii="Arial" w:cs="Arial" w:eastAsia="Arial" w:hAnsi="Arial"/>
                <w:sz w:val="21"/>
                <w:szCs w:val="21"/>
                <w:b w:val="1"/>
                <w:bCs w:val="1"/>
                <w:color w:val="auto"/>
                <w:vertAlign w:val="superscript"/>
              </w:rPr>
              <w:t>(6)</w:t>
            </w:r>
          </w:p>
        </w:tc>
        <w:tc>
          <w:tcPr>
            <w:tcW w:w="220" w:type="dxa"/>
            <w:vAlign w:val="bottom"/>
          </w:tcPr>
          <w:p>
            <w:pPr>
              <w:spacing w:after="0"/>
              <w:rPr>
                <w:sz w:val="23"/>
                <w:szCs w:val="23"/>
                <w:color w:val="auto"/>
              </w:rPr>
            </w:pPr>
          </w:p>
        </w:tc>
        <w:tc>
          <w:tcPr>
            <w:tcW w:w="960" w:type="dxa"/>
            <w:vAlign w:val="bottom"/>
          </w:tcPr>
          <w:p>
            <w:pPr>
              <w:jc w:val="right"/>
              <w:ind w:right="40"/>
              <w:spacing w:after="0"/>
              <w:rPr>
                <w:sz w:val="20"/>
                <w:szCs w:val="20"/>
                <w:color w:val="auto"/>
              </w:rPr>
            </w:pPr>
            <w:r>
              <w:rPr>
                <w:rFonts w:ascii="Arial" w:cs="Arial" w:eastAsia="Arial" w:hAnsi="Arial"/>
                <w:sz w:val="16"/>
                <w:szCs w:val="16"/>
                <w:b w:val="1"/>
                <w:bCs w:val="1"/>
                <w:color w:val="auto"/>
              </w:rPr>
              <w:t>—</w:t>
            </w:r>
          </w:p>
        </w:tc>
        <w:tc>
          <w:tcPr>
            <w:tcW w:w="320" w:type="dxa"/>
            <w:vAlign w:val="bottom"/>
          </w:tcPr>
          <w:p>
            <w:pPr>
              <w:spacing w:after="0"/>
              <w:rPr>
                <w:sz w:val="23"/>
                <w:szCs w:val="23"/>
                <w:color w:val="auto"/>
              </w:rPr>
            </w:pPr>
          </w:p>
        </w:tc>
        <w:tc>
          <w:tcPr>
            <w:tcW w:w="920" w:type="dxa"/>
            <w:vAlign w:val="bottom"/>
          </w:tcPr>
          <w:p>
            <w:pPr>
              <w:jc w:val="right"/>
              <w:ind w:right="41"/>
              <w:spacing w:after="0"/>
              <w:rPr>
                <w:sz w:val="20"/>
                <w:szCs w:val="20"/>
                <w:color w:val="auto"/>
              </w:rPr>
            </w:pPr>
            <w:r>
              <w:rPr>
                <w:rFonts w:ascii="Arial" w:cs="Arial" w:eastAsia="Arial" w:hAnsi="Arial"/>
                <w:sz w:val="16"/>
                <w:szCs w:val="16"/>
                <w:b w:val="1"/>
                <w:bCs w:val="1"/>
                <w:color w:val="auto"/>
              </w:rPr>
              <w:t>244</w:t>
            </w:r>
          </w:p>
        </w:tc>
        <w:tc>
          <w:tcPr>
            <w:tcW w:w="320" w:type="dxa"/>
            <w:vAlign w:val="bottom"/>
          </w:tcPr>
          <w:p>
            <w:pPr>
              <w:spacing w:after="0"/>
              <w:rPr>
                <w:sz w:val="23"/>
                <w:szCs w:val="23"/>
                <w:color w:val="auto"/>
              </w:rPr>
            </w:pPr>
          </w:p>
        </w:tc>
        <w:tc>
          <w:tcPr>
            <w:tcW w:w="940" w:type="dxa"/>
            <w:vAlign w:val="bottom"/>
          </w:tcPr>
          <w:p>
            <w:pPr>
              <w:jc w:val="right"/>
              <w:ind w:right="59"/>
              <w:spacing w:after="0"/>
              <w:rPr>
                <w:sz w:val="20"/>
                <w:szCs w:val="20"/>
                <w:color w:val="auto"/>
              </w:rPr>
            </w:pPr>
            <w:r>
              <w:rPr>
                <w:rFonts w:ascii="Arial" w:cs="Arial" w:eastAsia="Arial" w:hAnsi="Arial"/>
                <w:sz w:val="16"/>
                <w:szCs w:val="16"/>
                <w:b w:val="1"/>
                <w:bCs w:val="1"/>
                <w:color w:val="auto"/>
              </w:rPr>
              <w:t>—</w:t>
            </w:r>
          </w:p>
        </w:tc>
        <w:tc>
          <w:tcPr>
            <w:tcW w:w="340" w:type="dxa"/>
            <w:vAlign w:val="bottom"/>
          </w:tcPr>
          <w:p>
            <w:pPr>
              <w:spacing w:after="0"/>
              <w:rPr>
                <w:sz w:val="23"/>
                <w:szCs w:val="23"/>
                <w:color w:val="auto"/>
              </w:rPr>
            </w:pPr>
          </w:p>
        </w:tc>
        <w:tc>
          <w:tcPr>
            <w:tcW w:w="880" w:type="dxa"/>
            <w:vAlign w:val="bottom"/>
          </w:tcPr>
          <w:p>
            <w:pPr>
              <w:jc w:val="right"/>
              <w:ind w:right="20"/>
              <w:spacing w:after="0"/>
              <w:rPr>
                <w:sz w:val="20"/>
                <w:szCs w:val="20"/>
                <w:color w:val="auto"/>
              </w:rPr>
            </w:pPr>
            <w:r>
              <w:rPr>
                <w:rFonts w:ascii="Arial" w:cs="Arial" w:eastAsia="Arial" w:hAnsi="Arial"/>
                <w:sz w:val="16"/>
                <w:szCs w:val="16"/>
                <w:b w:val="1"/>
                <w:bCs w:val="1"/>
                <w:color w:val="auto"/>
              </w:rPr>
              <w:t>244</w:t>
            </w:r>
          </w:p>
        </w:tc>
        <w:tc>
          <w:tcPr>
            <w:tcW w:w="0" w:type="dxa"/>
            <w:vAlign w:val="bottom"/>
          </w:tcPr>
          <w:p>
            <w:pPr>
              <w:spacing w:after="0"/>
              <w:rPr>
                <w:sz w:val="1"/>
                <w:szCs w:val="1"/>
                <w:color w:val="auto"/>
              </w:rPr>
            </w:pPr>
          </w:p>
        </w:tc>
      </w:tr>
      <w:tr>
        <w:trPr>
          <w:trHeight w:val="234"/>
        </w:trPr>
        <w:tc>
          <w:tcPr>
            <w:tcW w:w="6520" w:type="dxa"/>
            <w:vAlign w:val="bottom"/>
          </w:tcPr>
          <w:p>
            <w:pPr>
              <w:ind w:left="40"/>
              <w:spacing w:after="0" w:line="234" w:lineRule="exact"/>
              <w:rPr>
                <w:sz w:val="20"/>
                <w:szCs w:val="20"/>
                <w:color w:val="auto"/>
              </w:rPr>
            </w:pPr>
            <w:r>
              <w:rPr>
                <w:rFonts w:ascii="Arial" w:cs="Arial" w:eastAsia="Arial" w:hAnsi="Arial"/>
                <w:sz w:val="16"/>
                <w:szCs w:val="16"/>
                <w:b w:val="1"/>
                <w:bCs w:val="1"/>
                <w:color w:val="auto"/>
              </w:rPr>
              <w:t>Mandatorily redeemable noncontrolling interest</w:t>
            </w:r>
            <w:r>
              <w:rPr>
                <w:rFonts w:ascii="Arial" w:cs="Arial" w:eastAsia="Arial" w:hAnsi="Arial"/>
                <w:sz w:val="21"/>
                <w:szCs w:val="21"/>
                <w:b w:val="1"/>
                <w:bCs w:val="1"/>
                <w:color w:val="auto"/>
                <w:vertAlign w:val="superscript"/>
              </w:rPr>
              <w:t>(7)</w:t>
            </w:r>
          </w:p>
        </w:tc>
        <w:tc>
          <w:tcPr>
            <w:tcW w:w="22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b w:val="1"/>
                <w:bCs w:val="1"/>
                <w:color w:val="auto"/>
              </w:rPr>
              <w:t>—</w:t>
            </w:r>
          </w:p>
        </w:tc>
        <w:tc>
          <w:tcPr>
            <w:tcW w:w="32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ind w:right="41"/>
              <w:spacing w:after="0"/>
              <w:rPr>
                <w:sz w:val="20"/>
                <w:szCs w:val="20"/>
                <w:color w:val="auto"/>
              </w:rPr>
            </w:pPr>
            <w:r>
              <w:rPr>
                <w:rFonts w:ascii="Arial" w:cs="Arial" w:eastAsia="Arial" w:hAnsi="Arial"/>
                <w:sz w:val="16"/>
                <w:szCs w:val="16"/>
                <w:b w:val="1"/>
                <w:bCs w:val="1"/>
                <w:color w:val="auto"/>
              </w:rPr>
              <w:t>—</w:t>
            </w:r>
          </w:p>
        </w:tc>
        <w:tc>
          <w:tcPr>
            <w:tcW w:w="32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b w:val="1"/>
                <w:bCs w:val="1"/>
                <w:color w:val="auto"/>
              </w:rPr>
              <w:t>10,331</w:t>
            </w:r>
          </w:p>
        </w:tc>
        <w:tc>
          <w:tcPr>
            <w:tcW w:w="34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b w:val="1"/>
                <w:bCs w:val="1"/>
                <w:color w:val="auto"/>
              </w:rPr>
              <w:t>10,331</w:t>
            </w:r>
          </w:p>
        </w:tc>
        <w:tc>
          <w:tcPr>
            <w:tcW w:w="0" w:type="dxa"/>
            <w:vAlign w:val="bottom"/>
          </w:tcPr>
          <w:p>
            <w:pPr>
              <w:spacing w:after="0"/>
              <w:rPr>
                <w:sz w:val="1"/>
                <w:szCs w:val="1"/>
                <w:color w:val="auto"/>
              </w:rPr>
            </w:pPr>
          </w:p>
        </w:tc>
      </w:tr>
      <w:tr>
        <w:trPr>
          <w:trHeight w:val="261"/>
        </w:trPr>
        <w:tc>
          <w:tcPr>
            <w:tcW w:w="6520" w:type="dxa"/>
            <w:vAlign w:val="bottom"/>
          </w:tcPr>
          <w:p>
            <w:pPr>
              <w:ind w:left="280"/>
              <w:spacing w:after="0"/>
              <w:rPr>
                <w:sz w:val="20"/>
                <w:szCs w:val="20"/>
                <w:color w:val="auto"/>
              </w:rPr>
            </w:pPr>
            <w:r>
              <w:rPr>
                <w:rFonts w:ascii="Arial" w:cs="Arial" w:eastAsia="Arial" w:hAnsi="Arial"/>
                <w:sz w:val="16"/>
                <w:szCs w:val="16"/>
                <w:b w:val="1"/>
                <w:bCs w:val="1"/>
                <w:color w:val="auto"/>
              </w:rPr>
              <w:t>Total Financial Liabilities</w:t>
            </w:r>
          </w:p>
        </w:tc>
        <w:tc>
          <w:tcPr>
            <w:tcW w:w="2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b w:val="1"/>
                <w:bCs w:val="1"/>
                <w:color w:val="auto"/>
              </w:rPr>
              <w:t>$</w:t>
            </w:r>
          </w:p>
        </w:tc>
        <w:tc>
          <w:tcPr>
            <w:tcW w:w="96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b w:val="1"/>
                <w:bCs w:val="1"/>
                <w:color w:val="auto"/>
              </w:rPr>
              <w:t>—</w:t>
            </w:r>
          </w:p>
        </w:tc>
        <w:tc>
          <w:tcPr>
            <w:tcW w:w="3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b w:val="1"/>
                <w:bCs w:val="1"/>
                <w:color w:val="auto"/>
              </w:rPr>
              <w:t>$</w:t>
            </w:r>
          </w:p>
        </w:tc>
        <w:tc>
          <w:tcPr>
            <w:tcW w:w="920" w:type="dxa"/>
            <w:vAlign w:val="bottom"/>
            <w:tcBorders>
              <w:bottom w:val="single" w:sz="8" w:color="auto"/>
            </w:tcBorders>
          </w:tcPr>
          <w:p>
            <w:pPr>
              <w:jc w:val="right"/>
              <w:ind w:right="41"/>
              <w:spacing w:after="0"/>
              <w:rPr>
                <w:sz w:val="20"/>
                <w:szCs w:val="20"/>
                <w:color w:val="auto"/>
              </w:rPr>
            </w:pPr>
            <w:r>
              <w:rPr>
                <w:rFonts w:ascii="Arial" w:cs="Arial" w:eastAsia="Arial" w:hAnsi="Arial"/>
                <w:sz w:val="16"/>
                <w:szCs w:val="16"/>
                <w:b w:val="1"/>
                <w:bCs w:val="1"/>
                <w:color w:val="auto"/>
              </w:rPr>
              <w:t>43,658</w:t>
            </w:r>
          </w:p>
        </w:tc>
        <w:tc>
          <w:tcPr>
            <w:tcW w:w="3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b w:val="1"/>
                <w:bCs w:val="1"/>
                <w:color w:val="auto"/>
              </w:rPr>
              <w:t>$</w:t>
            </w:r>
          </w:p>
        </w:tc>
        <w:tc>
          <w:tcPr>
            <w:tcW w:w="94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b w:val="1"/>
                <w:bCs w:val="1"/>
                <w:color w:val="auto"/>
              </w:rPr>
              <w:t>10,331</w:t>
            </w:r>
          </w:p>
        </w:tc>
        <w:tc>
          <w:tcPr>
            <w:tcW w:w="34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b w:val="1"/>
                <w:bCs w:val="1"/>
                <w:color w:val="auto"/>
              </w:rPr>
              <w:t>$</w:t>
            </w:r>
          </w:p>
        </w:tc>
        <w:tc>
          <w:tcPr>
            <w:tcW w:w="88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b w:val="1"/>
                <w:bCs w:val="1"/>
                <w:color w:val="auto"/>
              </w:rPr>
              <w:t>53,989</w:t>
            </w:r>
          </w:p>
        </w:tc>
        <w:tc>
          <w:tcPr>
            <w:tcW w:w="0" w:type="dxa"/>
            <w:vAlign w:val="bottom"/>
          </w:tcPr>
          <w:p>
            <w:pPr>
              <w:spacing w:after="0"/>
              <w:rPr>
                <w:sz w:val="1"/>
                <w:szCs w:val="1"/>
                <w:color w:val="auto"/>
              </w:rPr>
            </w:pPr>
          </w:p>
        </w:tc>
      </w:tr>
      <w:tr>
        <w:trPr>
          <w:trHeight w:val="20"/>
        </w:trPr>
        <w:tc>
          <w:tcPr>
            <w:tcW w:w="65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2180" w:type="dxa"/>
            <w:vAlign w:val="bottom"/>
            <w:tcBorders>
              <w:bottom w:val="single" w:sz="8" w:color="auto"/>
            </w:tcBorders>
            <w:gridSpan w:val="3"/>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3"/>
        </w:trPr>
        <w:tc>
          <w:tcPr>
            <w:tcW w:w="652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2180" w:type="dxa"/>
            <w:vAlign w:val="bottom"/>
            <w:tcBorders>
              <w:bottom w:val="single" w:sz="8" w:color="auto"/>
            </w:tcBorders>
            <w:gridSpan w:val="3"/>
          </w:tcPr>
          <w:p>
            <w:pPr>
              <w:ind w:left="120"/>
              <w:spacing w:after="0"/>
              <w:rPr>
                <w:sz w:val="20"/>
                <w:szCs w:val="20"/>
                <w:color w:val="auto"/>
              </w:rPr>
            </w:pPr>
            <w:r>
              <w:rPr>
                <w:rFonts w:ascii="Arial" w:cs="Arial" w:eastAsia="Arial" w:hAnsi="Arial"/>
                <w:sz w:val="14"/>
                <w:szCs w:val="14"/>
                <w:b w:val="1"/>
                <w:bCs w:val="1"/>
                <w:color w:val="auto"/>
              </w:rPr>
              <w:t>As of December 31, 2016</w:t>
            </w:r>
          </w:p>
        </w:tc>
        <w:tc>
          <w:tcPr>
            <w:tcW w:w="34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64"/>
        </w:trPr>
        <w:tc>
          <w:tcPr>
            <w:tcW w:w="652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(in thousands)</w:t>
            </w:r>
          </w:p>
        </w:tc>
        <w:tc>
          <w:tcPr>
            <w:tcW w:w="22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280"/>
              <w:spacing w:after="0"/>
              <w:rPr>
                <w:sz w:val="20"/>
                <w:szCs w:val="20"/>
                <w:color w:val="auto"/>
              </w:rPr>
            </w:pPr>
            <w:r>
              <w:rPr>
                <w:rFonts w:ascii="Arial" w:cs="Arial" w:eastAsia="Arial" w:hAnsi="Arial"/>
                <w:sz w:val="14"/>
                <w:szCs w:val="14"/>
                <w:b w:val="1"/>
                <w:bCs w:val="1"/>
                <w:color w:val="auto"/>
              </w:rPr>
              <w:t>Level 1</w:t>
            </w:r>
          </w:p>
        </w:tc>
        <w:tc>
          <w:tcPr>
            <w:tcW w:w="32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ind w:left="100"/>
              <w:spacing w:after="0"/>
              <w:rPr>
                <w:sz w:val="20"/>
                <w:szCs w:val="20"/>
                <w:color w:val="auto"/>
              </w:rPr>
            </w:pPr>
            <w:r>
              <w:rPr>
                <w:rFonts w:ascii="Arial" w:cs="Arial" w:eastAsia="Arial" w:hAnsi="Arial"/>
                <w:sz w:val="14"/>
                <w:szCs w:val="14"/>
                <w:b w:val="1"/>
                <w:bCs w:val="1"/>
                <w:color w:val="auto"/>
              </w:rPr>
              <w:t>Level 2</w:t>
            </w:r>
          </w:p>
        </w:tc>
        <w:tc>
          <w:tcPr>
            <w:tcW w:w="32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right"/>
              <w:ind w:right="259"/>
              <w:spacing w:after="0"/>
              <w:rPr>
                <w:sz w:val="20"/>
                <w:szCs w:val="20"/>
                <w:color w:val="auto"/>
              </w:rPr>
            </w:pPr>
            <w:r>
              <w:rPr>
                <w:rFonts w:ascii="Arial" w:cs="Arial" w:eastAsia="Arial" w:hAnsi="Arial"/>
                <w:sz w:val="14"/>
                <w:szCs w:val="14"/>
                <w:b w:val="1"/>
                <w:bCs w:val="1"/>
                <w:color w:val="auto"/>
              </w:rPr>
              <w:t>Level 3</w:t>
            </w:r>
          </w:p>
        </w:tc>
        <w:tc>
          <w:tcPr>
            <w:tcW w:w="34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ind w:right="32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250"/>
        </w:trPr>
        <w:tc>
          <w:tcPr>
            <w:tcW w:w="6520" w:type="dxa"/>
            <w:vAlign w:val="bottom"/>
          </w:tcPr>
          <w:p>
            <w:pPr>
              <w:ind w:left="40"/>
              <w:spacing w:after="0"/>
              <w:rPr>
                <w:sz w:val="20"/>
                <w:szCs w:val="20"/>
                <w:color w:val="auto"/>
              </w:rPr>
            </w:pPr>
            <w:r>
              <w:rPr>
                <w:rFonts w:ascii="Arial" w:cs="Arial" w:eastAsia="Arial" w:hAnsi="Arial"/>
                <w:sz w:val="16"/>
                <w:szCs w:val="16"/>
                <w:b w:val="1"/>
                <w:bCs w:val="1"/>
                <w:color w:val="auto"/>
              </w:rPr>
              <w:t>Assets</w:t>
            </w:r>
          </w:p>
        </w:tc>
        <w:tc>
          <w:tcPr>
            <w:tcW w:w="22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302"/>
        </w:trPr>
        <w:tc>
          <w:tcPr>
            <w:tcW w:w="6520" w:type="dxa"/>
            <w:vAlign w:val="bottom"/>
          </w:tcPr>
          <w:p>
            <w:pPr>
              <w:ind w:left="40"/>
              <w:spacing w:after="0"/>
              <w:rPr>
                <w:sz w:val="20"/>
                <w:szCs w:val="20"/>
                <w:color w:val="auto"/>
              </w:rPr>
            </w:pPr>
            <w:r>
              <w:rPr>
                <w:rFonts w:ascii="Arial" w:cs="Arial" w:eastAsia="Arial" w:hAnsi="Arial"/>
                <w:sz w:val="16"/>
                <w:szCs w:val="16"/>
                <w:color w:val="auto"/>
              </w:rPr>
              <w:t xml:space="preserve">Money market investments </w:t>
            </w:r>
            <w:r>
              <w:rPr>
                <w:rFonts w:ascii="Arial" w:cs="Arial" w:eastAsia="Arial" w:hAnsi="Arial"/>
                <w:sz w:val="21"/>
                <w:szCs w:val="21"/>
                <w:color w:val="auto"/>
                <w:vertAlign w:val="superscript"/>
              </w:rPr>
              <w:t>(1)</w:t>
            </w:r>
          </w:p>
        </w:tc>
        <w:tc>
          <w:tcPr>
            <w:tcW w:w="22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960" w:type="dxa"/>
            <w:vAlign w:val="bottom"/>
          </w:tcPr>
          <w:p>
            <w:pPr>
              <w:jc w:val="right"/>
              <w:ind w:right="40"/>
              <w:spacing w:after="0"/>
              <w:rPr>
                <w:sz w:val="20"/>
                <w:szCs w:val="20"/>
                <w:color w:val="auto"/>
              </w:rPr>
            </w:pPr>
            <w:r>
              <w:rPr>
                <w:rFonts w:ascii="Arial" w:cs="Arial" w:eastAsia="Arial" w:hAnsi="Arial"/>
                <w:sz w:val="16"/>
                <w:szCs w:val="16"/>
                <w:color w:val="auto"/>
              </w:rPr>
              <w:t>—</w:t>
            </w:r>
          </w:p>
        </w:tc>
        <w:tc>
          <w:tcPr>
            <w:tcW w:w="32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920" w:type="dxa"/>
            <w:vAlign w:val="bottom"/>
          </w:tcPr>
          <w:p>
            <w:pPr>
              <w:jc w:val="right"/>
              <w:ind w:right="41"/>
              <w:spacing w:after="0"/>
              <w:rPr>
                <w:sz w:val="20"/>
                <w:szCs w:val="20"/>
                <w:color w:val="auto"/>
              </w:rPr>
            </w:pPr>
            <w:r>
              <w:rPr>
                <w:rFonts w:ascii="Arial" w:cs="Arial" w:eastAsia="Arial" w:hAnsi="Arial"/>
                <w:sz w:val="16"/>
                <w:szCs w:val="16"/>
                <w:color w:val="auto"/>
              </w:rPr>
              <w:t>435,258</w:t>
            </w:r>
          </w:p>
        </w:tc>
        <w:tc>
          <w:tcPr>
            <w:tcW w:w="32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94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34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880" w:type="dxa"/>
            <w:vAlign w:val="bottom"/>
          </w:tcPr>
          <w:p>
            <w:pPr>
              <w:jc w:val="right"/>
              <w:ind w:right="20"/>
              <w:spacing w:after="0"/>
              <w:rPr>
                <w:sz w:val="20"/>
                <w:szCs w:val="20"/>
                <w:color w:val="auto"/>
              </w:rPr>
            </w:pPr>
            <w:r>
              <w:rPr>
                <w:rFonts w:ascii="Arial" w:cs="Arial" w:eastAsia="Arial" w:hAnsi="Arial"/>
                <w:sz w:val="16"/>
                <w:szCs w:val="16"/>
                <w:color w:val="auto"/>
              </w:rPr>
              <w:t>435,258</w:t>
            </w:r>
          </w:p>
        </w:tc>
        <w:tc>
          <w:tcPr>
            <w:tcW w:w="0" w:type="dxa"/>
            <w:vAlign w:val="bottom"/>
          </w:tcPr>
          <w:p>
            <w:pPr>
              <w:spacing w:after="0"/>
              <w:rPr>
                <w:sz w:val="1"/>
                <w:szCs w:val="1"/>
                <w:color w:val="auto"/>
              </w:rPr>
            </w:pPr>
          </w:p>
        </w:tc>
      </w:tr>
      <w:tr>
        <w:trPr>
          <w:trHeight w:val="270"/>
        </w:trPr>
        <w:tc>
          <w:tcPr>
            <w:tcW w:w="6520" w:type="dxa"/>
            <w:vAlign w:val="bottom"/>
          </w:tcPr>
          <w:p>
            <w:pPr>
              <w:ind w:left="40"/>
              <w:spacing w:after="0"/>
              <w:rPr>
                <w:sz w:val="20"/>
                <w:szCs w:val="20"/>
                <w:color w:val="auto"/>
              </w:rPr>
            </w:pPr>
            <w:r>
              <w:rPr>
                <w:rFonts w:ascii="Arial" w:cs="Arial" w:eastAsia="Arial" w:hAnsi="Arial"/>
                <w:sz w:val="16"/>
                <w:szCs w:val="16"/>
                <w:color w:val="auto"/>
              </w:rPr>
              <w:t xml:space="preserve">Commercial paper </w:t>
            </w:r>
            <w:r>
              <w:rPr>
                <w:rFonts w:ascii="Arial" w:cs="Arial" w:eastAsia="Arial" w:hAnsi="Arial"/>
                <w:sz w:val="21"/>
                <w:szCs w:val="21"/>
                <w:color w:val="auto"/>
                <w:vertAlign w:val="superscript"/>
              </w:rPr>
              <w:t>(2)</w:t>
            </w:r>
          </w:p>
        </w:tc>
        <w:tc>
          <w:tcPr>
            <w:tcW w:w="220" w:type="dxa"/>
            <w:vAlign w:val="bottom"/>
          </w:tcPr>
          <w:p>
            <w:pPr>
              <w:spacing w:after="0"/>
              <w:rPr>
                <w:sz w:val="23"/>
                <w:szCs w:val="23"/>
                <w:color w:val="auto"/>
              </w:rPr>
            </w:pPr>
          </w:p>
        </w:tc>
        <w:tc>
          <w:tcPr>
            <w:tcW w:w="960" w:type="dxa"/>
            <w:vAlign w:val="bottom"/>
          </w:tcPr>
          <w:p>
            <w:pPr>
              <w:jc w:val="right"/>
              <w:ind w:right="40"/>
              <w:spacing w:after="0"/>
              <w:rPr>
                <w:sz w:val="20"/>
                <w:szCs w:val="20"/>
                <w:color w:val="auto"/>
              </w:rPr>
            </w:pPr>
            <w:r>
              <w:rPr>
                <w:rFonts w:ascii="Arial" w:cs="Arial" w:eastAsia="Arial" w:hAnsi="Arial"/>
                <w:sz w:val="16"/>
                <w:szCs w:val="16"/>
                <w:color w:val="auto"/>
              </w:rPr>
              <w:t>49,882</w:t>
            </w:r>
          </w:p>
        </w:tc>
        <w:tc>
          <w:tcPr>
            <w:tcW w:w="320" w:type="dxa"/>
            <w:vAlign w:val="bottom"/>
          </w:tcPr>
          <w:p>
            <w:pPr>
              <w:spacing w:after="0"/>
              <w:rPr>
                <w:sz w:val="23"/>
                <w:szCs w:val="23"/>
                <w:color w:val="auto"/>
              </w:rPr>
            </w:pPr>
          </w:p>
        </w:tc>
        <w:tc>
          <w:tcPr>
            <w:tcW w:w="920" w:type="dxa"/>
            <w:vAlign w:val="bottom"/>
          </w:tcPr>
          <w:p>
            <w:pPr>
              <w:jc w:val="right"/>
              <w:ind w:right="41"/>
              <w:spacing w:after="0"/>
              <w:rPr>
                <w:sz w:val="20"/>
                <w:szCs w:val="20"/>
                <w:color w:val="auto"/>
              </w:rPr>
            </w:pPr>
            <w:r>
              <w:rPr>
                <w:rFonts w:ascii="Arial" w:cs="Arial" w:eastAsia="Arial" w:hAnsi="Arial"/>
                <w:sz w:val="16"/>
                <w:szCs w:val="16"/>
                <w:color w:val="auto"/>
              </w:rPr>
              <w:t>—</w:t>
            </w:r>
          </w:p>
        </w:tc>
        <w:tc>
          <w:tcPr>
            <w:tcW w:w="320" w:type="dxa"/>
            <w:vAlign w:val="bottom"/>
          </w:tcPr>
          <w:p>
            <w:pPr>
              <w:spacing w:after="0"/>
              <w:rPr>
                <w:sz w:val="23"/>
                <w:szCs w:val="23"/>
                <w:color w:val="auto"/>
              </w:rPr>
            </w:pPr>
          </w:p>
        </w:tc>
        <w:tc>
          <w:tcPr>
            <w:tcW w:w="940" w:type="dxa"/>
            <w:vAlign w:val="bottom"/>
          </w:tcPr>
          <w:p>
            <w:pPr>
              <w:jc w:val="right"/>
              <w:ind w:right="59"/>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3"/>
                <w:szCs w:val="23"/>
                <w:color w:val="auto"/>
              </w:rPr>
            </w:pPr>
          </w:p>
        </w:tc>
        <w:tc>
          <w:tcPr>
            <w:tcW w:w="880" w:type="dxa"/>
            <w:vAlign w:val="bottom"/>
          </w:tcPr>
          <w:p>
            <w:pPr>
              <w:jc w:val="right"/>
              <w:ind w:right="20"/>
              <w:spacing w:after="0"/>
              <w:rPr>
                <w:sz w:val="20"/>
                <w:szCs w:val="20"/>
                <w:color w:val="auto"/>
              </w:rPr>
            </w:pPr>
            <w:r>
              <w:rPr>
                <w:rFonts w:ascii="Arial" w:cs="Arial" w:eastAsia="Arial" w:hAnsi="Arial"/>
                <w:sz w:val="16"/>
                <w:szCs w:val="16"/>
                <w:color w:val="auto"/>
              </w:rPr>
              <w:t>49,882</w:t>
            </w:r>
          </w:p>
        </w:tc>
        <w:tc>
          <w:tcPr>
            <w:tcW w:w="0" w:type="dxa"/>
            <w:vAlign w:val="bottom"/>
          </w:tcPr>
          <w:p>
            <w:pPr>
              <w:spacing w:after="0"/>
              <w:rPr>
                <w:sz w:val="1"/>
                <w:szCs w:val="1"/>
                <w:color w:val="auto"/>
              </w:rPr>
            </w:pPr>
          </w:p>
        </w:tc>
      </w:tr>
      <w:tr>
        <w:trPr>
          <w:trHeight w:val="308"/>
        </w:trPr>
        <w:tc>
          <w:tcPr>
            <w:tcW w:w="6520" w:type="dxa"/>
            <w:vAlign w:val="bottom"/>
          </w:tcPr>
          <w:p>
            <w:pPr>
              <w:ind w:left="40"/>
              <w:spacing w:after="0"/>
              <w:rPr>
                <w:sz w:val="20"/>
                <w:szCs w:val="20"/>
                <w:color w:val="auto"/>
              </w:rPr>
            </w:pPr>
            <w:r>
              <w:rPr>
                <w:rFonts w:ascii="Arial" w:cs="Arial" w:eastAsia="Arial" w:hAnsi="Arial"/>
                <w:sz w:val="16"/>
                <w:szCs w:val="16"/>
                <w:color w:val="auto"/>
              </w:rPr>
              <w:t xml:space="preserve">Marketable equity securities </w:t>
            </w:r>
            <w:r>
              <w:rPr>
                <w:rFonts w:ascii="Arial" w:cs="Arial" w:eastAsia="Arial" w:hAnsi="Arial"/>
                <w:sz w:val="21"/>
                <w:szCs w:val="21"/>
                <w:color w:val="auto"/>
                <w:vertAlign w:val="superscript"/>
              </w:rPr>
              <w:t>(3)</w:t>
            </w:r>
          </w:p>
        </w:tc>
        <w:tc>
          <w:tcPr>
            <w:tcW w:w="220" w:type="dxa"/>
            <w:vAlign w:val="bottom"/>
          </w:tcPr>
          <w:p>
            <w:pPr>
              <w:spacing w:after="0"/>
              <w:rPr>
                <w:sz w:val="24"/>
                <w:szCs w:val="24"/>
                <w:color w:val="auto"/>
              </w:rPr>
            </w:pPr>
          </w:p>
        </w:tc>
        <w:tc>
          <w:tcPr>
            <w:tcW w:w="960" w:type="dxa"/>
            <w:vAlign w:val="bottom"/>
          </w:tcPr>
          <w:p>
            <w:pPr>
              <w:jc w:val="right"/>
              <w:ind w:right="40"/>
              <w:spacing w:after="0"/>
              <w:rPr>
                <w:sz w:val="20"/>
                <w:szCs w:val="20"/>
                <w:color w:val="auto"/>
              </w:rPr>
            </w:pPr>
            <w:r>
              <w:rPr>
                <w:rFonts w:ascii="Arial" w:cs="Arial" w:eastAsia="Arial" w:hAnsi="Arial"/>
                <w:sz w:val="16"/>
                <w:szCs w:val="16"/>
                <w:color w:val="auto"/>
              </w:rPr>
              <w:t>424,229</w:t>
            </w:r>
          </w:p>
        </w:tc>
        <w:tc>
          <w:tcPr>
            <w:tcW w:w="320" w:type="dxa"/>
            <w:vAlign w:val="bottom"/>
          </w:tcPr>
          <w:p>
            <w:pPr>
              <w:spacing w:after="0"/>
              <w:rPr>
                <w:sz w:val="24"/>
                <w:szCs w:val="24"/>
                <w:color w:val="auto"/>
              </w:rPr>
            </w:pPr>
          </w:p>
        </w:tc>
        <w:tc>
          <w:tcPr>
            <w:tcW w:w="920" w:type="dxa"/>
            <w:vAlign w:val="bottom"/>
          </w:tcPr>
          <w:p>
            <w:pPr>
              <w:jc w:val="right"/>
              <w:ind w:right="41"/>
              <w:spacing w:after="0"/>
              <w:rPr>
                <w:sz w:val="20"/>
                <w:szCs w:val="20"/>
                <w:color w:val="auto"/>
              </w:rPr>
            </w:pPr>
            <w:r>
              <w:rPr>
                <w:rFonts w:ascii="Arial" w:cs="Arial" w:eastAsia="Arial" w:hAnsi="Arial"/>
                <w:sz w:val="16"/>
                <w:szCs w:val="16"/>
                <w:color w:val="auto"/>
              </w:rPr>
              <w:t>—</w:t>
            </w:r>
          </w:p>
        </w:tc>
        <w:tc>
          <w:tcPr>
            <w:tcW w:w="320" w:type="dxa"/>
            <w:vAlign w:val="bottom"/>
          </w:tcPr>
          <w:p>
            <w:pPr>
              <w:spacing w:after="0"/>
              <w:rPr>
                <w:sz w:val="24"/>
                <w:szCs w:val="24"/>
                <w:color w:val="auto"/>
              </w:rPr>
            </w:pPr>
          </w:p>
        </w:tc>
        <w:tc>
          <w:tcPr>
            <w:tcW w:w="940" w:type="dxa"/>
            <w:vAlign w:val="bottom"/>
          </w:tcPr>
          <w:p>
            <w:pPr>
              <w:jc w:val="right"/>
              <w:ind w:right="59"/>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4"/>
                <w:szCs w:val="24"/>
                <w:color w:val="auto"/>
              </w:rPr>
            </w:pPr>
          </w:p>
        </w:tc>
        <w:tc>
          <w:tcPr>
            <w:tcW w:w="880" w:type="dxa"/>
            <w:vAlign w:val="bottom"/>
          </w:tcPr>
          <w:p>
            <w:pPr>
              <w:jc w:val="right"/>
              <w:ind w:right="20"/>
              <w:spacing w:after="0"/>
              <w:rPr>
                <w:sz w:val="20"/>
                <w:szCs w:val="20"/>
                <w:color w:val="auto"/>
              </w:rPr>
            </w:pPr>
            <w:r>
              <w:rPr>
                <w:rFonts w:ascii="Arial" w:cs="Arial" w:eastAsia="Arial" w:hAnsi="Arial"/>
                <w:sz w:val="16"/>
                <w:szCs w:val="16"/>
                <w:color w:val="auto"/>
              </w:rPr>
              <w:t>424,229</w:t>
            </w:r>
          </w:p>
        </w:tc>
        <w:tc>
          <w:tcPr>
            <w:tcW w:w="0" w:type="dxa"/>
            <w:vAlign w:val="bottom"/>
          </w:tcPr>
          <w:p>
            <w:pPr>
              <w:spacing w:after="0"/>
              <w:rPr>
                <w:sz w:val="1"/>
                <w:szCs w:val="1"/>
                <w:color w:val="auto"/>
              </w:rPr>
            </w:pPr>
          </w:p>
        </w:tc>
      </w:tr>
      <w:tr>
        <w:trPr>
          <w:trHeight w:val="219"/>
        </w:trPr>
        <w:tc>
          <w:tcPr>
            <w:tcW w:w="6520" w:type="dxa"/>
            <w:vAlign w:val="bottom"/>
          </w:tcPr>
          <w:p>
            <w:pPr>
              <w:ind w:left="40"/>
              <w:spacing w:after="0" w:line="219" w:lineRule="exact"/>
              <w:rPr>
                <w:sz w:val="20"/>
                <w:szCs w:val="20"/>
                <w:color w:val="auto"/>
              </w:rPr>
            </w:pPr>
            <w:r>
              <w:rPr>
                <w:rFonts w:ascii="Arial" w:cs="Arial" w:eastAsia="Arial" w:hAnsi="Arial"/>
                <w:sz w:val="16"/>
                <w:szCs w:val="16"/>
                <w:color w:val="auto"/>
              </w:rPr>
              <w:t xml:space="preserve">Other current investments </w:t>
            </w:r>
            <w:r>
              <w:rPr>
                <w:rFonts w:ascii="Arial" w:cs="Arial" w:eastAsia="Arial" w:hAnsi="Arial"/>
                <w:sz w:val="21"/>
                <w:szCs w:val="21"/>
                <w:color w:val="auto"/>
                <w:vertAlign w:val="superscript"/>
              </w:rPr>
              <w:t>(4)</w:t>
            </w:r>
          </w:p>
        </w:tc>
        <w:tc>
          <w:tcPr>
            <w:tcW w:w="22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color w:val="auto"/>
              </w:rPr>
              <w:t>6,957</w:t>
            </w:r>
          </w:p>
        </w:tc>
        <w:tc>
          <w:tcPr>
            <w:tcW w:w="32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41"/>
              <w:spacing w:after="0"/>
              <w:rPr>
                <w:sz w:val="20"/>
                <w:szCs w:val="20"/>
                <w:color w:val="auto"/>
              </w:rPr>
            </w:pPr>
            <w:r>
              <w:rPr>
                <w:rFonts w:ascii="Arial" w:cs="Arial" w:eastAsia="Arial" w:hAnsi="Arial"/>
                <w:sz w:val="16"/>
                <w:szCs w:val="16"/>
                <w:color w:val="auto"/>
              </w:rPr>
              <w:t>17,055</w:t>
            </w:r>
          </w:p>
        </w:tc>
        <w:tc>
          <w:tcPr>
            <w:tcW w:w="32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w:t>
            </w:r>
          </w:p>
        </w:tc>
        <w:tc>
          <w:tcPr>
            <w:tcW w:w="34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24,012</w:t>
            </w:r>
          </w:p>
        </w:tc>
        <w:tc>
          <w:tcPr>
            <w:tcW w:w="0" w:type="dxa"/>
            <w:vAlign w:val="bottom"/>
          </w:tcPr>
          <w:p>
            <w:pPr>
              <w:spacing w:after="0"/>
              <w:rPr>
                <w:sz w:val="1"/>
                <w:szCs w:val="1"/>
                <w:color w:val="auto"/>
              </w:rPr>
            </w:pPr>
          </w:p>
        </w:tc>
      </w:tr>
      <w:tr>
        <w:trPr>
          <w:trHeight w:val="258"/>
        </w:trPr>
        <w:tc>
          <w:tcPr>
            <w:tcW w:w="6520" w:type="dxa"/>
            <w:vAlign w:val="bottom"/>
          </w:tcPr>
          <w:p>
            <w:pPr>
              <w:ind w:left="280"/>
              <w:spacing w:after="0"/>
              <w:rPr>
                <w:sz w:val="20"/>
                <w:szCs w:val="20"/>
                <w:color w:val="auto"/>
              </w:rPr>
            </w:pPr>
            <w:r>
              <w:rPr>
                <w:rFonts w:ascii="Arial" w:cs="Arial" w:eastAsia="Arial" w:hAnsi="Arial"/>
                <w:sz w:val="16"/>
                <w:szCs w:val="16"/>
                <w:b w:val="1"/>
                <w:bCs w:val="1"/>
                <w:color w:val="auto"/>
              </w:rPr>
              <w:t>Total Financial Assets</w:t>
            </w:r>
          </w:p>
        </w:tc>
        <w:tc>
          <w:tcPr>
            <w:tcW w:w="2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w:t>
            </w:r>
          </w:p>
        </w:tc>
        <w:tc>
          <w:tcPr>
            <w:tcW w:w="96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color w:val="auto"/>
              </w:rPr>
              <w:t>481,068</w:t>
            </w:r>
          </w:p>
        </w:tc>
        <w:tc>
          <w:tcPr>
            <w:tcW w:w="3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w:t>
            </w:r>
          </w:p>
        </w:tc>
        <w:tc>
          <w:tcPr>
            <w:tcW w:w="920" w:type="dxa"/>
            <w:vAlign w:val="bottom"/>
            <w:tcBorders>
              <w:bottom w:val="single" w:sz="8" w:color="auto"/>
            </w:tcBorders>
          </w:tcPr>
          <w:p>
            <w:pPr>
              <w:jc w:val="right"/>
              <w:ind w:right="41"/>
              <w:spacing w:after="0"/>
              <w:rPr>
                <w:sz w:val="20"/>
                <w:szCs w:val="20"/>
                <w:color w:val="auto"/>
              </w:rPr>
            </w:pPr>
            <w:r>
              <w:rPr>
                <w:rFonts w:ascii="Arial" w:cs="Arial" w:eastAsia="Arial" w:hAnsi="Arial"/>
                <w:sz w:val="16"/>
                <w:szCs w:val="16"/>
                <w:color w:val="auto"/>
              </w:rPr>
              <w:t>452,313</w:t>
            </w:r>
          </w:p>
        </w:tc>
        <w:tc>
          <w:tcPr>
            <w:tcW w:w="3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w:t>
            </w:r>
          </w:p>
        </w:tc>
        <w:tc>
          <w:tcPr>
            <w:tcW w:w="94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w:t>
            </w:r>
          </w:p>
        </w:tc>
        <w:tc>
          <w:tcPr>
            <w:tcW w:w="34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w:t>
            </w:r>
          </w:p>
        </w:tc>
        <w:tc>
          <w:tcPr>
            <w:tcW w:w="88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933,381</w:t>
            </w:r>
          </w:p>
        </w:tc>
        <w:tc>
          <w:tcPr>
            <w:tcW w:w="0" w:type="dxa"/>
            <w:vAlign w:val="bottom"/>
          </w:tcPr>
          <w:p>
            <w:pPr>
              <w:spacing w:after="0"/>
              <w:rPr>
                <w:sz w:val="1"/>
                <w:szCs w:val="1"/>
                <w:color w:val="auto"/>
              </w:rPr>
            </w:pPr>
          </w:p>
        </w:tc>
      </w:tr>
      <w:tr>
        <w:trPr>
          <w:trHeight w:val="20"/>
        </w:trPr>
        <w:tc>
          <w:tcPr>
            <w:tcW w:w="6520" w:type="dxa"/>
            <w:vAlign w:val="bottom"/>
            <w:vMerge w:val="restart"/>
          </w:tcPr>
          <w:p>
            <w:pPr>
              <w:ind w:left="40"/>
              <w:spacing w:after="0"/>
              <w:rPr>
                <w:sz w:val="20"/>
                <w:szCs w:val="20"/>
                <w:color w:val="auto"/>
              </w:rPr>
            </w:pPr>
            <w:r>
              <w:rPr>
                <w:rFonts w:ascii="Arial" w:cs="Arial" w:eastAsia="Arial" w:hAnsi="Arial"/>
                <w:sz w:val="16"/>
                <w:szCs w:val="16"/>
                <w:b w:val="1"/>
                <w:bCs w:val="1"/>
                <w:color w:val="auto"/>
              </w:rPr>
              <w:t>Liabilities</w:t>
            </w:r>
          </w:p>
        </w:tc>
        <w:tc>
          <w:tcPr>
            <w:tcW w:w="2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6520" w:type="dxa"/>
            <w:vAlign w:val="bottom"/>
            <w:vMerge w:val="continue"/>
          </w:tcPr>
          <w:p>
            <w:pPr>
              <w:spacing w:after="0"/>
              <w:rPr>
                <w:sz w:val="20"/>
                <w:szCs w:val="20"/>
                <w:color w:val="auto"/>
              </w:rPr>
            </w:pPr>
          </w:p>
        </w:tc>
        <w:tc>
          <w:tcPr>
            <w:tcW w:w="22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40"/>
        </w:trPr>
        <w:tc>
          <w:tcPr>
            <w:tcW w:w="6520" w:type="dxa"/>
            <w:vAlign w:val="bottom"/>
          </w:tcPr>
          <w:p>
            <w:pPr>
              <w:ind w:left="40"/>
              <w:spacing w:after="0"/>
              <w:rPr>
                <w:sz w:val="20"/>
                <w:szCs w:val="20"/>
                <w:color w:val="auto"/>
              </w:rPr>
            </w:pPr>
            <w:r>
              <w:rPr>
                <w:rFonts w:ascii="Arial" w:cs="Arial" w:eastAsia="Arial" w:hAnsi="Arial"/>
                <w:sz w:val="16"/>
                <w:szCs w:val="16"/>
                <w:color w:val="auto"/>
              </w:rPr>
              <w:t xml:space="preserve">Deferred compensation plan liabilities </w:t>
            </w:r>
            <w:r>
              <w:rPr>
                <w:rFonts w:ascii="Arial" w:cs="Arial" w:eastAsia="Arial" w:hAnsi="Arial"/>
                <w:sz w:val="21"/>
                <w:szCs w:val="21"/>
                <w:color w:val="auto"/>
                <w:vertAlign w:val="superscript"/>
              </w:rPr>
              <w:t>(5)</w:t>
            </w:r>
          </w:p>
        </w:tc>
        <w:tc>
          <w:tcPr>
            <w:tcW w:w="22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960" w:type="dxa"/>
            <w:vAlign w:val="bottom"/>
          </w:tcPr>
          <w:p>
            <w:pPr>
              <w:jc w:val="right"/>
              <w:ind w:right="40"/>
              <w:spacing w:after="0"/>
              <w:rPr>
                <w:sz w:val="20"/>
                <w:szCs w:val="20"/>
                <w:color w:val="auto"/>
              </w:rPr>
            </w:pPr>
            <w:r>
              <w:rPr>
                <w:rFonts w:ascii="Arial" w:cs="Arial" w:eastAsia="Arial" w:hAnsi="Arial"/>
                <w:sz w:val="16"/>
                <w:szCs w:val="16"/>
                <w:color w:val="auto"/>
              </w:rPr>
              <w:t>—</w:t>
            </w:r>
          </w:p>
        </w:tc>
        <w:tc>
          <w:tcPr>
            <w:tcW w:w="32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920" w:type="dxa"/>
            <w:vAlign w:val="bottom"/>
          </w:tcPr>
          <w:p>
            <w:pPr>
              <w:jc w:val="right"/>
              <w:ind w:right="41"/>
              <w:spacing w:after="0"/>
              <w:rPr>
                <w:sz w:val="20"/>
                <w:szCs w:val="20"/>
                <w:color w:val="auto"/>
              </w:rPr>
            </w:pPr>
            <w:r>
              <w:rPr>
                <w:rFonts w:ascii="Arial" w:cs="Arial" w:eastAsia="Arial" w:hAnsi="Arial"/>
                <w:sz w:val="16"/>
                <w:szCs w:val="16"/>
                <w:color w:val="auto"/>
              </w:rPr>
              <w:t>46,300</w:t>
            </w:r>
          </w:p>
        </w:tc>
        <w:tc>
          <w:tcPr>
            <w:tcW w:w="32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94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34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880" w:type="dxa"/>
            <w:vAlign w:val="bottom"/>
          </w:tcPr>
          <w:p>
            <w:pPr>
              <w:jc w:val="right"/>
              <w:ind w:right="20"/>
              <w:spacing w:after="0"/>
              <w:rPr>
                <w:sz w:val="20"/>
                <w:szCs w:val="20"/>
                <w:color w:val="auto"/>
              </w:rPr>
            </w:pPr>
            <w:r>
              <w:rPr>
                <w:rFonts w:ascii="Arial" w:cs="Arial" w:eastAsia="Arial" w:hAnsi="Arial"/>
                <w:sz w:val="16"/>
                <w:szCs w:val="16"/>
                <w:color w:val="auto"/>
              </w:rPr>
              <w:t>46,300</w:t>
            </w:r>
          </w:p>
        </w:tc>
        <w:tc>
          <w:tcPr>
            <w:tcW w:w="0" w:type="dxa"/>
            <w:vAlign w:val="bottom"/>
          </w:tcPr>
          <w:p>
            <w:pPr>
              <w:spacing w:after="0"/>
              <w:rPr>
                <w:sz w:val="1"/>
                <w:szCs w:val="1"/>
                <w:color w:val="auto"/>
              </w:rPr>
            </w:pPr>
          </w:p>
        </w:tc>
      </w:tr>
      <w:tr>
        <w:trPr>
          <w:trHeight w:val="270"/>
        </w:trPr>
        <w:tc>
          <w:tcPr>
            <w:tcW w:w="6520" w:type="dxa"/>
            <w:vAlign w:val="bottom"/>
          </w:tcPr>
          <w:p>
            <w:pPr>
              <w:ind w:left="40"/>
              <w:spacing w:after="0"/>
              <w:rPr>
                <w:sz w:val="20"/>
                <w:szCs w:val="20"/>
                <w:color w:val="auto"/>
              </w:rPr>
            </w:pPr>
            <w:r>
              <w:rPr>
                <w:rFonts w:ascii="Arial" w:cs="Arial" w:eastAsia="Arial" w:hAnsi="Arial"/>
                <w:sz w:val="16"/>
                <w:szCs w:val="16"/>
                <w:color w:val="auto"/>
              </w:rPr>
              <w:t xml:space="preserve">Interest rate swap </w:t>
            </w:r>
            <w:r>
              <w:rPr>
                <w:rFonts w:ascii="Arial" w:cs="Arial" w:eastAsia="Arial" w:hAnsi="Arial"/>
                <w:sz w:val="21"/>
                <w:szCs w:val="21"/>
                <w:color w:val="auto"/>
                <w:vertAlign w:val="superscript"/>
              </w:rPr>
              <w:t>(6)</w:t>
            </w:r>
          </w:p>
        </w:tc>
        <w:tc>
          <w:tcPr>
            <w:tcW w:w="220" w:type="dxa"/>
            <w:vAlign w:val="bottom"/>
          </w:tcPr>
          <w:p>
            <w:pPr>
              <w:spacing w:after="0"/>
              <w:rPr>
                <w:sz w:val="23"/>
                <w:szCs w:val="23"/>
                <w:color w:val="auto"/>
              </w:rPr>
            </w:pPr>
          </w:p>
        </w:tc>
        <w:tc>
          <w:tcPr>
            <w:tcW w:w="960" w:type="dxa"/>
            <w:vAlign w:val="bottom"/>
          </w:tcPr>
          <w:p>
            <w:pPr>
              <w:jc w:val="right"/>
              <w:ind w:right="40"/>
              <w:spacing w:after="0"/>
              <w:rPr>
                <w:sz w:val="20"/>
                <w:szCs w:val="20"/>
                <w:color w:val="auto"/>
              </w:rPr>
            </w:pPr>
            <w:r>
              <w:rPr>
                <w:rFonts w:ascii="Arial" w:cs="Arial" w:eastAsia="Arial" w:hAnsi="Arial"/>
                <w:sz w:val="16"/>
                <w:szCs w:val="16"/>
                <w:color w:val="auto"/>
              </w:rPr>
              <w:t>—</w:t>
            </w:r>
          </w:p>
        </w:tc>
        <w:tc>
          <w:tcPr>
            <w:tcW w:w="320" w:type="dxa"/>
            <w:vAlign w:val="bottom"/>
          </w:tcPr>
          <w:p>
            <w:pPr>
              <w:spacing w:after="0"/>
              <w:rPr>
                <w:sz w:val="23"/>
                <w:szCs w:val="23"/>
                <w:color w:val="auto"/>
              </w:rPr>
            </w:pPr>
          </w:p>
        </w:tc>
        <w:tc>
          <w:tcPr>
            <w:tcW w:w="920" w:type="dxa"/>
            <w:vAlign w:val="bottom"/>
          </w:tcPr>
          <w:p>
            <w:pPr>
              <w:jc w:val="right"/>
              <w:ind w:right="41"/>
              <w:spacing w:after="0"/>
              <w:rPr>
                <w:sz w:val="20"/>
                <w:szCs w:val="20"/>
                <w:color w:val="auto"/>
              </w:rPr>
            </w:pPr>
            <w:r>
              <w:rPr>
                <w:rFonts w:ascii="Arial" w:cs="Arial" w:eastAsia="Arial" w:hAnsi="Arial"/>
                <w:sz w:val="16"/>
                <w:szCs w:val="16"/>
                <w:color w:val="auto"/>
              </w:rPr>
              <w:t>365</w:t>
            </w:r>
          </w:p>
        </w:tc>
        <w:tc>
          <w:tcPr>
            <w:tcW w:w="320" w:type="dxa"/>
            <w:vAlign w:val="bottom"/>
          </w:tcPr>
          <w:p>
            <w:pPr>
              <w:spacing w:after="0"/>
              <w:rPr>
                <w:sz w:val="23"/>
                <w:szCs w:val="23"/>
                <w:color w:val="auto"/>
              </w:rPr>
            </w:pPr>
          </w:p>
        </w:tc>
        <w:tc>
          <w:tcPr>
            <w:tcW w:w="94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340" w:type="dxa"/>
            <w:vAlign w:val="bottom"/>
          </w:tcPr>
          <w:p>
            <w:pPr>
              <w:spacing w:after="0"/>
              <w:rPr>
                <w:sz w:val="23"/>
                <w:szCs w:val="23"/>
                <w:color w:val="auto"/>
              </w:rPr>
            </w:pPr>
          </w:p>
        </w:tc>
        <w:tc>
          <w:tcPr>
            <w:tcW w:w="880" w:type="dxa"/>
            <w:vAlign w:val="bottom"/>
          </w:tcPr>
          <w:p>
            <w:pPr>
              <w:jc w:val="right"/>
              <w:ind w:right="20"/>
              <w:spacing w:after="0"/>
              <w:rPr>
                <w:sz w:val="20"/>
                <w:szCs w:val="20"/>
                <w:color w:val="auto"/>
              </w:rPr>
            </w:pPr>
            <w:r>
              <w:rPr>
                <w:rFonts w:ascii="Arial" w:cs="Arial" w:eastAsia="Arial" w:hAnsi="Arial"/>
                <w:sz w:val="16"/>
                <w:szCs w:val="16"/>
                <w:color w:val="auto"/>
              </w:rPr>
              <w:t>365</w:t>
            </w:r>
          </w:p>
        </w:tc>
        <w:tc>
          <w:tcPr>
            <w:tcW w:w="0" w:type="dxa"/>
            <w:vAlign w:val="bottom"/>
          </w:tcPr>
          <w:p>
            <w:pPr>
              <w:spacing w:after="0"/>
              <w:rPr>
                <w:sz w:val="1"/>
                <w:szCs w:val="1"/>
                <w:color w:val="auto"/>
              </w:rPr>
            </w:pPr>
          </w:p>
        </w:tc>
      </w:tr>
      <w:tr>
        <w:trPr>
          <w:trHeight w:val="219"/>
        </w:trPr>
        <w:tc>
          <w:tcPr>
            <w:tcW w:w="6520" w:type="dxa"/>
            <w:vAlign w:val="bottom"/>
          </w:tcPr>
          <w:p>
            <w:pPr>
              <w:ind w:left="40"/>
              <w:spacing w:after="0" w:line="219" w:lineRule="exact"/>
              <w:rPr>
                <w:sz w:val="20"/>
                <w:szCs w:val="20"/>
                <w:color w:val="auto"/>
              </w:rPr>
            </w:pPr>
            <w:r>
              <w:rPr>
                <w:rFonts w:ascii="Arial" w:cs="Arial" w:eastAsia="Arial" w:hAnsi="Arial"/>
                <w:sz w:val="16"/>
                <w:szCs w:val="16"/>
                <w:color w:val="auto"/>
              </w:rPr>
              <w:t xml:space="preserve">Mandatorily redeemable noncontrolling interest </w:t>
            </w:r>
            <w:r>
              <w:rPr>
                <w:rFonts w:ascii="Arial" w:cs="Arial" w:eastAsia="Arial" w:hAnsi="Arial"/>
                <w:sz w:val="21"/>
                <w:szCs w:val="21"/>
                <w:color w:val="auto"/>
                <w:vertAlign w:val="superscript"/>
              </w:rPr>
              <w:t>(7)</w:t>
            </w:r>
          </w:p>
        </w:tc>
        <w:tc>
          <w:tcPr>
            <w:tcW w:w="22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color w:val="auto"/>
              </w:rPr>
              <w:t>—</w:t>
            </w:r>
          </w:p>
        </w:tc>
        <w:tc>
          <w:tcPr>
            <w:tcW w:w="32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41"/>
              <w:spacing w:after="0"/>
              <w:rPr>
                <w:sz w:val="20"/>
                <w:szCs w:val="20"/>
                <w:color w:val="auto"/>
              </w:rPr>
            </w:pPr>
            <w:r>
              <w:rPr>
                <w:rFonts w:ascii="Arial" w:cs="Arial" w:eastAsia="Arial" w:hAnsi="Arial"/>
                <w:sz w:val="16"/>
                <w:szCs w:val="16"/>
                <w:color w:val="auto"/>
              </w:rPr>
              <w:t>—</w:t>
            </w:r>
          </w:p>
        </w:tc>
        <w:tc>
          <w:tcPr>
            <w:tcW w:w="32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12,584</w:t>
            </w:r>
          </w:p>
        </w:tc>
        <w:tc>
          <w:tcPr>
            <w:tcW w:w="34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12,584</w:t>
            </w:r>
          </w:p>
        </w:tc>
        <w:tc>
          <w:tcPr>
            <w:tcW w:w="0" w:type="dxa"/>
            <w:vAlign w:val="bottom"/>
          </w:tcPr>
          <w:p>
            <w:pPr>
              <w:spacing w:after="0"/>
              <w:rPr>
                <w:sz w:val="1"/>
                <w:szCs w:val="1"/>
                <w:color w:val="auto"/>
              </w:rPr>
            </w:pPr>
          </w:p>
        </w:tc>
      </w:tr>
      <w:tr>
        <w:trPr>
          <w:trHeight w:val="258"/>
        </w:trPr>
        <w:tc>
          <w:tcPr>
            <w:tcW w:w="6520" w:type="dxa"/>
            <w:vAlign w:val="bottom"/>
          </w:tcPr>
          <w:p>
            <w:pPr>
              <w:ind w:left="280"/>
              <w:spacing w:after="0"/>
              <w:rPr>
                <w:sz w:val="20"/>
                <w:szCs w:val="20"/>
                <w:color w:val="auto"/>
              </w:rPr>
            </w:pPr>
            <w:r>
              <w:rPr>
                <w:rFonts w:ascii="Arial" w:cs="Arial" w:eastAsia="Arial" w:hAnsi="Arial"/>
                <w:sz w:val="16"/>
                <w:szCs w:val="16"/>
                <w:b w:val="1"/>
                <w:bCs w:val="1"/>
                <w:color w:val="auto"/>
              </w:rPr>
              <w:t>Total Financial Liabilities</w:t>
            </w:r>
          </w:p>
        </w:tc>
        <w:tc>
          <w:tcPr>
            <w:tcW w:w="2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w:t>
            </w:r>
          </w:p>
        </w:tc>
        <w:tc>
          <w:tcPr>
            <w:tcW w:w="96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color w:val="auto"/>
              </w:rPr>
              <w:t>—</w:t>
            </w:r>
          </w:p>
        </w:tc>
        <w:tc>
          <w:tcPr>
            <w:tcW w:w="3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w:t>
            </w:r>
          </w:p>
        </w:tc>
        <w:tc>
          <w:tcPr>
            <w:tcW w:w="920" w:type="dxa"/>
            <w:vAlign w:val="bottom"/>
            <w:tcBorders>
              <w:bottom w:val="single" w:sz="8" w:color="auto"/>
            </w:tcBorders>
          </w:tcPr>
          <w:p>
            <w:pPr>
              <w:jc w:val="right"/>
              <w:ind w:right="41"/>
              <w:spacing w:after="0"/>
              <w:rPr>
                <w:sz w:val="20"/>
                <w:szCs w:val="20"/>
                <w:color w:val="auto"/>
              </w:rPr>
            </w:pPr>
            <w:r>
              <w:rPr>
                <w:rFonts w:ascii="Arial" w:cs="Arial" w:eastAsia="Arial" w:hAnsi="Arial"/>
                <w:sz w:val="16"/>
                <w:szCs w:val="16"/>
                <w:color w:val="auto"/>
              </w:rPr>
              <w:t>46,665</w:t>
            </w:r>
          </w:p>
        </w:tc>
        <w:tc>
          <w:tcPr>
            <w:tcW w:w="3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w:t>
            </w:r>
          </w:p>
        </w:tc>
        <w:tc>
          <w:tcPr>
            <w:tcW w:w="94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12,584</w:t>
            </w:r>
          </w:p>
        </w:tc>
        <w:tc>
          <w:tcPr>
            <w:tcW w:w="34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w:t>
            </w:r>
          </w:p>
        </w:tc>
        <w:tc>
          <w:tcPr>
            <w:tcW w:w="88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59,249</w:t>
            </w:r>
          </w:p>
        </w:tc>
        <w:tc>
          <w:tcPr>
            <w:tcW w:w="0" w:type="dxa"/>
            <w:vAlign w:val="bottom"/>
          </w:tcPr>
          <w:p>
            <w:pPr>
              <w:spacing w:after="0"/>
              <w:rPr>
                <w:sz w:val="1"/>
                <w:szCs w:val="1"/>
                <w:color w:val="auto"/>
              </w:rPr>
            </w:pPr>
          </w:p>
        </w:tc>
      </w:tr>
      <w:tr>
        <w:trPr>
          <w:trHeight w:val="20"/>
        </w:trPr>
        <w:tc>
          <w:tcPr>
            <w:tcW w:w="6520" w:type="dxa"/>
            <w:vAlign w:val="bottom"/>
            <w:vMerge w:val="restart"/>
          </w:tcPr>
          <w:p>
            <w:pPr>
              <w:spacing w:after="0"/>
              <w:rPr>
                <w:sz w:val="20"/>
                <w:szCs w:val="20"/>
                <w:color w:val="auto"/>
              </w:rPr>
            </w:pPr>
            <w:r>
              <w:rPr>
                <w:rFonts w:ascii="Arial" w:cs="Arial" w:eastAsia="Arial" w:hAnsi="Arial"/>
                <w:sz w:val="14"/>
                <w:szCs w:val="14"/>
                <w:color w:val="auto"/>
              </w:rPr>
              <w:t>____________</w:t>
            </w:r>
          </w:p>
        </w:tc>
        <w:tc>
          <w:tcPr>
            <w:tcW w:w="2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7"/>
        </w:trPr>
        <w:tc>
          <w:tcPr>
            <w:tcW w:w="6520" w:type="dxa"/>
            <w:vAlign w:val="bottom"/>
            <w:vMerge w:val="continue"/>
          </w:tcPr>
          <w:p>
            <w:pPr>
              <w:spacing w:after="0"/>
              <w:rPr>
                <w:sz w:val="15"/>
                <w:szCs w:val="15"/>
                <w:color w:val="auto"/>
              </w:rPr>
            </w:pPr>
          </w:p>
        </w:tc>
        <w:tc>
          <w:tcPr>
            <w:tcW w:w="2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195" w:lineRule="exact"/>
        <w:rPr>
          <w:sz w:val="20"/>
          <w:szCs w:val="20"/>
          <w:color w:val="auto"/>
        </w:rPr>
      </w:pPr>
    </w:p>
    <w:p>
      <w:pPr>
        <w:ind w:left="260" w:hanging="252"/>
        <w:spacing w:after="0"/>
        <w:tabs>
          <w:tab w:leader="none" w:pos="260" w:val="left"/>
        </w:tabs>
        <w:numPr>
          <w:ilvl w:val="0"/>
          <w:numId w:val="74"/>
        </w:numPr>
        <w:rPr>
          <w:rFonts w:ascii="Arial" w:cs="Arial" w:eastAsia="Arial" w:hAnsi="Arial"/>
          <w:sz w:val="13"/>
          <w:szCs w:val="13"/>
          <w:color w:val="auto"/>
        </w:rPr>
      </w:pPr>
      <w:r>
        <w:rPr>
          <w:rFonts w:ascii="Arial" w:cs="Arial" w:eastAsia="Arial" w:hAnsi="Arial"/>
          <w:sz w:val="13"/>
          <w:szCs w:val="13"/>
          <w:color w:val="auto"/>
        </w:rPr>
        <w:t>The Company’s money market investments are included in cash, cash equivalents and restricted cash and the value considers the liquidity of the counterparty.</w:t>
      </w:r>
    </w:p>
    <w:p>
      <w:pPr>
        <w:spacing w:after="0" w:line="26" w:lineRule="exact"/>
        <w:rPr>
          <w:rFonts w:ascii="Arial" w:cs="Arial" w:eastAsia="Arial" w:hAnsi="Arial"/>
          <w:sz w:val="13"/>
          <w:szCs w:val="13"/>
          <w:color w:val="auto"/>
        </w:rPr>
      </w:pPr>
    </w:p>
    <w:p>
      <w:pPr>
        <w:ind w:left="260" w:hanging="252"/>
        <w:spacing w:after="0"/>
        <w:tabs>
          <w:tab w:leader="none" w:pos="260" w:val="left"/>
        </w:tabs>
        <w:numPr>
          <w:ilvl w:val="0"/>
          <w:numId w:val="74"/>
        </w:numPr>
        <w:rPr>
          <w:rFonts w:ascii="Arial" w:cs="Arial" w:eastAsia="Arial" w:hAnsi="Arial"/>
          <w:sz w:val="13"/>
          <w:szCs w:val="13"/>
          <w:color w:val="auto"/>
        </w:rPr>
      </w:pPr>
      <w:r>
        <w:rPr>
          <w:rFonts w:ascii="Arial" w:cs="Arial" w:eastAsia="Arial" w:hAnsi="Arial"/>
          <w:sz w:val="13"/>
          <w:szCs w:val="13"/>
          <w:color w:val="auto"/>
        </w:rPr>
        <w:t>The Company’s commercial paper investments with original maturities of three months or less are included in cash and cash equivalents.</w:t>
      </w:r>
    </w:p>
    <w:p>
      <w:pPr>
        <w:spacing w:after="0" w:line="26" w:lineRule="exact"/>
        <w:rPr>
          <w:rFonts w:ascii="Arial" w:cs="Arial" w:eastAsia="Arial" w:hAnsi="Arial"/>
          <w:sz w:val="13"/>
          <w:szCs w:val="13"/>
          <w:color w:val="auto"/>
        </w:rPr>
      </w:pPr>
    </w:p>
    <w:p>
      <w:pPr>
        <w:ind w:left="260" w:hanging="252"/>
        <w:spacing w:after="0"/>
        <w:tabs>
          <w:tab w:leader="none" w:pos="260" w:val="left"/>
        </w:tabs>
        <w:numPr>
          <w:ilvl w:val="0"/>
          <w:numId w:val="74"/>
        </w:numPr>
        <w:rPr>
          <w:rFonts w:ascii="Arial" w:cs="Arial" w:eastAsia="Arial" w:hAnsi="Arial"/>
          <w:sz w:val="13"/>
          <w:szCs w:val="13"/>
          <w:color w:val="auto"/>
        </w:rPr>
      </w:pPr>
      <w:r>
        <w:rPr>
          <w:rFonts w:ascii="Arial" w:cs="Arial" w:eastAsia="Arial" w:hAnsi="Arial"/>
          <w:sz w:val="13"/>
          <w:szCs w:val="13"/>
          <w:color w:val="auto"/>
        </w:rPr>
        <w:t>The Company’s investments in marketable equity securities are classified as available-for-sale.</w:t>
      </w:r>
    </w:p>
    <w:p>
      <w:pPr>
        <w:spacing w:after="0" w:line="26" w:lineRule="exact"/>
        <w:rPr>
          <w:rFonts w:ascii="Arial" w:cs="Arial" w:eastAsia="Arial" w:hAnsi="Arial"/>
          <w:sz w:val="13"/>
          <w:szCs w:val="13"/>
          <w:color w:val="auto"/>
        </w:rPr>
      </w:pPr>
    </w:p>
    <w:p>
      <w:pPr>
        <w:ind w:left="260" w:right="200" w:hanging="252"/>
        <w:spacing w:after="0" w:line="219" w:lineRule="auto"/>
        <w:tabs>
          <w:tab w:leader="none" w:pos="260" w:val="left"/>
        </w:tabs>
        <w:numPr>
          <w:ilvl w:val="0"/>
          <w:numId w:val="74"/>
        </w:numPr>
        <w:rPr>
          <w:rFonts w:ascii="Arial" w:cs="Arial" w:eastAsia="Arial" w:hAnsi="Arial"/>
          <w:sz w:val="13"/>
          <w:szCs w:val="13"/>
          <w:color w:val="auto"/>
        </w:rPr>
      </w:pPr>
      <w:r>
        <w:rPr>
          <w:rFonts w:ascii="Arial" w:cs="Arial" w:eastAsia="Arial" w:hAnsi="Arial"/>
          <w:sz w:val="13"/>
          <w:szCs w:val="13"/>
          <w:color w:val="auto"/>
        </w:rPr>
        <w:t>Includes U.S. Government Securities, corporate bonds, mutual funds and time deposits. These investments are valued using a market approach based on the quoted market prices of the security or inputs that include quoted market prices for similar instruments and are classified as either Level 1 or Level 2 in the valuation hierarchy.</w:t>
      </w:r>
    </w:p>
    <w:p>
      <w:pPr>
        <w:spacing w:after="0" w:line="24" w:lineRule="exact"/>
        <w:rPr>
          <w:rFonts w:ascii="Arial" w:cs="Arial" w:eastAsia="Arial" w:hAnsi="Arial"/>
          <w:sz w:val="13"/>
          <w:szCs w:val="13"/>
          <w:color w:val="auto"/>
        </w:rPr>
      </w:pPr>
    </w:p>
    <w:p>
      <w:pPr>
        <w:ind w:left="260" w:right="160" w:hanging="252"/>
        <w:spacing w:after="0" w:line="207" w:lineRule="auto"/>
        <w:tabs>
          <w:tab w:leader="none" w:pos="260" w:val="left"/>
        </w:tabs>
        <w:numPr>
          <w:ilvl w:val="0"/>
          <w:numId w:val="74"/>
        </w:numPr>
        <w:rPr>
          <w:rFonts w:ascii="Arial" w:cs="Arial" w:eastAsia="Arial" w:hAnsi="Arial"/>
          <w:sz w:val="13"/>
          <w:szCs w:val="13"/>
          <w:color w:val="auto"/>
        </w:rPr>
      </w:pPr>
      <w:r>
        <w:rPr>
          <w:rFonts w:ascii="Arial" w:cs="Arial" w:eastAsia="Arial" w:hAnsi="Arial"/>
          <w:sz w:val="13"/>
          <w:szCs w:val="13"/>
          <w:color w:val="auto"/>
        </w:rPr>
        <w:t>Includes Graham Holdings Company’s Deferred Compensation Plan and supplemental savings plan benefits under the Graham Holdings Company’s Supplemental Executive Retirement Plan, which are included in accrued compensation and related benefits. These plans measure the market value of a participant’s balance in a notional investment account that is comprised primarily of mutual funds, which are based on observable market prices. However, since the deferred compensation obligations are not exchanged in an active market, they are classified as Level 2 in the fair value hierarchy. Realized and unrealized gains (losses) on deferred compensation are included in operating income.</w:t>
      </w:r>
    </w:p>
    <w:p>
      <w:pPr>
        <w:spacing w:after="0" w:line="24" w:lineRule="exact"/>
        <w:rPr>
          <w:rFonts w:ascii="Arial" w:cs="Arial" w:eastAsia="Arial" w:hAnsi="Arial"/>
          <w:sz w:val="13"/>
          <w:szCs w:val="13"/>
          <w:color w:val="auto"/>
        </w:rPr>
      </w:pPr>
    </w:p>
    <w:p>
      <w:pPr>
        <w:ind w:left="260" w:right="420" w:hanging="252"/>
        <w:spacing w:after="0" w:line="219" w:lineRule="auto"/>
        <w:tabs>
          <w:tab w:leader="none" w:pos="260" w:val="left"/>
        </w:tabs>
        <w:numPr>
          <w:ilvl w:val="0"/>
          <w:numId w:val="74"/>
        </w:numPr>
        <w:rPr>
          <w:rFonts w:ascii="Arial" w:cs="Arial" w:eastAsia="Arial" w:hAnsi="Arial"/>
          <w:sz w:val="13"/>
          <w:szCs w:val="13"/>
          <w:color w:val="auto"/>
        </w:rPr>
      </w:pPr>
      <w:r>
        <w:rPr>
          <w:rFonts w:ascii="Arial" w:cs="Arial" w:eastAsia="Arial" w:hAnsi="Arial"/>
          <w:sz w:val="13"/>
          <w:szCs w:val="13"/>
          <w:color w:val="auto"/>
        </w:rPr>
        <w:t>Included in Other liabilities. The Company utilized a market approach model using the notional amount of the interest rate swap multiplied by the observable inputs of time to maturity and market interest rates.</w:t>
      </w:r>
    </w:p>
    <w:p>
      <w:pPr>
        <w:spacing w:after="0" w:line="24" w:lineRule="exact"/>
        <w:rPr>
          <w:rFonts w:ascii="Arial" w:cs="Arial" w:eastAsia="Arial" w:hAnsi="Arial"/>
          <w:sz w:val="13"/>
          <w:szCs w:val="13"/>
          <w:color w:val="auto"/>
        </w:rPr>
      </w:pPr>
    </w:p>
    <w:p>
      <w:pPr>
        <w:ind w:left="260" w:hanging="252"/>
        <w:spacing w:after="0"/>
        <w:tabs>
          <w:tab w:leader="none" w:pos="260" w:val="left"/>
        </w:tabs>
        <w:numPr>
          <w:ilvl w:val="0"/>
          <w:numId w:val="74"/>
        </w:numPr>
        <w:rPr>
          <w:rFonts w:ascii="Arial" w:cs="Arial" w:eastAsia="Arial" w:hAnsi="Arial"/>
          <w:sz w:val="13"/>
          <w:szCs w:val="13"/>
          <w:color w:val="auto"/>
        </w:rPr>
      </w:pPr>
      <w:r>
        <w:rPr>
          <w:rFonts w:ascii="Arial" w:cs="Arial" w:eastAsia="Arial" w:hAnsi="Arial"/>
          <w:sz w:val="13"/>
          <w:szCs w:val="13"/>
          <w:color w:val="auto"/>
        </w:rPr>
        <w:t>The fair value of the mandatorily redeemable noncontrolling interest is based on an EBITDA multiple, adjusted for working capital and other items, which approximates fair value.</w:t>
      </w:r>
    </w:p>
    <w:p>
      <w:pPr>
        <w:spacing w:after="0" w:line="193" w:lineRule="exact"/>
        <w:rPr>
          <w:sz w:val="20"/>
          <w:szCs w:val="20"/>
          <w:color w:val="auto"/>
        </w:rPr>
      </w:pPr>
    </w:p>
    <w:p>
      <w:pPr>
        <w:ind w:right="20"/>
        <w:spacing w:after="0" w:line="224" w:lineRule="auto"/>
        <w:rPr>
          <w:sz w:val="20"/>
          <w:szCs w:val="20"/>
          <w:color w:val="auto"/>
        </w:rPr>
      </w:pPr>
      <w:r>
        <w:rPr>
          <w:rFonts w:ascii="Arial" w:cs="Arial" w:eastAsia="Arial" w:hAnsi="Arial"/>
          <w:sz w:val="18"/>
          <w:szCs w:val="18"/>
          <w:color w:val="auto"/>
        </w:rPr>
        <w:t>For the years ended December 31, 2017, 2016 and 2015, the Company recorded goodwill and other long-lived asset impairment charges of $9.6 million, $1.6 million and $ 259.7 million, respectively. The remeasurement of the goodwill and other long-lived assets is classified as a Level 3 fair value assessment due to the significance of unobservable inputs developed in the determination of the fair value. The Company used a discounted cash flow model to determine the estimated fair value of the reporting unit. A market value approach was also utilized to supplement the discounted cash flow model. The Company made estimates and assumptions regarding future cash flows, discount rates, long-term growth rates and market values to determine the reporting unit’s estimated fair value.</w:t>
      </w:r>
    </w:p>
    <w:p>
      <w:pPr>
        <w:spacing w:after="0" w:line="191" w:lineRule="exact"/>
        <w:rPr>
          <w:sz w:val="20"/>
          <w:szCs w:val="20"/>
          <w:color w:val="auto"/>
        </w:rPr>
      </w:pPr>
    </w:p>
    <w:p>
      <w:pPr>
        <w:ind w:right="180"/>
        <w:spacing w:after="0" w:line="224" w:lineRule="auto"/>
        <w:rPr>
          <w:sz w:val="20"/>
          <w:szCs w:val="20"/>
          <w:color w:val="auto"/>
        </w:rPr>
      </w:pPr>
      <w:r>
        <w:rPr>
          <w:rFonts w:ascii="Arial" w:cs="Arial" w:eastAsia="Arial" w:hAnsi="Arial"/>
          <w:sz w:val="18"/>
          <w:szCs w:val="18"/>
          <w:color w:val="auto"/>
        </w:rPr>
        <w:t>For the year ended December 31, 2016, the Company recorded impairment charges totaling $27.0 million to its cost method investment relating to a preferred equity interest in a vocational school company due to a decline in business conditions. The measurement of the preferred equity interest is classified as a Level 3 fair value assessment due to the significance of unobservable inputs developed in the determination of the fair value. The Company used a discounted cash flow model to determine the estimated fair value of the preferred equity interest and made estimates and assumptions regarding future cash flows, discount rates, long-term growth rates and market values to determine the estimated fair value.</w:t>
      </w:r>
    </w:p>
    <w:p>
      <w:pPr>
        <w:sectPr>
          <w:pgSz w:w="11900" w:h="16838" w:orient="portrait"/>
          <w:cols w:equalWidth="0" w:num="1">
            <w:col w:w="11420"/>
          </w:cols>
          <w:pgMar w:left="240" w:top="724" w:right="239" w:bottom="1440" w:gutter="0" w:footer="0" w:header="0"/>
        </w:sectPr>
      </w:pPr>
    </w:p>
    <w:p>
      <w:pPr>
        <w:spacing w:after="0" w:line="200" w:lineRule="exact"/>
        <w:rPr>
          <w:sz w:val="20"/>
          <w:szCs w:val="20"/>
          <w:color w:val="auto"/>
        </w:rPr>
      </w:pPr>
    </w:p>
    <w:p>
      <w:pPr>
        <w:spacing w:after="0" w:line="302"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98</w:t>
      </w:r>
    </w:p>
    <w:p>
      <w:pPr>
        <w:sectPr>
          <w:pgSz w:w="11900" w:h="16838" w:orient="portrait"/>
          <w:cols w:equalWidth="0" w:num="1">
            <w:col w:w="11420"/>
          </w:cols>
          <w:pgMar w:left="240" w:top="724" w:right="239" w:bottom="1440" w:gutter="0" w:footer="0" w:header="0"/>
          <w:type w:val="continuous"/>
        </w:sectPr>
      </w:pPr>
    </w:p>
    <w:bookmarkStart w:id="101" w:name="page102"/>
    <w:bookmarkEnd w:id="101"/>
    <w:p>
      <w:pPr>
        <w:ind w:left="500" w:hanging="492"/>
        <w:spacing w:after="0"/>
        <w:tabs>
          <w:tab w:leader="none" w:pos="500" w:val="left"/>
        </w:tabs>
        <w:numPr>
          <w:ilvl w:val="0"/>
          <w:numId w:val="75"/>
        </w:numPr>
        <w:rPr>
          <w:rFonts w:ascii="Arial" w:cs="Arial" w:eastAsia="Arial" w:hAnsi="Arial"/>
          <w:sz w:val="18"/>
          <w:szCs w:val="18"/>
          <w:b w:val="1"/>
          <w:bCs w:val="1"/>
          <w:color w:val="auto"/>
        </w:rPr>
      </w:pPr>
      <w:r>
        <w:rPr>
          <w:rFonts w:ascii="Arial" w:cs="Arial" w:eastAsia="Arial" w:hAnsi="Arial"/>
          <w:sz w:val="18"/>
          <w:szCs w:val="18"/>
          <w:b w:val="1"/>
          <w:bCs w:val="1"/>
          <w:color w:val="auto"/>
        </w:rPr>
        <w:t>REDEEMABLE PREFERRED STOCK</w:t>
      </w:r>
    </w:p>
    <w:p>
      <w:pPr>
        <w:spacing w:after="0" w:line="166" w:lineRule="exact"/>
        <w:rPr>
          <w:sz w:val="20"/>
          <w:szCs w:val="20"/>
          <w:color w:val="auto"/>
        </w:rPr>
      </w:pPr>
    </w:p>
    <w:p>
      <w:pPr>
        <w:ind w:right="100"/>
        <w:spacing w:after="0" w:line="225" w:lineRule="auto"/>
        <w:rPr>
          <w:sz w:val="20"/>
          <w:szCs w:val="20"/>
          <w:color w:val="auto"/>
        </w:rPr>
      </w:pPr>
      <w:r>
        <w:rPr>
          <w:rFonts w:ascii="Arial" w:cs="Arial" w:eastAsia="Arial" w:hAnsi="Arial"/>
          <w:sz w:val="18"/>
          <w:szCs w:val="18"/>
          <w:color w:val="auto"/>
        </w:rPr>
        <w:t>On October 1, 2015, the Company redeemed its Series A preferred stock with a par value of $1.00 per share and a liquidation preference of $1,000 per share. The 10,510 shares outstanding were redeemed at the redemption price of $1,000 per share for $10.5 million. Prior to redemption, dividends on the Series A preferred stock were payable four times a year at the annual rate of $80.00 per share and in preference to any dividends on the Company’s common stock. The Series A preferred stock was not convertible into any other security of the Company, and the holders thereof had no voting rights except with respect to any proposed changes in the preferences and special rights of such stock.</w:t>
      </w:r>
    </w:p>
    <w:p>
      <w:pPr>
        <w:spacing w:after="0" w:line="115" w:lineRule="exact"/>
        <w:rPr>
          <w:sz w:val="20"/>
          <w:szCs w:val="20"/>
          <w:color w:val="auto"/>
        </w:rPr>
      </w:pPr>
    </w:p>
    <w:p>
      <w:pPr>
        <w:ind w:left="500" w:hanging="492"/>
        <w:spacing w:after="0"/>
        <w:tabs>
          <w:tab w:leader="none" w:pos="500" w:val="left"/>
        </w:tabs>
        <w:numPr>
          <w:ilvl w:val="0"/>
          <w:numId w:val="76"/>
        </w:numPr>
        <w:rPr>
          <w:rFonts w:ascii="Arial" w:cs="Arial" w:eastAsia="Arial" w:hAnsi="Arial"/>
          <w:sz w:val="18"/>
          <w:szCs w:val="18"/>
          <w:b w:val="1"/>
          <w:bCs w:val="1"/>
          <w:color w:val="auto"/>
        </w:rPr>
      </w:pPr>
      <w:r>
        <w:rPr>
          <w:rFonts w:ascii="Arial" w:cs="Arial" w:eastAsia="Arial" w:hAnsi="Arial"/>
          <w:sz w:val="18"/>
          <w:szCs w:val="18"/>
          <w:b w:val="1"/>
          <w:bCs w:val="1"/>
          <w:color w:val="auto"/>
        </w:rPr>
        <w:t>CAPITAL STOCK, STOCK AWARDS AND STOCK OPTIONS</w:t>
      </w:r>
    </w:p>
    <w:p>
      <w:pPr>
        <w:spacing w:after="0" w:line="144" w:lineRule="exact"/>
        <w:rPr>
          <w:sz w:val="20"/>
          <w:szCs w:val="20"/>
          <w:color w:val="auto"/>
        </w:rPr>
      </w:pPr>
    </w:p>
    <w:p>
      <w:pPr>
        <w:ind w:right="160"/>
        <w:spacing w:after="0" w:line="238" w:lineRule="auto"/>
        <w:rPr>
          <w:sz w:val="20"/>
          <w:szCs w:val="20"/>
          <w:color w:val="auto"/>
        </w:rPr>
      </w:pPr>
      <w:r>
        <w:rPr>
          <w:rFonts w:ascii="Arial" w:cs="Arial" w:eastAsia="Arial" w:hAnsi="Arial"/>
          <w:sz w:val="18"/>
          <w:szCs w:val="18"/>
          <w:b w:val="1"/>
          <w:bCs w:val="1"/>
          <w:color w:val="auto"/>
        </w:rPr>
        <w:t xml:space="preserve">Capital Stock. </w:t>
      </w:r>
      <w:r>
        <w:rPr>
          <w:rFonts w:ascii="Arial" w:cs="Arial" w:eastAsia="Arial" w:hAnsi="Arial"/>
          <w:sz w:val="18"/>
          <w:szCs w:val="18"/>
          <w:color w:val="auto"/>
        </w:rPr>
        <w:t>Each share of Class A common stock and Class B common stock participates equally in dividends. The Class B stock has</w:t>
      </w:r>
      <w:r>
        <w:rPr>
          <w:rFonts w:ascii="Arial" w:cs="Arial" w:eastAsia="Arial" w:hAnsi="Arial"/>
          <w:sz w:val="18"/>
          <w:szCs w:val="18"/>
          <w:b w:val="1"/>
          <w:bCs w:val="1"/>
          <w:color w:val="auto"/>
        </w:rPr>
        <w:t xml:space="preserve"> </w:t>
      </w:r>
      <w:r>
        <w:rPr>
          <w:rFonts w:ascii="Arial" w:cs="Arial" w:eastAsia="Arial" w:hAnsi="Arial"/>
          <w:sz w:val="18"/>
          <w:szCs w:val="18"/>
          <w:color w:val="auto"/>
        </w:rPr>
        <w:t>limited voting rights and as a class has the right to elect 30% of the Board of Directors; the Class A stock has unlimited voting rights, including the right to elect a majority of the Board of Directors.</w:t>
      </w:r>
    </w:p>
    <w:p>
      <w:pPr>
        <w:spacing w:after="0" w:line="122" w:lineRule="exact"/>
        <w:rPr>
          <w:sz w:val="20"/>
          <w:szCs w:val="20"/>
          <w:color w:val="auto"/>
        </w:rPr>
      </w:pPr>
    </w:p>
    <w:p>
      <w:pPr>
        <w:spacing w:after="0" w:line="228" w:lineRule="auto"/>
        <w:rPr>
          <w:sz w:val="20"/>
          <w:szCs w:val="20"/>
          <w:color w:val="auto"/>
        </w:rPr>
      </w:pPr>
      <w:r>
        <w:rPr>
          <w:rFonts w:ascii="Arial" w:cs="Arial" w:eastAsia="Arial" w:hAnsi="Arial"/>
          <w:sz w:val="18"/>
          <w:szCs w:val="18"/>
          <w:color w:val="auto"/>
        </w:rPr>
        <w:t>During 2017, 2016, and 2015 the Company purchased a total of 88,361, 229,498, and 46,226 shares, respectively, of its Class B common stock at a cost of approximately $ 50.8 million, $ 108.9 million, and $23.0 million, respectively. On November 9, 2017, the Board of Directors authorized the Company to acquire up to 500,000 shares of its Class B common stock. The Company did not announce a ceiling price or time limit for the purchases. The authorization included 163,237 shares that remained under the previous authorization. At December 31, 2017, the Company had remaining authorization from the Board of Directors to purchase up to 472,678 shares of Class B common stock.</w:t>
      </w:r>
    </w:p>
    <w:p>
      <w:pPr>
        <w:spacing w:after="0" w:line="116" w:lineRule="exact"/>
        <w:rPr>
          <w:sz w:val="20"/>
          <w:szCs w:val="20"/>
          <w:color w:val="auto"/>
        </w:rPr>
      </w:pPr>
    </w:p>
    <w:p>
      <w:pPr>
        <w:ind w:right="40"/>
        <w:spacing w:after="0" w:line="224" w:lineRule="auto"/>
        <w:rPr>
          <w:sz w:val="20"/>
          <w:szCs w:val="20"/>
          <w:color w:val="auto"/>
        </w:rPr>
      </w:pPr>
      <w:r>
        <w:rPr>
          <w:rFonts w:ascii="Arial" w:cs="Arial" w:eastAsia="Arial" w:hAnsi="Arial"/>
          <w:sz w:val="18"/>
          <w:szCs w:val="18"/>
          <w:b w:val="1"/>
          <w:bCs w:val="1"/>
          <w:color w:val="auto"/>
        </w:rPr>
        <w:t xml:space="preserve">Stock Awards. </w:t>
      </w:r>
      <w:r>
        <w:rPr>
          <w:rFonts w:ascii="Arial" w:cs="Arial" w:eastAsia="Arial" w:hAnsi="Arial"/>
          <w:sz w:val="18"/>
          <w:szCs w:val="18"/>
          <w:color w:val="auto"/>
        </w:rPr>
        <w:t>In 2012, the Company adopted an incentive compensation plan (the 2012 Plan), which, among other provisions, authorizes the</w:t>
      </w:r>
      <w:r>
        <w:rPr>
          <w:rFonts w:ascii="Arial" w:cs="Arial" w:eastAsia="Arial" w:hAnsi="Arial"/>
          <w:sz w:val="18"/>
          <w:szCs w:val="18"/>
          <w:b w:val="1"/>
          <w:bCs w:val="1"/>
          <w:color w:val="auto"/>
        </w:rPr>
        <w:t xml:space="preserve"> </w:t>
      </w:r>
      <w:r>
        <w:rPr>
          <w:rFonts w:ascii="Arial" w:cs="Arial" w:eastAsia="Arial" w:hAnsi="Arial"/>
          <w:sz w:val="18"/>
          <w:szCs w:val="18"/>
          <w:color w:val="auto"/>
        </w:rPr>
        <w:t>awarding of Class B common stock to key employees in the form of stock awards, stock options and other awards involving the actual transfer of shares. All stock awards, stock options and other awards involving the actual transfer of shares issued subsequent to the adoption of this plan are covered under this incentive compensation plan. Stock awards made under the 2012 Plan are primarily subject to the general restriction that stock awarded to a participant will be forfeited and revert to Company ownership if the participant’s employment terminates before the end of a specified period of service to the Company. Some of the awards are also subject to performance conditions and will be forfeited and revert to Company ownership if the conditions are not met. As a result of the Cable ONE spin-off, the number of Class B common stock authorized for issuance under the 2012 Plan was increased from 500,000 shares to 772,588 shares. The individual award limit under the 2012 Plan was also increased from 50,000 shares to 77,258 shares per calendar year. At December 31, 2017, there were 589,483 shares reserved for issuance under the 2012 incentive compensation plan. Of this number, 157,506 shares were subject to stock awards and stock options outstanding, and 431,977 shares were available for future awards.</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color w:val="auto"/>
        </w:rPr>
        <w:t>Activity related to stock awards under the 2012 incentive compensation plan for the year ended December 31, 2017 was as follows:</w:t>
      </w:r>
    </w:p>
    <w:p>
      <w:pPr>
        <w:spacing w:after="0" w:line="145"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9160" w:type="dxa"/>
            <w:vAlign w:val="bottom"/>
          </w:tcPr>
          <w:p>
            <w:pPr>
              <w:spacing w:after="0"/>
              <w:rPr>
                <w:sz w:val="14"/>
                <w:szCs w:val="14"/>
                <w:color w:val="auto"/>
              </w:rPr>
            </w:pPr>
          </w:p>
        </w:tc>
        <w:tc>
          <w:tcPr>
            <w:tcW w:w="1020" w:type="dxa"/>
            <w:vAlign w:val="bottom"/>
          </w:tcPr>
          <w:p>
            <w:pPr>
              <w:jc w:val="right"/>
              <w:ind w:right="82"/>
              <w:spacing w:after="0"/>
              <w:rPr>
                <w:sz w:val="20"/>
                <w:szCs w:val="20"/>
                <w:color w:val="auto"/>
              </w:rPr>
            </w:pPr>
            <w:r>
              <w:rPr>
                <w:rFonts w:ascii="Arial" w:cs="Arial" w:eastAsia="Arial" w:hAnsi="Arial"/>
                <w:sz w:val="14"/>
                <w:szCs w:val="14"/>
                <w:b w:val="1"/>
                <w:bCs w:val="1"/>
                <w:color w:val="auto"/>
              </w:rPr>
              <w:t>Number of</w:t>
            </w:r>
          </w:p>
        </w:tc>
        <w:tc>
          <w:tcPr>
            <w:tcW w:w="1240" w:type="dxa"/>
            <w:vAlign w:val="bottom"/>
            <w:gridSpan w:val="2"/>
          </w:tcPr>
          <w:p>
            <w:pPr>
              <w:jc w:val="right"/>
              <w:spacing w:after="0"/>
              <w:rPr>
                <w:sz w:val="20"/>
                <w:szCs w:val="20"/>
                <w:color w:val="auto"/>
              </w:rPr>
            </w:pPr>
            <w:r>
              <w:rPr>
                <w:rFonts w:ascii="Arial" w:cs="Arial" w:eastAsia="Arial" w:hAnsi="Arial"/>
                <w:sz w:val="14"/>
                <w:szCs w:val="14"/>
                <w:b w:val="1"/>
                <w:bCs w:val="1"/>
                <w:color w:val="auto"/>
              </w:rPr>
              <w:t>Average Grant-</w:t>
            </w:r>
          </w:p>
        </w:tc>
      </w:tr>
      <w:tr>
        <w:trPr>
          <w:trHeight w:val="196"/>
        </w:trPr>
        <w:tc>
          <w:tcPr>
            <w:tcW w:w="916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ind w:right="202"/>
              <w:spacing w:after="0"/>
              <w:rPr>
                <w:sz w:val="20"/>
                <w:szCs w:val="20"/>
                <w:color w:val="auto"/>
              </w:rPr>
            </w:pPr>
            <w:r>
              <w:rPr>
                <w:rFonts w:ascii="Arial" w:cs="Arial" w:eastAsia="Arial" w:hAnsi="Arial"/>
                <w:sz w:val="14"/>
                <w:szCs w:val="14"/>
                <w:b w:val="1"/>
                <w:bCs w:val="1"/>
                <w:color w:val="auto"/>
              </w:rPr>
              <w:t>Shares</w:t>
            </w:r>
          </w:p>
        </w:tc>
        <w:tc>
          <w:tcPr>
            <w:tcW w:w="124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Date Fair Value</w:t>
            </w:r>
          </w:p>
        </w:tc>
      </w:tr>
      <w:tr>
        <w:trPr>
          <w:trHeight w:val="250"/>
        </w:trPr>
        <w:tc>
          <w:tcPr>
            <w:tcW w:w="9160" w:type="dxa"/>
            <w:vAlign w:val="bottom"/>
          </w:tcPr>
          <w:p>
            <w:pPr>
              <w:ind w:left="40"/>
              <w:spacing w:after="0"/>
              <w:rPr>
                <w:sz w:val="20"/>
                <w:szCs w:val="20"/>
                <w:color w:val="auto"/>
              </w:rPr>
            </w:pPr>
            <w:r>
              <w:rPr>
                <w:rFonts w:ascii="Arial" w:cs="Arial" w:eastAsia="Arial" w:hAnsi="Arial"/>
                <w:sz w:val="16"/>
                <w:szCs w:val="16"/>
                <w:color w:val="auto"/>
              </w:rPr>
              <w:t>Beginning of year, unvested</w:t>
            </w:r>
          </w:p>
        </w:tc>
        <w:tc>
          <w:tcPr>
            <w:tcW w:w="1020" w:type="dxa"/>
            <w:vAlign w:val="bottom"/>
          </w:tcPr>
          <w:p>
            <w:pPr>
              <w:jc w:val="right"/>
              <w:ind w:right="42"/>
              <w:spacing w:after="0"/>
              <w:rPr>
                <w:sz w:val="20"/>
                <w:szCs w:val="20"/>
                <w:color w:val="auto"/>
              </w:rPr>
            </w:pPr>
            <w:r>
              <w:rPr>
                <w:rFonts w:ascii="Arial" w:cs="Arial" w:eastAsia="Arial" w:hAnsi="Arial"/>
                <w:sz w:val="16"/>
                <w:szCs w:val="16"/>
                <w:b w:val="1"/>
                <w:bCs w:val="1"/>
                <w:color w:val="auto"/>
              </w:rPr>
              <w:t>67,225</w:t>
            </w:r>
          </w:p>
        </w:tc>
        <w:tc>
          <w:tcPr>
            <w:tcW w:w="420" w:type="dxa"/>
            <w:vAlign w:val="bottom"/>
          </w:tcPr>
          <w:p>
            <w:pPr>
              <w:jc w:val="right"/>
              <w:ind w:right="125"/>
              <w:spacing w:after="0"/>
              <w:rPr>
                <w:sz w:val="20"/>
                <w:szCs w:val="20"/>
                <w:color w:val="auto"/>
              </w:rPr>
            </w:pPr>
            <w:r>
              <w:rPr>
                <w:rFonts w:ascii="Arial" w:cs="Arial" w:eastAsia="Arial" w:hAnsi="Arial"/>
                <w:sz w:val="16"/>
                <w:szCs w:val="16"/>
                <w:b w:val="1"/>
                <w:bCs w:val="1"/>
                <w:color w:val="auto"/>
              </w:rPr>
              <w:t>$</w:t>
            </w:r>
          </w:p>
        </w:tc>
        <w:tc>
          <w:tcPr>
            <w:tcW w:w="820" w:type="dxa"/>
            <w:vAlign w:val="bottom"/>
          </w:tcPr>
          <w:p>
            <w:pPr>
              <w:jc w:val="right"/>
              <w:ind w:right="19"/>
              <w:spacing w:after="0"/>
              <w:rPr>
                <w:sz w:val="20"/>
                <w:szCs w:val="20"/>
                <w:color w:val="auto"/>
              </w:rPr>
            </w:pPr>
            <w:r>
              <w:rPr>
                <w:rFonts w:ascii="Arial" w:cs="Arial" w:eastAsia="Arial" w:hAnsi="Arial"/>
                <w:sz w:val="16"/>
                <w:szCs w:val="16"/>
                <w:b w:val="1"/>
                <w:bCs w:val="1"/>
                <w:color w:val="auto"/>
              </w:rPr>
              <w:t>655.15</w:t>
            </w:r>
          </w:p>
        </w:tc>
      </w:tr>
      <w:tr>
        <w:trPr>
          <w:trHeight w:val="270"/>
        </w:trPr>
        <w:tc>
          <w:tcPr>
            <w:tcW w:w="9160" w:type="dxa"/>
            <w:vAlign w:val="bottom"/>
          </w:tcPr>
          <w:p>
            <w:pPr>
              <w:ind w:left="40"/>
              <w:spacing w:after="0"/>
              <w:rPr>
                <w:sz w:val="20"/>
                <w:szCs w:val="20"/>
                <w:color w:val="auto"/>
              </w:rPr>
            </w:pPr>
            <w:r>
              <w:rPr>
                <w:rFonts w:ascii="Arial" w:cs="Arial" w:eastAsia="Arial" w:hAnsi="Arial"/>
                <w:sz w:val="16"/>
                <w:szCs w:val="16"/>
                <w:color w:val="auto"/>
              </w:rPr>
              <w:t>Awarded</w:t>
            </w:r>
          </w:p>
        </w:tc>
        <w:tc>
          <w:tcPr>
            <w:tcW w:w="1020" w:type="dxa"/>
            <w:vAlign w:val="bottom"/>
          </w:tcPr>
          <w:p>
            <w:pPr>
              <w:jc w:val="right"/>
              <w:ind w:right="42"/>
              <w:spacing w:after="0"/>
              <w:rPr>
                <w:sz w:val="20"/>
                <w:szCs w:val="20"/>
                <w:color w:val="auto"/>
              </w:rPr>
            </w:pPr>
            <w:r>
              <w:rPr>
                <w:rFonts w:ascii="Arial" w:cs="Arial" w:eastAsia="Arial" w:hAnsi="Arial"/>
                <w:sz w:val="16"/>
                <w:szCs w:val="16"/>
                <w:b w:val="1"/>
                <w:bCs w:val="1"/>
                <w:color w:val="auto"/>
              </w:rPr>
              <w:t>15,543</w:t>
            </w:r>
          </w:p>
        </w:tc>
        <w:tc>
          <w:tcPr>
            <w:tcW w:w="420" w:type="dxa"/>
            <w:vAlign w:val="bottom"/>
          </w:tcPr>
          <w:p>
            <w:pPr>
              <w:spacing w:after="0"/>
              <w:rPr>
                <w:sz w:val="23"/>
                <w:szCs w:val="23"/>
                <w:color w:val="auto"/>
              </w:rPr>
            </w:pPr>
          </w:p>
        </w:tc>
        <w:tc>
          <w:tcPr>
            <w:tcW w:w="820" w:type="dxa"/>
            <w:vAlign w:val="bottom"/>
          </w:tcPr>
          <w:p>
            <w:pPr>
              <w:jc w:val="right"/>
              <w:ind w:right="19"/>
              <w:spacing w:after="0"/>
              <w:rPr>
                <w:sz w:val="20"/>
                <w:szCs w:val="20"/>
                <w:color w:val="auto"/>
              </w:rPr>
            </w:pPr>
            <w:r>
              <w:rPr>
                <w:rFonts w:ascii="Arial" w:cs="Arial" w:eastAsia="Arial" w:hAnsi="Arial"/>
                <w:sz w:val="16"/>
                <w:szCs w:val="16"/>
                <w:b w:val="1"/>
                <w:bCs w:val="1"/>
                <w:color w:val="auto"/>
              </w:rPr>
              <w:t>535.67</w:t>
            </w:r>
          </w:p>
        </w:tc>
      </w:tr>
      <w:tr>
        <w:trPr>
          <w:trHeight w:val="270"/>
        </w:trPr>
        <w:tc>
          <w:tcPr>
            <w:tcW w:w="9160" w:type="dxa"/>
            <w:vAlign w:val="bottom"/>
          </w:tcPr>
          <w:p>
            <w:pPr>
              <w:ind w:left="40"/>
              <w:spacing w:after="0"/>
              <w:rPr>
                <w:sz w:val="20"/>
                <w:szCs w:val="20"/>
                <w:color w:val="auto"/>
              </w:rPr>
            </w:pPr>
            <w:r>
              <w:rPr>
                <w:rFonts w:ascii="Arial" w:cs="Arial" w:eastAsia="Arial" w:hAnsi="Arial"/>
                <w:sz w:val="16"/>
                <w:szCs w:val="16"/>
                <w:color w:val="auto"/>
              </w:rPr>
              <w:t>Vested</w:t>
            </w:r>
          </w:p>
        </w:tc>
        <w:tc>
          <w:tcPr>
            <w:tcW w:w="1020" w:type="dxa"/>
            <w:vAlign w:val="bottom"/>
          </w:tcPr>
          <w:p>
            <w:pPr>
              <w:jc w:val="right"/>
              <w:spacing w:after="0"/>
              <w:rPr>
                <w:sz w:val="20"/>
                <w:szCs w:val="20"/>
                <w:color w:val="auto"/>
              </w:rPr>
            </w:pPr>
            <w:r>
              <w:rPr>
                <w:rFonts w:ascii="Arial" w:cs="Arial" w:eastAsia="Arial" w:hAnsi="Arial"/>
                <w:sz w:val="16"/>
                <w:szCs w:val="16"/>
                <w:b w:val="1"/>
                <w:bCs w:val="1"/>
                <w:color w:val="auto"/>
              </w:rPr>
              <w:t>(28,593)</w:t>
            </w:r>
          </w:p>
        </w:tc>
        <w:tc>
          <w:tcPr>
            <w:tcW w:w="420" w:type="dxa"/>
            <w:vAlign w:val="bottom"/>
          </w:tcPr>
          <w:p>
            <w:pPr>
              <w:spacing w:after="0"/>
              <w:rPr>
                <w:sz w:val="23"/>
                <w:szCs w:val="23"/>
                <w:color w:val="auto"/>
              </w:rPr>
            </w:pPr>
          </w:p>
        </w:tc>
        <w:tc>
          <w:tcPr>
            <w:tcW w:w="820" w:type="dxa"/>
            <w:vAlign w:val="bottom"/>
          </w:tcPr>
          <w:p>
            <w:pPr>
              <w:jc w:val="right"/>
              <w:ind w:right="19"/>
              <w:spacing w:after="0"/>
              <w:rPr>
                <w:sz w:val="20"/>
                <w:szCs w:val="20"/>
                <w:color w:val="auto"/>
              </w:rPr>
            </w:pPr>
            <w:r>
              <w:rPr>
                <w:rFonts w:ascii="Arial" w:cs="Arial" w:eastAsia="Arial" w:hAnsi="Arial"/>
                <w:sz w:val="16"/>
                <w:szCs w:val="16"/>
                <w:b w:val="1"/>
                <w:bCs w:val="1"/>
                <w:color w:val="auto"/>
              </w:rPr>
              <w:t>415.66</w:t>
            </w:r>
          </w:p>
        </w:tc>
      </w:tr>
      <w:tr>
        <w:trPr>
          <w:trHeight w:val="283"/>
        </w:trPr>
        <w:tc>
          <w:tcPr>
            <w:tcW w:w="9160" w:type="dxa"/>
            <w:vAlign w:val="bottom"/>
          </w:tcPr>
          <w:p>
            <w:pPr>
              <w:ind w:left="40"/>
              <w:spacing w:after="0"/>
              <w:rPr>
                <w:sz w:val="20"/>
                <w:szCs w:val="20"/>
                <w:color w:val="auto"/>
              </w:rPr>
            </w:pPr>
            <w:r>
              <w:rPr>
                <w:rFonts w:ascii="Arial" w:cs="Arial" w:eastAsia="Arial" w:hAnsi="Arial"/>
                <w:sz w:val="16"/>
                <w:szCs w:val="16"/>
                <w:color w:val="auto"/>
              </w:rPr>
              <w:t>Forfeited</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(2,600)</w:t>
            </w:r>
          </w:p>
        </w:tc>
        <w:tc>
          <w:tcPr>
            <w:tcW w:w="420" w:type="dxa"/>
            <w:vAlign w:val="bottom"/>
          </w:tcPr>
          <w:p>
            <w:pPr>
              <w:spacing w:after="0"/>
              <w:rPr>
                <w:sz w:val="24"/>
                <w:szCs w:val="24"/>
                <w:color w:val="auto"/>
              </w:rPr>
            </w:pPr>
          </w:p>
        </w:tc>
        <w:tc>
          <w:tcPr>
            <w:tcW w:w="820" w:type="dxa"/>
            <w:vAlign w:val="bottom"/>
          </w:tcPr>
          <w:p>
            <w:pPr>
              <w:jc w:val="right"/>
              <w:ind w:right="19"/>
              <w:spacing w:after="0"/>
              <w:rPr>
                <w:sz w:val="20"/>
                <w:szCs w:val="20"/>
                <w:color w:val="auto"/>
              </w:rPr>
            </w:pPr>
            <w:r>
              <w:rPr>
                <w:rFonts w:ascii="Arial" w:cs="Arial" w:eastAsia="Arial" w:hAnsi="Arial"/>
                <w:sz w:val="16"/>
                <w:szCs w:val="16"/>
                <w:b w:val="1"/>
                <w:bCs w:val="1"/>
                <w:color w:val="auto"/>
              </w:rPr>
              <w:t>810.81</w:t>
            </w:r>
          </w:p>
        </w:tc>
      </w:tr>
      <w:tr>
        <w:trPr>
          <w:trHeight w:val="240"/>
        </w:trPr>
        <w:tc>
          <w:tcPr>
            <w:tcW w:w="9160" w:type="dxa"/>
            <w:vAlign w:val="bottom"/>
          </w:tcPr>
          <w:p>
            <w:pPr>
              <w:ind w:left="40"/>
              <w:spacing w:after="0"/>
              <w:rPr>
                <w:sz w:val="20"/>
                <w:szCs w:val="20"/>
                <w:color w:val="auto"/>
              </w:rPr>
            </w:pPr>
            <w:r>
              <w:rPr>
                <w:rFonts w:ascii="Arial" w:cs="Arial" w:eastAsia="Arial" w:hAnsi="Arial"/>
                <w:sz w:val="16"/>
                <w:szCs w:val="16"/>
                <w:b w:val="1"/>
                <w:bCs w:val="1"/>
                <w:color w:val="auto"/>
              </w:rPr>
              <w:t>End of Year, Unvested</w:t>
            </w:r>
          </w:p>
        </w:tc>
        <w:tc>
          <w:tcPr>
            <w:tcW w:w="1020" w:type="dxa"/>
            <w:vAlign w:val="bottom"/>
            <w:tcBorders>
              <w:bottom w:val="single" w:sz="8" w:color="auto"/>
            </w:tcBorders>
          </w:tcPr>
          <w:p>
            <w:pPr>
              <w:jc w:val="right"/>
              <w:ind w:right="42"/>
              <w:spacing w:after="0"/>
              <w:rPr>
                <w:sz w:val="20"/>
                <w:szCs w:val="20"/>
                <w:color w:val="auto"/>
              </w:rPr>
            </w:pPr>
            <w:r>
              <w:rPr>
                <w:rFonts w:ascii="Arial" w:cs="Arial" w:eastAsia="Arial" w:hAnsi="Arial"/>
                <w:sz w:val="16"/>
                <w:szCs w:val="16"/>
                <w:b w:val="1"/>
                <w:bCs w:val="1"/>
                <w:color w:val="auto"/>
              </w:rPr>
              <w:t>51,575</w:t>
            </w:r>
          </w:p>
        </w:tc>
        <w:tc>
          <w:tcPr>
            <w:tcW w:w="420" w:type="dxa"/>
            <w:vAlign w:val="bottom"/>
          </w:tcPr>
          <w:p>
            <w:pPr>
              <w:spacing w:after="0"/>
              <w:rPr>
                <w:sz w:val="20"/>
                <w:szCs w:val="20"/>
                <w:color w:val="auto"/>
              </w:rPr>
            </w:pPr>
          </w:p>
        </w:tc>
        <w:tc>
          <w:tcPr>
            <w:tcW w:w="820" w:type="dxa"/>
            <w:vAlign w:val="bottom"/>
          </w:tcPr>
          <w:p>
            <w:pPr>
              <w:jc w:val="right"/>
              <w:ind w:right="19"/>
              <w:spacing w:after="0"/>
              <w:rPr>
                <w:sz w:val="20"/>
                <w:szCs w:val="20"/>
                <w:color w:val="auto"/>
              </w:rPr>
            </w:pPr>
            <w:r>
              <w:rPr>
                <w:rFonts w:ascii="Arial" w:cs="Arial" w:eastAsia="Arial" w:hAnsi="Arial"/>
                <w:sz w:val="16"/>
                <w:szCs w:val="16"/>
                <w:b w:val="1"/>
                <w:bCs w:val="1"/>
                <w:color w:val="auto"/>
              </w:rPr>
              <w:t>744.07</w:t>
            </w:r>
          </w:p>
        </w:tc>
      </w:tr>
      <w:tr>
        <w:trPr>
          <w:trHeight w:val="20"/>
        </w:trPr>
        <w:tc>
          <w:tcPr>
            <w:tcW w:w="916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r>
    </w:tbl>
    <w:p>
      <w:pPr>
        <w:spacing w:after="0" w:line="148" w:lineRule="exact"/>
        <w:rPr>
          <w:sz w:val="20"/>
          <w:szCs w:val="20"/>
          <w:color w:val="auto"/>
        </w:rPr>
      </w:pPr>
    </w:p>
    <w:p>
      <w:pPr>
        <w:ind w:right="60"/>
        <w:spacing w:after="0" w:line="223" w:lineRule="auto"/>
        <w:rPr>
          <w:sz w:val="20"/>
          <w:szCs w:val="20"/>
          <w:color w:val="auto"/>
        </w:rPr>
      </w:pPr>
      <w:r>
        <w:rPr>
          <w:rFonts w:ascii="Arial" w:cs="Arial" w:eastAsia="Arial" w:hAnsi="Arial"/>
          <w:sz w:val="18"/>
          <w:szCs w:val="18"/>
          <w:color w:val="auto"/>
        </w:rPr>
        <w:t>In connection with the spin-off of Cable ONE, the Company modified the terms of 10,830 restricted stock awards in the second quarter of 2015 affecting 21 Cable ONE employees. The modification resulted in the acceleration of the vesting period of 6,324 restricted stock awards and the forfeiture of 4,506 restricted stock awards. The Company recorded incremental stock compensation expense, net of forfeitures, in the second quarter of 2015 amounting to $3.7 million, which is reflected in discontinued operations in the Company’s consolidated financial statements. The spin-off also resulted in a modification of some of the Company’s outstanding restricted stock awards. The holders of restricted stock awards received Cable ONE restricted common stock, on a pro rata basis, as part of the distribution. The modification of the restricted stock awards resulted in an estimated incremental stock compensation expense of $3.0 million that is being recognized over the remaining service periods of the unvested restricted stock awards through the end of 2018.</w:t>
      </w:r>
    </w:p>
    <w:p>
      <w:pPr>
        <w:spacing w:after="0" w:line="136" w:lineRule="exact"/>
        <w:rPr>
          <w:sz w:val="20"/>
          <w:szCs w:val="20"/>
          <w:color w:val="auto"/>
        </w:rPr>
      </w:pPr>
    </w:p>
    <w:p>
      <w:pPr>
        <w:ind w:right="400"/>
        <w:spacing w:after="0" w:line="229" w:lineRule="auto"/>
        <w:rPr>
          <w:sz w:val="20"/>
          <w:szCs w:val="20"/>
          <w:color w:val="auto"/>
        </w:rPr>
      </w:pPr>
      <w:r>
        <w:rPr>
          <w:rFonts w:ascii="Arial" w:cs="Arial" w:eastAsia="Arial" w:hAnsi="Arial"/>
          <w:sz w:val="18"/>
          <w:szCs w:val="18"/>
          <w:color w:val="auto"/>
        </w:rPr>
        <w:t>In the fourth quarter of 2015, the Company also modified the terms of an additional 9,800 restricted stock awards affecting one now former employee. The modification resulted in the acceleration of the vesting period of 9,412 restricted stock awards and the forfeiture of 388 restricted stock awards. As a result, the Company recorded incremental stock compensation expense, net of forfeitures, of $6.0 million.</w:t>
      </w:r>
    </w:p>
    <w:p>
      <w:pPr>
        <w:spacing w:after="0" w:line="200" w:lineRule="exact"/>
        <w:rPr>
          <w:sz w:val="20"/>
          <w:szCs w:val="20"/>
          <w:color w:val="auto"/>
        </w:rPr>
      </w:pPr>
    </w:p>
    <w:p>
      <w:pPr>
        <w:spacing w:after="0" w:line="30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99</w:t>
      </w:r>
    </w:p>
    <w:p>
      <w:pPr>
        <w:sectPr>
          <w:pgSz w:w="11900" w:h="16838" w:orient="portrait"/>
          <w:cols w:equalWidth="0" w:num="1">
            <w:col w:w="11420"/>
          </w:cols>
          <w:pgMar w:left="240" w:top="724" w:right="239" w:bottom="1440" w:gutter="0" w:footer="0" w:header="0"/>
        </w:sectPr>
      </w:pPr>
    </w:p>
    <w:bookmarkStart w:id="102" w:name="page103"/>
    <w:bookmarkEnd w:id="102"/>
    <w:p>
      <w:pPr>
        <w:ind w:right="300"/>
        <w:spacing w:after="0" w:line="227" w:lineRule="auto"/>
        <w:rPr>
          <w:sz w:val="20"/>
          <w:szCs w:val="20"/>
          <w:color w:val="auto"/>
        </w:rPr>
      </w:pPr>
      <w:r>
        <w:rPr>
          <w:rFonts w:ascii="Arial" w:cs="Arial" w:eastAsia="Arial" w:hAnsi="Arial"/>
          <w:sz w:val="18"/>
          <w:szCs w:val="18"/>
          <w:color w:val="auto"/>
        </w:rPr>
        <w:t>For the share awards outstanding at December 31, 2017, the aforementioned restriction will lapse in 2018 for 14,100 shares, in 2019 for 22,675 shares, in 2020 for 250 shares and in 2021 for 14,550 shares. Also, in early 2018, the Company issued stock awards of 200 shares. Stock-based compensation costs resulting from Company stock awards were $8.1 million, $11.0 million and $25.3 million in 2017, 2016 and 2015, respectively.</w:t>
      </w:r>
    </w:p>
    <w:p>
      <w:pPr>
        <w:spacing w:after="0" w:line="135" w:lineRule="exact"/>
        <w:rPr>
          <w:sz w:val="20"/>
          <w:szCs w:val="20"/>
          <w:color w:val="auto"/>
        </w:rPr>
      </w:pPr>
    </w:p>
    <w:p>
      <w:pPr>
        <w:ind w:right="80"/>
        <w:spacing w:after="0" w:line="235" w:lineRule="auto"/>
        <w:rPr>
          <w:sz w:val="20"/>
          <w:szCs w:val="20"/>
          <w:color w:val="auto"/>
        </w:rPr>
      </w:pPr>
      <w:r>
        <w:rPr>
          <w:rFonts w:ascii="Arial" w:cs="Arial" w:eastAsia="Arial" w:hAnsi="Arial"/>
          <w:sz w:val="18"/>
          <w:szCs w:val="18"/>
          <w:color w:val="auto"/>
        </w:rPr>
        <w:t>As of December 31, 2017, there was $10.2 million of total unrecognized compensation expense related to these awards. That cost is expected to be recognized on a straight-line basis over a weighted average period of 1.4 years.</w:t>
      </w:r>
    </w:p>
    <w:p>
      <w:pPr>
        <w:spacing w:after="0" w:line="113" w:lineRule="exact"/>
        <w:rPr>
          <w:sz w:val="20"/>
          <w:szCs w:val="20"/>
          <w:color w:val="auto"/>
        </w:rPr>
      </w:pPr>
    </w:p>
    <w:p>
      <w:pPr>
        <w:ind w:right="340"/>
        <w:spacing w:after="0" w:line="233" w:lineRule="auto"/>
        <w:rPr>
          <w:sz w:val="20"/>
          <w:szCs w:val="20"/>
          <w:color w:val="auto"/>
        </w:rPr>
      </w:pPr>
      <w:r>
        <w:rPr>
          <w:rFonts w:ascii="Arial" w:cs="Arial" w:eastAsia="Arial" w:hAnsi="Arial"/>
          <w:sz w:val="18"/>
          <w:szCs w:val="18"/>
          <w:b w:val="1"/>
          <w:bCs w:val="1"/>
          <w:color w:val="auto"/>
        </w:rPr>
        <w:t xml:space="preserve">Stock Options. </w:t>
      </w:r>
      <w:r>
        <w:rPr>
          <w:rFonts w:ascii="Arial" w:cs="Arial" w:eastAsia="Arial" w:hAnsi="Arial"/>
          <w:sz w:val="18"/>
          <w:szCs w:val="18"/>
          <w:color w:val="auto"/>
        </w:rPr>
        <w:t>The Company’s 2003 employee stock option plan reserves 1,900,000 shares of the Company’s Class B common stock for</w:t>
      </w:r>
      <w:r>
        <w:rPr>
          <w:rFonts w:ascii="Arial" w:cs="Arial" w:eastAsia="Arial" w:hAnsi="Arial"/>
          <w:sz w:val="18"/>
          <w:szCs w:val="18"/>
          <w:b w:val="1"/>
          <w:bCs w:val="1"/>
          <w:color w:val="auto"/>
        </w:rPr>
        <w:t xml:space="preserve"> </w:t>
      </w:r>
      <w:r>
        <w:rPr>
          <w:rFonts w:ascii="Arial" w:cs="Arial" w:eastAsia="Arial" w:hAnsi="Arial"/>
          <w:sz w:val="18"/>
          <w:szCs w:val="18"/>
          <w:color w:val="auto"/>
        </w:rPr>
        <w:t>options to be granted under the plan. The purchase price of the shares covered by an option cannot be less than the fair value on the grant date. Options generally vest over four years and have a maximum term of ten years. At December 31, 2017, there were 79,589 shares reserved for issuance under this stock option plan, which were all subject to options outstanding.</w:t>
      </w:r>
    </w:p>
    <w:p>
      <w:pPr>
        <w:spacing w:after="0" w:line="137" w:lineRule="exact"/>
        <w:rPr>
          <w:sz w:val="20"/>
          <w:szCs w:val="20"/>
          <w:color w:val="auto"/>
        </w:rPr>
      </w:pPr>
    </w:p>
    <w:p>
      <w:pPr>
        <w:ind w:right="500"/>
        <w:spacing w:after="0" w:line="235" w:lineRule="auto"/>
        <w:rPr>
          <w:sz w:val="20"/>
          <w:szCs w:val="20"/>
          <w:color w:val="auto"/>
        </w:rPr>
      </w:pPr>
      <w:r>
        <w:rPr>
          <w:rFonts w:ascii="Arial" w:cs="Arial" w:eastAsia="Arial" w:hAnsi="Arial"/>
          <w:sz w:val="18"/>
          <w:szCs w:val="18"/>
          <w:color w:val="auto"/>
        </w:rPr>
        <w:t>Stock options granted under the 2012 Plan cannot be less than the fair value on the grant date, generally vest over four years and have a maximum term of ten years. In 2017 and 2015, grants were issued that vest over six years.</w:t>
      </w:r>
    </w:p>
    <w:p>
      <w:pPr>
        <w:spacing w:after="0" w:line="135" w:lineRule="exact"/>
        <w:rPr>
          <w:sz w:val="20"/>
          <w:szCs w:val="20"/>
          <w:color w:val="auto"/>
        </w:rPr>
      </w:pPr>
    </w:p>
    <w:p>
      <w:pPr>
        <w:spacing w:after="0"/>
        <w:rPr>
          <w:sz w:val="20"/>
          <w:szCs w:val="20"/>
          <w:color w:val="auto"/>
        </w:rPr>
      </w:pPr>
      <w:r>
        <w:rPr>
          <w:rFonts w:ascii="Arial" w:cs="Arial" w:eastAsia="Arial" w:hAnsi="Arial"/>
          <w:sz w:val="18"/>
          <w:szCs w:val="18"/>
          <w:color w:val="auto"/>
        </w:rPr>
        <w:t>Activity related to options outstanding for the year ended December 31, 2017 was as follows:</w:t>
      </w:r>
    </w:p>
    <w:p>
      <w:pPr>
        <w:spacing w:after="0" w:line="145"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9020" w:type="dxa"/>
            <w:vAlign w:val="bottom"/>
          </w:tcPr>
          <w:p>
            <w:pPr>
              <w:spacing w:after="0"/>
              <w:rPr>
                <w:sz w:val="14"/>
                <w:szCs w:val="14"/>
                <w:color w:val="auto"/>
              </w:rPr>
            </w:pPr>
          </w:p>
        </w:tc>
        <w:tc>
          <w:tcPr>
            <w:tcW w:w="1040" w:type="dxa"/>
            <w:vAlign w:val="bottom"/>
          </w:tcPr>
          <w:p>
            <w:pPr>
              <w:jc w:val="right"/>
              <w:ind w:right="82"/>
              <w:spacing w:after="0"/>
              <w:rPr>
                <w:sz w:val="20"/>
                <w:szCs w:val="20"/>
                <w:color w:val="auto"/>
              </w:rPr>
            </w:pPr>
            <w:r>
              <w:rPr>
                <w:rFonts w:ascii="Arial" w:cs="Arial" w:eastAsia="Arial" w:hAnsi="Arial"/>
                <w:sz w:val="14"/>
                <w:szCs w:val="14"/>
                <w:b w:val="1"/>
                <w:bCs w:val="1"/>
                <w:color w:val="auto"/>
              </w:rPr>
              <w:t>Number of</w:t>
            </w:r>
          </w:p>
        </w:tc>
        <w:tc>
          <w:tcPr>
            <w:tcW w:w="1360" w:type="dxa"/>
            <w:vAlign w:val="bottom"/>
            <w:gridSpan w:val="2"/>
          </w:tcPr>
          <w:p>
            <w:pPr>
              <w:jc w:val="right"/>
              <w:ind w:right="20"/>
              <w:spacing w:after="0"/>
              <w:rPr>
                <w:sz w:val="20"/>
                <w:szCs w:val="20"/>
                <w:color w:val="auto"/>
              </w:rPr>
            </w:pPr>
            <w:r>
              <w:rPr>
                <w:rFonts w:ascii="Arial" w:cs="Arial" w:eastAsia="Arial" w:hAnsi="Arial"/>
                <w:sz w:val="14"/>
                <w:szCs w:val="14"/>
                <w:b w:val="1"/>
                <w:bCs w:val="1"/>
                <w:color w:val="auto"/>
              </w:rPr>
              <w:t>Average Option</w:t>
            </w:r>
          </w:p>
        </w:tc>
      </w:tr>
      <w:tr>
        <w:trPr>
          <w:trHeight w:val="196"/>
        </w:trPr>
        <w:tc>
          <w:tcPr>
            <w:tcW w:w="902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ind w:right="202"/>
              <w:spacing w:after="0"/>
              <w:rPr>
                <w:sz w:val="20"/>
                <w:szCs w:val="20"/>
                <w:color w:val="auto"/>
              </w:rPr>
            </w:pPr>
            <w:r>
              <w:rPr>
                <w:rFonts w:ascii="Arial" w:cs="Arial" w:eastAsia="Arial" w:hAnsi="Arial"/>
                <w:sz w:val="14"/>
                <w:szCs w:val="14"/>
                <w:b w:val="1"/>
                <w:bCs w:val="1"/>
                <w:color w:val="auto"/>
              </w:rPr>
              <w:t>Shares</w:t>
            </w:r>
          </w:p>
        </w:tc>
        <w:tc>
          <w:tcPr>
            <w:tcW w:w="38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ind w:right="380"/>
              <w:spacing w:after="0"/>
              <w:rPr>
                <w:sz w:val="20"/>
                <w:szCs w:val="20"/>
                <w:color w:val="auto"/>
              </w:rPr>
            </w:pPr>
            <w:r>
              <w:rPr>
                <w:rFonts w:ascii="Arial" w:cs="Arial" w:eastAsia="Arial" w:hAnsi="Arial"/>
                <w:sz w:val="14"/>
                <w:szCs w:val="14"/>
                <w:b w:val="1"/>
                <w:bCs w:val="1"/>
                <w:color w:val="auto"/>
              </w:rPr>
              <w:t>Price</w:t>
            </w:r>
          </w:p>
        </w:tc>
      </w:tr>
      <w:tr>
        <w:trPr>
          <w:trHeight w:val="250"/>
        </w:trPr>
        <w:tc>
          <w:tcPr>
            <w:tcW w:w="9020" w:type="dxa"/>
            <w:vAlign w:val="bottom"/>
          </w:tcPr>
          <w:p>
            <w:pPr>
              <w:ind w:left="40"/>
              <w:spacing w:after="0"/>
              <w:rPr>
                <w:sz w:val="20"/>
                <w:szCs w:val="20"/>
                <w:color w:val="auto"/>
              </w:rPr>
            </w:pPr>
            <w:r>
              <w:rPr>
                <w:rFonts w:ascii="Arial" w:cs="Arial" w:eastAsia="Arial" w:hAnsi="Arial"/>
                <w:sz w:val="16"/>
                <w:szCs w:val="16"/>
                <w:color w:val="auto"/>
              </w:rPr>
              <w:t>Beginning of year</w:t>
            </w:r>
          </w:p>
        </w:tc>
        <w:tc>
          <w:tcPr>
            <w:tcW w:w="1040" w:type="dxa"/>
            <w:vAlign w:val="bottom"/>
          </w:tcPr>
          <w:p>
            <w:pPr>
              <w:jc w:val="right"/>
              <w:ind w:right="42"/>
              <w:spacing w:after="0"/>
              <w:rPr>
                <w:sz w:val="20"/>
                <w:szCs w:val="20"/>
                <w:color w:val="auto"/>
              </w:rPr>
            </w:pPr>
            <w:r>
              <w:rPr>
                <w:rFonts w:ascii="Arial" w:cs="Arial" w:eastAsia="Arial" w:hAnsi="Arial"/>
                <w:sz w:val="16"/>
                <w:szCs w:val="16"/>
                <w:b w:val="1"/>
                <w:bCs w:val="1"/>
                <w:color w:val="auto"/>
              </w:rPr>
              <w:t>186,996</w:t>
            </w:r>
          </w:p>
        </w:tc>
        <w:tc>
          <w:tcPr>
            <w:tcW w:w="380" w:type="dxa"/>
            <w:vAlign w:val="bottom"/>
          </w:tcPr>
          <w:p>
            <w:pPr>
              <w:jc w:val="right"/>
              <w:ind w:right="83"/>
              <w:spacing w:after="0"/>
              <w:rPr>
                <w:sz w:val="20"/>
                <w:szCs w:val="20"/>
                <w:color w:val="auto"/>
              </w:rPr>
            </w:pPr>
            <w:r>
              <w:rPr>
                <w:rFonts w:ascii="Arial" w:cs="Arial" w:eastAsia="Arial" w:hAnsi="Arial"/>
                <w:sz w:val="16"/>
                <w:szCs w:val="16"/>
                <w:b w:val="1"/>
                <w:bCs w:val="1"/>
                <w:color w:val="auto"/>
              </w:rPr>
              <w:t>$</w:t>
            </w:r>
          </w:p>
        </w:tc>
        <w:tc>
          <w:tcPr>
            <w:tcW w:w="980" w:type="dxa"/>
            <w:vAlign w:val="bottom"/>
          </w:tcPr>
          <w:p>
            <w:pPr>
              <w:jc w:val="right"/>
              <w:ind w:right="20"/>
              <w:spacing w:after="0"/>
              <w:rPr>
                <w:sz w:val="20"/>
                <w:szCs w:val="20"/>
                <w:color w:val="auto"/>
              </w:rPr>
            </w:pPr>
            <w:r>
              <w:rPr>
                <w:rFonts w:ascii="Arial" w:cs="Arial" w:eastAsia="Arial" w:hAnsi="Arial"/>
                <w:sz w:val="16"/>
                <w:szCs w:val="16"/>
                <w:b w:val="1"/>
                <w:bCs w:val="1"/>
                <w:color w:val="auto"/>
              </w:rPr>
              <w:t>559.62</w:t>
            </w:r>
          </w:p>
        </w:tc>
      </w:tr>
      <w:tr>
        <w:trPr>
          <w:trHeight w:val="270"/>
        </w:trPr>
        <w:tc>
          <w:tcPr>
            <w:tcW w:w="9020" w:type="dxa"/>
            <w:vAlign w:val="bottom"/>
          </w:tcPr>
          <w:p>
            <w:pPr>
              <w:ind w:left="40"/>
              <w:spacing w:after="0"/>
              <w:rPr>
                <w:sz w:val="20"/>
                <w:szCs w:val="20"/>
                <w:color w:val="auto"/>
              </w:rPr>
            </w:pPr>
            <w:r>
              <w:rPr>
                <w:rFonts w:ascii="Arial" w:cs="Arial" w:eastAsia="Arial" w:hAnsi="Arial"/>
                <w:sz w:val="16"/>
                <w:szCs w:val="16"/>
                <w:color w:val="auto"/>
              </w:rPr>
              <w:t>Granted</w:t>
            </w:r>
          </w:p>
        </w:tc>
        <w:tc>
          <w:tcPr>
            <w:tcW w:w="1040" w:type="dxa"/>
            <w:vAlign w:val="bottom"/>
          </w:tcPr>
          <w:p>
            <w:pPr>
              <w:jc w:val="right"/>
              <w:ind w:right="42"/>
              <w:spacing w:after="0"/>
              <w:rPr>
                <w:sz w:val="20"/>
                <w:szCs w:val="20"/>
                <w:color w:val="auto"/>
              </w:rPr>
            </w:pPr>
            <w:r>
              <w:rPr>
                <w:rFonts w:ascii="Arial" w:cs="Arial" w:eastAsia="Arial" w:hAnsi="Arial"/>
                <w:sz w:val="16"/>
                <w:szCs w:val="16"/>
                <w:b w:val="1"/>
                <w:bCs w:val="1"/>
                <w:color w:val="auto"/>
              </w:rPr>
              <w:t>2,000</w:t>
            </w:r>
          </w:p>
        </w:tc>
        <w:tc>
          <w:tcPr>
            <w:tcW w:w="380" w:type="dxa"/>
            <w:vAlign w:val="bottom"/>
          </w:tcPr>
          <w:p>
            <w:pPr>
              <w:spacing w:after="0"/>
              <w:rPr>
                <w:sz w:val="23"/>
                <w:szCs w:val="23"/>
                <w:color w:val="auto"/>
              </w:rPr>
            </w:pPr>
          </w:p>
        </w:tc>
        <w:tc>
          <w:tcPr>
            <w:tcW w:w="980" w:type="dxa"/>
            <w:vAlign w:val="bottom"/>
          </w:tcPr>
          <w:p>
            <w:pPr>
              <w:jc w:val="right"/>
              <w:ind w:right="20"/>
              <w:spacing w:after="0"/>
              <w:rPr>
                <w:sz w:val="20"/>
                <w:szCs w:val="20"/>
                <w:color w:val="auto"/>
              </w:rPr>
            </w:pPr>
            <w:r>
              <w:rPr>
                <w:rFonts w:ascii="Arial" w:cs="Arial" w:eastAsia="Arial" w:hAnsi="Arial"/>
                <w:sz w:val="16"/>
                <w:szCs w:val="16"/>
                <w:b w:val="1"/>
                <w:bCs w:val="1"/>
                <w:color w:val="auto"/>
              </w:rPr>
              <w:t>845.72</w:t>
            </w:r>
          </w:p>
        </w:tc>
      </w:tr>
      <w:tr>
        <w:trPr>
          <w:trHeight w:val="270"/>
        </w:trPr>
        <w:tc>
          <w:tcPr>
            <w:tcW w:w="9020" w:type="dxa"/>
            <w:vAlign w:val="bottom"/>
          </w:tcPr>
          <w:p>
            <w:pPr>
              <w:ind w:left="40"/>
              <w:spacing w:after="0"/>
              <w:rPr>
                <w:sz w:val="20"/>
                <w:szCs w:val="20"/>
                <w:color w:val="auto"/>
              </w:rPr>
            </w:pPr>
            <w:r>
              <w:rPr>
                <w:rFonts w:ascii="Arial" w:cs="Arial" w:eastAsia="Arial" w:hAnsi="Arial"/>
                <w:sz w:val="16"/>
                <w:szCs w:val="16"/>
                <w:color w:val="auto"/>
              </w:rPr>
              <w:t>Exercised</w:t>
            </w:r>
          </w:p>
        </w:tc>
        <w:tc>
          <w:tcPr>
            <w:tcW w:w="1040" w:type="dxa"/>
            <w:vAlign w:val="bottom"/>
          </w:tcPr>
          <w:p>
            <w:pPr>
              <w:jc w:val="right"/>
              <w:spacing w:after="0"/>
              <w:rPr>
                <w:sz w:val="20"/>
                <w:szCs w:val="20"/>
                <w:color w:val="auto"/>
              </w:rPr>
            </w:pPr>
            <w:r>
              <w:rPr>
                <w:rFonts w:ascii="Arial" w:cs="Arial" w:eastAsia="Arial" w:hAnsi="Arial"/>
                <w:sz w:val="16"/>
                <w:szCs w:val="16"/>
                <w:b w:val="1"/>
                <w:bCs w:val="1"/>
                <w:color w:val="auto"/>
              </w:rPr>
              <w:t>(3,476)</w:t>
            </w:r>
          </w:p>
        </w:tc>
        <w:tc>
          <w:tcPr>
            <w:tcW w:w="380" w:type="dxa"/>
            <w:vAlign w:val="bottom"/>
          </w:tcPr>
          <w:p>
            <w:pPr>
              <w:spacing w:after="0"/>
              <w:rPr>
                <w:sz w:val="23"/>
                <w:szCs w:val="23"/>
                <w:color w:val="auto"/>
              </w:rPr>
            </w:pPr>
          </w:p>
        </w:tc>
        <w:tc>
          <w:tcPr>
            <w:tcW w:w="980" w:type="dxa"/>
            <w:vAlign w:val="bottom"/>
          </w:tcPr>
          <w:p>
            <w:pPr>
              <w:jc w:val="right"/>
              <w:ind w:right="20"/>
              <w:spacing w:after="0"/>
              <w:rPr>
                <w:sz w:val="20"/>
                <w:szCs w:val="20"/>
                <w:color w:val="auto"/>
              </w:rPr>
            </w:pPr>
            <w:r>
              <w:rPr>
                <w:rFonts w:ascii="Arial" w:cs="Arial" w:eastAsia="Arial" w:hAnsi="Arial"/>
                <w:sz w:val="16"/>
                <w:szCs w:val="16"/>
                <w:b w:val="1"/>
                <w:bCs w:val="1"/>
                <w:color w:val="auto"/>
              </w:rPr>
              <w:t>402.79</w:t>
            </w:r>
          </w:p>
        </w:tc>
      </w:tr>
      <w:tr>
        <w:trPr>
          <w:trHeight w:val="283"/>
        </w:trPr>
        <w:tc>
          <w:tcPr>
            <w:tcW w:w="9020" w:type="dxa"/>
            <w:vAlign w:val="bottom"/>
          </w:tcPr>
          <w:p>
            <w:pPr>
              <w:ind w:left="40"/>
              <w:spacing w:after="0"/>
              <w:rPr>
                <w:sz w:val="20"/>
                <w:szCs w:val="20"/>
                <w:color w:val="auto"/>
              </w:rPr>
            </w:pPr>
            <w:r>
              <w:rPr>
                <w:rFonts w:ascii="Arial" w:cs="Arial" w:eastAsia="Arial" w:hAnsi="Arial"/>
                <w:sz w:val="16"/>
                <w:szCs w:val="16"/>
                <w:color w:val="auto"/>
              </w:rPr>
              <w:t>Expired or forfeited</w:t>
            </w:r>
          </w:p>
        </w:tc>
        <w:tc>
          <w:tcPr>
            <w:tcW w:w="1040" w:type="dxa"/>
            <w:vAlign w:val="bottom"/>
            <w:tcBorders>
              <w:bottom w:val="single" w:sz="8" w:color="auto"/>
            </w:tcBorders>
          </w:tcPr>
          <w:p>
            <w:pPr>
              <w:jc w:val="right"/>
              <w:ind w:right="42"/>
              <w:spacing w:after="0"/>
              <w:rPr>
                <w:sz w:val="20"/>
                <w:szCs w:val="20"/>
                <w:color w:val="auto"/>
              </w:rPr>
            </w:pPr>
            <w:r>
              <w:rPr>
                <w:rFonts w:ascii="Arial" w:cs="Arial" w:eastAsia="Arial" w:hAnsi="Arial"/>
                <w:sz w:val="16"/>
                <w:szCs w:val="16"/>
                <w:b w:val="1"/>
                <w:bCs w:val="1"/>
                <w:color w:val="auto"/>
              </w:rPr>
              <w:t>—</w:t>
            </w:r>
          </w:p>
        </w:tc>
        <w:tc>
          <w:tcPr>
            <w:tcW w:w="380" w:type="dxa"/>
            <w:vAlign w:val="bottom"/>
          </w:tcPr>
          <w:p>
            <w:pPr>
              <w:spacing w:after="0"/>
              <w:rPr>
                <w:sz w:val="24"/>
                <w:szCs w:val="24"/>
                <w:color w:val="auto"/>
              </w:rPr>
            </w:pPr>
          </w:p>
        </w:tc>
        <w:tc>
          <w:tcPr>
            <w:tcW w:w="980" w:type="dxa"/>
            <w:vAlign w:val="bottom"/>
          </w:tcPr>
          <w:p>
            <w:pPr>
              <w:jc w:val="right"/>
              <w:ind w:right="20"/>
              <w:spacing w:after="0"/>
              <w:rPr>
                <w:sz w:val="20"/>
                <w:szCs w:val="20"/>
                <w:color w:val="auto"/>
              </w:rPr>
            </w:pPr>
            <w:r>
              <w:rPr>
                <w:rFonts w:ascii="Arial" w:cs="Arial" w:eastAsia="Arial" w:hAnsi="Arial"/>
                <w:sz w:val="16"/>
                <w:szCs w:val="16"/>
                <w:b w:val="1"/>
                <w:bCs w:val="1"/>
                <w:color w:val="auto"/>
              </w:rPr>
              <w:t>—</w:t>
            </w:r>
          </w:p>
        </w:tc>
      </w:tr>
      <w:tr>
        <w:trPr>
          <w:trHeight w:val="240"/>
        </w:trPr>
        <w:tc>
          <w:tcPr>
            <w:tcW w:w="9020" w:type="dxa"/>
            <w:vAlign w:val="bottom"/>
          </w:tcPr>
          <w:p>
            <w:pPr>
              <w:ind w:left="40"/>
              <w:spacing w:after="0"/>
              <w:rPr>
                <w:sz w:val="20"/>
                <w:szCs w:val="20"/>
                <w:color w:val="auto"/>
              </w:rPr>
            </w:pPr>
            <w:r>
              <w:rPr>
                <w:rFonts w:ascii="Arial" w:cs="Arial" w:eastAsia="Arial" w:hAnsi="Arial"/>
                <w:sz w:val="16"/>
                <w:szCs w:val="16"/>
                <w:b w:val="1"/>
                <w:bCs w:val="1"/>
                <w:color w:val="auto"/>
              </w:rPr>
              <w:t>End of Year</w:t>
            </w:r>
          </w:p>
        </w:tc>
        <w:tc>
          <w:tcPr>
            <w:tcW w:w="1040" w:type="dxa"/>
            <w:vAlign w:val="bottom"/>
            <w:tcBorders>
              <w:bottom w:val="single" w:sz="8" w:color="auto"/>
            </w:tcBorders>
          </w:tcPr>
          <w:p>
            <w:pPr>
              <w:jc w:val="right"/>
              <w:ind w:right="42"/>
              <w:spacing w:after="0"/>
              <w:rPr>
                <w:sz w:val="20"/>
                <w:szCs w:val="20"/>
                <w:color w:val="auto"/>
              </w:rPr>
            </w:pPr>
            <w:r>
              <w:rPr>
                <w:rFonts w:ascii="Arial" w:cs="Arial" w:eastAsia="Arial" w:hAnsi="Arial"/>
                <w:sz w:val="16"/>
                <w:szCs w:val="16"/>
                <w:b w:val="1"/>
                <w:bCs w:val="1"/>
                <w:color w:val="auto"/>
              </w:rPr>
              <w:t>185,520</w:t>
            </w:r>
          </w:p>
        </w:tc>
        <w:tc>
          <w:tcPr>
            <w:tcW w:w="380" w:type="dxa"/>
            <w:vAlign w:val="bottom"/>
          </w:tcPr>
          <w:p>
            <w:pPr>
              <w:spacing w:after="0"/>
              <w:rPr>
                <w:sz w:val="20"/>
                <w:szCs w:val="20"/>
                <w:color w:val="auto"/>
              </w:rPr>
            </w:pPr>
          </w:p>
        </w:tc>
        <w:tc>
          <w:tcPr>
            <w:tcW w:w="980" w:type="dxa"/>
            <w:vAlign w:val="bottom"/>
          </w:tcPr>
          <w:p>
            <w:pPr>
              <w:jc w:val="right"/>
              <w:ind w:right="20"/>
              <w:spacing w:after="0"/>
              <w:rPr>
                <w:sz w:val="20"/>
                <w:szCs w:val="20"/>
                <w:color w:val="auto"/>
              </w:rPr>
            </w:pPr>
            <w:r>
              <w:rPr>
                <w:rFonts w:ascii="Arial" w:cs="Arial" w:eastAsia="Arial" w:hAnsi="Arial"/>
                <w:sz w:val="16"/>
                <w:szCs w:val="16"/>
                <w:b w:val="1"/>
                <w:bCs w:val="1"/>
                <w:color w:val="auto"/>
              </w:rPr>
              <w:t>565.65</w:t>
            </w:r>
          </w:p>
        </w:tc>
      </w:tr>
      <w:tr>
        <w:trPr>
          <w:trHeight w:val="20"/>
        </w:trPr>
        <w:tc>
          <w:tcPr>
            <w:tcW w:w="902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r>
    </w:tbl>
    <w:p>
      <w:pPr>
        <w:spacing w:after="0" w:line="148" w:lineRule="exact"/>
        <w:rPr>
          <w:sz w:val="20"/>
          <w:szCs w:val="20"/>
          <w:color w:val="auto"/>
        </w:rPr>
      </w:pPr>
    </w:p>
    <w:p>
      <w:pPr>
        <w:ind w:right="80"/>
        <w:spacing w:after="0" w:line="225" w:lineRule="auto"/>
        <w:rPr>
          <w:sz w:val="20"/>
          <w:szCs w:val="20"/>
          <w:color w:val="auto"/>
        </w:rPr>
      </w:pPr>
      <w:r>
        <w:rPr>
          <w:rFonts w:ascii="Arial" w:cs="Arial" w:eastAsia="Arial" w:hAnsi="Arial"/>
          <w:sz w:val="18"/>
          <w:szCs w:val="18"/>
          <w:color w:val="auto"/>
        </w:rPr>
        <w:t>In connection with the spin-off of Cable ONE, the Company modified outstanding stock options to add an antidilution provision. This resulted in an incremental stock compensation expense of $23.5 million, of which $18.8 million related to fully vested stock options was recognized as a one-time expense in the third quarter of 2015, with the remaining $ 4.7 million to be recognized over the remaining service periods of the unvested stock options through the end of 2018. The $18.8 million expense is included in the Company’s corporate office segment results and in selling, general and administrative in the Consolidated Statements of Operations.</w:t>
      </w:r>
    </w:p>
    <w:p>
      <w:pPr>
        <w:spacing w:after="0" w:line="137" w:lineRule="exact"/>
        <w:rPr>
          <w:sz w:val="20"/>
          <w:szCs w:val="20"/>
          <w:color w:val="auto"/>
        </w:rPr>
      </w:pPr>
    </w:p>
    <w:p>
      <w:pPr>
        <w:ind w:right="120"/>
        <w:spacing w:after="0" w:line="225" w:lineRule="auto"/>
        <w:rPr>
          <w:sz w:val="20"/>
          <w:szCs w:val="20"/>
          <w:color w:val="auto"/>
        </w:rPr>
      </w:pPr>
      <w:r>
        <w:rPr>
          <w:rFonts w:ascii="Arial" w:cs="Arial" w:eastAsia="Arial" w:hAnsi="Arial"/>
          <w:sz w:val="18"/>
          <w:szCs w:val="18"/>
          <w:color w:val="auto"/>
        </w:rPr>
        <w:t>Of the shares covered by options outstanding at the end of 2017, 128,394 are now exercisable; 17,332 will become exercisable in 2018; 17,333 will become exercisable in 2019; 17,334 will become exercisable in 2020; 4,459 will become exercisable in 2021; 333 will become exercisable in 2022; and 335 will become exercisable in 2023. For 2017, 2016 and 2015, the Company recorded expense of $2.0 million, $2.4 million and $22.9 million related to stock options, respectively. Information related to stock options outstanding and exercisable at December 31, 2017, is as follows:</w:t>
      </w:r>
    </w:p>
    <w:p>
      <w:pPr>
        <w:spacing w:after="0" w:line="192"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3780" w:type="dxa"/>
            <w:vAlign w:val="bottom"/>
          </w:tcPr>
          <w:p>
            <w:pPr>
              <w:spacing w:after="0"/>
              <w:rPr>
                <w:sz w:val="17"/>
                <w:szCs w:val="17"/>
                <w:color w:val="auto"/>
              </w:rPr>
            </w:pPr>
          </w:p>
        </w:tc>
        <w:tc>
          <w:tcPr>
            <w:tcW w:w="1180" w:type="dxa"/>
            <w:vAlign w:val="bottom"/>
            <w:tcBorders>
              <w:bottom w:val="single" w:sz="8" w:color="auto"/>
            </w:tcBorders>
          </w:tcPr>
          <w:p>
            <w:pPr>
              <w:spacing w:after="0"/>
              <w:rPr>
                <w:sz w:val="17"/>
                <w:szCs w:val="17"/>
                <w:color w:val="auto"/>
              </w:rPr>
            </w:pPr>
          </w:p>
        </w:tc>
        <w:tc>
          <w:tcPr>
            <w:tcW w:w="1540" w:type="dxa"/>
            <w:vAlign w:val="bottom"/>
            <w:tcBorders>
              <w:bottom w:val="single" w:sz="8" w:color="auto"/>
            </w:tcBorders>
            <w:gridSpan w:val="2"/>
          </w:tcPr>
          <w:p>
            <w:pPr>
              <w:jc w:val="right"/>
              <w:ind w:right="7"/>
              <w:spacing w:after="0"/>
              <w:rPr>
                <w:sz w:val="20"/>
                <w:szCs w:val="20"/>
                <w:color w:val="auto"/>
              </w:rPr>
            </w:pPr>
            <w:r>
              <w:rPr>
                <w:rFonts w:ascii="Arial" w:cs="Arial" w:eastAsia="Arial" w:hAnsi="Arial"/>
                <w:sz w:val="14"/>
                <w:szCs w:val="14"/>
                <w:b w:val="1"/>
                <w:bCs w:val="1"/>
                <w:color w:val="auto"/>
              </w:rPr>
              <w:t>Options Outstanding</w:t>
            </w:r>
          </w:p>
        </w:tc>
        <w:tc>
          <w:tcPr>
            <w:tcW w:w="20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spacing w:after="0"/>
              <w:rPr>
                <w:sz w:val="17"/>
                <w:szCs w:val="17"/>
                <w:color w:val="auto"/>
              </w:rPr>
            </w:pPr>
          </w:p>
        </w:tc>
        <w:tc>
          <w:tcPr>
            <w:tcW w:w="1480" w:type="dxa"/>
            <w:vAlign w:val="bottom"/>
            <w:tcBorders>
              <w:bottom w:val="single" w:sz="8" w:color="auto"/>
            </w:tcBorders>
            <w:gridSpan w:val="2"/>
          </w:tcPr>
          <w:p>
            <w:pPr>
              <w:jc w:val="right"/>
              <w:ind w:right="7"/>
              <w:spacing w:after="0"/>
              <w:rPr>
                <w:sz w:val="20"/>
                <w:szCs w:val="20"/>
                <w:color w:val="auto"/>
              </w:rPr>
            </w:pPr>
            <w:r>
              <w:rPr>
                <w:rFonts w:ascii="Arial" w:cs="Arial" w:eastAsia="Arial" w:hAnsi="Arial"/>
                <w:sz w:val="14"/>
                <w:szCs w:val="14"/>
                <w:b w:val="1"/>
                <w:bCs w:val="1"/>
                <w:color w:val="auto"/>
              </w:rPr>
              <w:t>Options Exercisable</w:t>
            </w:r>
          </w:p>
        </w:tc>
        <w:tc>
          <w:tcPr>
            <w:tcW w:w="20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spacing w:after="0"/>
              <w:rPr>
                <w:sz w:val="17"/>
                <w:szCs w:val="17"/>
                <w:color w:val="auto"/>
              </w:rPr>
            </w:pPr>
          </w:p>
        </w:tc>
      </w:tr>
      <w:tr>
        <w:trPr>
          <w:trHeight w:val="175"/>
        </w:trPr>
        <w:tc>
          <w:tcPr>
            <w:tcW w:w="378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40" w:type="dxa"/>
            <w:vAlign w:val="bottom"/>
          </w:tcPr>
          <w:p>
            <w:pPr>
              <w:jc w:val="center"/>
              <w:spacing w:after="0"/>
              <w:rPr>
                <w:sz w:val="20"/>
                <w:szCs w:val="20"/>
                <w:color w:val="auto"/>
              </w:rPr>
            </w:pPr>
            <w:r>
              <w:rPr>
                <w:rFonts w:ascii="Arial" w:cs="Arial" w:eastAsia="Arial" w:hAnsi="Arial"/>
                <w:sz w:val="14"/>
                <w:szCs w:val="14"/>
                <w:b w:val="1"/>
                <w:bCs w:val="1"/>
                <w:color w:val="auto"/>
              </w:rPr>
              <w:t>Weighted</w:t>
            </w:r>
          </w:p>
        </w:tc>
        <w:tc>
          <w:tcPr>
            <w:tcW w:w="2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0" w:type="dxa"/>
            <w:vAlign w:val="bottom"/>
          </w:tcPr>
          <w:p>
            <w:pPr>
              <w:jc w:val="center"/>
              <w:spacing w:after="0"/>
              <w:rPr>
                <w:sz w:val="20"/>
                <w:szCs w:val="20"/>
                <w:color w:val="auto"/>
              </w:rPr>
            </w:pPr>
            <w:r>
              <w:rPr>
                <w:rFonts w:ascii="Arial" w:cs="Arial" w:eastAsia="Arial" w:hAnsi="Arial"/>
                <w:sz w:val="14"/>
                <w:szCs w:val="14"/>
                <w:b w:val="1"/>
                <w:bCs w:val="1"/>
                <w:color w:val="auto"/>
              </w:rPr>
              <w:t>Weighted</w:t>
            </w:r>
          </w:p>
        </w:tc>
        <w:tc>
          <w:tcPr>
            <w:tcW w:w="200" w:type="dxa"/>
            <w:vAlign w:val="bottom"/>
          </w:tcPr>
          <w:p>
            <w:pPr>
              <w:spacing w:after="0"/>
              <w:rPr>
                <w:sz w:val="15"/>
                <w:szCs w:val="15"/>
                <w:color w:val="auto"/>
              </w:rPr>
            </w:pPr>
          </w:p>
        </w:tc>
        <w:tc>
          <w:tcPr>
            <w:tcW w:w="880" w:type="dxa"/>
            <w:vAlign w:val="bottom"/>
          </w:tcPr>
          <w:p>
            <w:pPr>
              <w:spacing w:after="0"/>
              <w:rPr>
                <w:sz w:val="15"/>
                <w:szCs w:val="15"/>
                <w:color w:val="auto"/>
              </w:rPr>
            </w:pPr>
          </w:p>
        </w:tc>
      </w:tr>
      <w:tr>
        <w:trPr>
          <w:trHeight w:val="162"/>
        </w:trPr>
        <w:tc>
          <w:tcPr>
            <w:tcW w:w="378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40" w:type="dxa"/>
            <w:vAlign w:val="bottom"/>
          </w:tcPr>
          <w:p>
            <w:pPr>
              <w:jc w:val="center"/>
              <w:spacing w:after="0"/>
              <w:rPr>
                <w:sz w:val="20"/>
                <w:szCs w:val="20"/>
                <w:color w:val="auto"/>
              </w:rPr>
            </w:pPr>
            <w:r>
              <w:rPr>
                <w:rFonts w:ascii="Arial" w:cs="Arial" w:eastAsia="Arial" w:hAnsi="Arial"/>
                <w:sz w:val="14"/>
                <w:szCs w:val="14"/>
                <w:b w:val="1"/>
                <w:bCs w:val="1"/>
                <w:color w:val="auto"/>
              </w:rPr>
              <w:t>Average</w:t>
            </w:r>
          </w:p>
        </w:tc>
        <w:tc>
          <w:tcPr>
            <w:tcW w:w="200" w:type="dxa"/>
            <w:vAlign w:val="bottom"/>
          </w:tcPr>
          <w:p>
            <w:pPr>
              <w:spacing w:after="0"/>
              <w:rPr>
                <w:sz w:val="14"/>
                <w:szCs w:val="14"/>
                <w:color w:val="auto"/>
              </w:rPr>
            </w:pPr>
          </w:p>
        </w:tc>
        <w:tc>
          <w:tcPr>
            <w:tcW w:w="1000" w:type="dxa"/>
            <w:vAlign w:val="bottom"/>
          </w:tcPr>
          <w:p>
            <w:pPr>
              <w:jc w:val="center"/>
              <w:ind w:right="223"/>
              <w:spacing w:after="0"/>
              <w:rPr>
                <w:sz w:val="20"/>
                <w:szCs w:val="20"/>
                <w:color w:val="auto"/>
              </w:rPr>
            </w:pPr>
            <w:r>
              <w:rPr>
                <w:rFonts w:ascii="Arial" w:cs="Arial" w:eastAsia="Arial" w:hAnsi="Arial"/>
                <w:sz w:val="14"/>
                <w:szCs w:val="14"/>
                <w:b w:val="1"/>
                <w:bCs w:val="1"/>
                <w:color w:val="auto"/>
              </w:rPr>
              <w:t>Weighted</w:t>
            </w:r>
          </w:p>
        </w:tc>
        <w:tc>
          <w:tcPr>
            <w:tcW w:w="1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0" w:type="dxa"/>
            <w:vAlign w:val="bottom"/>
          </w:tcPr>
          <w:p>
            <w:pPr>
              <w:jc w:val="center"/>
              <w:spacing w:after="0"/>
              <w:rPr>
                <w:sz w:val="20"/>
                <w:szCs w:val="20"/>
                <w:color w:val="auto"/>
              </w:rPr>
            </w:pPr>
            <w:r>
              <w:rPr>
                <w:rFonts w:ascii="Arial" w:cs="Arial" w:eastAsia="Arial" w:hAnsi="Arial"/>
                <w:sz w:val="14"/>
                <w:szCs w:val="14"/>
                <w:b w:val="1"/>
                <w:bCs w:val="1"/>
                <w:color w:val="auto"/>
              </w:rPr>
              <w:t>Average</w:t>
            </w:r>
          </w:p>
        </w:tc>
        <w:tc>
          <w:tcPr>
            <w:tcW w:w="200" w:type="dxa"/>
            <w:vAlign w:val="bottom"/>
          </w:tcPr>
          <w:p>
            <w:pPr>
              <w:spacing w:after="0"/>
              <w:rPr>
                <w:sz w:val="14"/>
                <w:szCs w:val="14"/>
                <w:color w:val="auto"/>
              </w:rPr>
            </w:pPr>
          </w:p>
        </w:tc>
        <w:tc>
          <w:tcPr>
            <w:tcW w:w="880" w:type="dxa"/>
            <w:vAlign w:val="bottom"/>
          </w:tcPr>
          <w:p>
            <w:pPr>
              <w:jc w:val="center"/>
              <w:ind w:right="123"/>
              <w:spacing w:after="0"/>
              <w:rPr>
                <w:sz w:val="20"/>
                <w:szCs w:val="20"/>
                <w:color w:val="auto"/>
              </w:rPr>
            </w:pPr>
            <w:r>
              <w:rPr>
                <w:rFonts w:ascii="Arial" w:cs="Arial" w:eastAsia="Arial" w:hAnsi="Arial"/>
                <w:sz w:val="14"/>
                <w:szCs w:val="14"/>
                <w:b w:val="1"/>
                <w:bCs w:val="1"/>
                <w:color w:val="auto"/>
              </w:rPr>
              <w:t>Weighted</w:t>
            </w:r>
          </w:p>
        </w:tc>
      </w:tr>
      <w:tr>
        <w:trPr>
          <w:trHeight w:val="162"/>
        </w:trPr>
        <w:tc>
          <w:tcPr>
            <w:tcW w:w="3780" w:type="dxa"/>
            <w:vAlign w:val="bottom"/>
          </w:tcPr>
          <w:p>
            <w:pPr>
              <w:spacing w:after="0"/>
              <w:rPr>
                <w:sz w:val="14"/>
                <w:szCs w:val="14"/>
                <w:color w:val="auto"/>
              </w:rPr>
            </w:pPr>
          </w:p>
        </w:tc>
        <w:tc>
          <w:tcPr>
            <w:tcW w:w="1180" w:type="dxa"/>
            <w:vAlign w:val="bottom"/>
          </w:tcPr>
          <w:p>
            <w:pPr>
              <w:jc w:val="center"/>
              <w:ind w:left="22"/>
              <w:spacing w:after="0"/>
              <w:rPr>
                <w:sz w:val="20"/>
                <w:szCs w:val="20"/>
                <w:color w:val="auto"/>
              </w:rPr>
            </w:pPr>
            <w:r>
              <w:rPr>
                <w:rFonts w:ascii="Arial" w:cs="Arial" w:eastAsia="Arial" w:hAnsi="Arial"/>
                <w:sz w:val="14"/>
                <w:szCs w:val="14"/>
                <w:b w:val="1"/>
                <w:bCs w:val="1"/>
                <w:color w:val="auto"/>
              </w:rPr>
              <w:t>Shares</w:t>
            </w:r>
          </w:p>
        </w:tc>
        <w:tc>
          <w:tcPr>
            <w:tcW w:w="100" w:type="dxa"/>
            <w:vAlign w:val="bottom"/>
          </w:tcPr>
          <w:p>
            <w:pPr>
              <w:spacing w:after="0"/>
              <w:rPr>
                <w:sz w:val="14"/>
                <w:szCs w:val="14"/>
                <w:color w:val="auto"/>
              </w:rPr>
            </w:pPr>
          </w:p>
        </w:tc>
        <w:tc>
          <w:tcPr>
            <w:tcW w:w="1440" w:type="dxa"/>
            <w:vAlign w:val="bottom"/>
          </w:tcPr>
          <w:p>
            <w:pPr>
              <w:jc w:val="center"/>
              <w:spacing w:after="0"/>
              <w:rPr>
                <w:sz w:val="20"/>
                <w:szCs w:val="20"/>
                <w:color w:val="auto"/>
              </w:rPr>
            </w:pPr>
            <w:r>
              <w:rPr>
                <w:rFonts w:ascii="Arial" w:cs="Arial" w:eastAsia="Arial" w:hAnsi="Arial"/>
                <w:sz w:val="14"/>
                <w:szCs w:val="14"/>
                <w:b w:val="1"/>
                <w:bCs w:val="1"/>
                <w:color w:val="auto"/>
              </w:rPr>
              <w:t>Remaining</w:t>
            </w:r>
          </w:p>
        </w:tc>
        <w:tc>
          <w:tcPr>
            <w:tcW w:w="200" w:type="dxa"/>
            <w:vAlign w:val="bottom"/>
          </w:tcPr>
          <w:p>
            <w:pPr>
              <w:spacing w:after="0"/>
              <w:rPr>
                <w:sz w:val="14"/>
                <w:szCs w:val="14"/>
                <w:color w:val="auto"/>
              </w:rPr>
            </w:pPr>
          </w:p>
        </w:tc>
        <w:tc>
          <w:tcPr>
            <w:tcW w:w="1000" w:type="dxa"/>
            <w:vAlign w:val="bottom"/>
          </w:tcPr>
          <w:p>
            <w:pPr>
              <w:jc w:val="center"/>
              <w:ind w:right="203"/>
              <w:spacing w:after="0"/>
              <w:rPr>
                <w:sz w:val="20"/>
                <w:szCs w:val="20"/>
                <w:color w:val="auto"/>
              </w:rPr>
            </w:pPr>
            <w:r>
              <w:rPr>
                <w:rFonts w:ascii="Arial" w:cs="Arial" w:eastAsia="Arial" w:hAnsi="Arial"/>
                <w:sz w:val="14"/>
                <w:szCs w:val="14"/>
                <w:b w:val="1"/>
                <w:bCs w:val="1"/>
                <w:color w:val="auto"/>
              </w:rPr>
              <w:t>Average</w:t>
            </w:r>
          </w:p>
        </w:tc>
        <w:tc>
          <w:tcPr>
            <w:tcW w:w="1160" w:type="dxa"/>
            <w:vAlign w:val="bottom"/>
          </w:tcPr>
          <w:p>
            <w:pPr>
              <w:jc w:val="center"/>
              <w:ind w:left="2"/>
              <w:spacing w:after="0"/>
              <w:rPr>
                <w:sz w:val="20"/>
                <w:szCs w:val="20"/>
                <w:color w:val="auto"/>
              </w:rPr>
            </w:pPr>
            <w:r>
              <w:rPr>
                <w:rFonts w:ascii="Arial" w:cs="Arial" w:eastAsia="Arial" w:hAnsi="Arial"/>
                <w:sz w:val="14"/>
                <w:szCs w:val="14"/>
                <w:b w:val="1"/>
                <w:bCs w:val="1"/>
                <w:color w:val="auto"/>
              </w:rPr>
              <w:t>Shares</w:t>
            </w:r>
          </w:p>
        </w:tc>
        <w:tc>
          <w:tcPr>
            <w:tcW w:w="80" w:type="dxa"/>
            <w:vAlign w:val="bottom"/>
          </w:tcPr>
          <w:p>
            <w:pPr>
              <w:spacing w:after="0"/>
              <w:rPr>
                <w:sz w:val="14"/>
                <w:szCs w:val="14"/>
                <w:color w:val="auto"/>
              </w:rPr>
            </w:pPr>
          </w:p>
        </w:tc>
        <w:tc>
          <w:tcPr>
            <w:tcW w:w="1400" w:type="dxa"/>
            <w:vAlign w:val="bottom"/>
          </w:tcPr>
          <w:p>
            <w:pPr>
              <w:jc w:val="center"/>
              <w:spacing w:after="0"/>
              <w:rPr>
                <w:sz w:val="20"/>
                <w:szCs w:val="20"/>
                <w:color w:val="auto"/>
              </w:rPr>
            </w:pPr>
            <w:r>
              <w:rPr>
                <w:rFonts w:ascii="Arial" w:cs="Arial" w:eastAsia="Arial" w:hAnsi="Arial"/>
                <w:sz w:val="14"/>
                <w:szCs w:val="14"/>
                <w:b w:val="1"/>
                <w:bCs w:val="1"/>
                <w:color w:val="auto"/>
              </w:rPr>
              <w:t>Remaining</w:t>
            </w:r>
          </w:p>
        </w:tc>
        <w:tc>
          <w:tcPr>
            <w:tcW w:w="200" w:type="dxa"/>
            <w:vAlign w:val="bottom"/>
          </w:tcPr>
          <w:p>
            <w:pPr>
              <w:spacing w:after="0"/>
              <w:rPr>
                <w:sz w:val="14"/>
                <w:szCs w:val="14"/>
                <w:color w:val="auto"/>
              </w:rPr>
            </w:pPr>
          </w:p>
        </w:tc>
        <w:tc>
          <w:tcPr>
            <w:tcW w:w="880" w:type="dxa"/>
            <w:vAlign w:val="bottom"/>
          </w:tcPr>
          <w:p>
            <w:pPr>
              <w:jc w:val="center"/>
              <w:ind w:right="123"/>
              <w:spacing w:after="0"/>
              <w:rPr>
                <w:sz w:val="20"/>
                <w:szCs w:val="20"/>
                <w:color w:val="auto"/>
              </w:rPr>
            </w:pPr>
            <w:r>
              <w:rPr>
                <w:rFonts w:ascii="Arial" w:cs="Arial" w:eastAsia="Arial" w:hAnsi="Arial"/>
                <w:sz w:val="14"/>
                <w:szCs w:val="14"/>
                <w:b w:val="1"/>
                <w:bCs w:val="1"/>
                <w:color w:val="auto"/>
              </w:rPr>
              <w:t>Average</w:t>
            </w:r>
          </w:p>
        </w:tc>
      </w:tr>
      <w:tr>
        <w:trPr>
          <w:trHeight w:val="162"/>
        </w:trPr>
        <w:tc>
          <w:tcPr>
            <w:tcW w:w="3780" w:type="dxa"/>
            <w:vAlign w:val="bottom"/>
          </w:tcPr>
          <w:p>
            <w:pPr>
              <w:spacing w:after="0"/>
              <w:rPr>
                <w:sz w:val="14"/>
                <w:szCs w:val="14"/>
                <w:color w:val="auto"/>
              </w:rPr>
            </w:pPr>
          </w:p>
        </w:tc>
        <w:tc>
          <w:tcPr>
            <w:tcW w:w="1180" w:type="dxa"/>
            <w:vAlign w:val="bottom"/>
          </w:tcPr>
          <w:p>
            <w:pPr>
              <w:jc w:val="center"/>
              <w:ind w:left="42"/>
              <w:spacing w:after="0"/>
              <w:rPr>
                <w:sz w:val="20"/>
                <w:szCs w:val="20"/>
                <w:color w:val="auto"/>
              </w:rPr>
            </w:pPr>
            <w:r>
              <w:rPr>
                <w:rFonts w:ascii="Arial" w:cs="Arial" w:eastAsia="Arial" w:hAnsi="Arial"/>
                <w:sz w:val="14"/>
                <w:szCs w:val="14"/>
                <w:b w:val="1"/>
                <w:bCs w:val="1"/>
                <w:color w:val="auto"/>
              </w:rPr>
              <w:t>Outstanding at</w:t>
            </w:r>
          </w:p>
        </w:tc>
        <w:tc>
          <w:tcPr>
            <w:tcW w:w="100" w:type="dxa"/>
            <w:vAlign w:val="bottom"/>
          </w:tcPr>
          <w:p>
            <w:pPr>
              <w:spacing w:after="0"/>
              <w:rPr>
                <w:sz w:val="14"/>
                <w:szCs w:val="14"/>
                <w:color w:val="auto"/>
              </w:rPr>
            </w:pPr>
          </w:p>
        </w:tc>
        <w:tc>
          <w:tcPr>
            <w:tcW w:w="1440" w:type="dxa"/>
            <w:vAlign w:val="bottom"/>
          </w:tcPr>
          <w:p>
            <w:pPr>
              <w:jc w:val="center"/>
              <w:spacing w:after="0"/>
              <w:rPr>
                <w:sz w:val="20"/>
                <w:szCs w:val="20"/>
                <w:color w:val="auto"/>
              </w:rPr>
            </w:pPr>
            <w:r>
              <w:rPr>
                <w:rFonts w:ascii="Arial" w:cs="Arial" w:eastAsia="Arial" w:hAnsi="Arial"/>
                <w:sz w:val="14"/>
                <w:szCs w:val="14"/>
                <w:b w:val="1"/>
                <w:bCs w:val="1"/>
                <w:color w:val="auto"/>
              </w:rPr>
              <w:t>Contractual</w:t>
            </w:r>
          </w:p>
        </w:tc>
        <w:tc>
          <w:tcPr>
            <w:tcW w:w="200" w:type="dxa"/>
            <w:vAlign w:val="bottom"/>
          </w:tcPr>
          <w:p>
            <w:pPr>
              <w:spacing w:after="0"/>
              <w:rPr>
                <w:sz w:val="14"/>
                <w:szCs w:val="14"/>
                <w:color w:val="auto"/>
              </w:rPr>
            </w:pPr>
          </w:p>
        </w:tc>
        <w:tc>
          <w:tcPr>
            <w:tcW w:w="1000" w:type="dxa"/>
            <w:vAlign w:val="bottom"/>
          </w:tcPr>
          <w:p>
            <w:pPr>
              <w:jc w:val="center"/>
              <w:ind w:right="183"/>
              <w:spacing w:after="0"/>
              <w:rPr>
                <w:sz w:val="20"/>
                <w:szCs w:val="20"/>
                <w:color w:val="auto"/>
              </w:rPr>
            </w:pPr>
            <w:r>
              <w:rPr>
                <w:rFonts w:ascii="Arial" w:cs="Arial" w:eastAsia="Arial" w:hAnsi="Arial"/>
                <w:sz w:val="14"/>
                <w:szCs w:val="14"/>
                <w:b w:val="1"/>
                <w:bCs w:val="1"/>
                <w:color w:val="auto"/>
              </w:rPr>
              <w:t>Exercise</w:t>
            </w:r>
          </w:p>
        </w:tc>
        <w:tc>
          <w:tcPr>
            <w:tcW w:w="1160" w:type="dxa"/>
            <w:vAlign w:val="bottom"/>
          </w:tcPr>
          <w:p>
            <w:pPr>
              <w:jc w:val="center"/>
              <w:spacing w:after="0"/>
              <w:rPr>
                <w:sz w:val="20"/>
                <w:szCs w:val="20"/>
                <w:color w:val="auto"/>
              </w:rPr>
            </w:pPr>
            <w:r>
              <w:rPr>
                <w:rFonts w:ascii="Arial" w:cs="Arial" w:eastAsia="Arial" w:hAnsi="Arial"/>
                <w:sz w:val="14"/>
                <w:szCs w:val="14"/>
                <w:b w:val="1"/>
                <w:bCs w:val="1"/>
                <w:color w:val="auto"/>
              </w:rPr>
              <w:t>Exercisable at</w:t>
            </w:r>
          </w:p>
        </w:tc>
        <w:tc>
          <w:tcPr>
            <w:tcW w:w="80" w:type="dxa"/>
            <w:vAlign w:val="bottom"/>
          </w:tcPr>
          <w:p>
            <w:pPr>
              <w:spacing w:after="0"/>
              <w:rPr>
                <w:sz w:val="14"/>
                <w:szCs w:val="14"/>
                <w:color w:val="auto"/>
              </w:rPr>
            </w:pPr>
          </w:p>
        </w:tc>
        <w:tc>
          <w:tcPr>
            <w:tcW w:w="1400" w:type="dxa"/>
            <w:vAlign w:val="bottom"/>
          </w:tcPr>
          <w:p>
            <w:pPr>
              <w:jc w:val="center"/>
              <w:spacing w:after="0"/>
              <w:rPr>
                <w:sz w:val="20"/>
                <w:szCs w:val="20"/>
                <w:color w:val="auto"/>
              </w:rPr>
            </w:pPr>
            <w:r>
              <w:rPr>
                <w:rFonts w:ascii="Arial" w:cs="Arial" w:eastAsia="Arial" w:hAnsi="Arial"/>
                <w:sz w:val="14"/>
                <w:szCs w:val="14"/>
                <w:b w:val="1"/>
                <w:bCs w:val="1"/>
                <w:color w:val="auto"/>
              </w:rPr>
              <w:t>Contractual</w:t>
            </w:r>
          </w:p>
        </w:tc>
        <w:tc>
          <w:tcPr>
            <w:tcW w:w="200" w:type="dxa"/>
            <w:vAlign w:val="bottom"/>
          </w:tcPr>
          <w:p>
            <w:pPr>
              <w:spacing w:after="0"/>
              <w:rPr>
                <w:sz w:val="14"/>
                <w:szCs w:val="14"/>
                <w:color w:val="auto"/>
              </w:rPr>
            </w:pPr>
          </w:p>
        </w:tc>
        <w:tc>
          <w:tcPr>
            <w:tcW w:w="880" w:type="dxa"/>
            <w:vAlign w:val="bottom"/>
          </w:tcPr>
          <w:p>
            <w:pPr>
              <w:jc w:val="center"/>
              <w:ind w:right="63"/>
              <w:spacing w:after="0"/>
              <w:rPr>
                <w:sz w:val="20"/>
                <w:szCs w:val="20"/>
                <w:color w:val="auto"/>
              </w:rPr>
            </w:pPr>
            <w:r>
              <w:rPr>
                <w:rFonts w:ascii="Arial" w:cs="Arial" w:eastAsia="Arial" w:hAnsi="Arial"/>
                <w:sz w:val="14"/>
                <w:szCs w:val="14"/>
                <w:b w:val="1"/>
                <w:bCs w:val="1"/>
                <w:color w:val="auto"/>
              </w:rPr>
              <w:t>Exercise</w:t>
            </w:r>
          </w:p>
        </w:tc>
      </w:tr>
      <w:tr>
        <w:trPr>
          <w:trHeight w:val="196"/>
        </w:trPr>
        <w:tc>
          <w:tcPr>
            <w:tcW w:w="378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Range of Exercise Prices</w:t>
            </w:r>
          </w:p>
        </w:tc>
        <w:tc>
          <w:tcPr>
            <w:tcW w:w="1180" w:type="dxa"/>
            <w:vAlign w:val="bottom"/>
            <w:tcBorders>
              <w:bottom w:val="single" w:sz="8" w:color="auto"/>
            </w:tcBorders>
          </w:tcPr>
          <w:p>
            <w:pPr>
              <w:jc w:val="center"/>
              <w:ind w:left="22"/>
              <w:spacing w:after="0"/>
              <w:rPr>
                <w:sz w:val="20"/>
                <w:szCs w:val="20"/>
                <w:color w:val="auto"/>
              </w:rPr>
            </w:pPr>
            <w:r>
              <w:rPr>
                <w:rFonts w:ascii="Arial" w:cs="Arial" w:eastAsia="Arial" w:hAnsi="Arial"/>
                <w:sz w:val="14"/>
                <w:szCs w:val="14"/>
                <w:b w:val="1"/>
                <w:bCs w:val="1"/>
                <w:color w:val="auto"/>
              </w:rPr>
              <w:t>12/31/2017</w:t>
            </w:r>
          </w:p>
        </w:tc>
        <w:tc>
          <w:tcPr>
            <w:tcW w:w="100" w:type="dxa"/>
            <w:vAlign w:val="bottom"/>
            <w:tcBorders>
              <w:bottom w:val="single" w:sz="8" w:color="auto"/>
            </w:tcBorders>
          </w:tcPr>
          <w:p>
            <w:pPr>
              <w:spacing w:after="0"/>
              <w:rPr>
                <w:sz w:val="17"/>
                <w:szCs w:val="17"/>
                <w:color w:val="auto"/>
              </w:rPr>
            </w:pPr>
          </w:p>
        </w:tc>
        <w:tc>
          <w:tcPr>
            <w:tcW w:w="14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Life (years)</w:t>
            </w:r>
          </w:p>
        </w:tc>
        <w:tc>
          <w:tcPr>
            <w:tcW w:w="20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center"/>
              <w:ind w:right="183"/>
              <w:spacing w:after="0"/>
              <w:rPr>
                <w:sz w:val="20"/>
                <w:szCs w:val="20"/>
                <w:color w:val="auto"/>
              </w:rPr>
            </w:pPr>
            <w:r>
              <w:rPr>
                <w:rFonts w:ascii="Arial" w:cs="Arial" w:eastAsia="Arial" w:hAnsi="Arial"/>
                <w:sz w:val="14"/>
                <w:szCs w:val="14"/>
                <w:b w:val="1"/>
                <w:bCs w:val="1"/>
                <w:color w:val="auto"/>
                <w:w w:val="99"/>
              </w:rPr>
              <w:t>Price</w:t>
            </w:r>
          </w:p>
        </w:tc>
        <w:tc>
          <w:tcPr>
            <w:tcW w:w="1160" w:type="dxa"/>
            <w:vAlign w:val="bottom"/>
            <w:tcBorders>
              <w:bottom w:val="single" w:sz="8" w:color="auto"/>
            </w:tcBorders>
          </w:tcPr>
          <w:p>
            <w:pPr>
              <w:jc w:val="center"/>
              <w:ind w:left="2"/>
              <w:spacing w:after="0"/>
              <w:rPr>
                <w:sz w:val="20"/>
                <w:szCs w:val="20"/>
                <w:color w:val="auto"/>
              </w:rPr>
            </w:pPr>
            <w:r>
              <w:rPr>
                <w:rFonts w:ascii="Arial" w:cs="Arial" w:eastAsia="Arial" w:hAnsi="Arial"/>
                <w:sz w:val="14"/>
                <w:szCs w:val="14"/>
                <w:b w:val="1"/>
                <w:bCs w:val="1"/>
                <w:color w:val="auto"/>
              </w:rPr>
              <w:t>12/31/2017</w:t>
            </w:r>
          </w:p>
        </w:tc>
        <w:tc>
          <w:tcPr>
            <w:tcW w:w="80" w:type="dxa"/>
            <w:vAlign w:val="bottom"/>
            <w:tcBorders>
              <w:bottom w:val="single" w:sz="8" w:color="auto"/>
            </w:tcBorders>
          </w:tcPr>
          <w:p>
            <w:pPr>
              <w:spacing w:after="0"/>
              <w:rPr>
                <w:sz w:val="17"/>
                <w:szCs w:val="17"/>
                <w:color w:val="auto"/>
              </w:rPr>
            </w:pPr>
          </w:p>
        </w:tc>
        <w:tc>
          <w:tcPr>
            <w:tcW w:w="14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Life (years)</w:t>
            </w:r>
          </w:p>
        </w:tc>
        <w:tc>
          <w:tcPr>
            <w:tcW w:w="20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center"/>
              <w:ind w:right="63"/>
              <w:spacing w:after="0"/>
              <w:rPr>
                <w:sz w:val="20"/>
                <w:szCs w:val="20"/>
                <w:color w:val="auto"/>
              </w:rPr>
            </w:pPr>
            <w:r>
              <w:rPr>
                <w:rFonts w:ascii="Arial" w:cs="Arial" w:eastAsia="Arial" w:hAnsi="Arial"/>
                <w:sz w:val="14"/>
                <w:szCs w:val="14"/>
                <w:b w:val="1"/>
                <w:bCs w:val="1"/>
                <w:color w:val="auto"/>
                <w:w w:val="99"/>
              </w:rPr>
              <w:t>Price</w:t>
            </w:r>
          </w:p>
        </w:tc>
      </w:tr>
      <w:tr>
        <w:trPr>
          <w:trHeight w:val="250"/>
        </w:trPr>
        <w:tc>
          <w:tcPr>
            <w:tcW w:w="3780" w:type="dxa"/>
            <w:vAlign w:val="bottom"/>
          </w:tcPr>
          <w:p>
            <w:pPr>
              <w:ind w:left="180"/>
              <w:spacing w:after="0"/>
              <w:rPr>
                <w:sz w:val="20"/>
                <w:szCs w:val="20"/>
                <w:color w:val="auto"/>
              </w:rPr>
            </w:pPr>
            <w:r>
              <w:rPr>
                <w:rFonts w:ascii="Arial" w:cs="Arial" w:eastAsia="Arial" w:hAnsi="Arial"/>
                <w:sz w:val="16"/>
                <w:szCs w:val="16"/>
                <w:color w:val="auto"/>
              </w:rPr>
              <w:t>$244–284</w:t>
            </w:r>
          </w:p>
        </w:tc>
        <w:tc>
          <w:tcPr>
            <w:tcW w:w="1180" w:type="dxa"/>
            <w:vAlign w:val="bottom"/>
          </w:tcPr>
          <w:p>
            <w:pPr>
              <w:jc w:val="right"/>
              <w:spacing w:after="0"/>
              <w:rPr>
                <w:sz w:val="20"/>
                <w:szCs w:val="20"/>
                <w:color w:val="auto"/>
              </w:rPr>
            </w:pPr>
            <w:r>
              <w:rPr>
                <w:rFonts w:ascii="Arial" w:cs="Arial" w:eastAsia="Arial" w:hAnsi="Arial"/>
                <w:sz w:val="16"/>
                <w:szCs w:val="16"/>
                <w:color w:val="auto"/>
              </w:rPr>
              <w:t>4,262</w:t>
            </w:r>
          </w:p>
        </w:tc>
        <w:tc>
          <w:tcPr>
            <w:tcW w:w="1540" w:type="dxa"/>
            <w:vAlign w:val="bottom"/>
            <w:gridSpan w:val="2"/>
          </w:tcPr>
          <w:p>
            <w:pPr>
              <w:jc w:val="right"/>
              <w:ind w:right="367"/>
              <w:spacing w:after="0"/>
              <w:rPr>
                <w:sz w:val="20"/>
                <w:szCs w:val="20"/>
                <w:color w:val="auto"/>
              </w:rPr>
            </w:pPr>
            <w:r>
              <w:rPr>
                <w:rFonts w:ascii="Arial" w:cs="Arial" w:eastAsia="Arial" w:hAnsi="Arial"/>
                <w:sz w:val="16"/>
                <w:szCs w:val="16"/>
                <w:color w:val="auto"/>
              </w:rPr>
              <w:t>3.3</w:t>
            </w:r>
          </w:p>
        </w:tc>
        <w:tc>
          <w:tcPr>
            <w:tcW w:w="200" w:type="dxa"/>
            <w:vAlign w:val="bottom"/>
          </w:tcPr>
          <w:p>
            <w:pPr>
              <w:jc w:val="right"/>
              <w:spacing w:after="0"/>
              <w:rPr>
                <w:sz w:val="20"/>
                <w:szCs w:val="20"/>
                <w:color w:val="auto"/>
              </w:rPr>
            </w:pPr>
            <w:r>
              <w:rPr>
                <w:rFonts w:ascii="Arial" w:cs="Arial" w:eastAsia="Arial" w:hAnsi="Arial"/>
                <w:sz w:val="16"/>
                <w:szCs w:val="16"/>
                <w:color w:val="auto"/>
              </w:rPr>
              <w:t>$</w:t>
            </w:r>
          </w:p>
        </w:tc>
        <w:tc>
          <w:tcPr>
            <w:tcW w:w="1000" w:type="dxa"/>
            <w:vAlign w:val="bottom"/>
          </w:tcPr>
          <w:p>
            <w:pPr>
              <w:jc w:val="right"/>
              <w:ind w:right="143"/>
              <w:spacing w:after="0"/>
              <w:rPr>
                <w:sz w:val="20"/>
                <w:szCs w:val="20"/>
                <w:color w:val="auto"/>
              </w:rPr>
            </w:pPr>
            <w:r>
              <w:rPr>
                <w:rFonts w:ascii="Arial" w:cs="Arial" w:eastAsia="Arial" w:hAnsi="Arial"/>
                <w:sz w:val="16"/>
                <w:szCs w:val="16"/>
                <w:color w:val="auto"/>
              </w:rPr>
              <w:t>262.22</w:t>
            </w:r>
          </w:p>
        </w:tc>
        <w:tc>
          <w:tcPr>
            <w:tcW w:w="1160" w:type="dxa"/>
            <w:vAlign w:val="bottom"/>
          </w:tcPr>
          <w:p>
            <w:pPr>
              <w:jc w:val="right"/>
              <w:spacing w:after="0"/>
              <w:rPr>
                <w:sz w:val="20"/>
                <w:szCs w:val="20"/>
                <w:color w:val="auto"/>
              </w:rPr>
            </w:pPr>
            <w:r>
              <w:rPr>
                <w:rFonts w:ascii="Arial" w:cs="Arial" w:eastAsia="Arial" w:hAnsi="Arial"/>
                <w:sz w:val="16"/>
                <w:szCs w:val="16"/>
                <w:color w:val="auto"/>
              </w:rPr>
              <w:t>4,262</w:t>
            </w:r>
          </w:p>
        </w:tc>
        <w:tc>
          <w:tcPr>
            <w:tcW w:w="1480" w:type="dxa"/>
            <w:vAlign w:val="bottom"/>
            <w:gridSpan w:val="2"/>
          </w:tcPr>
          <w:p>
            <w:pPr>
              <w:jc w:val="right"/>
              <w:ind w:right="367"/>
              <w:spacing w:after="0"/>
              <w:rPr>
                <w:sz w:val="20"/>
                <w:szCs w:val="20"/>
                <w:color w:val="auto"/>
              </w:rPr>
            </w:pPr>
            <w:r>
              <w:rPr>
                <w:rFonts w:ascii="Arial" w:cs="Arial" w:eastAsia="Arial" w:hAnsi="Arial"/>
                <w:sz w:val="16"/>
                <w:szCs w:val="16"/>
                <w:color w:val="auto"/>
              </w:rPr>
              <w:t>3.3</w:t>
            </w:r>
          </w:p>
        </w:tc>
        <w:tc>
          <w:tcPr>
            <w:tcW w:w="200" w:type="dxa"/>
            <w:vAlign w:val="bottom"/>
          </w:tcPr>
          <w:p>
            <w:pPr>
              <w:jc w:val="right"/>
              <w:spacing w:after="0"/>
              <w:rPr>
                <w:sz w:val="20"/>
                <w:szCs w:val="20"/>
                <w:color w:val="auto"/>
              </w:rPr>
            </w:pPr>
            <w:r>
              <w:rPr>
                <w:rFonts w:ascii="Arial" w:cs="Arial" w:eastAsia="Arial" w:hAnsi="Arial"/>
                <w:sz w:val="16"/>
                <w:szCs w:val="16"/>
                <w:color w:val="auto"/>
              </w:rPr>
              <w:t>$</w:t>
            </w:r>
          </w:p>
        </w:tc>
        <w:tc>
          <w:tcPr>
            <w:tcW w:w="880" w:type="dxa"/>
            <w:vAlign w:val="bottom"/>
          </w:tcPr>
          <w:p>
            <w:pPr>
              <w:jc w:val="right"/>
              <w:ind w:right="23"/>
              <w:spacing w:after="0"/>
              <w:rPr>
                <w:sz w:val="20"/>
                <w:szCs w:val="20"/>
                <w:color w:val="auto"/>
              </w:rPr>
            </w:pPr>
            <w:r>
              <w:rPr>
                <w:rFonts w:ascii="Arial" w:cs="Arial" w:eastAsia="Arial" w:hAnsi="Arial"/>
                <w:sz w:val="16"/>
                <w:szCs w:val="16"/>
                <w:color w:val="auto"/>
              </w:rPr>
              <w:t>262.22</w:t>
            </w:r>
          </w:p>
        </w:tc>
      </w:tr>
      <w:tr>
        <w:trPr>
          <w:trHeight w:val="270"/>
        </w:trPr>
        <w:tc>
          <w:tcPr>
            <w:tcW w:w="3780" w:type="dxa"/>
            <w:vAlign w:val="bottom"/>
          </w:tcPr>
          <w:p>
            <w:pPr>
              <w:ind w:left="180"/>
              <w:spacing w:after="0"/>
              <w:rPr>
                <w:sz w:val="20"/>
                <w:szCs w:val="20"/>
                <w:color w:val="auto"/>
              </w:rPr>
            </w:pPr>
            <w:r>
              <w:rPr>
                <w:rFonts w:ascii="Arial" w:cs="Arial" w:eastAsia="Arial" w:hAnsi="Arial"/>
                <w:sz w:val="16"/>
                <w:szCs w:val="16"/>
                <w:color w:val="auto"/>
              </w:rPr>
              <w:t>325</w:t>
            </w:r>
          </w:p>
        </w:tc>
        <w:tc>
          <w:tcPr>
            <w:tcW w:w="1180" w:type="dxa"/>
            <w:vAlign w:val="bottom"/>
          </w:tcPr>
          <w:p>
            <w:pPr>
              <w:jc w:val="right"/>
              <w:spacing w:after="0"/>
              <w:rPr>
                <w:sz w:val="20"/>
                <w:szCs w:val="20"/>
                <w:color w:val="auto"/>
              </w:rPr>
            </w:pPr>
            <w:r>
              <w:rPr>
                <w:rFonts w:ascii="Arial" w:cs="Arial" w:eastAsia="Arial" w:hAnsi="Arial"/>
                <w:sz w:val="16"/>
                <w:szCs w:val="16"/>
                <w:color w:val="auto"/>
              </w:rPr>
              <w:t>77,258</w:t>
            </w:r>
          </w:p>
        </w:tc>
        <w:tc>
          <w:tcPr>
            <w:tcW w:w="1540" w:type="dxa"/>
            <w:vAlign w:val="bottom"/>
            <w:gridSpan w:val="2"/>
          </w:tcPr>
          <w:p>
            <w:pPr>
              <w:jc w:val="right"/>
              <w:ind w:right="367"/>
              <w:spacing w:after="0"/>
              <w:rPr>
                <w:sz w:val="20"/>
                <w:szCs w:val="20"/>
                <w:color w:val="auto"/>
              </w:rPr>
            </w:pPr>
            <w:r>
              <w:rPr>
                <w:rFonts w:ascii="Arial" w:cs="Arial" w:eastAsia="Arial" w:hAnsi="Arial"/>
                <w:sz w:val="16"/>
                <w:szCs w:val="16"/>
                <w:color w:val="auto"/>
              </w:rPr>
              <w:t>3.1</w:t>
            </w:r>
          </w:p>
        </w:tc>
        <w:tc>
          <w:tcPr>
            <w:tcW w:w="200" w:type="dxa"/>
            <w:vAlign w:val="bottom"/>
          </w:tcPr>
          <w:p>
            <w:pPr>
              <w:spacing w:after="0"/>
              <w:rPr>
                <w:sz w:val="23"/>
                <w:szCs w:val="23"/>
                <w:color w:val="auto"/>
              </w:rPr>
            </w:pPr>
          </w:p>
        </w:tc>
        <w:tc>
          <w:tcPr>
            <w:tcW w:w="1000" w:type="dxa"/>
            <w:vAlign w:val="bottom"/>
          </w:tcPr>
          <w:p>
            <w:pPr>
              <w:jc w:val="right"/>
              <w:ind w:right="143"/>
              <w:spacing w:after="0"/>
              <w:rPr>
                <w:sz w:val="20"/>
                <w:szCs w:val="20"/>
                <w:color w:val="auto"/>
              </w:rPr>
            </w:pPr>
            <w:r>
              <w:rPr>
                <w:rFonts w:ascii="Arial" w:cs="Arial" w:eastAsia="Arial" w:hAnsi="Arial"/>
                <w:sz w:val="16"/>
                <w:szCs w:val="16"/>
                <w:color w:val="auto"/>
              </w:rPr>
              <w:t>325.26</w:t>
            </w:r>
          </w:p>
        </w:tc>
        <w:tc>
          <w:tcPr>
            <w:tcW w:w="1160" w:type="dxa"/>
            <w:vAlign w:val="bottom"/>
          </w:tcPr>
          <w:p>
            <w:pPr>
              <w:jc w:val="right"/>
              <w:spacing w:after="0"/>
              <w:rPr>
                <w:sz w:val="20"/>
                <w:szCs w:val="20"/>
                <w:color w:val="auto"/>
              </w:rPr>
            </w:pPr>
            <w:r>
              <w:rPr>
                <w:rFonts w:ascii="Arial" w:cs="Arial" w:eastAsia="Arial" w:hAnsi="Arial"/>
                <w:sz w:val="16"/>
                <w:szCs w:val="16"/>
                <w:color w:val="auto"/>
              </w:rPr>
              <w:t>77,258</w:t>
            </w:r>
          </w:p>
        </w:tc>
        <w:tc>
          <w:tcPr>
            <w:tcW w:w="1480" w:type="dxa"/>
            <w:vAlign w:val="bottom"/>
            <w:gridSpan w:val="2"/>
          </w:tcPr>
          <w:p>
            <w:pPr>
              <w:jc w:val="right"/>
              <w:ind w:right="367"/>
              <w:spacing w:after="0"/>
              <w:rPr>
                <w:sz w:val="20"/>
                <w:szCs w:val="20"/>
                <w:color w:val="auto"/>
              </w:rPr>
            </w:pPr>
            <w:r>
              <w:rPr>
                <w:rFonts w:ascii="Arial" w:cs="Arial" w:eastAsia="Arial" w:hAnsi="Arial"/>
                <w:sz w:val="16"/>
                <w:szCs w:val="16"/>
                <w:color w:val="auto"/>
              </w:rPr>
              <w:t>3.1</w:t>
            </w:r>
          </w:p>
        </w:tc>
        <w:tc>
          <w:tcPr>
            <w:tcW w:w="200" w:type="dxa"/>
            <w:vAlign w:val="bottom"/>
          </w:tcPr>
          <w:p>
            <w:pPr>
              <w:spacing w:after="0"/>
              <w:rPr>
                <w:sz w:val="23"/>
                <w:szCs w:val="23"/>
                <w:color w:val="auto"/>
              </w:rPr>
            </w:pPr>
          </w:p>
        </w:tc>
        <w:tc>
          <w:tcPr>
            <w:tcW w:w="880" w:type="dxa"/>
            <w:vAlign w:val="bottom"/>
          </w:tcPr>
          <w:p>
            <w:pPr>
              <w:jc w:val="right"/>
              <w:ind w:right="23"/>
              <w:spacing w:after="0"/>
              <w:rPr>
                <w:sz w:val="20"/>
                <w:szCs w:val="20"/>
                <w:color w:val="auto"/>
              </w:rPr>
            </w:pPr>
            <w:r>
              <w:rPr>
                <w:rFonts w:ascii="Arial" w:cs="Arial" w:eastAsia="Arial" w:hAnsi="Arial"/>
                <w:sz w:val="16"/>
                <w:szCs w:val="16"/>
                <w:color w:val="auto"/>
              </w:rPr>
              <w:t>325.26</w:t>
            </w:r>
          </w:p>
        </w:tc>
      </w:tr>
      <w:tr>
        <w:trPr>
          <w:trHeight w:val="270"/>
        </w:trPr>
        <w:tc>
          <w:tcPr>
            <w:tcW w:w="3780" w:type="dxa"/>
            <w:vAlign w:val="bottom"/>
          </w:tcPr>
          <w:p>
            <w:pPr>
              <w:ind w:left="180"/>
              <w:spacing w:after="0"/>
              <w:rPr>
                <w:sz w:val="20"/>
                <w:szCs w:val="20"/>
                <w:color w:val="auto"/>
              </w:rPr>
            </w:pPr>
            <w:r>
              <w:rPr>
                <w:rFonts w:ascii="Arial" w:cs="Arial" w:eastAsia="Arial" w:hAnsi="Arial"/>
                <w:sz w:val="16"/>
                <w:szCs w:val="16"/>
                <w:color w:val="auto"/>
              </w:rPr>
              <w:t>719</w:t>
            </w:r>
          </w:p>
        </w:tc>
        <w:tc>
          <w:tcPr>
            <w:tcW w:w="1180" w:type="dxa"/>
            <w:vAlign w:val="bottom"/>
          </w:tcPr>
          <w:p>
            <w:pPr>
              <w:jc w:val="right"/>
              <w:spacing w:after="0"/>
              <w:rPr>
                <w:sz w:val="20"/>
                <w:szCs w:val="20"/>
                <w:color w:val="auto"/>
              </w:rPr>
            </w:pPr>
            <w:r>
              <w:rPr>
                <w:rFonts w:ascii="Arial" w:cs="Arial" w:eastAsia="Arial" w:hAnsi="Arial"/>
                <w:sz w:val="16"/>
                <w:szCs w:val="16"/>
                <w:color w:val="auto"/>
              </w:rPr>
              <w:t>77,258</w:t>
            </w:r>
          </w:p>
        </w:tc>
        <w:tc>
          <w:tcPr>
            <w:tcW w:w="1540" w:type="dxa"/>
            <w:vAlign w:val="bottom"/>
            <w:gridSpan w:val="2"/>
          </w:tcPr>
          <w:p>
            <w:pPr>
              <w:jc w:val="right"/>
              <w:ind w:right="367"/>
              <w:spacing w:after="0"/>
              <w:rPr>
                <w:sz w:val="20"/>
                <w:szCs w:val="20"/>
                <w:color w:val="auto"/>
              </w:rPr>
            </w:pPr>
            <w:r>
              <w:rPr>
                <w:rFonts w:ascii="Arial" w:cs="Arial" w:eastAsia="Arial" w:hAnsi="Arial"/>
                <w:sz w:val="16"/>
                <w:szCs w:val="16"/>
                <w:color w:val="auto"/>
              </w:rPr>
              <w:t>6.8</w:t>
            </w:r>
          </w:p>
        </w:tc>
        <w:tc>
          <w:tcPr>
            <w:tcW w:w="200" w:type="dxa"/>
            <w:vAlign w:val="bottom"/>
          </w:tcPr>
          <w:p>
            <w:pPr>
              <w:spacing w:after="0"/>
              <w:rPr>
                <w:sz w:val="23"/>
                <w:szCs w:val="23"/>
                <w:color w:val="auto"/>
              </w:rPr>
            </w:pPr>
          </w:p>
        </w:tc>
        <w:tc>
          <w:tcPr>
            <w:tcW w:w="1000" w:type="dxa"/>
            <w:vAlign w:val="bottom"/>
          </w:tcPr>
          <w:p>
            <w:pPr>
              <w:jc w:val="right"/>
              <w:ind w:right="143"/>
              <w:spacing w:after="0"/>
              <w:rPr>
                <w:sz w:val="20"/>
                <w:szCs w:val="20"/>
                <w:color w:val="auto"/>
              </w:rPr>
            </w:pPr>
            <w:r>
              <w:rPr>
                <w:rFonts w:ascii="Arial" w:cs="Arial" w:eastAsia="Arial" w:hAnsi="Arial"/>
                <w:sz w:val="16"/>
                <w:szCs w:val="16"/>
                <w:color w:val="auto"/>
              </w:rPr>
              <w:t>719.15</w:t>
            </w:r>
          </w:p>
        </w:tc>
        <w:tc>
          <w:tcPr>
            <w:tcW w:w="1160" w:type="dxa"/>
            <w:vAlign w:val="bottom"/>
          </w:tcPr>
          <w:p>
            <w:pPr>
              <w:jc w:val="right"/>
              <w:spacing w:after="0"/>
              <w:rPr>
                <w:sz w:val="20"/>
                <w:szCs w:val="20"/>
                <w:color w:val="auto"/>
              </w:rPr>
            </w:pPr>
            <w:r>
              <w:rPr>
                <w:rFonts w:ascii="Arial" w:cs="Arial" w:eastAsia="Arial" w:hAnsi="Arial"/>
                <w:sz w:val="16"/>
                <w:szCs w:val="16"/>
                <w:color w:val="auto"/>
              </w:rPr>
              <w:t>38,628</w:t>
            </w:r>
          </w:p>
        </w:tc>
        <w:tc>
          <w:tcPr>
            <w:tcW w:w="1480" w:type="dxa"/>
            <w:vAlign w:val="bottom"/>
            <w:gridSpan w:val="2"/>
          </w:tcPr>
          <w:p>
            <w:pPr>
              <w:jc w:val="right"/>
              <w:ind w:right="367"/>
              <w:spacing w:after="0"/>
              <w:rPr>
                <w:sz w:val="20"/>
                <w:szCs w:val="20"/>
                <w:color w:val="auto"/>
              </w:rPr>
            </w:pPr>
            <w:r>
              <w:rPr>
                <w:rFonts w:ascii="Arial" w:cs="Arial" w:eastAsia="Arial" w:hAnsi="Arial"/>
                <w:sz w:val="16"/>
                <w:szCs w:val="16"/>
                <w:color w:val="auto"/>
              </w:rPr>
              <w:t>6.8</w:t>
            </w:r>
          </w:p>
        </w:tc>
        <w:tc>
          <w:tcPr>
            <w:tcW w:w="200" w:type="dxa"/>
            <w:vAlign w:val="bottom"/>
          </w:tcPr>
          <w:p>
            <w:pPr>
              <w:spacing w:after="0"/>
              <w:rPr>
                <w:sz w:val="23"/>
                <w:szCs w:val="23"/>
                <w:color w:val="auto"/>
              </w:rPr>
            </w:pPr>
          </w:p>
        </w:tc>
        <w:tc>
          <w:tcPr>
            <w:tcW w:w="880" w:type="dxa"/>
            <w:vAlign w:val="bottom"/>
          </w:tcPr>
          <w:p>
            <w:pPr>
              <w:jc w:val="right"/>
              <w:ind w:right="23"/>
              <w:spacing w:after="0"/>
              <w:rPr>
                <w:sz w:val="20"/>
                <w:szCs w:val="20"/>
                <w:color w:val="auto"/>
              </w:rPr>
            </w:pPr>
            <w:r>
              <w:rPr>
                <w:rFonts w:ascii="Arial" w:cs="Arial" w:eastAsia="Arial" w:hAnsi="Arial"/>
                <w:sz w:val="16"/>
                <w:szCs w:val="16"/>
                <w:color w:val="auto"/>
              </w:rPr>
              <w:t>719.15</w:t>
            </w:r>
          </w:p>
        </w:tc>
      </w:tr>
      <w:tr>
        <w:trPr>
          <w:trHeight w:val="283"/>
        </w:trPr>
        <w:tc>
          <w:tcPr>
            <w:tcW w:w="3780" w:type="dxa"/>
            <w:vAlign w:val="bottom"/>
          </w:tcPr>
          <w:p>
            <w:pPr>
              <w:ind w:left="180"/>
              <w:spacing w:after="0"/>
              <w:rPr>
                <w:sz w:val="20"/>
                <w:szCs w:val="20"/>
                <w:color w:val="auto"/>
              </w:rPr>
            </w:pPr>
            <w:r>
              <w:rPr>
                <w:rFonts w:ascii="Arial" w:cs="Arial" w:eastAsia="Arial" w:hAnsi="Arial"/>
                <w:sz w:val="16"/>
                <w:szCs w:val="16"/>
                <w:color w:val="auto"/>
              </w:rPr>
              <w:t>805–872</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26,742</w:t>
            </w:r>
          </w:p>
        </w:tc>
        <w:tc>
          <w:tcPr>
            <w:tcW w:w="100" w:type="dxa"/>
            <w:vAlign w:val="bottom"/>
            <w:tcBorders>
              <w:bottom w:val="single" w:sz="8" w:color="auto"/>
            </w:tcBorders>
          </w:tcPr>
          <w:p>
            <w:pPr>
              <w:spacing w:after="0"/>
              <w:rPr>
                <w:sz w:val="24"/>
                <w:szCs w:val="24"/>
                <w:color w:val="auto"/>
              </w:rPr>
            </w:pPr>
          </w:p>
        </w:tc>
        <w:tc>
          <w:tcPr>
            <w:tcW w:w="1440" w:type="dxa"/>
            <w:vAlign w:val="bottom"/>
          </w:tcPr>
          <w:p>
            <w:pPr>
              <w:jc w:val="right"/>
              <w:ind w:right="367"/>
              <w:spacing w:after="0"/>
              <w:rPr>
                <w:sz w:val="20"/>
                <w:szCs w:val="20"/>
                <w:color w:val="auto"/>
              </w:rPr>
            </w:pPr>
            <w:r>
              <w:rPr>
                <w:rFonts w:ascii="Arial" w:cs="Arial" w:eastAsia="Arial" w:hAnsi="Arial"/>
                <w:sz w:val="16"/>
                <w:szCs w:val="16"/>
                <w:color w:val="auto"/>
              </w:rPr>
              <w:t>8.0</w:t>
            </w:r>
          </w:p>
        </w:tc>
        <w:tc>
          <w:tcPr>
            <w:tcW w:w="200" w:type="dxa"/>
            <w:vAlign w:val="bottom"/>
          </w:tcPr>
          <w:p>
            <w:pPr>
              <w:spacing w:after="0"/>
              <w:rPr>
                <w:sz w:val="24"/>
                <w:szCs w:val="24"/>
                <w:color w:val="auto"/>
              </w:rPr>
            </w:pPr>
          </w:p>
        </w:tc>
        <w:tc>
          <w:tcPr>
            <w:tcW w:w="1000" w:type="dxa"/>
            <w:vAlign w:val="bottom"/>
          </w:tcPr>
          <w:p>
            <w:pPr>
              <w:jc w:val="right"/>
              <w:ind w:right="143"/>
              <w:spacing w:after="0"/>
              <w:rPr>
                <w:sz w:val="20"/>
                <w:szCs w:val="20"/>
                <w:color w:val="auto"/>
              </w:rPr>
            </w:pPr>
            <w:r>
              <w:rPr>
                <w:rFonts w:ascii="Arial" w:cs="Arial" w:eastAsia="Arial" w:hAnsi="Arial"/>
                <w:sz w:val="16"/>
                <w:szCs w:val="16"/>
                <w:color w:val="auto"/>
              </w:rPr>
              <w:t>865.02</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8,246</w:t>
            </w:r>
          </w:p>
        </w:tc>
        <w:tc>
          <w:tcPr>
            <w:tcW w:w="80" w:type="dxa"/>
            <w:vAlign w:val="bottom"/>
            <w:tcBorders>
              <w:bottom w:val="single" w:sz="8" w:color="auto"/>
            </w:tcBorders>
          </w:tcPr>
          <w:p>
            <w:pPr>
              <w:spacing w:after="0"/>
              <w:rPr>
                <w:sz w:val="24"/>
                <w:szCs w:val="24"/>
                <w:color w:val="auto"/>
              </w:rPr>
            </w:pPr>
          </w:p>
        </w:tc>
        <w:tc>
          <w:tcPr>
            <w:tcW w:w="1400" w:type="dxa"/>
            <w:vAlign w:val="bottom"/>
          </w:tcPr>
          <w:p>
            <w:pPr>
              <w:jc w:val="right"/>
              <w:ind w:right="367"/>
              <w:spacing w:after="0"/>
              <w:rPr>
                <w:sz w:val="20"/>
                <w:szCs w:val="20"/>
                <w:color w:val="auto"/>
              </w:rPr>
            </w:pPr>
            <w:r>
              <w:rPr>
                <w:rFonts w:ascii="Arial" w:cs="Arial" w:eastAsia="Arial" w:hAnsi="Arial"/>
                <w:sz w:val="16"/>
                <w:szCs w:val="16"/>
                <w:color w:val="auto"/>
              </w:rPr>
              <w:t>7.9</w:t>
            </w:r>
          </w:p>
        </w:tc>
        <w:tc>
          <w:tcPr>
            <w:tcW w:w="200" w:type="dxa"/>
            <w:vAlign w:val="bottom"/>
          </w:tcPr>
          <w:p>
            <w:pPr>
              <w:spacing w:after="0"/>
              <w:rPr>
                <w:sz w:val="24"/>
                <w:szCs w:val="24"/>
                <w:color w:val="auto"/>
              </w:rPr>
            </w:pPr>
          </w:p>
        </w:tc>
        <w:tc>
          <w:tcPr>
            <w:tcW w:w="880" w:type="dxa"/>
            <w:vAlign w:val="bottom"/>
          </w:tcPr>
          <w:p>
            <w:pPr>
              <w:jc w:val="right"/>
              <w:ind w:right="23"/>
              <w:spacing w:after="0"/>
              <w:rPr>
                <w:sz w:val="20"/>
                <w:szCs w:val="20"/>
                <w:color w:val="auto"/>
              </w:rPr>
            </w:pPr>
            <w:r>
              <w:rPr>
                <w:rFonts w:ascii="Arial" w:cs="Arial" w:eastAsia="Arial" w:hAnsi="Arial"/>
                <w:sz w:val="16"/>
                <w:szCs w:val="16"/>
                <w:color w:val="auto"/>
              </w:rPr>
              <w:t>866.58</w:t>
            </w:r>
          </w:p>
        </w:tc>
      </w:tr>
      <w:tr>
        <w:trPr>
          <w:trHeight w:val="240"/>
        </w:trPr>
        <w:tc>
          <w:tcPr>
            <w:tcW w:w="378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185,520</w:t>
            </w:r>
          </w:p>
        </w:tc>
        <w:tc>
          <w:tcPr>
            <w:tcW w:w="1540" w:type="dxa"/>
            <w:vAlign w:val="bottom"/>
            <w:gridSpan w:val="2"/>
          </w:tcPr>
          <w:p>
            <w:pPr>
              <w:jc w:val="right"/>
              <w:ind w:right="367"/>
              <w:spacing w:after="0"/>
              <w:rPr>
                <w:sz w:val="20"/>
                <w:szCs w:val="20"/>
                <w:color w:val="auto"/>
              </w:rPr>
            </w:pPr>
            <w:r>
              <w:rPr>
                <w:rFonts w:ascii="Arial" w:cs="Arial" w:eastAsia="Arial" w:hAnsi="Arial"/>
                <w:sz w:val="16"/>
                <w:szCs w:val="16"/>
                <w:color w:val="auto"/>
              </w:rPr>
              <w:t>5.4</w:t>
            </w:r>
          </w:p>
        </w:tc>
        <w:tc>
          <w:tcPr>
            <w:tcW w:w="200" w:type="dxa"/>
            <w:vAlign w:val="bottom"/>
          </w:tcPr>
          <w:p>
            <w:pPr>
              <w:spacing w:after="0"/>
              <w:rPr>
                <w:sz w:val="20"/>
                <w:szCs w:val="20"/>
                <w:color w:val="auto"/>
              </w:rPr>
            </w:pPr>
          </w:p>
        </w:tc>
        <w:tc>
          <w:tcPr>
            <w:tcW w:w="1000" w:type="dxa"/>
            <w:vAlign w:val="bottom"/>
          </w:tcPr>
          <w:p>
            <w:pPr>
              <w:jc w:val="right"/>
              <w:ind w:right="143"/>
              <w:spacing w:after="0"/>
              <w:rPr>
                <w:sz w:val="20"/>
                <w:szCs w:val="20"/>
                <w:color w:val="auto"/>
              </w:rPr>
            </w:pPr>
            <w:r>
              <w:rPr>
                <w:rFonts w:ascii="Arial" w:cs="Arial" w:eastAsia="Arial" w:hAnsi="Arial"/>
                <w:sz w:val="16"/>
                <w:szCs w:val="16"/>
                <w:color w:val="auto"/>
              </w:rPr>
              <w:t>565.65</w:t>
            </w:r>
          </w:p>
        </w:tc>
        <w:tc>
          <w:tcPr>
            <w:tcW w:w="1160" w:type="dxa"/>
            <w:vAlign w:val="bottom"/>
          </w:tcPr>
          <w:p>
            <w:pPr>
              <w:jc w:val="right"/>
              <w:spacing w:after="0"/>
              <w:rPr>
                <w:sz w:val="20"/>
                <w:szCs w:val="20"/>
                <w:color w:val="auto"/>
              </w:rPr>
            </w:pPr>
            <w:r>
              <w:rPr>
                <w:rFonts w:ascii="Arial" w:cs="Arial" w:eastAsia="Arial" w:hAnsi="Arial"/>
                <w:sz w:val="16"/>
                <w:szCs w:val="16"/>
                <w:color w:val="auto"/>
              </w:rPr>
              <w:t>128,394</w:t>
            </w:r>
          </w:p>
        </w:tc>
        <w:tc>
          <w:tcPr>
            <w:tcW w:w="1480" w:type="dxa"/>
            <w:vAlign w:val="bottom"/>
            <w:gridSpan w:val="2"/>
          </w:tcPr>
          <w:p>
            <w:pPr>
              <w:jc w:val="right"/>
              <w:ind w:right="367"/>
              <w:spacing w:after="0"/>
              <w:rPr>
                <w:sz w:val="20"/>
                <w:szCs w:val="20"/>
                <w:color w:val="auto"/>
              </w:rPr>
            </w:pPr>
            <w:r>
              <w:rPr>
                <w:rFonts w:ascii="Arial" w:cs="Arial" w:eastAsia="Arial" w:hAnsi="Arial"/>
                <w:sz w:val="16"/>
                <w:szCs w:val="16"/>
                <w:color w:val="auto"/>
              </w:rPr>
              <w:t>4.6</w:t>
            </w:r>
          </w:p>
        </w:tc>
        <w:tc>
          <w:tcPr>
            <w:tcW w:w="200" w:type="dxa"/>
            <w:vAlign w:val="bottom"/>
          </w:tcPr>
          <w:p>
            <w:pPr>
              <w:spacing w:after="0"/>
              <w:rPr>
                <w:sz w:val="20"/>
                <w:szCs w:val="20"/>
                <w:color w:val="auto"/>
              </w:rPr>
            </w:pPr>
          </w:p>
        </w:tc>
        <w:tc>
          <w:tcPr>
            <w:tcW w:w="880" w:type="dxa"/>
            <w:vAlign w:val="bottom"/>
          </w:tcPr>
          <w:p>
            <w:pPr>
              <w:jc w:val="right"/>
              <w:ind w:right="23"/>
              <w:spacing w:after="0"/>
              <w:rPr>
                <w:sz w:val="20"/>
                <w:szCs w:val="20"/>
                <w:color w:val="auto"/>
              </w:rPr>
            </w:pPr>
            <w:r>
              <w:rPr>
                <w:rFonts w:ascii="Arial" w:cs="Arial" w:eastAsia="Arial" w:hAnsi="Arial"/>
                <w:sz w:val="16"/>
                <w:szCs w:val="16"/>
                <w:color w:val="auto"/>
              </w:rPr>
              <w:t>476.44</w:t>
            </w:r>
          </w:p>
        </w:tc>
      </w:tr>
      <w:tr>
        <w:trPr>
          <w:trHeight w:val="20"/>
        </w:trPr>
        <w:tc>
          <w:tcPr>
            <w:tcW w:w="3780" w:type="dxa"/>
            <w:vAlign w:val="bottom"/>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r>
    </w:tbl>
    <w:p>
      <w:pPr>
        <w:spacing w:after="0" w:line="148" w:lineRule="exact"/>
        <w:rPr>
          <w:sz w:val="20"/>
          <w:szCs w:val="20"/>
          <w:color w:val="auto"/>
        </w:rPr>
      </w:pPr>
    </w:p>
    <w:p>
      <w:pPr>
        <w:ind w:right="100"/>
        <w:spacing w:after="0" w:line="224" w:lineRule="auto"/>
        <w:rPr>
          <w:sz w:val="20"/>
          <w:szCs w:val="20"/>
          <w:color w:val="auto"/>
        </w:rPr>
      </w:pPr>
      <w:r>
        <w:rPr>
          <w:rFonts w:ascii="Arial" w:cs="Arial" w:eastAsia="Arial" w:hAnsi="Arial"/>
          <w:sz w:val="18"/>
          <w:szCs w:val="18"/>
          <w:color w:val="auto"/>
        </w:rPr>
        <w:t>At December 31, 2017, the intrinsic value for all options outstanding, exercisable and unvested was $19.3 million, $19.3 million and $0.0 million, respectively. The intrinsic value of a stock option is the amount by which the market value of the underlying stock exceeds the exercise price of the option. The market value of the Company’s stock was $558.35 at December 31, 2017. At December 31, 2017, there were 57,126 unvested options related to this plan with an average exercise price of $ 770.67 and a weighted average remaining contractual term of 7.2 years. At December 31, 2016, there were 72,124 unvested options with an average exercise price of $761.30 and a weighted average remaining contractual term of 8.1 years.</w:t>
      </w:r>
    </w:p>
    <w:p>
      <w:pPr>
        <w:spacing w:after="0" w:line="137" w:lineRule="exact"/>
        <w:rPr>
          <w:sz w:val="20"/>
          <w:szCs w:val="20"/>
          <w:color w:val="auto"/>
        </w:rPr>
      </w:pPr>
    </w:p>
    <w:p>
      <w:pPr>
        <w:ind w:right="120"/>
        <w:spacing w:after="0" w:line="227" w:lineRule="auto"/>
        <w:rPr>
          <w:sz w:val="20"/>
          <w:szCs w:val="20"/>
          <w:color w:val="auto"/>
        </w:rPr>
      </w:pPr>
      <w:r>
        <w:rPr>
          <w:rFonts w:ascii="Arial" w:cs="Arial" w:eastAsia="Arial" w:hAnsi="Arial"/>
          <w:sz w:val="18"/>
          <w:szCs w:val="18"/>
          <w:color w:val="auto"/>
        </w:rPr>
        <w:t>As of December 31, 2017, total unrecognized stock-based compensation expense related to stock options was $ 6.4 million, which is expected to be recognized on a straight-line basis over a weighted average period of approximately 3.2 years. There were 3,476 options exercised during 2017. The total intrinsic value of options exercised during 2017 was $0.7 million; a tax benefit from these stock option exercises of $0.3 million was realized. There were</w:t>
      </w:r>
    </w:p>
    <w:p>
      <w:pPr>
        <w:sectPr>
          <w:pgSz w:w="11900" w:h="16838" w:orient="portrait"/>
          <w:cols w:equalWidth="0" w:num="1">
            <w:col w:w="11420"/>
          </w:cols>
          <w:pgMar w:left="240" w:top="746" w:right="239" w:bottom="1440" w:gutter="0" w:footer="0" w:header="0"/>
        </w:sectPr>
      </w:pPr>
    </w:p>
    <w:p>
      <w:pPr>
        <w:spacing w:after="0" w:line="200" w:lineRule="exact"/>
        <w:rPr>
          <w:sz w:val="20"/>
          <w:szCs w:val="20"/>
          <w:color w:val="auto"/>
        </w:rPr>
      </w:pPr>
    </w:p>
    <w:p>
      <w:pPr>
        <w:spacing w:after="0" w:line="30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100</w:t>
      </w:r>
    </w:p>
    <w:p>
      <w:pPr>
        <w:sectPr>
          <w:pgSz w:w="11900" w:h="16838" w:orient="portrait"/>
          <w:cols w:equalWidth="0" w:num="1">
            <w:col w:w="11420"/>
          </w:cols>
          <w:pgMar w:left="240" w:top="746" w:right="239" w:bottom="1440" w:gutter="0" w:footer="0" w:header="0"/>
          <w:type w:val="continuous"/>
        </w:sectPr>
      </w:pPr>
    </w:p>
    <w:bookmarkStart w:id="103" w:name="page104"/>
    <w:bookmarkEnd w:id="103"/>
    <w:p>
      <w:pPr>
        <w:ind w:right="120"/>
        <w:spacing w:after="0" w:line="229" w:lineRule="auto"/>
        <w:rPr>
          <w:sz w:val="20"/>
          <w:szCs w:val="20"/>
          <w:color w:val="auto"/>
        </w:rPr>
      </w:pPr>
      <w:r>
        <w:rPr>
          <w:rFonts w:ascii="Arial" w:cs="Arial" w:eastAsia="Arial" w:hAnsi="Arial"/>
          <w:sz w:val="18"/>
          <w:szCs w:val="18"/>
          <w:color w:val="auto"/>
        </w:rPr>
        <w:t>4,726 options exercised during 2016. The total intrinsic value of options exercised during 2016 was $ 1.2 million; a tax benefit from these stock option exercises of $0.5 million was realized. There were 40,527 options exercised during 2015. The total intrinsic value of options exercised during 2015 was $19.5 million; a tax benefit from these option exercises of $7.8 million was realized.</w:t>
      </w:r>
    </w:p>
    <w:p>
      <w:pPr>
        <w:spacing w:after="0" w:line="137" w:lineRule="exact"/>
        <w:rPr>
          <w:sz w:val="20"/>
          <w:szCs w:val="20"/>
          <w:color w:val="auto"/>
        </w:rPr>
      </w:pPr>
    </w:p>
    <w:p>
      <w:pPr>
        <w:ind w:right="20"/>
        <w:spacing w:after="0" w:line="227" w:lineRule="auto"/>
        <w:rPr>
          <w:sz w:val="20"/>
          <w:szCs w:val="20"/>
          <w:color w:val="auto"/>
        </w:rPr>
      </w:pPr>
      <w:r>
        <w:rPr>
          <w:rFonts w:ascii="Arial" w:cs="Arial" w:eastAsia="Arial" w:hAnsi="Arial"/>
          <w:sz w:val="18"/>
          <w:szCs w:val="18"/>
          <w:color w:val="auto"/>
        </w:rPr>
        <w:t>During 2017 and 2015, the Company granted 2,000 and 24,742 options at an exercise price above the fair market value of its common stock at the date of grant, respectively. All other options granted during 2015 were at an exercise price equal to the fair market value of the Company’s common stock at the date of grant. The weighted average grant-date fair value of options granted during 2017 and 2015 was $120.47 and $155.00, respectively. No options were granted during 2016.</w:t>
      </w:r>
    </w:p>
    <w:p>
      <w:pPr>
        <w:spacing w:after="0" w:line="135" w:lineRule="exact"/>
        <w:rPr>
          <w:sz w:val="20"/>
          <w:szCs w:val="20"/>
          <w:color w:val="auto"/>
        </w:rPr>
      </w:pPr>
    </w:p>
    <w:p>
      <w:pPr>
        <w:spacing w:after="0"/>
        <w:rPr>
          <w:sz w:val="20"/>
          <w:szCs w:val="20"/>
          <w:color w:val="auto"/>
        </w:rPr>
      </w:pPr>
      <w:r>
        <w:rPr>
          <w:rFonts w:ascii="Arial" w:cs="Arial" w:eastAsia="Arial" w:hAnsi="Arial"/>
          <w:sz w:val="18"/>
          <w:szCs w:val="18"/>
          <w:color w:val="auto"/>
        </w:rPr>
        <w:t>The fair value of options at date of grant was estimated using the Black-Scholes method utilizing the following assumptions:</w:t>
      </w:r>
    </w:p>
    <w:p>
      <w:pPr>
        <w:spacing w:after="0" w:line="199"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5060" w:type="dxa"/>
            <w:vAlign w:val="bottom"/>
            <w:tcBorders>
              <w:bottom w:val="single" w:sz="8" w:color="auto"/>
            </w:tcBorders>
          </w:tcPr>
          <w:p>
            <w:pPr>
              <w:spacing w:after="0"/>
              <w:rPr>
                <w:sz w:val="17"/>
                <w:szCs w:val="17"/>
                <w:color w:val="auto"/>
              </w:rPr>
            </w:pPr>
          </w:p>
        </w:tc>
        <w:tc>
          <w:tcPr>
            <w:tcW w:w="4520" w:type="dxa"/>
            <w:vAlign w:val="bottom"/>
            <w:tcBorders>
              <w:bottom w:val="single" w:sz="8" w:color="auto"/>
            </w:tcBorders>
          </w:tcPr>
          <w:p>
            <w:pPr>
              <w:jc w:val="center"/>
              <w:ind w:left="3081"/>
              <w:spacing w:after="0"/>
              <w:rPr>
                <w:sz w:val="20"/>
                <w:szCs w:val="20"/>
                <w:color w:val="auto"/>
              </w:rPr>
            </w:pPr>
            <w:r>
              <w:rPr>
                <w:rFonts w:ascii="Arial" w:cs="Arial" w:eastAsia="Arial" w:hAnsi="Arial"/>
                <w:sz w:val="14"/>
                <w:szCs w:val="14"/>
                <w:b w:val="1"/>
                <w:bCs w:val="1"/>
                <w:color w:val="auto"/>
              </w:rPr>
              <w:t>2017</w:t>
            </w:r>
          </w:p>
        </w:tc>
        <w:tc>
          <w:tcPr>
            <w:tcW w:w="1820" w:type="dxa"/>
            <w:vAlign w:val="bottom"/>
            <w:tcBorders>
              <w:bottom w:val="single" w:sz="8" w:color="auto"/>
            </w:tcBorders>
          </w:tcPr>
          <w:p>
            <w:pPr>
              <w:jc w:val="center"/>
              <w:ind w:left="141"/>
              <w:spacing w:after="0"/>
              <w:rPr>
                <w:sz w:val="20"/>
                <w:szCs w:val="20"/>
                <w:color w:val="auto"/>
              </w:rPr>
            </w:pPr>
            <w:r>
              <w:rPr>
                <w:rFonts w:ascii="Arial" w:cs="Arial" w:eastAsia="Arial" w:hAnsi="Arial"/>
                <w:sz w:val="14"/>
                <w:szCs w:val="14"/>
                <w:color w:val="auto"/>
              </w:rPr>
              <w:t>2015</w:t>
            </w:r>
          </w:p>
        </w:tc>
      </w:tr>
      <w:tr>
        <w:trPr>
          <w:trHeight w:val="250"/>
        </w:trPr>
        <w:tc>
          <w:tcPr>
            <w:tcW w:w="5060" w:type="dxa"/>
            <w:vAlign w:val="bottom"/>
          </w:tcPr>
          <w:p>
            <w:pPr>
              <w:ind w:left="40"/>
              <w:spacing w:after="0"/>
              <w:rPr>
                <w:sz w:val="20"/>
                <w:szCs w:val="20"/>
                <w:color w:val="auto"/>
              </w:rPr>
            </w:pPr>
            <w:r>
              <w:rPr>
                <w:rFonts w:ascii="Arial" w:cs="Arial" w:eastAsia="Arial" w:hAnsi="Arial"/>
                <w:sz w:val="16"/>
                <w:szCs w:val="16"/>
                <w:color w:val="auto"/>
              </w:rPr>
              <w:t>Expected life (years)</w:t>
            </w:r>
          </w:p>
        </w:tc>
        <w:tc>
          <w:tcPr>
            <w:tcW w:w="4520" w:type="dxa"/>
            <w:vAlign w:val="bottom"/>
          </w:tcPr>
          <w:p>
            <w:pPr>
              <w:jc w:val="center"/>
              <w:ind w:left="3061"/>
              <w:spacing w:after="0"/>
              <w:rPr>
                <w:sz w:val="20"/>
                <w:szCs w:val="20"/>
                <w:color w:val="auto"/>
              </w:rPr>
            </w:pPr>
            <w:r>
              <w:rPr>
                <w:rFonts w:ascii="Arial" w:cs="Arial" w:eastAsia="Arial" w:hAnsi="Arial"/>
                <w:sz w:val="16"/>
                <w:szCs w:val="16"/>
                <w:b w:val="1"/>
                <w:bCs w:val="1"/>
                <w:color w:val="auto"/>
              </w:rPr>
              <w:t>8</w:t>
            </w:r>
          </w:p>
        </w:tc>
        <w:tc>
          <w:tcPr>
            <w:tcW w:w="1820" w:type="dxa"/>
            <w:vAlign w:val="bottom"/>
          </w:tcPr>
          <w:p>
            <w:pPr>
              <w:jc w:val="center"/>
              <w:ind w:left="141"/>
              <w:spacing w:after="0"/>
              <w:rPr>
                <w:sz w:val="20"/>
                <w:szCs w:val="20"/>
                <w:color w:val="auto"/>
              </w:rPr>
            </w:pPr>
            <w:r>
              <w:rPr>
                <w:rFonts w:ascii="Arial" w:cs="Arial" w:eastAsia="Arial" w:hAnsi="Arial"/>
                <w:sz w:val="16"/>
                <w:szCs w:val="16"/>
                <w:color w:val="auto"/>
              </w:rPr>
              <w:t>7–8</w:t>
            </w:r>
          </w:p>
        </w:tc>
      </w:tr>
      <w:tr>
        <w:trPr>
          <w:trHeight w:val="270"/>
        </w:trPr>
        <w:tc>
          <w:tcPr>
            <w:tcW w:w="5060" w:type="dxa"/>
            <w:vAlign w:val="bottom"/>
          </w:tcPr>
          <w:p>
            <w:pPr>
              <w:ind w:left="40"/>
              <w:spacing w:after="0"/>
              <w:rPr>
                <w:sz w:val="20"/>
                <w:szCs w:val="20"/>
                <w:color w:val="auto"/>
              </w:rPr>
            </w:pPr>
            <w:r>
              <w:rPr>
                <w:rFonts w:ascii="Arial" w:cs="Arial" w:eastAsia="Arial" w:hAnsi="Arial"/>
                <w:sz w:val="16"/>
                <w:szCs w:val="16"/>
                <w:color w:val="auto"/>
              </w:rPr>
              <w:t>Interest rate</w:t>
            </w:r>
          </w:p>
        </w:tc>
        <w:tc>
          <w:tcPr>
            <w:tcW w:w="4520" w:type="dxa"/>
            <w:vAlign w:val="bottom"/>
          </w:tcPr>
          <w:p>
            <w:pPr>
              <w:jc w:val="center"/>
              <w:ind w:left="3061"/>
              <w:spacing w:after="0"/>
              <w:rPr>
                <w:sz w:val="20"/>
                <w:szCs w:val="20"/>
                <w:color w:val="auto"/>
              </w:rPr>
            </w:pPr>
            <w:r>
              <w:rPr>
                <w:rFonts w:ascii="Arial" w:cs="Arial" w:eastAsia="Arial" w:hAnsi="Arial"/>
                <w:sz w:val="16"/>
                <w:szCs w:val="16"/>
                <w:b w:val="1"/>
                <w:bCs w:val="1"/>
                <w:color w:val="auto"/>
              </w:rPr>
              <w:t>2.28%</w:t>
            </w:r>
          </w:p>
        </w:tc>
        <w:tc>
          <w:tcPr>
            <w:tcW w:w="1820" w:type="dxa"/>
            <w:vAlign w:val="bottom"/>
          </w:tcPr>
          <w:p>
            <w:pPr>
              <w:jc w:val="center"/>
              <w:ind w:left="141"/>
              <w:spacing w:after="0"/>
              <w:rPr>
                <w:sz w:val="20"/>
                <w:szCs w:val="20"/>
                <w:color w:val="auto"/>
              </w:rPr>
            </w:pPr>
            <w:r>
              <w:rPr>
                <w:rFonts w:ascii="Arial" w:cs="Arial" w:eastAsia="Arial" w:hAnsi="Arial"/>
                <w:sz w:val="16"/>
                <w:szCs w:val="16"/>
                <w:color w:val="auto"/>
              </w:rPr>
              <w:t>1.88%–2.17%</w:t>
            </w:r>
          </w:p>
        </w:tc>
      </w:tr>
      <w:tr>
        <w:trPr>
          <w:trHeight w:val="270"/>
        </w:trPr>
        <w:tc>
          <w:tcPr>
            <w:tcW w:w="5060" w:type="dxa"/>
            <w:vAlign w:val="bottom"/>
          </w:tcPr>
          <w:p>
            <w:pPr>
              <w:ind w:left="40"/>
              <w:spacing w:after="0"/>
              <w:rPr>
                <w:sz w:val="20"/>
                <w:szCs w:val="20"/>
                <w:color w:val="auto"/>
              </w:rPr>
            </w:pPr>
            <w:r>
              <w:rPr>
                <w:rFonts w:ascii="Arial" w:cs="Arial" w:eastAsia="Arial" w:hAnsi="Arial"/>
                <w:sz w:val="16"/>
                <w:szCs w:val="16"/>
                <w:color w:val="auto"/>
              </w:rPr>
              <w:t>Volatility</w:t>
            </w:r>
          </w:p>
        </w:tc>
        <w:tc>
          <w:tcPr>
            <w:tcW w:w="4520" w:type="dxa"/>
            <w:vAlign w:val="bottom"/>
          </w:tcPr>
          <w:p>
            <w:pPr>
              <w:jc w:val="center"/>
              <w:ind w:left="3061"/>
              <w:spacing w:after="0"/>
              <w:rPr>
                <w:sz w:val="20"/>
                <w:szCs w:val="20"/>
                <w:color w:val="auto"/>
              </w:rPr>
            </w:pPr>
            <w:r>
              <w:rPr>
                <w:rFonts w:ascii="Arial" w:cs="Arial" w:eastAsia="Arial" w:hAnsi="Arial"/>
                <w:sz w:val="16"/>
                <w:szCs w:val="16"/>
                <w:b w:val="1"/>
                <w:bCs w:val="1"/>
                <w:color w:val="auto"/>
                <w:w w:val="99"/>
              </w:rPr>
              <w:t>26.93%</w:t>
            </w:r>
          </w:p>
        </w:tc>
        <w:tc>
          <w:tcPr>
            <w:tcW w:w="1820" w:type="dxa"/>
            <w:vAlign w:val="bottom"/>
          </w:tcPr>
          <w:p>
            <w:pPr>
              <w:jc w:val="center"/>
              <w:ind w:left="141"/>
              <w:spacing w:after="0"/>
              <w:rPr>
                <w:sz w:val="20"/>
                <w:szCs w:val="20"/>
                <w:color w:val="auto"/>
              </w:rPr>
            </w:pPr>
            <w:r>
              <w:rPr>
                <w:rFonts w:ascii="Arial" w:cs="Arial" w:eastAsia="Arial" w:hAnsi="Arial"/>
                <w:sz w:val="16"/>
                <w:szCs w:val="16"/>
                <w:color w:val="auto"/>
              </w:rPr>
              <w:t>31.59%–32.69%</w:t>
            </w:r>
          </w:p>
        </w:tc>
      </w:tr>
      <w:tr>
        <w:trPr>
          <w:trHeight w:val="270"/>
        </w:trPr>
        <w:tc>
          <w:tcPr>
            <w:tcW w:w="5060" w:type="dxa"/>
            <w:vAlign w:val="bottom"/>
          </w:tcPr>
          <w:p>
            <w:pPr>
              <w:ind w:left="40"/>
              <w:spacing w:after="0"/>
              <w:rPr>
                <w:sz w:val="20"/>
                <w:szCs w:val="20"/>
                <w:color w:val="auto"/>
              </w:rPr>
            </w:pPr>
            <w:r>
              <w:rPr>
                <w:rFonts w:ascii="Arial" w:cs="Arial" w:eastAsia="Arial" w:hAnsi="Arial"/>
                <w:sz w:val="16"/>
                <w:szCs w:val="16"/>
                <w:color w:val="auto"/>
              </w:rPr>
              <w:t>Dividend yield</w:t>
            </w:r>
          </w:p>
        </w:tc>
        <w:tc>
          <w:tcPr>
            <w:tcW w:w="4520" w:type="dxa"/>
            <w:vAlign w:val="bottom"/>
          </w:tcPr>
          <w:p>
            <w:pPr>
              <w:jc w:val="center"/>
              <w:ind w:left="3061"/>
              <w:spacing w:after="0"/>
              <w:rPr>
                <w:sz w:val="20"/>
                <w:szCs w:val="20"/>
                <w:color w:val="auto"/>
              </w:rPr>
            </w:pPr>
            <w:r>
              <w:rPr>
                <w:rFonts w:ascii="Arial" w:cs="Arial" w:eastAsia="Arial" w:hAnsi="Arial"/>
                <w:sz w:val="16"/>
                <w:szCs w:val="16"/>
                <w:b w:val="1"/>
                <w:bCs w:val="1"/>
                <w:color w:val="auto"/>
              </w:rPr>
              <w:t>0.85%</w:t>
            </w:r>
          </w:p>
        </w:tc>
        <w:tc>
          <w:tcPr>
            <w:tcW w:w="1820" w:type="dxa"/>
            <w:vAlign w:val="bottom"/>
          </w:tcPr>
          <w:p>
            <w:pPr>
              <w:jc w:val="center"/>
              <w:ind w:left="141"/>
              <w:spacing w:after="0"/>
              <w:rPr>
                <w:sz w:val="20"/>
                <w:szCs w:val="20"/>
                <w:color w:val="auto"/>
              </w:rPr>
            </w:pPr>
            <w:r>
              <w:rPr>
                <w:rFonts w:ascii="Arial" w:cs="Arial" w:eastAsia="Arial" w:hAnsi="Arial"/>
                <w:sz w:val="16"/>
                <w:szCs w:val="16"/>
                <w:color w:val="auto"/>
              </w:rPr>
              <w:t>0.81%–1.18%</w:t>
            </w:r>
          </w:p>
        </w:tc>
      </w:tr>
    </w:tbl>
    <w:p>
      <w:pPr>
        <w:spacing w:after="0" w:line="167" w:lineRule="exact"/>
        <w:rPr>
          <w:sz w:val="20"/>
          <w:szCs w:val="20"/>
          <w:color w:val="auto"/>
        </w:rPr>
      </w:pPr>
    </w:p>
    <w:p>
      <w:pPr>
        <w:spacing w:after="0" w:line="227" w:lineRule="auto"/>
        <w:rPr>
          <w:sz w:val="20"/>
          <w:szCs w:val="20"/>
          <w:color w:val="auto"/>
        </w:rPr>
      </w:pPr>
      <w:r>
        <w:rPr>
          <w:rFonts w:ascii="Arial" w:cs="Arial" w:eastAsia="Arial" w:hAnsi="Arial"/>
          <w:sz w:val="18"/>
          <w:szCs w:val="18"/>
          <w:color w:val="auto"/>
        </w:rPr>
        <w:t>The Company also maintains a stock option plan at Kaplan. Under the provisions of this plan, options are issued with an exercise price equal to the estimated fair value of Kaplan’s common stock, and options vest ratably over the number of years specified (generally four to five years) at the time of the grant. Upon exercise, an option holder may receive Kaplan shares or cash equal to the difference between the exercise price and the then fair value.</w:t>
      </w:r>
    </w:p>
    <w:p>
      <w:pPr>
        <w:spacing w:after="0" w:line="135" w:lineRule="exact"/>
        <w:rPr>
          <w:sz w:val="20"/>
          <w:szCs w:val="20"/>
          <w:color w:val="auto"/>
        </w:rPr>
      </w:pPr>
    </w:p>
    <w:p>
      <w:pPr>
        <w:ind w:right="20"/>
        <w:spacing w:after="0" w:line="225" w:lineRule="auto"/>
        <w:rPr>
          <w:sz w:val="20"/>
          <w:szCs w:val="20"/>
          <w:color w:val="auto"/>
        </w:rPr>
      </w:pPr>
      <w:r>
        <w:rPr>
          <w:rFonts w:ascii="Arial" w:cs="Arial" w:eastAsia="Arial" w:hAnsi="Arial"/>
          <w:sz w:val="18"/>
          <w:szCs w:val="18"/>
          <w:color w:val="auto"/>
        </w:rPr>
        <w:t>At December 31, 2017, a Kaplan senior manager holds 7,206 Kaplan restricted shares. The fair value of Kaplan’s common stock is determined by the Company’s compensation committee of the Board of Directors, and in January 2018, the committee set the fair value price at $1,500 per share. During 2015, 2,500 options were awarded to a Kaplan senior manager at a price of $1,180 that would have vested over a four-year period. No options were awarded during 2017 and 2016; no options were exercised during 2017, 2016 or 2015; and due to 2015 forfeitures, there were no options outstanding at December 31, 2017.</w:t>
      </w:r>
    </w:p>
    <w:p>
      <w:pPr>
        <w:spacing w:after="0" w:line="137" w:lineRule="exact"/>
        <w:rPr>
          <w:sz w:val="20"/>
          <w:szCs w:val="20"/>
          <w:color w:val="auto"/>
        </w:rPr>
      </w:pPr>
    </w:p>
    <w:p>
      <w:pPr>
        <w:ind w:right="360"/>
        <w:spacing w:after="0" w:line="229" w:lineRule="auto"/>
        <w:rPr>
          <w:sz w:val="20"/>
          <w:szCs w:val="20"/>
          <w:color w:val="auto"/>
        </w:rPr>
      </w:pPr>
      <w:r>
        <w:rPr>
          <w:rFonts w:ascii="Arial" w:cs="Arial" w:eastAsia="Arial" w:hAnsi="Arial"/>
          <w:sz w:val="18"/>
          <w:szCs w:val="18"/>
          <w:color w:val="auto"/>
        </w:rPr>
        <w:t>Kaplan recorded stock compensation expense of $1.2 million and $0.6 million in 2017 and 2016, respectively, and a credit of $1.8 million in 2015. At December 31, 2017, the Company’s accrual balance related to the Kaplan restricted shares totaled $10.8 million. There were no payouts in 2017, 2016 or 2015.</w:t>
      </w:r>
    </w:p>
    <w:p>
      <w:pPr>
        <w:spacing w:after="0" w:line="115" w:lineRule="exact"/>
        <w:rPr>
          <w:sz w:val="20"/>
          <w:szCs w:val="20"/>
          <w:color w:val="auto"/>
        </w:rPr>
      </w:pPr>
    </w:p>
    <w:p>
      <w:pPr>
        <w:ind w:right="100"/>
        <w:spacing w:after="0" w:line="228" w:lineRule="auto"/>
        <w:rPr>
          <w:sz w:val="20"/>
          <w:szCs w:val="20"/>
          <w:color w:val="auto"/>
        </w:rPr>
      </w:pPr>
      <w:r>
        <w:rPr>
          <w:rFonts w:ascii="Arial" w:cs="Arial" w:eastAsia="Arial" w:hAnsi="Arial"/>
          <w:sz w:val="18"/>
          <w:szCs w:val="18"/>
          <w:b w:val="1"/>
          <w:bCs w:val="1"/>
          <w:color w:val="auto"/>
        </w:rPr>
        <w:t xml:space="preserve">Earnings (Loss) Per Share. </w:t>
      </w:r>
      <w:r>
        <w:rPr>
          <w:rFonts w:ascii="Arial" w:cs="Arial" w:eastAsia="Arial" w:hAnsi="Arial"/>
          <w:sz w:val="18"/>
          <w:szCs w:val="18"/>
          <w:color w:val="auto"/>
        </w:rPr>
        <w:t>The Company’s unvested restricted stock awards contain nonforfeitable rights to dividends and, therefore, are</w:t>
      </w:r>
      <w:r>
        <w:rPr>
          <w:rFonts w:ascii="Arial" w:cs="Arial" w:eastAsia="Arial" w:hAnsi="Arial"/>
          <w:sz w:val="18"/>
          <w:szCs w:val="18"/>
          <w:b w:val="1"/>
          <w:bCs w:val="1"/>
          <w:color w:val="auto"/>
        </w:rPr>
        <w:t xml:space="preserve"> </w:t>
      </w:r>
      <w:r>
        <w:rPr>
          <w:rFonts w:ascii="Arial" w:cs="Arial" w:eastAsia="Arial" w:hAnsi="Arial"/>
          <w:sz w:val="18"/>
          <w:szCs w:val="18"/>
          <w:color w:val="auto"/>
        </w:rPr>
        <w:t>considered participating securities for purposes of computing earnings per share pursuant to the two-class method. The diluted earnings per share computed under the two-class method is lower than the diluted earnings per share computed under the treasury stock method, resulting in the presentation of the lower amount in diluted earnings per share. The computation of earnings per share under the two-class method excludes the income attributable to the unvested restricted stock awards from the numerator and excludes the dilutive impact of those underlying shares from the denominator.</w:t>
      </w:r>
    </w:p>
    <w:p>
      <w:pPr>
        <w:spacing w:after="0" w:line="200" w:lineRule="exact"/>
        <w:rPr>
          <w:sz w:val="20"/>
          <w:szCs w:val="20"/>
          <w:color w:val="auto"/>
        </w:rPr>
      </w:pPr>
    </w:p>
    <w:p>
      <w:pPr>
        <w:spacing w:after="0" w:line="3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101</w:t>
      </w:r>
    </w:p>
    <w:p>
      <w:pPr>
        <w:sectPr>
          <w:pgSz w:w="11900" w:h="16838" w:orient="portrait"/>
          <w:cols w:equalWidth="0" w:num="1">
            <w:col w:w="11400"/>
          </w:cols>
          <w:pgMar w:left="240" w:top="746" w:right="259" w:bottom="1440" w:gutter="0" w:footer="0" w:header="0"/>
        </w:sectPr>
      </w:pPr>
    </w:p>
    <w:bookmarkStart w:id="104" w:name="page105"/>
    <w:bookmarkEnd w:id="104"/>
    <w:p>
      <w:pPr>
        <w:ind w:right="40"/>
        <w:spacing w:after="0" w:line="235" w:lineRule="auto"/>
        <w:rPr>
          <w:sz w:val="20"/>
          <w:szCs w:val="20"/>
          <w:color w:val="auto"/>
        </w:rPr>
      </w:pPr>
      <w:r>
        <w:rPr>
          <w:rFonts w:ascii="Arial" w:cs="Arial" w:eastAsia="Arial" w:hAnsi="Arial"/>
          <w:sz w:val="18"/>
          <w:szCs w:val="18"/>
          <w:color w:val="auto"/>
        </w:rPr>
        <w:t>The following reflects the Company’s income from continuing operations and share data used in the basic and diluted earnings (loss) per share computations using the two-class method:</w:t>
      </w:r>
    </w:p>
    <w:p>
      <w:pPr>
        <w:spacing w:after="0" w:line="190" w:lineRule="exact"/>
        <w:rPr>
          <w:sz w:val="20"/>
          <w:szCs w:val="20"/>
          <w:color w:val="auto"/>
        </w:rPr>
      </w:pPr>
    </w:p>
    <w:p>
      <w:pPr>
        <w:ind w:left="8660"/>
        <w:spacing w:after="0"/>
        <w:rPr>
          <w:sz w:val="20"/>
          <w:szCs w:val="20"/>
          <w:color w:val="auto"/>
        </w:rPr>
      </w:pPr>
      <w:r>
        <w:rPr>
          <w:rFonts w:ascii="Arial" w:cs="Arial" w:eastAsia="Arial" w:hAnsi="Arial"/>
          <w:sz w:val="14"/>
          <w:szCs w:val="14"/>
          <w:b w:val="1"/>
          <w:bCs w:val="1"/>
          <w:color w:val="auto"/>
        </w:rPr>
        <w:t>Year Ended 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4824730</wp:posOffset>
            </wp:positionH>
            <wp:positionV relativeFrom="paragraph">
              <wp:posOffset>26035</wp:posOffset>
            </wp:positionV>
            <wp:extent cx="2426970"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45">
                      <a:extLst>
                        <a:ext uri="{28A0092B-C50C-407E-A947-70E740481C1C}"/>
                      </a:extLst>
                    </a:blip>
                    <a:srcRect/>
                    <a:stretch>
                      <a:fillRect/>
                    </a:stretch>
                  </pic:blipFill>
                  <pic:spPr bwMode="auto">
                    <a:xfrm>
                      <a:off x="0" y="0"/>
                      <a:ext cx="2426970" cy="8890"/>
                    </a:xfrm>
                    <a:prstGeom prst="rect">
                      <a:avLst/>
                    </a:prstGeom>
                    <a:noFill/>
                  </pic:spPr>
                </pic:pic>
              </a:graphicData>
            </a:graphic>
          </wp:anchor>
        </w:drawing>
      </w:r>
    </w:p>
    <w:p>
      <w:pPr>
        <w:spacing w:after="0" w:line="103"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536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(in thousands, except per share amounts)</w:t>
            </w:r>
          </w:p>
        </w:tc>
        <w:tc>
          <w:tcPr>
            <w:tcW w:w="3500" w:type="dxa"/>
            <w:vAlign w:val="bottom"/>
            <w:tcBorders>
              <w:bottom w:val="single" w:sz="8" w:color="auto"/>
            </w:tcBorders>
          </w:tcPr>
          <w:p>
            <w:pPr>
              <w:jc w:val="right"/>
              <w:ind w:right="428"/>
              <w:spacing w:after="0"/>
              <w:rPr>
                <w:sz w:val="20"/>
                <w:szCs w:val="20"/>
                <w:color w:val="auto"/>
              </w:rPr>
            </w:pPr>
            <w:r>
              <w:rPr>
                <w:rFonts w:ascii="Arial" w:cs="Arial" w:eastAsia="Arial" w:hAnsi="Arial"/>
                <w:sz w:val="14"/>
                <w:szCs w:val="14"/>
                <w:b w:val="1"/>
                <w:bCs w:val="1"/>
                <w:color w:val="auto"/>
              </w:rPr>
              <w:t>2017</w:t>
            </w:r>
          </w:p>
        </w:tc>
        <w:tc>
          <w:tcPr>
            <w:tcW w:w="1300" w:type="dxa"/>
            <w:vAlign w:val="bottom"/>
            <w:tcBorders>
              <w:bottom w:val="single" w:sz="8" w:color="auto"/>
            </w:tcBorders>
          </w:tcPr>
          <w:p>
            <w:pPr>
              <w:jc w:val="right"/>
              <w:ind w:right="428"/>
              <w:spacing w:after="0"/>
              <w:rPr>
                <w:sz w:val="20"/>
                <w:szCs w:val="20"/>
                <w:color w:val="auto"/>
              </w:rPr>
            </w:pPr>
            <w:r>
              <w:rPr>
                <w:rFonts w:ascii="Arial" w:cs="Arial" w:eastAsia="Arial" w:hAnsi="Arial"/>
                <w:sz w:val="14"/>
                <w:szCs w:val="14"/>
                <w:color w:val="auto"/>
              </w:rPr>
              <w:t>2016</w:t>
            </w:r>
          </w:p>
        </w:tc>
        <w:tc>
          <w:tcPr>
            <w:tcW w:w="1260" w:type="dxa"/>
            <w:vAlign w:val="bottom"/>
            <w:tcBorders>
              <w:bottom w:val="single" w:sz="8" w:color="auto"/>
            </w:tcBorders>
          </w:tcPr>
          <w:p>
            <w:pPr>
              <w:jc w:val="right"/>
              <w:ind w:right="368"/>
              <w:spacing w:after="0"/>
              <w:rPr>
                <w:sz w:val="20"/>
                <w:szCs w:val="20"/>
                <w:color w:val="auto"/>
              </w:rPr>
            </w:pPr>
            <w:r>
              <w:rPr>
                <w:rFonts w:ascii="Arial" w:cs="Arial" w:eastAsia="Arial" w:hAnsi="Arial"/>
                <w:sz w:val="14"/>
                <w:szCs w:val="14"/>
                <w:color w:val="auto"/>
              </w:rPr>
              <w:t>2015</w:t>
            </w:r>
          </w:p>
        </w:tc>
      </w:tr>
    </w:tbl>
    <w:p>
      <w:pPr>
        <w:spacing w:after="0" w:line="36" w:lineRule="exact"/>
        <w:rPr>
          <w:sz w:val="20"/>
          <w:szCs w:val="20"/>
          <w:color w:val="auto"/>
        </w:rPr>
      </w:pPr>
    </w:p>
    <w:p>
      <w:pPr>
        <w:sectPr>
          <w:pgSz w:w="11900" w:h="16838" w:orient="portrait"/>
          <w:cols w:equalWidth="0" w:num="1">
            <w:col w:w="11420"/>
          </w:cols>
          <w:pgMar w:left="240" w:top="746" w:right="239" w:bottom="1440" w:gutter="0" w:footer="0" w:header="0"/>
        </w:sectPr>
      </w:pPr>
    </w:p>
    <w:p>
      <w:pPr>
        <w:ind w:left="40"/>
        <w:spacing w:after="0"/>
        <w:rPr>
          <w:sz w:val="20"/>
          <w:szCs w:val="20"/>
          <w:color w:val="auto"/>
        </w:rPr>
      </w:pPr>
      <w:r>
        <w:rPr>
          <w:rFonts w:ascii="Arial" w:cs="Arial" w:eastAsia="Arial" w:hAnsi="Arial"/>
          <w:sz w:val="16"/>
          <w:szCs w:val="16"/>
          <w:b w:val="1"/>
          <w:bCs w:val="1"/>
          <w:color w:val="auto"/>
        </w:rPr>
        <w:t>Numerator:</w:t>
      </w:r>
    </w:p>
    <w:p>
      <w:pPr>
        <w:spacing w:after="0" w:line="86" w:lineRule="exact"/>
        <w:rPr>
          <w:sz w:val="20"/>
          <w:szCs w:val="20"/>
          <w:color w:val="auto"/>
        </w:rPr>
      </w:pPr>
    </w:p>
    <w:p>
      <w:pPr>
        <w:ind w:left="180"/>
        <w:spacing w:after="0"/>
        <w:rPr>
          <w:sz w:val="20"/>
          <w:szCs w:val="20"/>
          <w:color w:val="auto"/>
        </w:rPr>
      </w:pPr>
      <w:r>
        <w:rPr>
          <w:rFonts w:ascii="Arial" w:cs="Arial" w:eastAsia="Arial" w:hAnsi="Arial"/>
          <w:sz w:val="16"/>
          <w:szCs w:val="16"/>
          <w:b w:val="1"/>
          <w:bCs w:val="1"/>
          <w:color w:val="auto"/>
        </w:rPr>
        <w:t>Numerator for basic earnings (loss) per share:</w:t>
      </w:r>
    </w:p>
    <w:p>
      <w:pPr>
        <w:spacing w:after="0" w:line="79" w:lineRule="exact"/>
        <w:rPr>
          <w:sz w:val="20"/>
          <w:szCs w:val="20"/>
          <w:color w:val="auto"/>
        </w:rPr>
      </w:pPr>
    </w:p>
    <w:p>
      <w:pPr>
        <w:ind w:left="440" w:hanging="161"/>
        <w:spacing w:after="0" w:line="260" w:lineRule="auto"/>
        <w:rPr>
          <w:sz w:val="20"/>
          <w:szCs w:val="20"/>
          <w:color w:val="auto"/>
        </w:rPr>
      </w:pPr>
      <w:r>
        <w:rPr>
          <w:rFonts w:ascii="Arial" w:cs="Arial" w:eastAsia="Arial" w:hAnsi="Arial"/>
          <w:sz w:val="16"/>
          <w:szCs w:val="16"/>
          <w:color w:val="auto"/>
        </w:rPr>
        <w:t>Income (loss) from continuing operations attributable to Graham Holdings Company common stockholders</w:t>
      </w:r>
    </w:p>
    <w:p>
      <w:pPr>
        <w:spacing w:after="0" w:line="61" w:lineRule="exact"/>
        <w:rPr>
          <w:sz w:val="20"/>
          <w:szCs w:val="20"/>
          <w:color w:val="auto"/>
        </w:rPr>
      </w:pPr>
    </w:p>
    <w:p>
      <w:pPr>
        <w:ind w:left="280" w:right="880"/>
        <w:spacing w:after="0" w:line="357" w:lineRule="auto"/>
        <w:rPr>
          <w:sz w:val="20"/>
          <w:szCs w:val="20"/>
          <w:color w:val="auto"/>
        </w:rPr>
      </w:pPr>
      <w:r>
        <w:rPr>
          <w:rFonts w:ascii="Arial" w:cs="Arial" w:eastAsia="Arial" w:hAnsi="Arial"/>
          <w:sz w:val="16"/>
          <w:szCs w:val="16"/>
          <w:color w:val="auto"/>
        </w:rPr>
        <w:t>Less: Dividends paid–common stock outstanding and unvested restricted shares Undistributed earnings (losses)</w:t>
      </w:r>
    </w:p>
    <w:p>
      <w:pPr>
        <w:spacing w:after="0" w:line="1" w:lineRule="exact"/>
        <w:rPr>
          <w:sz w:val="20"/>
          <w:szCs w:val="20"/>
          <w:color w:val="auto"/>
        </w:rPr>
      </w:pPr>
    </w:p>
    <w:p>
      <w:pPr>
        <w:ind w:left="280"/>
        <w:spacing w:after="0"/>
        <w:rPr>
          <w:sz w:val="20"/>
          <w:szCs w:val="20"/>
          <w:color w:val="auto"/>
        </w:rPr>
      </w:pPr>
      <w:r>
        <w:rPr>
          <w:rFonts w:ascii="Arial" w:cs="Arial" w:eastAsia="Arial" w:hAnsi="Arial"/>
          <w:sz w:val="16"/>
          <w:szCs w:val="16"/>
          <w:color w:val="auto"/>
        </w:rPr>
        <w:t xml:space="preserve">Percent allocated to common stockholders </w:t>
      </w:r>
      <w:r>
        <w:rPr>
          <w:rFonts w:ascii="Arial" w:cs="Arial" w:eastAsia="Arial" w:hAnsi="Arial"/>
          <w:sz w:val="21"/>
          <w:szCs w:val="21"/>
          <w:color w:val="auto"/>
          <w:vertAlign w:val="superscript"/>
        </w:rPr>
        <w:t>(1)</w:t>
      </w:r>
    </w:p>
    <w:p>
      <w:pPr>
        <w:spacing w:after="0" w:line="317" w:lineRule="exact"/>
        <w:rPr>
          <w:sz w:val="20"/>
          <w:szCs w:val="20"/>
          <w:color w:val="auto"/>
        </w:rPr>
      </w:pPr>
    </w:p>
    <w:p>
      <w:pPr>
        <w:ind w:left="280"/>
        <w:spacing w:after="0"/>
        <w:rPr>
          <w:sz w:val="20"/>
          <w:szCs w:val="20"/>
          <w:color w:val="auto"/>
        </w:rPr>
      </w:pPr>
      <w:r>
        <w:rPr>
          <w:rFonts w:ascii="Arial" w:cs="Arial" w:eastAsia="Arial" w:hAnsi="Arial"/>
          <w:sz w:val="16"/>
          <w:szCs w:val="16"/>
          <w:color w:val="auto"/>
        </w:rPr>
        <w:t>Add: Dividends paid–common stock outstanding</w:t>
      </w:r>
    </w:p>
    <w:p>
      <w:pPr>
        <w:spacing w:after="0" w:line="93" w:lineRule="exact"/>
        <w:rPr>
          <w:sz w:val="20"/>
          <w:szCs w:val="20"/>
          <w:color w:val="auto"/>
        </w:rPr>
      </w:pPr>
    </w:p>
    <w:p>
      <w:pPr>
        <w:ind w:left="180"/>
        <w:spacing w:after="0"/>
        <w:rPr>
          <w:sz w:val="20"/>
          <w:szCs w:val="20"/>
          <w:color w:val="auto"/>
        </w:rPr>
      </w:pPr>
      <w:r>
        <w:rPr>
          <w:rFonts w:ascii="Arial" w:cs="Arial" w:eastAsia="Arial" w:hAnsi="Arial"/>
          <w:sz w:val="16"/>
          <w:szCs w:val="16"/>
          <w:b w:val="1"/>
          <w:bCs w:val="1"/>
          <w:color w:val="auto"/>
        </w:rPr>
        <w:t>Numerator for basic earnings (loss) per share</w:t>
      </w:r>
    </w:p>
    <w:p>
      <w:pPr>
        <w:spacing w:after="0" w:line="133" w:lineRule="exact"/>
        <w:rPr>
          <w:sz w:val="20"/>
          <w:szCs w:val="20"/>
          <w:color w:val="auto"/>
        </w:rPr>
      </w:pPr>
    </w:p>
    <w:p>
      <w:pPr>
        <w:ind w:left="280"/>
        <w:spacing w:after="0"/>
        <w:rPr>
          <w:sz w:val="20"/>
          <w:szCs w:val="20"/>
          <w:color w:val="auto"/>
        </w:rPr>
      </w:pPr>
      <w:r>
        <w:rPr>
          <w:rFonts w:ascii="Arial" w:cs="Arial" w:eastAsia="Arial" w:hAnsi="Arial"/>
          <w:sz w:val="16"/>
          <w:szCs w:val="16"/>
          <w:color w:val="auto"/>
        </w:rPr>
        <w:t>Add: Additional undistributed earnings due to dilutive stock options</w:t>
      </w:r>
    </w:p>
    <w:p>
      <w:pPr>
        <w:spacing w:after="0" w:line="93" w:lineRule="exact"/>
        <w:rPr>
          <w:sz w:val="20"/>
          <w:szCs w:val="20"/>
          <w:color w:val="auto"/>
        </w:rPr>
      </w:pPr>
    </w:p>
    <w:p>
      <w:pPr>
        <w:ind w:left="180"/>
        <w:spacing w:after="0"/>
        <w:rPr>
          <w:sz w:val="20"/>
          <w:szCs w:val="20"/>
          <w:color w:val="auto"/>
        </w:rPr>
      </w:pPr>
      <w:r>
        <w:rPr>
          <w:rFonts w:ascii="Arial" w:cs="Arial" w:eastAsia="Arial" w:hAnsi="Arial"/>
          <w:sz w:val="16"/>
          <w:szCs w:val="16"/>
          <w:b w:val="1"/>
          <w:bCs w:val="1"/>
          <w:color w:val="auto"/>
        </w:rPr>
        <w:t>Numerator for diluted earnings (loss) per share</w:t>
      </w:r>
    </w:p>
    <w:p>
      <w:pPr>
        <w:spacing w:after="0" w:line="113" w:lineRule="exact"/>
        <w:rPr>
          <w:sz w:val="20"/>
          <w:szCs w:val="20"/>
          <w:color w:val="auto"/>
        </w:rPr>
      </w:pPr>
    </w:p>
    <w:p>
      <w:pPr>
        <w:ind w:left="40"/>
        <w:spacing w:after="0"/>
        <w:rPr>
          <w:sz w:val="20"/>
          <w:szCs w:val="20"/>
          <w:color w:val="auto"/>
        </w:rPr>
      </w:pPr>
      <w:r>
        <w:rPr>
          <w:rFonts w:ascii="Arial" w:cs="Arial" w:eastAsia="Arial" w:hAnsi="Arial"/>
          <w:sz w:val="16"/>
          <w:szCs w:val="16"/>
          <w:b w:val="1"/>
          <w:bCs w:val="1"/>
          <w:color w:val="auto"/>
        </w:rPr>
        <w:t>Denominator:</w:t>
      </w:r>
    </w:p>
    <w:p>
      <w:pPr>
        <w:spacing w:after="0" w:line="86" w:lineRule="exact"/>
        <w:rPr>
          <w:sz w:val="20"/>
          <w:szCs w:val="20"/>
          <w:color w:val="auto"/>
        </w:rPr>
      </w:pPr>
    </w:p>
    <w:p>
      <w:pPr>
        <w:ind w:left="180"/>
        <w:spacing w:after="0"/>
        <w:rPr>
          <w:sz w:val="20"/>
          <w:szCs w:val="20"/>
          <w:color w:val="auto"/>
        </w:rPr>
      </w:pPr>
      <w:r>
        <w:rPr>
          <w:rFonts w:ascii="Arial" w:cs="Arial" w:eastAsia="Arial" w:hAnsi="Arial"/>
          <w:sz w:val="16"/>
          <w:szCs w:val="16"/>
          <w:b w:val="1"/>
          <w:bCs w:val="1"/>
          <w:color w:val="auto"/>
        </w:rPr>
        <w:t>Denominator for basic earnings (loss) per share: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5"/>
        </w:trPr>
        <w:tc>
          <w:tcPr>
            <w:tcW w:w="280" w:type="dxa"/>
            <w:vAlign w:val="bottom"/>
          </w:tcPr>
          <w:p>
            <w:pPr>
              <w:jc w:val="right"/>
              <w:ind w:right="79"/>
              <w:spacing w:after="0"/>
              <w:rPr>
                <w:sz w:val="20"/>
                <w:szCs w:val="20"/>
                <w:color w:val="auto"/>
              </w:rPr>
            </w:pPr>
            <w:r>
              <w:rPr>
                <w:rFonts w:ascii="Arial" w:cs="Arial" w:eastAsia="Arial" w:hAnsi="Arial"/>
                <w:sz w:val="16"/>
                <w:szCs w:val="16"/>
                <w:b w:val="1"/>
                <w:bCs w:val="1"/>
                <w:color w:val="auto"/>
              </w:rPr>
              <w:t>$</w:t>
            </w:r>
          </w:p>
        </w:tc>
        <w:tc>
          <w:tcPr>
            <w:tcW w:w="980" w:type="dxa"/>
            <w:vAlign w:val="bottom"/>
          </w:tcPr>
          <w:p>
            <w:pPr>
              <w:jc w:val="right"/>
              <w:ind w:right="159"/>
              <w:spacing w:after="0"/>
              <w:rPr>
                <w:sz w:val="20"/>
                <w:szCs w:val="20"/>
                <w:color w:val="auto"/>
              </w:rPr>
            </w:pPr>
            <w:r>
              <w:rPr>
                <w:rFonts w:ascii="Arial" w:cs="Arial" w:eastAsia="Arial" w:hAnsi="Arial"/>
                <w:sz w:val="16"/>
                <w:szCs w:val="16"/>
                <w:b w:val="1"/>
                <w:bCs w:val="1"/>
                <w:color w:val="auto"/>
              </w:rPr>
              <w:t>302,044</w:t>
            </w:r>
          </w:p>
        </w:tc>
        <w:tc>
          <w:tcPr>
            <w:tcW w:w="32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980" w:type="dxa"/>
            <w:vAlign w:val="bottom"/>
          </w:tcPr>
          <w:p>
            <w:pPr>
              <w:jc w:val="right"/>
              <w:ind w:right="139"/>
              <w:spacing w:after="0"/>
              <w:rPr>
                <w:sz w:val="20"/>
                <w:szCs w:val="20"/>
                <w:color w:val="auto"/>
              </w:rPr>
            </w:pPr>
            <w:r>
              <w:rPr>
                <w:rFonts w:ascii="Arial" w:cs="Arial" w:eastAsia="Arial" w:hAnsi="Arial"/>
                <w:sz w:val="16"/>
                <w:szCs w:val="16"/>
                <w:color w:val="auto"/>
              </w:rPr>
              <w:t>168,590</w:t>
            </w:r>
          </w:p>
        </w:tc>
        <w:tc>
          <w:tcPr>
            <w:tcW w:w="32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940" w:type="dxa"/>
            <w:vAlign w:val="bottom"/>
          </w:tcPr>
          <w:p>
            <w:pPr>
              <w:jc w:val="right"/>
              <w:ind w:right="39"/>
              <w:spacing w:after="0"/>
              <w:rPr>
                <w:sz w:val="20"/>
                <w:szCs w:val="20"/>
                <w:color w:val="auto"/>
              </w:rPr>
            </w:pPr>
            <w:r>
              <w:rPr>
                <w:rFonts w:ascii="Arial" w:cs="Arial" w:eastAsia="Arial" w:hAnsi="Arial"/>
                <w:sz w:val="16"/>
                <w:szCs w:val="16"/>
                <w:color w:val="auto"/>
              </w:rPr>
              <w:t>(143,456)</w:t>
            </w:r>
          </w:p>
        </w:tc>
      </w:tr>
      <w:tr>
        <w:trPr>
          <w:trHeight w:val="283"/>
        </w:trPr>
        <w:tc>
          <w:tcPr>
            <w:tcW w:w="28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b w:val="1"/>
                <w:bCs w:val="1"/>
                <w:color w:val="auto"/>
              </w:rPr>
              <w:t>(28,329)</w:t>
            </w:r>
          </w:p>
        </w:tc>
        <w:tc>
          <w:tcPr>
            <w:tcW w:w="32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rPr>
              <w:t>(27,325)</w:t>
            </w:r>
          </w:p>
        </w:tc>
        <w:tc>
          <w:tcPr>
            <w:tcW w:w="32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(53,090)</w:t>
            </w:r>
          </w:p>
        </w:tc>
      </w:tr>
      <w:tr>
        <w:trPr>
          <w:trHeight w:val="251"/>
        </w:trPr>
        <w:tc>
          <w:tcPr>
            <w:tcW w:w="280" w:type="dxa"/>
            <w:vAlign w:val="bottom"/>
          </w:tcPr>
          <w:p>
            <w:pPr>
              <w:spacing w:after="0"/>
              <w:rPr>
                <w:sz w:val="21"/>
                <w:szCs w:val="21"/>
                <w:color w:val="auto"/>
              </w:rPr>
            </w:pPr>
          </w:p>
        </w:tc>
        <w:tc>
          <w:tcPr>
            <w:tcW w:w="980" w:type="dxa"/>
            <w:vAlign w:val="bottom"/>
          </w:tcPr>
          <w:p>
            <w:pPr>
              <w:jc w:val="right"/>
              <w:ind w:right="159"/>
              <w:spacing w:after="0"/>
              <w:rPr>
                <w:sz w:val="20"/>
                <w:szCs w:val="20"/>
                <w:color w:val="auto"/>
              </w:rPr>
            </w:pPr>
            <w:r>
              <w:rPr>
                <w:rFonts w:ascii="Arial" w:cs="Arial" w:eastAsia="Arial" w:hAnsi="Arial"/>
                <w:sz w:val="16"/>
                <w:szCs w:val="16"/>
                <w:b w:val="1"/>
                <w:bCs w:val="1"/>
                <w:color w:val="auto"/>
              </w:rPr>
              <w:t>273,715</w:t>
            </w:r>
          </w:p>
        </w:tc>
        <w:tc>
          <w:tcPr>
            <w:tcW w:w="320" w:type="dxa"/>
            <w:vAlign w:val="bottom"/>
          </w:tcPr>
          <w:p>
            <w:pPr>
              <w:spacing w:after="0"/>
              <w:rPr>
                <w:sz w:val="21"/>
                <w:szCs w:val="21"/>
                <w:color w:val="auto"/>
              </w:rPr>
            </w:pPr>
          </w:p>
        </w:tc>
        <w:tc>
          <w:tcPr>
            <w:tcW w:w="980" w:type="dxa"/>
            <w:vAlign w:val="bottom"/>
          </w:tcPr>
          <w:p>
            <w:pPr>
              <w:jc w:val="right"/>
              <w:ind w:right="139"/>
              <w:spacing w:after="0"/>
              <w:rPr>
                <w:sz w:val="20"/>
                <w:szCs w:val="20"/>
                <w:color w:val="auto"/>
              </w:rPr>
            </w:pPr>
            <w:r>
              <w:rPr>
                <w:rFonts w:ascii="Arial" w:cs="Arial" w:eastAsia="Arial" w:hAnsi="Arial"/>
                <w:sz w:val="16"/>
                <w:szCs w:val="16"/>
                <w:color w:val="auto"/>
              </w:rPr>
              <w:t>141,265</w:t>
            </w:r>
          </w:p>
        </w:tc>
        <w:tc>
          <w:tcPr>
            <w:tcW w:w="320" w:type="dxa"/>
            <w:vAlign w:val="bottom"/>
          </w:tcPr>
          <w:p>
            <w:pPr>
              <w:spacing w:after="0"/>
              <w:rPr>
                <w:sz w:val="21"/>
                <w:szCs w:val="21"/>
                <w:color w:val="auto"/>
              </w:rPr>
            </w:pPr>
          </w:p>
        </w:tc>
        <w:tc>
          <w:tcPr>
            <w:tcW w:w="940" w:type="dxa"/>
            <w:vAlign w:val="bottom"/>
          </w:tcPr>
          <w:p>
            <w:pPr>
              <w:jc w:val="right"/>
              <w:ind w:right="39"/>
              <w:spacing w:after="0"/>
              <w:rPr>
                <w:sz w:val="20"/>
                <w:szCs w:val="20"/>
                <w:color w:val="auto"/>
              </w:rPr>
            </w:pPr>
            <w:r>
              <w:rPr>
                <w:rFonts w:ascii="Arial" w:cs="Arial" w:eastAsia="Arial" w:hAnsi="Arial"/>
                <w:sz w:val="16"/>
                <w:szCs w:val="16"/>
                <w:color w:val="auto"/>
              </w:rPr>
              <w:t>(196,546)</w:t>
            </w:r>
          </w:p>
        </w:tc>
      </w:tr>
      <w:tr>
        <w:trPr>
          <w:trHeight w:val="283"/>
        </w:trPr>
        <w:tc>
          <w:tcPr>
            <w:tcW w:w="28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b w:val="1"/>
                <w:bCs w:val="1"/>
                <w:color w:val="auto"/>
              </w:rPr>
              <w:t>99.06%</w:t>
            </w:r>
          </w:p>
        </w:tc>
        <w:tc>
          <w:tcPr>
            <w:tcW w:w="32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98.79%</w:t>
            </w:r>
          </w:p>
        </w:tc>
        <w:tc>
          <w:tcPr>
            <w:tcW w:w="32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100.00%</w:t>
            </w:r>
          </w:p>
        </w:tc>
      </w:tr>
      <w:tr>
        <w:trPr>
          <w:trHeight w:val="251"/>
        </w:trPr>
        <w:tc>
          <w:tcPr>
            <w:tcW w:w="280" w:type="dxa"/>
            <w:vAlign w:val="bottom"/>
          </w:tcPr>
          <w:p>
            <w:pPr>
              <w:spacing w:after="0"/>
              <w:rPr>
                <w:sz w:val="21"/>
                <w:szCs w:val="21"/>
                <w:color w:val="auto"/>
              </w:rPr>
            </w:pPr>
          </w:p>
        </w:tc>
        <w:tc>
          <w:tcPr>
            <w:tcW w:w="980" w:type="dxa"/>
            <w:vAlign w:val="bottom"/>
          </w:tcPr>
          <w:p>
            <w:pPr>
              <w:jc w:val="right"/>
              <w:ind w:right="159"/>
              <w:spacing w:after="0"/>
              <w:rPr>
                <w:sz w:val="20"/>
                <w:szCs w:val="20"/>
                <w:color w:val="auto"/>
              </w:rPr>
            </w:pPr>
            <w:r>
              <w:rPr>
                <w:rFonts w:ascii="Arial" w:cs="Arial" w:eastAsia="Arial" w:hAnsi="Arial"/>
                <w:sz w:val="16"/>
                <w:szCs w:val="16"/>
                <w:b w:val="1"/>
                <w:bCs w:val="1"/>
                <w:color w:val="auto"/>
              </w:rPr>
              <w:t>271,150</w:t>
            </w:r>
          </w:p>
        </w:tc>
        <w:tc>
          <w:tcPr>
            <w:tcW w:w="320" w:type="dxa"/>
            <w:vAlign w:val="bottom"/>
          </w:tcPr>
          <w:p>
            <w:pPr>
              <w:spacing w:after="0"/>
              <w:rPr>
                <w:sz w:val="21"/>
                <w:szCs w:val="21"/>
                <w:color w:val="auto"/>
              </w:rPr>
            </w:pPr>
          </w:p>
        </w:tc>
        <w:tc>
          <w:tcPr>
            <w:tcW w:w="980" w:type="dxa"/>
            <w:vAlign w:val="bottom"/>
          </w:tcPr>
          <w:p>
            <w:pPr>
              <w:jc w:val="right"/>
              <w:ind w:right="139"/>
              <w:spacing w:after="0"/>
              <w:rPr>
                <w:sz w:val="20"/>
                <w:szCs w:val="20"/>
                <w:color w:val="auto"/>
              </w:rPr>
            </w:pPr>
            <w:r>
              <w:rPr>
                <w:rFonts w:ascii="Arial" w:cs="Arial" w:eastAsia="Arial" w:hAnsi="Arial"/>
                <w:sz w:val="16"/>
                <w:szCs w:val="16"/>
                <w:color w:val="auto"/>
              </w:rPr>
              <w:t>139,562</w:t>
            </w:r>
          </w:p>
        </w:tc>
        <w:tc>
          <w:tcPr>
            <w:tcW w:w="320" w:type="dxa"/>
            <w:vAlign w:val="bottom"/>
          </w:tcPr>
          <w:p>
            <w:pPr>
              <w:spacing w:after="0"/>
              <w:rPr>
                <w:sz w:val="21"/>
                <w:szCs w:val="21"/>
                <w:color w:val="auto"/>
              </w:rPr>
            </w:pPr>
          </w:p>
        </w:tc>
        <w:tc>
          <w:tcPr>
            <w:tcW w:w="940" w:type="dxa"/>
            <w:vAlign w:val="bottom"/>
          </w:tcPr>
          <w:p>
            <w:pPr>
              <w:jc w:val="right"/>
              <w:ind w:right="39"/>
              <w:spacing w:after="0"/>
              <w:rPr>
                <w:sz w:val="20"/>
                <w:szCs w:val="20"/>
                <w:color w:val="auto"/>
              </w:rPr>
            </w:pPr>
            <w:r>
              <w:rPr>
                <w:rFonts w:ascii="Arial" w:cs="Arial" w:eastAsia="Arial" w:hAnsi="Arial"/>
                <w:sz w:val="16"/>
                <w:szCs w:val="16"/>
                <w:color w:val="auto"/>
              </w:rPr>
              <w:t>(196,546)</w:t>
            </w:r>
          </w:p>
        </w:tc>
      </w:tr>
      <w:tr>
        <w:trPr>
          <w:trHeight w:val="283"/>
        </w:trPr>
        <w:tc>
          <w:tcPr>
            <w:tcW w:w="28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jc w:val="right"/>
              <w:ind w:right="159"/>
              <w:spacing w:after="0"/>
              <w:rPr>
                <w:sz w:val="20"/>
                <w:szCs w:val="20"/>
                <w:color w:val="auto"/>
              </w:rPr>
            </w:pPr>
            <w:r>
              <w:rPr>
                <w:rFonts w:ascii="Arial" w:cs="Arial" w:eastAsia="Arial" w:hAnsi="Arial"/>
                <w:sz w:val="16"/>
                <w:szCs w:val="16"/>
                <w:b w:val="1"/>
                <w:bCs w:val="1"/>
                <w:color w:val="auto"/>
              </w:rPr>
              <w:t>28,060</w:t>
            </w:r>
          </w:p>
        </w:tc>
        <w:tc>
          <w:tcPr>
            <w:tcW w:w="32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color w:val="auto"/>
              </w:rPr>
              <w:t>26,962</w:t>
            </w:r>
          </w:p>
        </w:tc>
        <w:tc>
          <w:tcPr>
            <w:tcW w:w="32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rPr>
              <w:t>52,050</w:t>
            </w:r>
          </w:p>
        </w:tc>
      </w:tr>
      <w:tr>
        <w:trPr>
          <w:trHeight w:val="264"/>
        </w:trPr>
        <w:tc>
          <w:tcPr>
            <w:tcW w:w="28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ind w:right="159"/>
              <w:spacing w:after="0"/>
              <w:rPr>
                <w:sz w:val="20"/>
                <w:szCs w:val="20"/>
                <w:color w:val="auto"/>
              </w:rPr>
            </w:pPr>
            <w:r>
              <w:rPr>
                <w:rFonts w:ascii="Arial" w:cs="Arial" w:eastAsia="Arial" w:hAnsi="Arial"/>
                <w:sz w:val="16"/>
                <w:szCs w:val="16"/>
                <w:b w:val="1"/>
                <w:bCs w:val="1"/>
                <w:color w:val="auto"/>
              </w:rPr>
              <w:t>299,210</w:t>
            </w:r>
          </w:p>
        </w:tc>
        <w:tc>
          <w:tcPr>
            <w:tcW w:w="32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color w:val="auto"/>
              </w:rPr>
              <w:t>166,524</w:t>
            </w:r>
          </w:p>
        </w:tc>
        <w:tc>
          <w:tcPr>
            <w:tcW w:w="32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(144,496)</w:t>
            </w:r>
          </w:p>
        </w:tc>
      </w:tr>
      <w:tr>
        <w:trPr>
          <w:trHeight w:val="20"/>
        </w:trPr>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r>
      <w:tr>
        <w:trPr>
          <w:trHeight w:val="251"/>
        </w:trPr>
        <w:tc>
          <w:tcPr>
            <w:tcW w:w="280" w:type="dxa"/>
            <w:vAlign w:val="bottom"/>
            <w:tcBorders>
              <w:bottom w:val="single" w:sz="8" w:color="auto"/>
            </w:tcBorders>
          </w:tcPr>
          <w:p>
            <w:pPr>
              <w:spacing w:after="0"/>
              <w:rPr>
                <w:sz w:val="21"/>
                <w:szCs w:val="21"/>
                <w:color w:val="auto"/>
              </w:rPr>
            </w:pPr>
          </w:p>
        </w:tc>
        <w:tc>
          <w:tcPr>
            <w:tcW w:w="980" w:type="dxa"/>
            <w:vAlign w:val="bottom"/>
            <w:tcBorders>
              <w:bottom w:val="single" w:sz="8" w:color="auto"/>
            </w:tcBorders>
          </w:tcPr>
          <w:p>
            <w:pPr>
              <w:jc w:val="right"/>
              <w:ind w:right="159"/>
              <w:spacing w:after="0"/>
              <w:rPr>
                <w:sz w:val="20"/>
                <w:szCs w:val="20"/>
                <w:color w:val="auto"/>
              </w:rPr>
            </w:pPr>
            <w:r>
              <w:rPr>
                <w:rFonts w:ascii="Arial" w:cs="Arial" w:eastAsia="Arial" w:hAnsi="Arial"/>
                <w:sz w:val="16"/>
                <w:szCs w:val="16"/>
                <w:b w:val="1"/>
                <w:bCs w:val="1"/>
                <w:color w:val="auto"/>
              </w:rPr>
              <w:t>17</w:t>
            </w:r>
          </w:p>
        </w:tc>
        <w:tc>
          <w:tcPr>
            <w:tcW w:w="320" w:type="dxa"/>
            <w:vAlign w:val="bottom"/>
            <w:tcBorders>
              <w:bottom w:val="single" w:sz="8" w:color="auto"/>
            </w:tcBorders>
          </w:tcPr>
          <w:p>
            <w:pPr>
              <w:spacing w:after="0"/>
              <w:rPr>
                <w:sz w:val="21"/>
                <w:szCs w:val="21"/>
                <w:color w:val="auto"/>
              </w:rPr>
            </w:pPr>
          </w:p>
        </w:tc>
        <w:tc>
          <w:tcPr>
            <w:tcW w:w="98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color w:val="auto"/>
              </w:rPr>
              <w:t>9</w:t>
            </w:r>
          </w:p>
        </w:tc>
        <w:tc>
          <w:tcPr>
            <w:tcW w:w="320" w:type="dxa"/>
            <w:vAlign w:val="bottom"/>
            <w:tcBorders>
              <w:bottom w:val="single" w:sz="8" w:color="auto"/>
            </w:tcBorders>
          </w:tcPr>
          <w:p>
            <w:pPr>
              <w:spacing w:after="0"/>
              <w:rPr>
                <w:sz w:val="21"/>
                <w:szCs w:val="21"/>
                <w:color w:val="auto"/>
              </w:rPr>
            </w:pPr>
          </w:p>
        </w:tc>
        <w:tc>
          <w:tcPr>
            <w:tcW w:w="94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rPr>
              <w:t>—</w:t>
            </w:r>
          </w:p>
        </w:tc>
      </w:tr>
      <w:tr>
        <w:trPr>
          <w:trHeight w:val="264"/>
        </w:trPr>
        <w:tc>
          <w:tcPr>
            <w:tcW w:w="28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b w:val="1"/>
                <w:bCs w:val="1"/>
                <w:color w:val="auto"/>
              </w:rPr>
              <w:t>$</w:t>
            </w:r>
          </w:p>
        </w:tc>
        <w:tc>
          <w:tcPr>
            <w:tcW w:w="980" w:type="dxa"/>
            <w:vAlign w:val="bottom"/>
            <w:tcBorders>
              <w:bottom w:val="single" w:sz="8" w:color="auto"/>
            </w:tcBorders>
          </w:tcPr>
          <w:p>
            <w:pPr>
              <w:jc w:val="right"/>
              <w:ind w:right="159"/>
              <w:spacing w:after="0"/>
              <w:rPr>
                <w:sz w:val="20"/>
                <w:szCs w:val="20"/>
                <w:color w:val="auto"/>
              </w:rPr>
            </w:pPr>
            <w:r>
              <w:rPr>
                <w:rFonts w:ascii="Arial" w:cs="Arial" w:eastAsia="Arial" w:hAnsi="Arial"/>
                <w:sz w:val="16"/>
                <w:szCs w:val="16"/>
                <w:b w:val="1"/>
                <w:bCs w:val="1"/>
                <w:color w:val="auto"/>
              </w:rPr>
              <w:t>299,227</w:t>
            </w:r>
          </w:p>
        </w:tc>
        <w:tc>
          <w:tcPr>
            <w:tcW w:w="32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w:t>
            </w:r>
          </w:p>
        </w:tc>
        <w:tc>
          <w:tcPr>
            <w:tcW w:w="98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color w:val="auto"/>
              </w:rPr>
              <w:t>166,533</w:t>
            </w:r>
          </w:p>
        </w:tc>
        <w:tc>
          <w:tcPr>
            <w:tcW w:w="32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w:t>
            </w:r>
          </w:p>
        </w:tc>
        <w:tc>
          <w:tcPr>
            <w:tcW w:w="94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(144,496)</w:t>
            </w:r>
          </w:p>
        </w:tc>
      </w:tr>
      <w:tr>
        <w:trPr>
          <w:trHeight w:val="20"/>
        </w:trPr>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r>
    </w:tbl>
    <w:p>
      <w:pPr>
        <w:spacing w:after="0" w:line="576" w:lineRule="exact"/>
        <w:rPr>
          <w:sz w:val="20"/>
          <w:szCs w:val="20"/>
          <w:color w:val="auto"/>
        </w:rPr>
      </w:pPr>
    </w:p>
    <w:p>
      <w:pPr>
        <w:sectPr>
          <w:pgSz w:w="11900" w:h="16838" w:orient="portrait"/>
          <w:cols w:equalWidth="0" w:num="2">
            <w:col w:w="6940" w:space="660"/>
            <w:col w:w="3820"/>
          </w:cols>
          <w:pgMar w:left="240" w:top="746" w:right="239" w:bottom="1440" w:gutter="0" w:footer="0" w:header="0"/>
          <w:type w:val="continuous"/>
        </w:sectPr>
      </w:pPr>
    </w:p>
    <w:p>
      <w:pPr>
        <w:spacing w:after="0" w:line="20" w:lineRule="exact"/>
        <w:rPr>
          <w:sz w:val="20"/>
          <w:szCs w:val="20"/>
          <w:color w:val="auto"/>
        </w:rPr>
      </w:pPr>
    </w:p>
    <w:p>
      <w:pPr>
        <w:ind w:left="280"/>
        <w:spacing w:after="0"/>
        <w:rPr>
          <w:sz w:val="20"/>
          <w:szCs w:val="20"/>
          <w:color w:val="auto"/>
        </w:rPr>
      </w:pPr>
      <w:r>
        <w:rPr>
          <w:rFonts w:ascii="Arial" w:cs="Arial" w:eastAsia="Arial" w:hAnsi="Arial"/>
          <w:sz w:val="16"/>
          <w:szCs w:val="16"/>
          <w:color w:val="auto"/>
        </w:rPr>
        <w:t>Weighted average shares outstanding</w:t>
      </w:r>
    </w:p>
    <w:p>
      <w:pPr>
        <w:spacing w:after="0" w:line="86" w:lineRule="exact"/>
        <w:rPr>
          <w:sz w:val="20"/>
          <w:szCs w:val="20"/>
          <w:color w:val="auto"/>
        </w:rPr>
      </w:pPr>
    </w:p>
    <w:p>
      <w:pPr>
        <w:ind w:left="280"/>
        <w:spacing w:after="0"/>
        <w:rPr>
          <w:sz w:val="20"/>
          <w:szCs w:val="20"/>
          <w:color w:val="auto"/>
        </w:rPr>
      </w:pPr>
      <w:r>
        <w:rPr>
          <w:rFonts w:ascii="Arial" w:cs="Arial" w:eastAsia="Arial" w:hAnsi="Arial"/>
          <w:sz w:val="16"/>
          <w:szCs w:val="16"/>
          <w:color w:val="auto"/>
        </w:rPr>
        <w:t>Add: Effect of dilutive stock options</w:t>
      </w:r>
    </w:p>
    <w:p>
      <w:pPr>
        <w:spacing w:after="0" w:line="93" w:lineRule="exact"/>
        <w:rPr>
          <w:sz w:val="20"/>
          <w:szCs w:val="20"/>
          <w:color w:val="auto"/>
        </w:rPr>
      </w:pPr>
    </w:p>
    <w:p>
      <w:pPr>
        <w:ind w:left="180"/>
        <w:spacing w:after="0"/>
        <w:rPr>
          <w:sz w:val="20"/>
          <w:szCs w:val="20"/>
          <w:color w:val="auto"/>
        </w:rPr>
      </w:pPr>
      <w:r>
        <w:rPr>
          <w:rFonts w:ascii="Arial" w:cs="Arial" w:eastAsia="Arial" w:hAnsi="Arial"/>
          <w:sz w:val="16"/>
          <w:szCs w:val="16"/>
          <w:b w:val="1"/>
          <w:bCs w:val="1"/>
          <w:color w:val="auto"/>
        </w:rPr>
        <w:t>Denominator for diluted earnings (loss) per share</w:t>
      </w:r>
    </w:p>
    <w:p>
      <w:pPr>
        <w:spacing w:after="0" w:line="113" w:lineRule="exact"/>
        <w:rPr>
          <w:sz w:val="20"/>
          <w:szCs w:val="20"/>
          <w:color w:val="auto"/>
        </w:rPr>
      </w:pPr>
    </w:p>
    <w:p>
      <w:pPr>
        <w:ind w:left="40"/>
        <w:spacing w:after="0"/>
        <w:rPr>
          <w:sz w:val="20"/>
          <w:szCs w:val="20"/>
          <w:color w:val="auto"/>
        </w:rPr>
      </w:pPr>
      <w:r>
        <w:rPr>
          <w:rFonts w:ascii="Arial" w:cs="Arial" w:eastAsia="Arial" w:hAnsi="Arial"/>
          <w:sz w:val="16"/>
          <w:szCs w:val="16"/>
          <w:b w:val="1"/>
          <w:bCs w:val="1"/>
          <w:color w:val="auto"/>
        </w:rPr>
        <w:t>Graham Holdings Company Common Stockholders:</w:t>
      </w:r>
    </w:p>
    <w:p>
      <w:pPr>
        <w:spacing w:after="0" w:line="100" w:lineRule="exact"/>
        <w:rPr>
          <w:sz w:val="20"/>
          <w:szCs w:val="20"/>
          <w:color w:val="auto"/>
        </w:rPr>
      </w:pPr>
    </w:p>
    <w:p>
      <w:pPr>
        <w:ind w:left="180" w:right="2040"/>
        <w:spacing w:after="0" w:line="388" w:lineRule="auto"/>
        <w:rPr>
          <w:sz w:val="20"/>
          <w:szCs w:val="20"/>
          <w:color w:val="auto"/>
        </w:rPr>
      </w:pPr>
      <w:r>
        <w:rPr>
          <w:rFonts w:ascii="Arial" w:cs="Arial" w:eastAsia="Arial" w:hAnsi="Arial"/>
          <w:sz w:val="16"/>
          <w:szCs w:val="16"/>
          <w:b w:val="1"/>
          <w:bCs w:val="1"/>
          <w:color w:val="auto"/>
        </w:rPr>
        <w:t>Basic earnings (loss) per share from continuing operations Diluted earnings (loss) per share from continuing operations</w:t>
      </w:r>
    </w:p>
    <w:p>
      <w:pPr>
        <w:spacing w:after="0" w:line="1" w:lineRule="exact"/>
        <w:rPr>
          <w:sz w:val="20"/>
          <w:szCs w:val="20"/>
          <w:color w:val="auto"/>
        </w:rPr>
      </w:pPr>
    </w:p>
    <w:p>
      <w:pPr>
        <w:spacing w:after="0"/>
        <w:rPr>
          <w:sz w:val="20"/>
          <w:szCs w:val="20"/>
          <w:color w:val="auto"/>
        </w:rPr>
      </w:pPr>
      <w:r>
        <w:rPr>
          <w:rFonts w:ascii="Arial" w:cs="Arial" w:eastAsia="Arial" w:hAnsi="Arial"/>
          <w:sz w:val="11"/>
          <w:szCs w:val="11"/>
          <w:color w:val="auto"/>
        </w:rPr>
        <w:t>____________</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5"/>
        </w:trPr>
        <w:tc>
          <w:tcPr>
            <w:tcW w:w="360" w:type="dxa"/>
            <w:vAlign w:val="bottom"/>
          </w:tcPr>
          <w:p>
            <w:pPr>
              <w:spacing w:after="0"/>
              <w:rPr>
                <w:sz w:val="18"/>
                <w:szCs w:val="18"/>
                <w:color w:val="auto"/>
              </w:rPr>
            </w:pPr>
          </w:p>
        </w:tc>
        <w:tc>
          <w:tcPr>
            <w:tcW w:w="820" w:type="dxa"/>
            <w:vAlign w:val="bottom"/>
          </w:tcPr>
          <w:p>
            <w:pPr>
              <w:jc w:val="right"/>
              <w:ind w:right="79"/>
              <w:spacing w:after="0"/>
              <w:rPr>
                <w:sz w:val="20"/>
                <w:szCs w:val="20"/>
                <w:color w:val="auto"/>
              </w:rPr>
            </w:pPr>
            <w:r>
              <w:rPr>
                <w:rFonts w:ascii="Arial" w:cs="Arial" w:eastAsia="Arial" w:hAnsi="Arial"/>
                <w:sz w:val="16"/>
                <w:szCs w:val="16"/>
                <w:b w:val="1"/>
                <w:bCs w:val="1"/>
                <w:color w:val="auto"/>
              </w:rPr>
              <w:t>5,516</w:t>
            </w:r>
          </w:p>
        </w:tc>
        <w:tc>
          <w:tcPr>
            <w:tcW w:w="500" w:type="dxa"/>
            <w:vAlign w:val="bottom"/>
          </w:tcPr>
          <w:p>
            <w:pPr>
              <w:spacing w:after="0"/>
              <w:rPr>
                <w:sz w:val="18"/>
                <w:szCs w:val="18"/>
                <w:color w:val="auto"/>
              </w:rPr>
            </w:pPr>
          </w:p>
        </w:tc>
        <w:tc>
          <w:tcPr>
            <w:tcW w:w="800" w:type="dxa"/>
            <w:vAlign w:val="bottom"/>
          </w:tcPr>
          <w:p>
            <w:pPr>
              <w:jc w:val="right"/>
              <w:ind w:right="59"/>
              <w:spacing w:after="0"/>
              <w:rPr>
                <w:sz w:val="20"/>
                <w:szCs w:val="20"/>
                <w:color w:val="auto"/>
              </w:rPr>
            </w:pPr>
            <w:r>
              <w:rPr>
                <w:rFonts w:ascii="Arial" w:cs="Arial" w:eastAsia="Arial" w:hAnsi="Arial"/>
                <w:sz w:val="16"/>
                <w:szCs w:val="16"/>
                <w:color w:val="auto"/>
              </w:rPr>
              <w:t>5,559</w:t>
            </w:r>
          </w:p>
        </w:tc>
        <w:tc>
          <w:tcPr>
            <w:tcW w:w="480" w:type="dxa"/>
            <w:vAlign w:val="bottom"/>
          </w:tcPr>
          <w:p>
            <w:pPr>
              <w:spacing w:after="0"/>
              <w:rPr>
                <w:sz w:val="18"/>
                <w:szCs w:val="18"/>
                <w:color w:val="auto"/>
              </w:rPr>
            </w:pPr>
          </w:p>
        </w:tc>
        <w:tc>
          <w:tcPr>
            <w:tcW w:w="860" w:type="dxa"/>
            <w:vAlign w:val="bottom"/>
          </w:tcPr>
          <w:p>
            <w:pPr>
              <w:jc w:val="right"/>
              <w:ind w:right="99"/>
              <w:spacing w:after="0"/>
              <w:rPr>
                <w:sz w:val="20"/>
                <w:szCs w:val="20"/>
                <w:color w:val="auto"/>
              </w:rPr>
            </w:pPr>
            <w:r>
              <w:rPr>
                <w:rFonts w:ascii="Arial" w:cs="Arial" w:eastAsia="Arial" w:hAnsi="Arial"/>
                <w:sz w:val="16"/>
                <w:szCs w:val="16"/>
                <w:color w:val="auto"/>
              </w:rPr>
              <w:t>5,727</w:t>
            </w:r>
          </w:p>
        </w:tc>
      </w:tr>
      <w:tr>
        <w:trPr>
          <w:trHeight w:val="283"/>
        </w:trPr>
        <w:tc>
          <w:tcPr>
            <w:tcW w:w="36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b w:val="1"/>
                <w:bCs w:val="1"/>
                <w:color w:val="auto"/>
              </w:rPr>
              <w:t>36</w:t>
            </w:r>
          </w:p>
        </w:tc>
        <w:tc>
          <w:tcPr>
            <w:tcW w:w="50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30</w:t>
            </w:r>
          </w:p>
        </w:tc>
        <w:tc>
          <w:tcPr>
            <w:tcW w:w="48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rPr>
              <w:t>—</w:t>
            </w:r>
          </w:p>
        </w:tc>
      </w:tr>
      <w:tr>
        <w:trPr>
          <w:trHeight w:val="264"/>
        </w:trPr>
        <w:tc>
          <w:tcPr>
            <w:tcW w:w="360" w:type="dxa"/>
            <w:vAlign w:val="bottom"/>
            <w:tcBorders>
              <w:bottom w:val="single" w:sz="8" w:color="auto"/>
            </w:tcBorders>
          </w:tcPr>
          <w:p>
            <w:pPr>
              <w:spacing w:after="0"/>
              <w:rPr>
                <w:sz w:val="22"/>
                <w:szCs w:val="22"/>
                <w:color w:val="auto"/>
              </w:rPr>
            </w:pPr>
          </w:p>
        </w:tc>
        <w:tc>
          <w:tcPr>
            <w:tcW w:w="82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b w:val="1"/>
                <w:bCs w:val="1"/>
                <w:color w:val="auto"/>
              </w:rPr>
              <w:t>5,552</w:t>
            </w:r>
          </w:p>
        </w:tc>
        <w:tc>
          <w:tcPr>
            <w:tcW w:w="500" w:type="dxa"/>
            <w:vAlign w:val="bottom"/>
            <w:tcBorders>
              <w:bottom w:val="single" w:sz="8" w:color="auto"/>
            </w:tcBorders>
          </w:tcPr>
          <w:p>
            <w:pPr>
              <w:spacing w:after="0"/>
              <w:rPr>
                <w:sz w:val="22"/>
                <w:szCs w:val="22"/>
                <w:color w:val="auto"/>
              </w:rPr>
            </w:pPr>
          </w:p>
        </w:tc>
        <w:tc>
          <w:tcPr>
            <w:tcW w:w="80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5,589</w:t>
            </w:r>
          </w:p>
        </w:tc>
        <w:tc>
          <w:tcPr>
            <w:tcW w:w="48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rPr>
              <w:t>5,727</w:t>
            </w:r>
          </w:p>
        </w:tc>
      </w:tr>
      <w:tr>
        <w:trPr>
          <w:trHeight w:val="20"/>
        </w:trPr>
        <w:tc>
          <w:tcPr>
            <w:tcW w:w="36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r>
      <w:tr>
        <w:trPr>
          <w:trHeight w:val="521"/>
        </w:trPr>
        <w:tc>
          <w:tcPr>
            <w:tcW w:w="360" w:type="dxa"/>
            <w:vAlign w:val="bottom"/>
            <w:tcBorders>
              <w:bottom w:val="single" w:sz="8" w:color="auto"/>
            </w:tcBorders>
          </w:tcPr>
          <w:p>
            <w:pPr>
              <w:jc w:val="right"/>
              <w:ind w:right="159"/>
              <w:spacing w:after="0"/>
              <w:rPr>
                <w:sz w:val="20"/>
                <w:szCs w:val="20"/>
                <w:color w:val="auto"/>
              </w:rPr>
            </w:pPr>
            <w:r>
              <w:rPr>
                <w:rFonts w:ascii="Arial" w:cs="Arial" w:eastAsia="Arial" w:hAnsi="Arial"/>
                <w:sz w:val="16"/>
                <w:szCs w:val="16"/>
                <w:b w:val="1"/>
                <w:bCs w:val="1"/>
                <w:color w:val="auto"/>
              </w:rPr>
              <w:t>$</w:t>
            </w:r>
          </w:p>
        </w:tc>
        <w:tc>
          <w:tcPr>
            <w:tcW w:w="82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b w:val="1"/>
                <w:bCs w:val="1"/>
                <w:color w:val="auto"/>
              </w:rPr>
              <w:t>54.24</w:t>
            </w:r>
          </w:p>
        </w:tc>
        <w:tc>
          <w:tcPr>
            <w:tcW w:w="500" w:type="dxa"/>
            <w:vAlign w:val="bottom"/>
            <w:tcBorders>
              <w:bottom w:val="single" w:sz="8" w:color="auto"/>
            </w:tcBorders>
          </w:tcPr>
          <w:p>
            <w:pPr>
              <w:jc w:val="right"/>
              <w:ind w:right="179"/>
              <w:spacing w:after="0"/>
              <w:rPr>
                <w:sz w:val="20"/>
                <w:szCs w:val="20"/>
                <w:color w:val="auto"/>
              </w:rPr>
            </w:pPr>
            <w:r>
              <w:rPr>
                <w:rFonts w:ascii="Arial" w:cs="Arial" w:eastAsia="Arial" w:hAnsi="Arial"/>
                <w:sz w:val="16"/>
                <w:szCs w:val="16"/>
                <w:color w:val="auto"/>
              </w:rPr>
              <w:t>$</w:t>
            </w:r>
          </w:p>
        </w:tc>
        <w:tc>
          <w:tcPr>
            <w:tcW w:w="80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29.95</w:t>
            </w:r>
          </w:p>
        </w:tc>
        <w:tc>
          <w:tcPr>
            <w:tcW w:w="48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color w:val="auto"/>
              </w:rPr>
              <w:t>$</w:t>
            </w:r>
          </w:p>
        </w:tc>
        <w:tc>
          <w:tcPr>
            <w:tcW w:w="86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(25.23)</w:t>
            </w:r>
          </w:p>
        </w:tc>
      </w:tr>
      <w:tr>
        <w:trPr>
          <w:trHeight w:val="20"/>
        </w:trPr>
        <w:tc>
          <w:tcPr>
            <w:tcW w:w="36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r>
      <w:tr>
        <w:trPr>
          <w:trHeight w:val="251"/>
        </w:trPr>
        <w:tc>
          <w:tcPr>
            <w:tcW w:w="360" w:type="dxa"/>
            <w:vAlign w:val="bottom"/>
            <w:tcBorders>
              <w:bottom w:val="single" w:sz="8" w:color="auto"/>
            </w:tcBorders>
          </w:tcPr>
          <w:p>
            <w:pPr>
              <w:jc w:val="right"/>
              <w:ind w:right="159"/>
              <w:spacing w:after="0"/>
              <w:rPr>
                <w:sz w:val="20"/>
                <w:szCs w:val="20"/>
                <w:color w:val="auto"/>
              </w:rPr>
            </w:pPr>
            <w:r>
              <w:rPr>
                <w:rFonts w:ascii="Arial" w:cs="Arial" w:eastAsia="Arial" w:hAnsi="Arial"/>
                <w:sz w:val="16"/>
                <w:szCs w:val="16"/>
                <w:b w:val="1"/>
                <w:bCs w:val="1"/>
                <w:color w:val="auto"/>
              </w:rPr>
              <w:t>$</w:t>
            </w:r>
          </w:p>
        </w:tc>
        <w:tc>
          <w:tcPr>
            <w:tcW w:w="82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b w:val="1"/>
                <w:bCs w:val="1"/>
                <w:color w:val="auto"/>
              </w:rPr>
              <w:t>53.89</w:t>
            </w:r>
          </w:p>
        </w:tc>
        <w:tc>
          <w:tcPr>
            <w:tcW w:w="500" w:type="dxa"/>
            <w:vAlign w:val="bottom"/>
            <w:tcBorders>
              <w:bottom w:val="single" w:sz="8" w:color="auto"/>
            </w:tcBorders>
          </w:tcPr>
          <w:p>
            <w:pPr>
              <w:jc w:val="right"/>
              <w:ind w:right="179"/>
              <w:spacing w:after="0"/>
              <w:rPr>
                <w:sz w:val="20"/>
                <w:szCs w:val="20"/>
                <w:color w:val="auto"/>
              </w:rPr>
            </w:pPr>
            <w:r>
              <w:rPr>
                <w:rFonts w:ascii="Arial" w:cs="Arial" w:eastAsia="Arial" w:hAnsi="Arial"/>
                <w:sz w:val="16"/>
                <w:szCs w:val="16"/>
                <w:color w:val="auto"/>
              </w:rPr>
              <w:t>$</w:t>
            </w:r>
          </w:p>
        </w:tc>
        <w:tc>
          <w:tcPr>
            <w:tcW w:w="80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29.80</w:t>
            </w:r>
          </w:p>
        </w:tc>
        <w:tc>
          <w:tcPr>
            <w:tcW w:w="48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color w:val="auto"/>
              </w:rPr>
              <w:t>$</w:t>
            </w:r>
          </w:p>
        </w:tc>
        <w:tc>
          <w:tcPr>
            <w:tcW w:w="86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(25.23)</w:t>
            </w:r>
          </w:p>
        </w:tc>
      </w:tr>
      <w:tr>
        <w:trPr>
          <w:trHeight w:val="20"/>
        </w:trPr>
        <w:tc>
          <w:tcPr>
            <w:tcW w:w="36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r>
    </w:tbl>
    <w:p>
      <w:pPr>
        <w:spacing w:after="0" w:line="345" w:lineRule="exact"/>
        <w:rPr>
          <w:sz w:val="20"/>
          <w:szCs w:val="20"/>
          <w:color w:val="auto"/>
        </w:rPr>
      </w:pPr>
    </w:p>
    <w:p>
      <w:pPr>
        <w:sectPr>
          <w:pgSz w:w="11900" w:h="16838" w:orient="portrait"/>
          <w:cols w:equalWidth="0" w:num="2">
            <w:col w:w="6880" w:space="720"/>
            <w:col w:w="3820"/>
          </w:cols>
          <w:pgMar w:left="240" w:top="746" w:right="239" w:bottom="1440" w:gutter="0" w:footer="0" w:header="0"/>
          <w:type w:val="continuous"/>
        </w:sectPr>
      </w:pPr>
    </w:p>
    <w:p>
      <w:pPr>
        <w:spacing w:after="0"/>
        <w:rPr>
          <w:sz w:val="20"/>
          <w:szCs w:val="20"/>
          <w:color w:val="auto"/>
        </w:rPr>
      </w:pPr>
      <w:r>
        <w:rPr>
          <w:rFonts w:ascii="Arial" w:cs="Arial" w:eastAsia="Arial" w:hAnsi="Arial"/>
          <w:sz w:val="13"/>
          <w:szCs w:val="13"/>
          <w:color w:val="auto"/>
        </w:rPr>
        <w:t>(1)  Percent of undistributed losses allocated to common stockholders is 100% in 2015 as participating securities are not contractually obligated to share in losses.</w:t>
      </w:r>
    </w:p>
    <w:p>
      <w:pPr>
        <w:spacing w:after="0" w:line="139" w:lineRule="exact"/>
        <w:rPr>
          <w:sz w:val="20"/>
          <w:szCs w:val="20"/>
          <w:color w:val="auto"/>
        </w:rPr>
      </w:pPr>
    </w:p>
    <w:p>
      <w:pPr>
        <w:ind w:right="420"/>
        <w:spacing w:after="0" w:line="235" w:lineRule="auto"/>
        <w:rPr>
          <w:sz w:val="20"/>
          <w:szCs w:val="20"/>
          <w:color w:val="auto"/>
        </w:rPr>
      </w:pPr>
      <w:r>
        <w:rPr>
          <w:rFonts w:ascii="Arial" w:cs="Arial" w:eastAsia="Arial" w:hAnsi="Arial"/>
          <w:sz w:val="18"/>
          <w:szCs w:val="18"/>
          <w:color w:val="auto"/>
        </w:rPr>
        <w:t>Diluted earnings (loss) per share excludes the following weighted average potential common shares, as the effect would be antidilutive, as computed under the treasury stock method:</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7780" w:type="dxa"/>
            <w:vAlign w:val="bottom"/>
          </w:tcPr>
          <w:p>
            <w:pPr>
              <w:spacing w:after="0"/>
              <w:rPr>
                <w:sz w:val="17"/>
                <w:szCs w:val="17"/>
                <w:color w:val="auto"/>
              </w:rPr>
            </w:pPr>
          </w:p>
        </w:tc>
        <w:tc>
          <w:tcPr>
            <w:tcW w:w="2800" w:type="dxa"/>
            <w:vAlign w:val="bottom"/>
            <w:tcBorders>
              <w:bottom w:val="single" w:sz="8" w:color="auto"/>
            </w:tcBorders>
            <w:gridSpan w:val="2"/>
          </w:tcPr>
          <w:p>
            <w:pPr>
              <w:jc w:val="right"/>
              <w:ind w:right="22"/>
              <w:spacing w:after="0"/>
              <w:rPr>
                <w:sz w:val="20"/>
                <w:szCs w:val="20"/>
                <w:color w:val="auto"/>
              </w:rPr>
            </w:pPr>
            <w:r>
              <w:rPr>
                <w:rFonts w:ascii="Arial" w:cs="Arial" w:eastAsia="Arial" w:hAnsi="Arial"/>
                <w:sz w:val="14"/>
                <w:szCs w:val="14"/>
                <w:b w:val="1"/>
                <w:bCs w:val="1"/>
                <w:color w:val="auto"/>
              </w:rPr>
              <w:t>Year Ended December 31</w:t>
            </w:r>
          </w:p>
        </w:tc>
        <w:tc>
          <w:tcPr>
            <w:tcW w:w="840" w:type="dxa"/>
            <w:vAlign w:val="bottom"/>
            <w:tcBorders>
              <w:bottom w:val="single" w:sz="8" w:color="auto"/>
            </w:tcBorders>
          </w:tcPr>
          <w:p>
            <w:pPr>
              <w:spacing w:after="0"/>
              <w:rPr>
                <w:sz w:val="17"/>
                <w:szCs w:val="17"/>
                <w:color w:val="auto"/>
              </w:rPr>
            </w:pPr>
          </w:p>
        </w:tc>
      </w:tr>
      <w:tr>
        <w:trPr>
          <w:trHeight w:val="264"/>
        </w:trPr>
        <w:tc>
          <w:tcPr>
            <w:tcW w:w="778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(in thousands)</w:t>
            </w:r>
          </w:p>
        </w:tc>
        <w:tc>
          <w:tcPr>
            <w:tcW w:w="1360" w:type="dxa"/>
            <w:vAlign w:val="bottom"/>
            <w:tcBorders>
              <w:bottom w:val="single" w:sz="8" w:color="auto"/>
            </w:tcBorders>
          </w:tcPr>
          <w:p>
            <w:pPr>
              <w:jc w:val="right"/>
              <w:ind w:right="543"/>
              <w:spacing w:after="0"/>
              <w:rPr>
                <w:sz w:val="20"/>
                <w:szCs w:val="20"/>
                <w:color w:val="auto"/>
              </w:rPr>
            </w:pPr>
            <w:r>
              <w:rPr>
                <w:rFonts w:ascii="Arial" w:cs="Arial" w:eastAsia="Arial" w:hAnsi="Arial"/>
                <w:sz w:val="14"/>
                <w:szCs w:val="14"/>
                <w:b w:val="1"/>
                <w:bCs w:val="1"/>
                <w:color w:val="auto"/>
              </w:rPr>
              <w:t>2017</w:t>
            </w:r>
          </w:p>
        </w:tc>
        <w:tc>
          <w:tcPr>
            <w:tcW w:w="1440" w:type="dxa"/>
            <w:vAlign w:val="bottom"/>
            <w:tcBorders>
              <w:bottom w:val="single" w:sz="8" w:color="auto"/>
            </w:tcBorders>
          </w:tcPr>
          <w:p>
            <w:pPr>
              <w:jc w:val="right"/>
              <w:ind w:right="722"/>
              <w:spacing w:after="0"/>
              <w:rPr>
                <w:sz w:val="20"/>
                <w:szCs w:val="20"/>
                <w:color w:val="auto"/>
              </w:rPr>
            </w:pPr>
            <w:r>
              <w:rPr>
                <w:rFonts w:ascii="Arial" w:cs="Arial" w:eastAsia="Arial" w:hAnsi="Arial"/>
                <w:sz w:val="14"/>
                <w:szCs w:val="14"/>
                <w:color w:val="auto"/>
              </w:rPr>
              <w:t>2016</w:t>
            </w:r>
          </w:p>
        </w:tc>
        <w:tc>
          <w:tcPr>
            <w:tcW w:w="840" w:type="dxa"/>
            <w:vAlign w:val="bottom"/>
            <w:tcBorders>
              <w:bottom w:val="single" w:sz="8" w:color="auto"/>
            </w:tcBorders>
          </w:tcPr>
          <w:p>
            <w:pPr>
              <w:jc w:val="right"/>
              <w:ind w:right="322"/>
              <w:spacing w:after="0"/>
              <w:rPr>
                <w:sz w:val="20"/>
                <w:szCs w:val="20"/>
                <w:color w:val="auto"/>
              </w:rPr>
            </w:pPr>
            <w:r>
              <w:rPr>
                <w:rFonts w:ascii="Arial" w:cs="Arial" w:eastAsia="Arial" w:hAnsi="Arial"/>
                <w:sz w:val="14"/>
                <w:szCs w:val="14"/>
                <w:color w:val="auto"/>
              </w:rPr>
              <w:t>2015</w:t>
            </w:r>
          </w:p>
        </w:tc>
      </w:tr>
      <w:tr>
        <w:trPr>
          <w:trHeight w:val="250"/>
        </w:trPr>
        <w:tc>
          <w:tcPr>
            <w:tcW w:w="7780" w:type="dxa"/>
            <w:vAlign w:val="bottom"/>
          </w:tcPr>
          <w:p>
            <w:pPr>
              <w:ind w:left="180"/>
              <w:spacing w:after="0"/>
              <w:rPr>
                <w:sz w:val="20"/>
                <w:szCs w:val="20"/>
                <w:color w:val="auto"/>
              </w:rPr>
            </w:pPr>
            <w:r>
              <w:rPr>
                <w:rFonts w:ascii="Arial" w:cs="Arial" w:eastAsia="Arial" w:hAnsi="Arial"/>
                <w:sz w:val="16"/>
                <w:szCs w:val="16"/>
                <w:color w:val="auto"/>
              </w:rPr>
              <w:t>Weighted average restricted stock</w:t>
            </w:r>
          </w:p>
        </w:tc>
        <w:tc>
          <w:tcPr>
            <w:tcW w:w="1360" w:type="dxa"/>
            <w:vAlign w:val="bottom"/>
          </w:tcPr>
          <w:p>
            <w:pPr>
              <w:jc w:val="right"/>
              <w:ind w:right="243"/>
              <w:spacing w:after="0"/>
              <w:rPr>
                <w:sz w:val="20"/>
                <w:szCs w:val="20"/>
                <w:color w:val="auto"/>
              </w:rPr>
            </w:pPr>
            <w:r>
              <w:rPr>
                <w:rFonts w:ascii="Arial" w:cs="Arial" w:eastAsia="Arial" w:hAnsi="Arial"/>
                <w:sz w:val="16"/>
                <w:szCs w:val="16"/>
                <w:b w:val="1"/>
                <w:bCs w:val="1"/>
                <w:color w:val="auto"/>
              </w:rPr>
              <w:t>30</w:t>
            </w:r>
          </w:p>
        </w:tc>
        <w:tc>
          <w:tcPr>
            <w:tcW w:w="1440" w:type="dxa"/>
            <w:vAlign w:val="bottom"/>
          </w:tcPr>
          <w:p>
            <w:pPr>
              <w:jc w:val="right"/>
              <w:ind w:right="442"/>
              <w:spacing w:after="0"/>
              <w:rPr>
                <w:sz w:val="20"/>
                <w:szCs w:val="20"/>
                <w:color w:val="auto"/>
              </w:rPr>
            </w:pPr>
            <w:r>
              <w:rPr>
                <w:rFonts w:ascii="Arial" w:cs="Arial" w:eastAsia="Arial" w:hAnsi="Arial"/>
                <w:sz w:val="16"/>
                <w:szCs w:val="16"/>
                <w:color w:val="auto"/>
              </w:rPr>
              <w:t>40</w:t>
            </w:r>
          </w:p>
        </w:tc>
        <w:tc>
          <w:tcPr>
            <w:tcW w:w="840" w:type="dxa"/>
            <w:vAlign w:val="bottom"/>
          </w:tcPr>
          <w:p>
            <w:pPr>
              <w:jc w:val="right"/>
              <w:ind w:right="22"/>
              <w:spacing w:after="0"/>
              <w:rPr>
                <w:sz w:val="20"/>
                <w:szCs w:val="20"/>
                <w:color w:val="auto"/>
              </w:rPr>
            </w:pPr>
            <w:r>
              <w:rPr>
                <w:rFonts w:ascii="Arial" w:cs="Arial" w:eastAsia="Arial" w:hAnsi="Arial"/>
                <w:sz w:val="16"/>
                <w:szCs w:val="16"/>
                <w:color w:val="auto"/>
              </w:rPr>
              <w:t>52</w:t>
            </w:r>
          </w:p>
        </w:tc>
      </w:tr>
      <w:tr>
        <w:trPr>
          <w:trHeight w:val="270"/>
        </w:trPr>
        <w:tc>
          <w:tcPr>
            <w:tcW w:w="7780" w:type="dxa"/>
            <w:vAlign w:val="bottom"/>
          </w:tcPr>
          <w:p>
            <w:pPr>
              <w:ind w:left="180"/>
              <w:spacing w:after="0"/>
              <w:rPr>
                <w:sz w:val="20"/>
                <w:szCs w:val="20"/>
                <w:color w:val="auto"/>
              </w:rPr>
            </w:pPr>
            <w:r>
              <w:rPr>
                <w:rFonts w:ascii="Arial" w:cs="Arial" w:eastAsia="Arial" w:hAnsi="Arial"/>
                <w:sz w:val="16"/>
                <w:szCs w:val="16"/>
                <w:color w:val="auto"/>
              </w:rPr>
              <w:t>Weighted average stock options</w:t>
            </w:r>
          </w:p>
        </w:tc>
        <w:tc>
          <w:tcPr>
            <w:tcW w:w="1360" w:type="dxa"/>
            <w:vAlign w:val="bottom"/>
          </w:tcPr>
          <w:p>
            <w:pPr>
              <w:jc w:val="right"/>
              <w:ind w:right="243"/>
              <w:spacing w:after="0"/>
              <w:rPr>
                <w:sz w:val="20"/>
                <w:szCs w:val="20"/>
                <w:color w:val="auto"/>
              </w:rPr>
            </w:pPr>
            <w:r>
              <w:rPr>
                <w:rFonts w:ascii="Arial" w:cs="Arial" w:eastAsia="Arial" w:hAnsi="Arial"/>
                <w:sz w:val="16"/>
                <w:szCs w:val="16"/>
                <w:b w:val="1"/>
                <w:bCs w:val="1"/>
                <w:color w:val="auto"/>
              </w:rPr>
              <w:t>—</w:t>
            </w:r>
          </w:p>
        </w:tc>
        <w:tc>
          <w:tcPr>
            <w:tcW w:w="1440" w:type="dxa"/>
            <w:vAlign w:val="bottom"/>
          </w:tcPr>
          <w:p>
            <w:pPr>
              <w:jc w:val="right"/>
              <w:ind w:right="442"/>
              <w:spacing w:after="0"/>
              <w:rPr>
                <w:sz w:val="20"/>
                <w:szCs w:val="20"/>
                <w:color w:val="auto"/>
              </w:rPr>
            </w:pPr>
            <w:r>
              <w:rPr>
                <w:rFonts w:ascii="Arial" w:cs="Arial" w:eastAsia="Arial" w:hAnsi="Arial"/>
                <w:sz w:val="16"/>
                <w:szCs w:val="16"/>
                <w:color w:val="auto"/>
              </w:rPr>
              <w:t>—</w:t>
            </w:r>
          </w:p>
        </w:tc>
        <w:tc>
          <w:tcPr>
            <w:tcW w:w="840" w:type="dxa"/>
            <w:vAlign w:val="bottom"/>
          </w:tcPr>
          <w:p>
            <w:pPr>
              <w:jc w:val="right"/>
              <w:ind w:right="22"/>
              <w:spacing w:after="0"/>
              <w:rPr>
                <w:sz w:val="20"/>
                <w:szCs w:val="20"/>
                <w:color w:val="auto"/>
              </w:rPr>
            </w:pPr>
            <w:r>
              <w:rPr>
                <w:rFonts w:ascii="Arial" w:cs="Arial" w:eastAsia="Arial" w:hAnsi="Arial"/>
                <w:sz w:val="16"/>
                <w:szCs w:val="16"/>
                <w:color w:val="auto"/>
              </w:rPr>
              <w:t>39</w:t>
            </w:r>
          </w:p>
        </w:tc>
      </w:tr>
    </w:tbl>
    <w:p>
      <w:pPr>
        <w:spacing w:after="0" w:line="167" w:lineRule="exact"/>
        <w:rPr>
          <w:sz w:val="20"/>
          <w:szCs w:val="20"/>
          <w:color w:val="auto"/>
        </w:rPr>
      </w:pPr>
    </w:p>
    <w:p>
      <w:pPr>
        <w:ind w:right="60"/>
        <w:spacing w:after="0" w:line="227" w:lineRule="auto"/>
        <w:rPr>
          <w:sz w:val="20"/>
          <w:szCs w:val="20"/>
          <w:color w:val="auto"/>
        </w:rPr>
      </w:pPr>
      <w:r>
        <w:rPr>
          <w:rFonts w:ascii="Arial" w:cs="Arial" w:eastAsia="Arial" w:hAnsi="Arial"/>
          <w:sz w:val="18"/>
          <w:szCs w:val="18"/>
          <w:color w:val="auto"/>
        </w:rPr>
        <w:t>The 2017, 2016 and 2015 diluted earnings (loss) per share amounts exclude the effects of 104,000, 102,000 and 102,000 stock options outstanding, respectively, as their inclusion would have been antidilutive due to a market condition. The 2017, 2016 and 2015 diluted earnings (loss) per share amounts also exclude the effects of 5,250, 5,450 and 6,250 restricted stock awards, respectively, as their inclusion would have been antidilutive due to a performance condition.</w:t>
      </w:r>
    </w:p>
    <w:p>
      <w:pPr>
        <w:spacing w:after="0" w:line="122" w:lineRule="exact"/>
        <w:rPr>
          <w:sz w:val="20"/>
          <w:szCs w:val="20"/>
          <w:color w:val="auto"/>
        </w:rPr>
      </w:pPr>
    </w:p>
    <w:p>
      <w:pPr>
        <w:spacing w:after="0"/>
        <w:rPr>
          <w:sz w:val="20"/>
          <w:szCs w:val="20"/>
          <w:color w:val="auto"/>
        </w:rPr>
      </w:pPr>
      <w:r>
        <w:rPr>
          <w:rFonts w:ascii="Arial" w:cs="Arial" w:eastAsia="Arial" w:hAnsi="Arial"/>
          <w:sz w:val="18"/>
          <w:szCs w:val="18"/>
          <w:color w:val="auto"/>
        </w:rPr>
        <w:t>In 2017, 2016 and 2015, the Company declared regular dividends totaling $5.08, $4.84 and $9.10 per share, respectively.</w:t>
      </w:r>
    </w:p>
    <w:p>
      <w:pPr>
        <w:spacing w:after="0" w:line="200" w:lineRule="exact"/>
        <w:rPr>
          <w:sz w:val="20"/>
          <w:szCs w:val="20"/>
          <w:color w:val="auto"/>
        </w:rPr>
      </w:pPr>
    </w:p>
    <w:p>
      <w:pPr>
        <w:spacing w:after="0" w:line="32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102</w:t>
      </w:r>
    </w:p>
    <w:p>
      <w:pPr>
        <w:sectPr>
          <w:pgSz w:w="11900" w:h="16838" w:orient="portrait"/>
          <w:cols w:equalWidth="0" w:num="1">
            <w:col w:w="11420"/>
          </w:cols>
          <w:pgMar w:left="240" w:top="746" w:right="239" w:bottom="1440" w:gutter="0" w:footer="0" w:header="0"/>
          <w:type w:val="continuous"/>
        </w:sectPr>
      </w:pPr>
    </w:p>
    <w:bookmarkStart w:id="105" w:name="page106"/>
    <w:bookmarkEnd w:id="105"/>
    <w:p>
      <w:pPr>
        <w:ind w:left="500" w:hanging="492"/>
        <w:spacing w:after="0"/>
        <w:tabs>
          <w:tab w:leader="none" w:pos="500" w:val="left"/>
        </w:tabs>
        <w:numPr>
          <w:ilvl w:val="0"/>
          <w:numId w:val="77"/>
        </w:numPr>
        <w:rPr>
          <w:rFonts w:ascii="Arial" w:cs="Arial" w:eastAsia="Arial" w:hAnsi="Arial"/>
          <w:sz w:val="18"/>
          <w:szCs w:val="18"/>
          <w:b w:val="1"/>
          <w:bCs w:val="1"/>
          <w:color w:val="auto"/>
        </w:rPr>
      </w:pPr>
      <w:r>
        <w:rPr>
          <w:rFonts w:ascii="Arial" w:cs="Arial" w:eastAsia="Arial" w:hAnsi="Arial"/>
          <w:sz w:val="18"/>
          <w:szCs w:val="18"/>
          <w:b w:val="1"/>
          <w:bCs w:val="1"/>
          <w:color w:val="auto"/>
        </w:rPr>
        <w:t>PENSIONS AND OTHER POSTRETIREMENT PLANS</w:t>
      </w:r>
    </w:p>
    <w:p>
      <w:pPr>
        <w:spacing w:after="0" w:line="166" w:lineRule="exact"/>
        <w:rPr>
          <w:sz w:val="20"/>
          <w:szCs w:val="20"/>
          <w:color w:val="auto"/>
        </w:rPr>
      </w:pPr>
    </w:p>
    <w:p>
      <w:pPr>
        <w:ind w:right="80"/>
        <w:spacing w:after="0" w:line="229" w:lineRule="auto"/>
        <w:rPr>
          <w:sz w:val="20"/>
          <w:szCs w:val="20"/>
          <w:color w:val="auto"/>
        </w:rPr>
      </w:pPr>
      <w:r>
        <w:rPr>
          <w:rFonts w:ascii="Arial" w:cs="Arial" w:eastAsia="Arial" w:hAnsi="Arial"/>
          <w:sz w:val="18"/>
          <w:szCs w:val="18"/>
          <w:color w:val="auto"/>
        </w:rPr>
        <w:t>The Company maintains various pension and incentive savings plans and contributed to multiemployer plans on behalf of certain union-represented employee groups. Most of the Company’s employees are covered by these plans. The Company also provides healthcare and life insurance benefits to certain retired employees. These employees become eligible for benefits after meeting age and service requirements.</w:t>
      </w:r>
    </w:p>
    <w:p>
      <w:pPr>
        <w:spacing w:after="0" w:line="137" w:lineRule="exact"/>
        <w:rPr>
          <w:sz w:val="20"/>
          <w:szCs w:val="20"/>
          <w:color w:val="auto"/>
        </w:rPr>
      </w:pPr>
    </w:p>
    <w:p>
      <w:pPr>
        <w:spacing w:after="0"/>
        <w:rPr>
          <w:sz w:val="20"/>
          <w:szCs w:val="20"/>
          <w:color w:val="auto"/>
        </w:rPr>
      </w:pPr>
      <w:r>
        <w:rPr>
          <w:rFonts w:ascii="Arial" w:cs="Arial" w:eastAsia="Arial" w:hAnsi="Arial"/>
          <w:sz w:val="18"/>
          <w:szCs w:val="18"/>
          <w:color w:val="auto"/>
        </w:rPr>
        <w:t>The Company uses a measurement date of December 31 for its pension and other postretirement benefit plans.</w:t>
      </w:r>
    </w:p>
    <w:p>
      <w:pPr>
        <w:spacing w:after="0" w:line="122" w:lineRule="exact"/>
        <w:rPr>
          <w:sz w:val="20"/>
          <w:szCs w:val="20"/>
          <w:color w:val="auto"/>
        </w:rPr>
      </w:pPr>
    </w:p>
    <w:p>
      <w:pPr>
        <w:spacing w:after="0" w:line="227" w:lineRule="auto"/>
        <w:rPr>
          <w:sz w:val="20"/>
          <w:szCs w:val="20"/>
          <w:color w:val="auto"/>
        </w:rPr>
      </w:pPr>
      <w:r>
        <w:rPr>
          <w:rFonts w:ascii="Arial" w:cs="Arial" w:eastAsia="Arial" w:hAnsi="Arial"/>
          <w:sz w:val="18"/>
          <w:szCs w:val="18"/>
          <w:b w:val="1"/>
          <w:bCs w:val="1"/>
          <w:color w:val="auto"/>
        </w:rPr>
        <w:t xml:space="preserve">Cable ONE Spin-Off. </w:t>
      </w:r>
      <w:r>
        <w:rPr>
          <w:rFonts w:ascii="Arial" w:cs="Arial" w:eastAsia="Arial" w:hAnsi="Arial"/>
          <w:sz w:val="18"/>
          <w:szCs w:val="18"/>
          <w:color w:val="auto"/>
        </w:rPr>
        <w:t>On July 1, 2015, as part of the spin-off, Cable ONE assumed the liability related to their employees participating in the</w:t>
      </w:r>
      <w:r>
        <w:rPr>
          <w:rFonts w:ascii="Arial" w:cs="Arial" w:eastAsia="Arial" w:hAnsi="Arial"/>
          <w:sz w:val="18"/>
          <w:szCs w:val="18"/>
          <w:b w:val="1"/>
          <w:bCs w:val="1"/>
          <w:color w:val="auto"/>
        </w:rPr>
        <w:t xml:space="preserve"> </w:t>
      </w:r>
      <w:r>
        <w:rPr>
          <w:rFonts w:ascii="Arial" w:cs="Arial" w:eastAsia="Arial" w:hAnsi="Arial"/>
          <w:sz w:val="18"/>
          <w:szCs w:val="18"/>
          <w:color w:val="auto"/>
        </w:rPr>
        <w:t>Company’s SERP. The Company also eliminated the accrual of pension benefits for all Cable ONE employees related to their future service. As a result of the spin-off of Cable ONE, the Company remeasured the accumulated and projected benefit obligation of the pension plan and SERP as of July 1, 2015, and recorded curtailment and settlement gains. The new measurement basis was used for the recognition of the SERP cost recorded in the third quarter of 2015 and the pension benefit recorded for the first two months of the third quarter of 2015. The curtailment gain on the spin-off of Cable ONE is included in income from discontinued operations, net of tax. The settlement gain on the spin-off of Cable ONE is included in the SERP liability distributed to Cable ONE (see Note 4).</w:t>
      </w:r>
    </w:p>
    <w:p>
      <w:pPr>
        <w:spacing w:after="0" w:line="115" w:lineRule="exact"/>
        <w:rPr>
          <w:sz w:val="20"/>
          <w:szCs w:val="20"/>
          <w:color w:val="auto"/>
        </w:rPr>
      </w:pPr>
    </w:p>
    <w:p>
      <w:pPr>
        <w:ind w:right="20"/>
        <w:spacing w:after="0" w:line="228" w:lineRule="auto"/>
        <w:rPr>
          <w:sz w:val="20"/>
          <w:szCs w:val="20"/>
          <w:color w:val="auto"/>
        </w:rPr>
      </w:pPr>
      <w:r>
        <w:rPr>
          <w:rFonts w:ascii="Arial" w:cs="Arial" w:eastAsia="Arial" w:hAnsi="Arial"/>
          <w:sz w:val="18"/>
          <w:szCs w:val="18"/>
          <w:b w:val="1"/>
          <w:bCs w:val="1"/>
          <w:color w:val="auto"/>
        </w:rPr>
        <w:t xml:space="preserve">KHE Campuses Sale. </w:t>
      </w:r>
      <w:r>
        <w:rPr>
          <w:rFonts w:ascii="Arial" w:cs="Arial" w:eastAsia="Arial" w:hAnsi="Arial"/>
          <w:sz w:val="18"/>
          <w:szCs w:val="18"/>
          <w:color w:val="auto"/>
        </w:rPr>
        <w:t>On September 3, 2015, the Company eliminated the accrual of pension benefits for almost all of the KHE Campuses</w:t>
      </w:r>
      <w:r>
        <w:rPr>
          <w:rFonts w:ascii="Arial" w:cs="Arial" w:eastAsia="Arial" w:hAnsi="Arial"/>
          <w:sz w:val="18"/>
          <w:szCs w:val="18"/>
          <w:b w:val="1"/>
          <w:bCs w:val="1"/>
          <w:color w:val="auto"/>
        </w:rPr>
        <w:t xml:space="preserve"> </w:t>
      </w:r>
      <w:r>
        <w:rPr>
          <w:rFonts w:ascii="Arial" w:cs="Arial" w:eastAsia="Arial" w:hAnsi="Arial"/>
          <w:sz w:val="18"/>
          <w:szCs w:val="18"/>
          <w:color w:val="auto"/>
        </w:rPr>
        <w:t>employees related to their future service. As a result, the Company remeasured the accumulated and projected benefit obligation of the pension plan as of September 3, 2015, and the Company recorded a curtailment gain in the third quarter of 2015. The new measurement basis was used for the recognition of the Company’s pension benefit beginning in September 2015. The curtailment gain on the sale of the KHE Campuses is included in the loss on the sale of the KHE Campuses and reported in other income (expense), net in the Consolidated Statement of Operations.</w:t>
      </w:r>
    </w:p>
    <w:p>
      <w:pPr>
        <w:spacing w:after="0" w:line="117" w:lineRule="exact"/>
        <w:rPr>
          <w:sz w:val="20"/>
          <w:szCs w:val="20"/>
          <w:color w:val="auto"/>
        </w:rPr>
      </w:pPr>
    </w:p>
    <w:p>
      <w:pPr>
        <w:ind w:right="720"/>
        <w:spacing w:after="0" w:line="256" w:lineRule="auto"/>
        <w:rPr>
          <w:sz w:val="20"/>
          <w:szCs w:val="20"/>
          <w:color w:val="auto"/>
        </w:rPr>
      </w:pPr>
      <w:r>
        <w:rPr>
          <w:rFonts w:ascii="Arial" w:cs="Arial" w:eastAsia="Arial" w:hAnsi="Arial"/>
          <w:sz w:val="18"/>
          <w:szCs w:val="18"/>
          <w:b w:val="1"/>
          <w:bCs w:val="1"/>
          <w:color w:val="auto"/>
        </w:rPr>
        <w:t xml:space="preserve">Defined Benefit Plans. </w:t>
      </w:r>
      <w:r>
        <w:rPr>
          <w:rFonts w:ascii="Arial" w:cs="Arial" w:eastAsia="Arial" w:hAnsi="Arial"/>
          <w:sz w:val="18"/>
          <w:szCs w:val="18"/>
          <w:color w:val="auto"/>
        </w:rPr>
        <w:t>The Company’s defined benefit pension plans consist of various pension plans and a SERP offered to certain</w:t>
      </w:r>
      <w:r>
        <w:rPr>
          <w:rFonts w:ascii="Arial" w:cs="Arial" w:eastAsia="Arial" w:hAnsi="Arial"/>
          <w:sz w:val="18"/>
          <w:szCs w:val="18"/>
          <w:b w:val="1"/>
          <w:bCs w:val="1"/>
          <w:color w:val="auto"/>
        </w:rPr>
        <w:t xml:space="preserve"> </w:t>
      </w:r>
      <w:r>
        <w:rPr>
          <w:rFonts w:ascii="Arial" w:cs="Arial" w:eastAsia="Arial" w:hAnsi="Arial"/>
          <w:sz w:val="18"/>
          <w:szCs w:val="18"/>
          <w:color w:val="auto"/>
        </w:rPr>
        <w:t>executives of the Company.</w:t>
      </w:r>
    </w:p>
    <w:p>
      <w:pPr>
        <w:spacing w:after="0" w:line="121" w:lineRule="exact"/>
        <w:rPr>
          <w:sz w:val="20"/>
          <w:szCs w:val="20"/>
          <w:color w:val="auto"/>
        </w:rPr>
      </w:pPr>
    </w:p>
    <w:p>
      <w:pPr>
        <w:ind w:right="120"/>
        <w:spacing w:after="0" w:line="229" w:lineRule="auto"/>
        <w:rPr>
          <w:sz w:val="20"/>
          <w:szCs w:val="20"/>
          <w:color w:val="auto"/>
        </w:rPr>
      </w:pPr>
      <w:r>
        <w:rPr>
          <w:rFonts w:ascii="Arial" w:cs="Arial" w:eastAsia="Arial" w:hAnsi="Arial"/>
          <w:sz w:val="18"/>
          <w:szCs w:val="18"/>
          <w:color w:val="auto"/>
        </w:rPr>
        <w:t>In the fourth quarter of 2017, the Company recorded $0.9 million related to a Separation Incentive Program for certain Kaplan employees, which was funded from the assets of the Company’s pension plan. In the third quarter of 2017, the Company recorded $0.9 million related to a Separation Incentive Program for certain Forney employees, which was funded from the assets of the Company’s pension plan.</w:t>
      </w:r>
    </w:p>
    <w:p>
      <w:pPr>
        <w:spacing w:after="0" w:line="137" w:lineRule="exact"/>
        <w:rPr>
          <w:sz w:val="20"/>
          <w:szCs w:val="20"/>
          <w:color w:val="auto"/>
        </w:rPr>
      </w:pPr>
    </w:p>
    <w:p>
      <w:pPr>
        <w:ind w:right="300"/>
        <w:spacing w:after="0" w:line="227" w:lineRule="auto"/>
        <w:rPr>
          <w:sz w:val="20"/>
          <w:szCs w:val="20"/>
          <w:color w:val="auto"/>
        </w:rPr>
      </w:pPr>
      <w:r>
        <w:rPr>
          <w:rFonts w:ascii="Arial" w:cs="Arial" w:eastAsia="Arial" w:hAnsi="Arial"/>
          <w:sz w:val="18"/>
          <w:szCs w:val="18"/>
          <w:color w:val="auto"/>
        </w:rPr>
        <w:t>In the fourth quarter of 2016, the Company offered certain terminated participants with a vested pension benefit an opportunity to take their benefits in the form of a lump sum or an annuity. Most of the participants that elected a lump sum benefit under the program were paid in December 2016. Additional lump sum payments were paid in early 2017. The Company recorded an $18.0 million settlement gain related to the bulk lump sum pension program offering.</w:t>
      </w:r>
    </w:p>
    <w:p>
      <w:pPr>
        <w:spacing w:after="0" w:line="135" w:lineRule="exact"/>
        <w:rPr>
          <w:sz w:val="20"/>
          <w:szCs w:val="20"/>
          <w:color w:val="auto"/>
        </w:rPr>
      </w:pPr>
    </w:p>
    <w:p>
      <w:pPr>
        <w:spacing w:after="0" w:line="229" w:lineRule="auto"/>
        <w:rPr>
          <w:sz w:val="20"/>
          <w:szCs w:val="20"/>
          <w:color w:val="auto"/>
        </w:rPr>
      </w:pPr>
      <w:r>
        <w:rPr>
          <w:rFonts w:ascii="Arial" w:cs="Arial" w:eastAsia="Arial" w:hAnsi="Arial"/>
          <w:sz w:val="18"/>
          <w:szCs w:val="18"/>
          <w:color w:val="auto"/>
        </w:rPr>
        <w:t>In the fourth quarter of 2015, the Company recorded $0.9 million related to a Special Incentive Program for certain Corporate employees, which was funded from the assets of the Company’s pension plan. In the third quarter of 2015, the Company recorded $3.7 million related to a Special Incentive Program for certain Kaplan employees, which was funded from the assets of the Company’s pension plan.</w:t>
      </w:r>
    </w:p>
    <w:p>
      <w:pPr>
        <w:spacing w:after="0" w:line="200" w:lineRule="exact"/>
        <w:rPr>
          <w:sz w:val="20"/>
          <w:szCs w:val="20"/>
          <w:color w:val="auto"/>
        </w:rPr>
      </w:pPr>
    </w:p>
    <w:p>
      <w:pPr>
        <w:spacing w:after="0" w:line="30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103</w:t>
      </w:r>
    </w:p>
    <w:p>
      <w:pPr>
        <w:sectPr>
          <w:pgSz w:w="11900" w:h="16838" w:orient="portrait"/>
          <w:cols w:equalWidth="0" w:num="1">
            <w:col w:w="11420"/>
          </w:cols>
          <w:pgMar w:left="240" w:top="724" w:right="239" w:bottom="1440" w:gutter="0" w:footer="0" w:header="0"/>
        </w:sectPr>
      </w:pPr>
    </w:p>
    <w:bookmarkStart w:id="106" w:name="page107"/>
    <w:bookmarkEnd w:id="106"/>
    <w:p>
      <w:pPr>
        <w:spacing w:after="0"/>
        <w:rPr>
          <w:sz w:val="20"/>
          <w:szCs w:val="20"/>
          <w:color w:val="auto"/>
        </w:rPr>
      </w:pPr>
      <w:r>
        <w:rPr>
          <w:rFonts w:ascii="Arial" w:cs="Arial" w:eastAsia="Arial" w:hAnsi="Arial"/>
          <w:sz w:val="18"/>
          <w:szCs w:val="18"/>
          <w:color w:val="auto"/>
        </w:rPr>
        <w:t>The following table sets forth obligation, asset and funding information for the Company’s defined benefit pension plans:</w:t>
      </w:r>
    </w:p>
    <w:p>
      <w:pPr>
        <w:spacing w:after="0" w:line="199"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902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2180" w:type="dxa"/>
            <w:vAlign w:val="bottom"/>
            <w:tcBorders>
              <w:bottom w:val="single" w:sz="8" w:color="auto"/>
            </w:tcBorders>
            <w:gridSpan w:val="3"/>
          </w:tcPr>
          <w:p>
            <w:pPr>
              <w:jc w:val="center"/>
              <w:ind w:right="100"/>
              <w:spacing w:after="0"/>
              <w:rPr>
                <w:sz w:val="20"/>
                <w:szCs w:val="20"/>
                <w:color w:val="auto"/>
              </w:rPr>
            </w:pPr>
            <w:r>
              <w:rPr>
                <w:rFonts w:ascii="Arial" w:cs="Arial" w:eastAsia="Arial" w:hAnsi="Arial"/>
                <w:sz w:val="14"/>
                <w:szCs w:val="14"/>
                <w:b w:val="1"/>
                <w:bCs w:val="1"/>
                <w:color w:val="auto"/>
              </w:rPr>
              <w:t>Pension Plans</w:t>
            </w:r>
          </w:p>
        </w:tc>
      </w:tr>
      <w:tr>
        <w:trPr>
          <w:trHeight w:val="250"/>
        </w:trPr>
        <w:tc>
          <w:tcPr>
            <w:tcW w:w="9020" w:type="dxa"/>
            <w:vAlign w:val="bottom"/>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2180" w:type="dxa"/>
            <w:vAlign w:val="bottom"/>
            <w:tcBorders>
              <w:bottom w:val="single" w:sz="8" w:color="auto"/>
            </w:tcBorders>
            <w:gridSpan w:val="3"/>
          </w:tcPr>
          <w:p>
            <w:pPr>
              <w:jc w:val="center"/>
              <w:ind w:right="100"/>
              <w:spacing w:after="0"/>
              <w:rPr>
                <w:sz w:val="20"/>
                <w:szCs w:val="20"/>
                <w:color w:val="auto"/>
              </w:rPr>
            </w:pPr>
            <w:r>
              <w:rPr>
                <w:rFonts w:ascii="Arial" w:cs="Arial" w:eastAsia="Arial" w:hAnsi="Arial"/>
                <w:sz w:val="14"/>
                <w:szCs w:val="14"/>
                <w:b w:val="1"/>
                <w:bCs w:val="1"/>
                <w:color w:val="auto"/>
              </w:rPr>
              <w:t>As of December 31</w:t>
            </w:r>
          </w:p>
        </w:tc>
      </w:tr>
      <w:tr>
        <w:trPr>
          <w:trHeight w:val="264"/>
        </w:trPr>
        <w:tc>
          <w:tcPr>
            <w:tcW w:w="902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(in thousands)</w:t>
            </w:r>
          </w:p>
        </w:tc>
        <w:tc>
          <w:tcPr>
            <w:tcW w:w="22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ind w:right="381"/>
              <w:spacing w:after="0"/>
              <w:rPr>
                <w:sz w:val="20"/>
                <w:szCs w:val="20"/>
                <w:color w:val="auto"/>
              </w:rPr>
            </w:pPr>
            <w:r>
              <w:rPr>
                <w:rFonts w:ascii="Arial" w:cs="Arial" w:eastAsia="Arial" w:hAnsi="Arial"/>
                <w:sz w:val="14"/>
                <w:szCs w:val="14"/>
                <w:b w:val="1"/>
                <w:bCs w:val="1"/>
                <w:color w:val="auto"/>
              </w:rPr>
              <w:t>2017</w:t>
            </w:r>
          </w:p>
        </w:tc>
        <w:tc>
          <w:tcPr>
            <w:tcW w:w="30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ind w:right="320"/>
              <w:spacing w:after="0"/>
              <w:rPr>
                <w:sz w:val="20"/>
                <w:szCs w:val="20"/>
                <w:color w:val="auto"/>
              </w:rPr>
            </w:pPr>
            <w:r>
              <w:rPr>
                <w:rFonts w:ascii="Arial" w:cs="Arial" w:eastAsia="Arial" w:hAnsi="Arial"/>
                <w:sz w:val="14"/>
                <w:szCs w:val="14"/>
                <w:color w:val="auto"/>
              </w:rPr>
              <w:t>2016</w:t>
            </w:r>
          </w:p>
        </w:tc>
      </w:tr>
      <w:tr>
        <w:trPr>
          <w:trHeight w:val="250"/>
        </w:trPr>
        <w:tc>
          <w:tcPr>
            <w:tcW w:w="9020" w:type="dxa"/>
            <w:vAlign w:val="bottom"/>
          </w:tcPr>
          <w:p>
            <w:pPr>
              <w:ind w:left="40"/>
              <w:spacing w:after="0"/>
              <w:rPr>
                <w:sz w:val="20"/>
                <w:szCs w:val="20"/>
                <w:color w:val="auto"/>
              </w:rPr>
            </w:pPr>
            <w:r>
              <w:rPr>
                <w:rFonts w:ascii="Arial" w:cs="Arial" w:eastAsia="Arial" w:hAnsi="Arial"/>
                <w:sz w:val="16"/>
                <w:szCs w:val="16"/>
                <w:b w:val="1"/>
                <w:bCs w:val="1"/>
                <w:color w:val="auto"/>
              </w:rPr>
              <w:t>Change in Benefit Obligation</w:t>
            </w:r>
          </w:p>
        </w:tc>
        <w:tc>
          <w:tcPr>
            <w:tcW w:w="22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00" w:type="dxa"/>
            <w:vAlign w:val="bottom"/>
          </w:tcPr>
          <w:p>
            <w:pPr>
              <w:spacing w:after="0"/>
              <w:rPr>
                <w:sz w:val="21"/>
                <w:szCs w:val="21"/>
                <w:color w:val="auto"/>
              </w:rPr>
            </w:pPr>
          </w:p>
        </w:tc>
      </w:tr>
      <w:tr>
        <w:trPr>
          <w:trHeight w:val="270"/>
        </w:trPr>
        <w:tc>
          <w:tcPr>
            <w:tcW w:w="9020" w:type="dxa"/>
            <w:vAlign w:val="bottom"/>
          </w:tcPr>
          <w:p>
            <w:pPr>
              <w:ind w:left="40"/>
              <w:spacing w:after="0"/>
              <w:rPr>
                <w:sz w:val="20"/>
                <w:szCs w:val="20"/>
                <w:color w:val="auto"/>
              </w:rPr>
            </w:pPr>
            <w:r>
              <w:rPr>
                <w:rFonts w:ascii="Arial" w:cs="Arial" w:eastAsia="Arial" w:hAnsi="Arial"/>
                <w:sz w:val="16"/>
                <w:szCs w:val="16"/>
                <w:color w:val="auto"/>
              </w:rPr>
              <w:t>Benefit obligation at beginning of year</w:t>
            </w:r>
          </w:p>
        </w:tc>
        <w:tc>
          <w:tcPr>
            <w:tcW w:w="220" w:type="dxa"/>
            <w:vAlign w:val="bottom"/>
          </w:tcPr>
          <w:p>
            <w:pPr>
              <w:jc w:val="right"/>
              <w:ind w:right="19"/>
              <w:spacing w:after="0"/>
              <w:rPr>
                <w:sz w:val="20"/>
                <w:szCs w:val="20"/>
                <w:color w:val="auto"/>
              </w:rPr>
            </w:pPr>
            <w:r>
              <w:rPr>
                <w:rFonts w:ascii="Arial" w:cs="Arial" w:eastAsia="Arial" w:hAnsi="Arial"/>
                <w:sz w:val="16"/>
                <w:szCs w:val="16"/>
                <w:b w:val="1"/>
                <w:bCs w:val="1"/>
                <w:color w:val="auto"/>
              </w:rPr>
              <w:t>$</w:t>
            </w:r>
          </w:p>
        </w:tc>
        <w:tc>
          <w:tcPr>
            <w:tcW w:w="980" w:type="dxa"/>
            <w:vAlign w:val="bottom"/>
          </w:tcPr>
          <w:p>
            <w:pPr>
              <w:jc w:val="right"/>
              <w:ind w:right="81"/>
              <w:spacing w:after="0"/>
              <w:rPr>
                <w:sz w:val="20"/>
                <w:szCs w:val="20"/>
                <w:color w:val="auto"/>
              </w:rPr>
            </w:pPr>
            <w:r>
              <w:rPr>
                <w:rFonts w:ascii="Arial" w:cs="Arial" w:eastAsia="Arial" w:hAnsi="Arial"/>
                <w:sz w:val="16"/>
                <w:szCs w:val="16"/>
                <w:b w:val="1"/>
                <w:bCs w:val="1"/>
                <w:color w:val="auto"/>
              </w:rPr>
              <w:t>1,160,897</w:t>
            </w:r>
          </w:p>
        </w:tc>
        <w:tc>
          <w:tcPr>
            <w:tcW w:w="30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900" w:type="dxa"/>
            <w:vAlign w:val="bottom"/>
          </w:tcPr>
          <w:p>
            <w:pPr>
              <w:jc w:val="right"/>
              <w:ind w:right="20"/>
              <w:spacing w:after="0"/>
              <w:rPr>
                <w:sz w:val="20"/>
                <w:szCs w:val="20"/>
                <w:color w:val="auto"/>
              </w:rPr>
            </w:pPr>
            <w:r>
              <w:rPr>
                <w:rFonts w:ascii="Arial" w:cs="Arial" w:eastAsia="Arial" w:hAnsi="Arial"/>
                <w:sz w:val="16"/>
                <w:szCs w:val="16"/>
                <w:color w:val="auto"/>
              </w:rPr>
              <w:t>1,254,298</w:t>
            </w:r>
          </w:p>
        </w:tc>
      </w:tr>
      <w:tr>
        <w:trPr>
          <w:trHeight w:val="270"/>
        </w:trPr>
        <w:tc>
          <w:tcPr>
            <w:tcW w:w="9020" w:type="dxa"/>
            <w:vAlign w:val="bottom"/>
          </w:tcPr>
          <w:p>
            <w:pPr>
              <w:ind w:left="40"/>
              <w:spacing w:after="0"/>
              <w:rPr>
                <w:sz w:val="20"/>
                <w:szCs w:val="20"/>
                <w:color w:val="auto"/>
              </w:rPr>
            </w:pPr>
            <w:r>
              <w:rPr>
                <w:rFonts w:ascii="Arial" w:cs="Arial" w:eastAsia="Arial" w:hAnsi="Arial"/>
                <w:sz w:val="16"/>
                <w:szCs w:val="16"/>
                <w:color w:val="auto"/>
              </w:rPr>
              <w:t>Service cost</w:t>
            </w:r>
          </w:p>
        </w:tc>
        <w:tc>
          <w:tcPr>
            <w:tcW w:w="220" w:type="dxa"/>
            <w:vAlign w:val="bottom"/>
          </w:tcPr>
          <w:p>
            <w:pPr>
              <w:spacing w:after="0"/>
              <w:rPr>
                <w:sz w:val="23"/>
                <w:szCs w:val="23"/>
                <w:color w:val="auto"/>
              </w:rPr>
            </w:pPr>
          </w:p>
        </w:tc>
        <w:tc>
          <w:tcPr>
            <w:tcW w:w="980" w:type="dxa"/>
            <w:vAlign w:val="bottom"/>
          </w:tcPr>
          <w:p>
            <w:pPr>
              <w:jc w:val="right"/>
              <w:ind w:right="81"/>
              <w:spacing w:after="0"/>
              <w:rPr>
                <w:sz w:val="20"/>
                <w:szCs w:val="20"/>
                <w:color w:val="auto"/>
              </w:rPr>
            </w:pPr>
            <w:r>
              <w:rPr>
                <w:rFonts w:ascii="Arial" w:cs="Arial" w:eastAsia="Arial" w:hAnsi="Arial"/>
                <w:sz w:val="16"/>
                <w:szCs w:val="16"/>
                <w:b w:val="1"/>
                <w:bCs w:val="1"/>
                <w:color w:val="auto"/>
              </w:rPr>
              <w:t>18,687</w:t>
            </w:r>
          </w:p>
        </w:tc>
        <w:tc>
          <w:tcPr>
            <w:tcW w:w="300" w:type="dxa"/>
            <w:vAlign w:val="bottom"/>
          </w:tcPr>
          <w:p>
            <w:pPr>
              <w:spacing w:after="0"/>
              <w:rPr>
                <w:sz w:val="23"/>
                <w:szCs w:val="23"/>
                <w:color w:val="auto"/>
              </w:rPr>
            </w:pPr>
          </w:p>
        </w:tc>
        <w:tc>
          <w:tcPr>
            <w:tcW w:w="900" w:type="dxa"/>
            <w:vAlign w:val="bottom"/>
          </w:tcPr>
          <w:p>
            <w:pPr>
              <w:jc w:val="right"/>
              <w:ind w:right="20"/>
              <w:spacing w:after="0"/>
              <w:rPr>
                <w:sz w:val="20"/>
                <w:szCs w:val="20"/>
                <w:color w:val="auto"/>
              </w:rPr>
            </w:pPr>
            <w:r>
              <w:rPr>
                <w:rFonts w:ascii="Arial" w:cs="Arial" w:eastAsia="Arial" w:hAnsi="Arial"/>
                <w:sz w:val="16"/>
                <w:szCs w:val="16"/>
                <w:color w:val="auto"/>
              </w:rPr>
              <w:t>20,461</w:t>
            </w:r>
          </w:p>
        </w:tc>
      </w:tr>
      <w:tr>
        <w:trPr>
          <w:trHeight w:val="270"/>
        </w:trPr>
        <w:tc>
          <w:tcPr>
            <w:tcW w:w="9020" w:type="dxa"/>
            <w:vAlign w:val="bottom"/>
          </w:tcPr>
          <w:p>
            <w:pPr>
              <w:ind w:left="40"/>
              <w:spacing w:after="0"/>
              <w:rPr>
                <w:sz w:val="20"/>
                <w:szCs w:val="20"/>
                <w:color w:val="auto"/>
              </w:rPr>
            </w:pPr>
            <w:r>
              <w:rPr>
                <w:rFonts w:ascii="Arial" w:cs="Arial" w:eastAsia="Arial" w:hAnsi="Arial"/>
                <w:sz w:val="16"/>
                <w:szCs w:val="16"/>
                <w:color w:val="auto"/>
              </w:rPr>
              <w:t>Interest cost</w:t>
            </w:r>
          </w:p>
        </w:tc>
        <w:tc>
          <w:tcPr>
            <w:tcW w:w="220" w:type="dxa"/>
            <w:vAlign w:val="bottom"/>
          </w:tcPr>
          <w:p>
            <w:pPr>
              <w:spacing w:after="0"/>
              <w:rPr>
                <w:sz w:val="23"/>
                <w:szCs w:val="23"/>
                <w:color w:val="auto"/>
              </w:rPr>
            </w:pPr>
          </w:p>
        </w:tc>
        <w:tc>
          <w:tcPr>
            <w:tcW w:w="980" w:type="dxa"/>
            <w:vAlign w:val="bottom"/>
          </w:tcPr>
          <w:p>
            <w:pPr>
              <w:jc w:val="right"/>
              <w:ind w:right="81"/>
              <w:spacing w:after="0"/>
              <w:rPr>
                <w:sz w:val="20"/>
                <w:szCs w:val="20"/>
                <w:color w:val="auto"/>
              </w:rPr>
            </w:pPr>
            <w:r>
              <w:rPr>
                <w:rFonts w:ascii="Arial" w:cs="Arial" w:eastAsia="Arial" w:hAnsi="Arial"/>
                <w:sz w:val="16"/>
                <w:szCs w:val="16"/>
                <w:b w:val="1"/>
                <w:bCs w:val="1"/>
                <w:color w:val="auto"/>
              </w:rPr>
              <w:t>47,925</w:t>
            </w:r>
          </w:p>
        </w:tc>
        <w:tc>
          <w:tcPr>
            <w:tcW w:w="300" w:type="dxa"/>
            <w:vAlign w:val="bottom"/>
          </w:tcPr>
          <w:p>
            <w:pPr>
              <w:spacing w:after="0"/>
              <w:rPr>
                <w:sz w:val="23"/>
                <w:szCs w:val="23"/>
                <w:color w:val="auto"/>
              </w:rPr>
            </w:pPr>
          </w:p>
        </w:tc>
        <w:tc>
          <w:tcPr>
            <w:tcW w:w="900" w:type="dxa"/>
            <w:vAlign w:val="bottom"/>
          </w:tcPr>
          <w:p>
            <w:pPr>
              <w:jc w:val="right"/>
              <w:ind w:right="20"/>
              <w:spacing w:after="0"/>
              <w:rPr>
                <w:sz w:val="20"/>
                <w:szCs w:val="20"/>
                <w:color w:val="auto"/>
              </w:rPr>
            </w:pPr>
            <w:r>
              <w:rPr>
                <w:rFonts w:ascii="Arial" w:cs="Arial" w:eastAsia="Arial" w:hAnsi="Arial"/>
                <w:sz w:val="16"/>
                <w:szCs w:val="16"/>
                <w:color w:val="auto"/>
              </w:rPr>
              <w:t>51,608</w:t>
            </w:r>
          </w:p>
        </w:tc>
      </w:tr>
      <w:tr>
        <w:trPr>
          <w:trHeight w:val="270"/>
        </w:trPr>
        <w:tc>
          <w:tcPr>
            <w:tcW w:w="9020" w:type="dxa"/>
            <w:vAlign w:val="bottom"/>
          </w:tcPr>
          <w:p>
            <w:pPr>
              <w:ind w:left="40"/>
              <w:spacing w:after="0"/>
              <w:rPr>
                <w:sz w:val="20"/>
                <w:szCs w:val="20"/>
                <w:color w:val="auto"/>
              </w:rPr>
            </w:pPr>
            <w:r>
              <w:rPr>
                <w:rFonts w:ascii="Arial" w:cs="Arial" w:eastAsia="Arial" w:hAnsi="Arial"/>
                <w:sz w:val="16"/>
                <w:szCs w:val="16"/>
                <w:color w:val="auto"/>
              </w:rPr>
              <w:t>Amendments</w:t>
            </w:r>
          </w:p>
        </w:tc>
        <w:tc>
          <w:tcPr>
            <w:tcW w:w="220" w:type="dxa"/>
            <w:vAlign w:val="bottom"/>
          </w:tcPr>
          <w:p>
            <w:pPr>
              <w:spacing w:after="0"/>
              <w:rPr>
                <w:sz w:val="23"/>
                <w:szCs w:val="23"/>
                <w:color w:val="auto"/>
              </w:rPr>
            </w:pPr>
          </w:p>
        </w:tc>
        <w:tc>
          <w:tcPr>
            <w:tcW w:w="980" w:type="dxa"/>
            <w:vAlign w:val="bottom"/>
          </w:tcPr>
          <w:p>
            <w:pPr>
              <w:jc w:val="right"/>
              <w:ind w:right="81"/>
              <w:spacing w:after="0"/>
              <w:rPr>
                <w:sz w:val="20"/>
                <w:szCs w:val="20"/>
                <w:color w:val="auto"/>
              </w:rPr>
            </w:pPr>
            <w:r>
              <w:rPr>
                <w:rFonts w:ascii="Arial" w:cs="Arial" w:eastAsia="Arial" w:hAnsi="Arial"/>
                <w:sz w:val="16"/>
                <w:szCs w:val="16"/>
                <w:b w:val="1"/>
                <w:bCs w:val="1"/>
                <w:color w:val="auto"/>
              </w:rPr>
              <w:t>75</w:t>
            </w:r>
          </w:p>
        </w:tc>
        <w:tc>
          <w:tcPr>
            <w:tcW w:w="300" w:type="dxa"/>
            <w:vAlign w:val="bottom"/>
          </w:tcPr>
          <w:p>
            <w:pPr>
              <w:spacing w:after="0"/>
              <w:rPr>
                <w:sz w:val="23"/>
                <w:szCs w:val="23"/>
                <w:color w:val="auto"/>
              </w:rPr>
            </w:pPr>
          </w:p>
        </w:tc>
        <w:tc>
          <w:tcPr>
            <w:tcW w:w="900" w:type="dxa"/>
            <w:vAlign w:val="bottom"/>
          </w:tcPr>
          <w:p>
            <w:pPr>
              <w:jc w:val="right"/>
              <w:ind w:right="20"/>
              <w:spacing w:after="0"/>
              <w:rPr>
                <w:sz w:val="20"/>
                <w:szCs w:val="20"/>
                <w:color w:val="auto"/>
              </w:rPr>
            </w:pPr>
            <w:r>
              <w:rPr>
                <w:rFonts w:ascii="Arial" w:cs="Arial" w:eastAsia="Arial" w:hAnsi="Arial"/>
                <w:sz w:val="16"/>
                <w:szCs w:val="16"/>
                <w:color w:val="auto"/>
              </w:rPr>
              <w:t>—</w:t>
            </w:r>
          </w:p>
        </w:tc>
      </w:tr>
      <w:tr>
        <w:trPr>
          <w:trHeight w:val="270"/>
        </w:trPr>
        <w:tc>
          <w:tcPr>
            <w:tcW w:w="9020" w:type="dxa"/>
            <w:vAlign w:val="bottom"/>
          </w:tcPr>
          <w:p>
            <w:pPr>
              <w:ind w:left="40"/>
              <w:spacing w:after="0"/>
              <w:rPr>
                <w:sz w:val="20"/>
                <w:szCs w:val="20"/>
                <w:color w:val="auto"/>
              </w:rPr>
            </w:pPr>
            <w:r>
              <w:rPr>
                <w:rFonts w:ascii="Arial" w:cs="Arial" w:eastAsia="Arial" w:hAnsi="Arial"/>
                <w:sz w:val="16"/>
                <w:szCs w:val="16"/>
                <w:color w:val="auto"/>
              </w:rPr>
              <w:t>Actuarial loss (gain)</w:t>
            </w:r>
          </w:p>
        </w:tc>
        <w:tc>
          <w:tcPr>
            <w:tcW w:w="220" w:type="dxa"/>
            <w:vAlign w:val="bottom"/>
          </w:tcPr>
          <w:p>
            <w:pPr>
              <w:spacing w:after="0"/>
              <w:rPr>
                <w:sz w:val="23"/>
                <w:szCs w:val="23"/>
                <w:color w:val="auto"/>
              </w:rPr>
            </w:pPr>
          </w:p>
        </w:tc>
        <w:tc>
          <w:tcPr>
            <w:tcW w:w="980" w:type="dxa"/>
            <w:vAlign w:val="bottom"/>
          </w:tcPr>
          <w:p>
            <w:pPr>
              <w:jc w:val="right"/>
              <w:ind w:right="81"/>
              <w:spacing w:after="0"/>
              <w:rPr>
                <w:sz w:val="20"/>
                <w:szCs w:val="20"/>
                <w:color w:val="auto"/>
              </w:rPr>
            </w:pPr>
            <w:r>
              <w:rPr>
                <w:rFonts w:ascii="Arial" w:cs="Arial" w:eastAsia="Arial" w:hAnsi="Arial"/>
                <w:sz w:val="16"/>
                <w:szCs w:val="16"/>
                <w:b w:val="1"/>
                <w:bCs w:val="1"/>
                <w:color w:val="auto"/>
              </w:rPr>
              <w:t>73,191</w:t>
            </w:r>
          </w:p>
        </w:tc>
        <w:tc>
          <w:tcPr>
            <w:tcW w:w="300" w:type="dxa"/>
            <w:vAlign w:val="bottom"/>
          </w:tcPr>
          <w:p>
            <w:pPr>
              <w:spacing w:after="0"/>
              <w:rPr>
                <w:sz w:val="23"/>
                <w:szCs w:val="23"/>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(32,203)</w:t>
            </w:r>
          </w:p>
        </w:tc>
      </w:tr>
      <w:tr>
        <w:trPr>
          <w:trHeight w:val="270"/>
        </w:trPr>
        <w:tc>
          <w:tcPr>
            <w:tcW w:w="9020" w:type="dxa"/>
            <w:vAlign w:val="bottom"/>
          </w:tcPr>
          <w:p>
            <w:pPr>
              <w:ind w:left="40"/>
              <w:spacing w:after="0"/>
              <w:rPr>
                <w:sz w:val="20"/>
                <w:szCs w:val="20"/>
                <w:color w:val="auto"/>
              </w:rPr>
            </w:pPr>
            <w:r>
              <w:rPr>
                <w:rFonts w:ascii="Arial" w:cs="Arial" w:eastAsia="Arial" w:hAnsi="Arial"/>
                <w:sz w:val="16"/>
                <w:szCs w:val="16"/>
                <w:color w:val="auto"/>
              </w:rPr>
              <w:t>Acquisitions</w:t>
            </w:r>
          </w:p>
        </w:tc>
        <w:tc>
          <w:tcPr>
            <w:tcW w:w="220" w:type="dxa"/>
            <w:vAlign w:val="bottom"/>
          </w:tcPr>
          <w:p>
            <w:pPr>
              <w:spacing w:after="0"/>
              <w:rPr>
                <w:sz w:val="23"/>
                <w:szCs w:val="23"/>
                <w:color w:val="auto"/>
              </w:rPr>
            </w:pPr>
          </w:p>
        </w:tc>
        <w:tc>
          <w:tcPr>
            <w:tcW w:w="980" w:type="dxa"/>
            <w:vAlign w:val="bottom"/>
          </w:tcPr>
          <w:p>
            <w:pPr>
              <w:jc w:val="right"/>
              <w:ind w:right="81"/>
              <w:spacing w:after="0"/>
              <w:rPr>
                <w:sz w:val="20"/>
                <w:szCs w:val="20"/>
                <w:color w:val="auto"/>
              </w:rPr>
            </w:pPr>
            <w:r>
              <w:rPr>
                <w:rFonts w:ascii="Arial" w:cs="Arial" w:eastAsia="Arial" w:hAnsi="Arial"/>
                <w:sz w:val="16"/>
                <w:szCs w:val="16"/>
                <w:b w:val="1"/>
                <w:bCs w:val="1"/>
                <w:color w:val="auto"/>
              </w:rPr>
              <w:t>58,600</w:t>
            </w:r>
          </w:p>
        </w:tc>
        <w:tc>
          <w:tcPr>
            <w:tcW w:w="300" w:type="dxa"/>
            <w:vAlign w:val="bottom"/>
          </w:tcPr>
          <w:p>
            <w:pPr>
              <w:spacing w:after="0"/>
              <w:rPr>
                <w:sz w:val="23"/>
                <w:szCs w:val="23"/>
                <w:color w:val="auto"/>
              </w:rPr>
            </w:pPr>
          </w:p>
        </w:tc>
        <w:tc>
          <w:tcPr>
            <w:tcW w:w="900" w:type="dxa"/>
            <w:vAlign w:val="bottom"/>
          </w:tcPr>
          <w:p>
            <w:pPr>
              <w:jc w:val="right"/>
              <w:ind w:right="20"/>
              <w:spacing w:after="0"/>
              <w:rPr>
                <w:sz w:val="20"/>
                <w:szCs w:val="20"/>
                <w:color w:val="auto"/>
              </w:rPr>
            </w:pPr>
            <w:r>
              <w:rPr>
                <w:rFonts w:ascii="Arial" w:cs="Arial" w:eastAsia="Arial" w:hAnsi="Arial"/>
                <w:sz w:val="16"/>
                <w:szCs w:val="16"/>
                <w:color w:val="auto"/>
              </w:rPr>
              <w:t>—</w:t>
            </w:r>
          </w:p>
        </w:tc>
      </w:tr>
      <w:tr>
        <w:trPr>
          <w:trHeight w:val="270"/>
        </w:trPr>
        <w:tc>
          <w:tcPr>
            <w:tcW w:w="9020" w:type="dxa"/>
            <w:vAlign w:val="bottom"/>
          </w:tcPr>
          <w:p>
            <w:pPr>
              <w:ind w:left="40"/>
              <w:spacing w:after="0"/>
              <w:rPr>
                <w:sz w:val="20"/>
                <w:szCs w:val="20"/>
                <w:color w:val="auto"/>
              </w:rPr>
            </w:pPr>
            <w:r>
              <w:rPr>
                <w:rFonts w:ascii="Arial" w:cs="Arial" w:eastAsia="Arial" w:hAnsi="Arial"/>
                <w:sz w:val="16"/>
                <w:szCs w:val="16"/>
                <w:color w:val="auto"/>
              </w:rPr>
              <w:t>Benefits paid</w:t>
            </w:r>
          </w:p>
        </w:tc>
        <w:tc>
          <w:tcPr>
            <w:tcW w:w="220" w:type="dxa"/>
            <w:vAlign w:val="bottom"/>
          </w:tcPr>
          <w:p>
            <w:pPr>
              <w:spacing w:after="0"/>
              <w:rPr>
                <w:sz w:val="23"/>
                <w:szCs w:val="23"/>
                <w:color w:val="auto"/>
              </w:rPr>
            </w:pPr>
          </w:p>
        </w:tc>
        <w:tc>
          <w:tcPr>
            <w:tcW w:w="980" w:type="dxa"/>
            <w:vAlign w:val="bottom"/>
          </w:tcPr>
          <w:p>
            <w:pPr>
              <w:jc w:val="right"/>
              <w:ind w:right="21"/>
              <w:spacing w:after="0"/>
              <w:rPr>
                <w:sz w:val="20"/>
                <w:szCs w:val="20"/>
                <w:color w:val="auto"/>
              </w:rPr>
            </w:pPr>
            <w:r>
              <w:rPr>
                <w:rFonts w:ascii="Arial" w:cs="Arial" w:eastAsia="Arial" w:hAnsi="Arial"/>
                <w:sz w:val="16"/>
                <w:szCs w:val="16"/>
                <w:b w:val="1"/>
                <w:bCs w:val="1"/>
                <w:color w:val="auto"/>
              </w:rPr>
              <w:t>(74,506)</w:t>
            </w:r>
          </w:p>
        </w:tc>
        <w:tc>
          <w:tcPr>
            <w:tcW w:w="300" w:type="dxa"/>
            <w:vAlign w:val="bottom"/>
          </w:tcPr>
          <w:p>
            <w:pPr>
              <w:spacing w:after="0"/>
              <w:rPr>
                <w:sz w:val="23"/>
                <w:szCs w:val="23"/>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(60,076)</w:t>
            </w:r>
          </w:p>
        </w:tc>
      </w:tr>
      <w:tr>
        <w:trPr>
          <w:trHeight w:val="270"/>
        </w:trPr>
        <w:tc>
          <w:tcPr>
            <w:tcW w:w="9020" w:type="dxa"/>
            <w:vAlign w:val="bottom"/>
          </w:tcPr>
          <w:p>
            <w:pPr>
              <w:ind w:left="40"/>
              <w:spacing w:after="0"/>
              <w:rPr>
                <w:sz w:val="20"/>
                <w:szCs w:val="20"/>
                <w:color w:val="auto"/>
              </w:rPr>
            </w:pPr>
            <w:r>
              <w:rPr>
                <w:rFonts w:ascii="Arial" w:cs="Arial" w:eastAsia="Arial" w:hAnsi="Arial"/>
                <w:sz w:val="16"/>
                <w:szCs w:val="16"/>
                <w:color w:val="auto"/>
              </w:rPr>
              <w:t>Special termination benefits</w:t>
            </w:r>
          </w:p>
        </w:tc>
        <w:tc>
          <w:tcPr>
            <w:tcW w:w="220" w:type="dxa"/>
            <w:vAlign w:val="bottom"/>
          </w:tcPr>
          <w:p>
            <w:pPr>
              <w:spacing w:after="0"/>
              <w:rPr>
                <w:sz w:val="23"/>
                <w:szCs w:val="23"/>
                <w:color w:val="auto"/>
              </w:rPr>
            </w:pPr>
          </w:p>
        </w:tc>
        <w:tc>
          <w:tcPr>
            <w:tcW w:w="980" w:type="dxa"/>
            <w:vAlign w:val="bottom"/>
          </w:tcPr>
          <w:p>
            <w:pPr>
              <w:jc w:val="right"/>
              <w:ind w:right="81"/>
              <w:spacing w:after="0"/>
              <w:rPr>
                <w:sz w:val="20"/>
                <w:szCs w:val="20"/>
                <w:color w:val="auto"/>
              </w:rPr>
            </w:pPr>
            <w:r>
              <w:rPr>
                <w:rFonts w:ascii="Arial" w:cs="Arial" w:eastAsia="Arial" w:hAnsi="Arial"/>
                <w:sz w:val="16"/>
                <w:szCs w:val="16"/>
                <w:b w:val="1"/>
                <w:bCs w:val="1"/>
                <w:color w:val="auto"/>
              </w:rPr>
              <w:t>1,825</w:t>
            </w:r>
          </w:p>
        </w:tc>
        <w:tc>
          <w:tcPr>
            <w:tcW w:w="300" w:type="dxa"/>
            <w:vAlign w:val="bottom"/>
          </w:tcPr>
          <w:p>
            <w:pPr>
              <w:spacing w:after="0"/>
              <w:rPr>
                <w:sz w:val="23"/>
                <w:szCs w:val="23"/>
                <w:color w:val="auto"/>
              </w:rPr>
            </w:pPr>
          </w:p>
        </w:tc>
        <w:tc>
          <w:tcPr>
            <w:tcW w:w="900" w:type="dxa"/>
            <w:vAlign w:val="bottom"/>
          </w:tcPr>
          <w:p>
            <w:pPr>
              <w:jc w:val="right"/>
              <w:ind w:right="20"/>
              <w:spacing w:after="0"/>
              <w:rPr>
                <w:sz w:val="20"/>
                <w:szCs w:val="20"/>
                <w:color w:val="auto"/>
              </w:rPr>
            </w:pPr>
            <w:r>
              <w:rPr>
                <w:rFonts w:ascii="Arial" w:cs="Arial" w:eastAsia="Arial" w:hAnsi="Arial"/>
                <w:sz w:val="16"/>
                <w:szCs w:val="16"/>
                <w:color w:val="auto"/>
              </w:rPr>
              <w:t>—</w:t>
            </w:r>
          </w:p>
        </w:tc>
      </w:tr>
      <w:tr>
        <w:trPr>
          <w:trHeight w:val="283"/>
        </w:trPr>
        <w:tc>
          <w:tcPr>
            <w:tcW w:w="9020" w:type="dxa"/>
            <w:vAlign w:val="bottom"/>
          </w:tcPr>
          <w:p>
            <w:pPr>
              <w:ind w:left="40"/>
              <w:spacing w:after="0"/>
              <w:rPr>
                <w:sz w:val="20"/>
                <w:szCs w:val="20"/>
                <w:color w:val="auto"/>
              </w:rPr>
            </w:pPr>
            <w:r>
              <w:rPr>
                <w:rFonts w:ascii="Arial" w:cs="Arial" w:eastAsia="Arial" w:hAnsi="Arial"/>
                <w:sz w:val="16"/>
                <w:szCs w:val="16"/>
                <w:color w:val="auto"/>
              </w:rPr>
              <w:t>Settlement</w:t>
            </w:r>
          </w:p>
        </w:tc>
        <w:tc>
          <w:tcPr>
            <w:tcW w:w="22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jc w:val="right"/>
              <w:ind w:right="81"/>
              <w:spacing w:after="0"/>
              <w:rPr>
                <w:sz w:val="20"/>
                <w:szCs w:val="20"/>
                <w:color w:val="auto"/>
              </w:rPr>
            </w:pPr>
            <w:r>
              <w:rPr>
                <w:rFonts w:ascii="Arial" w:cs="Arial" w:eastAsia="Arial" w:hAnsi="Arial"/>
                <w:sz w:val="16"/>
                <w:szCs w:val="16"/>
                <w:b w:val="1"/>
                <w:bCs w:val="1"/>
                <w:color w:val="auto"/>
              </w:rPr>
              <w:t>—</w:t>
            </w:r>
          </w:p>
        </w:tc>
        <w:tc>
          <w:tcPr>
            <w:tcW w:w="30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(73,191)</w:t>
            </w:r>
          </w:p>
        </w:tc>
      </w:tr>
      <w:tr>
        <w:trPr>
          <w:trHeight w:val="264"/>
        </w:trPr>
        <w:tc>
          <w:tcPr>
            <w:tcW w:w="9020" w:type="dxa"/>
            <w:vAlign w:val="bottom"/>
          </w:tcPr>
          <w:p>
            <w:pPr>
              <w:ind w:left="40"/>
              <w:spacing w:after="0"/>
              <w:rPr>
                <w:sz w:val="20"/>
                <w:szCs w:val="20"/>
                <w:color w:val="auto"/>
              </w:rPr>
            </w:pPr>
            <w:r>
              <w:rPr>
                <w:rFonts w:ascii="Arial" w:cs="Arial" w:eastAsia="Arial" w:hAnsi="Arial"/>
                <w:sz w:val="16"/>
                <w:szCs w:val="16"/>
                <w:b w:val="1"/>
                <w:bCs w:val="1"/>
                <w:color w:val="auto"/>
              </w:rPr>
              <w:t>Benefit Obligation at End of Year</w:t>
            </w:r>
          </w:p>
        </w:tc>
        <w:tc>
          <w:tcPr>
            <w:tcW w:w="2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b w:val="1"/>
                <w:bCs w:val="1"/>
                <w:color w:val="auto"/>
              </w:rPr>
              <w:t>$</w:t>
            </w:r>
          </w:p>
        </w:tc>
        <w:tc>
          <w:tcPr>
            <w:tcW w:w="980" w:type="dxa"/>
            <w:vAlign w:val="bottom"/>
            <w:tcBorders>
              <w:bottom w:val="single" w:sz="8" w:color="auto"/>
            </w:tcBorders>
          </w:tcPr>
          <w:p>
            <w:pPr>
              <w:jc w:val="right"/>
              <w:ind w:right="81"/>
              <w:spacing w:after="0"/>
              <w:rPr>
                <w:sz w:val="20"/>
                <w:szCs w:val="20"/>
                <w:color w:val="auto"/>
              </w:rPr>
            </w:pPr>
            <w:r>
              <w:rPr>
                <w:rFonts w:ascii="Arial" w:cs="Arial" w:eastAsia="Arial" w:hAnsi="Arial"/>
                <w:sz w:val="16"/>
                <w:szCs w:val="16"/>
                <w:b w:val="1"/>
                <w:bCs w:val="1"/>
                <w:color w:val="auto"/>
              </w:rPr>
              <w:t>1,286,694</w:t>
            </w:r>
          </w:p>
        </w:tc>
        <w:tc>
          <w:tcPr>
            <w:tcW w:w="30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90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1,160,897</w:t>
            </w:r>
          </w:p>
        </w:tc>
      </w:tr>
      <w:tr>
        <w:trPr>
          <w:trHeight w:val="251"/>
        </w:trPr>
        <w:tc>
          <w:tcPr>
            <w:tcW w:w="9020" w:type="dxa"/>
            <w:vAlign w:val="bottom"/>
          </w:tcPr>
          <w:p>
            <w:pPr>
              <w:ind w:left="40"/>
              <w:spacing w:after="0"/>
              <w:rPr>
                <w:sz w:val="20"/>
                <w:szCs w:val="20"/>
                <w:color w:val="auto"/>
              </w:rPr>
            </w:pPr>
            <w:r>
              <w:rPr>
                <w:rFonts w:ascii="Arial" w:cs="Arial" w:eastAsia="Arial" w:hAnsi="Arial"/>
                <w:sz w:val="16"/>
                <w:szCs w:val="16"/>
                <w:b w:val="1"/>
                <w:bCs w:val="1"/>
                <w:color w:val="auto"/>
              </w:rPr>
              <w:t>Change in Plan Assets</w:t>
            </w:r>
          </w:p>
        </w:tc>
        <w:tc>
          <w:tcPr>
            <w:tcW w:w="22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00" w:type="dxa"/>
            <w:vAlign w:val="bottom"/>
          </w:tcPr>
          <w:p>
            <w:pPr>
              <w:spacing w:after="0"/>
              <w:rPr>
                <w:sz w:val="21"/>
                <w:szCs w:val="21"/>
                <w:color w:val="auto"/>
              </w:rPr>
            </w:pPr>
          </w:p>
        </w:tc>
      </w:tr>
      <w:tr>
        <w:trPr>
          <w:trHeight w:val="270"/>
        </w:trPr>
        <w:tc>
          <w:tcPr>
            <w:tcW w:w="9020" w:type="dxa"/>
            <w:vAlign w:val="bottom"/>
          </w:tcPr>
          <w:p>
            <w:pPr>
              <w:ind w:left="40"/>
              <w:spacing w:after="0"/>
              <w:rPr>
                <w:sz w:val="20"/>
                <w:szCs w:val="20"/>
                <w:color w:val="auto"/>
              </w:rPr>
            </w:pPr>
            <w:r>
              <w:rPr>
                <w:rFonts w:ascii="Arial" w:cs="Arial" w:eastAsia="Arial" w:hAnsi="Arial"/>
                <w:sz w:val="16"/>
                <w:szCs w:val="16"/>
                <w:color w:val="auto"/>
              </w:rPr>
              <w:t>Fair value of assets at beginning of year</w:t>
            </w:r>
          </w:p>
        </w:tc>
        <w:tc>
          <w:tcPr>
            <w:tcW w:w="220" w:type="dxa"/>
            <w:vAlign w:val="bottom"/>
          </w:tcPr>
          <w:p>
            <w:pPr>
              <w:jc w:val="right"/>
              <w:ind w:right="19"/>
              <w:spacing w:after="0"/>
              <w:rPr>
                <w:sz w:val="20"/>
                <w:szCs w:val="20"/>
                <w:color w:val="auto"/>
              </w:rPr>
            </w:pPr>
            <w:r>
              <w:rPr>
                <w:rFonts w:ascii="Arial" w:cs="Arial" w:eastAsia="Arial" w:hAnsi="Arial"/>
                <w:sz w:val="16"/>
                <w:szCs w:val="16"/>
                <w:b w:val="1"/>
                <w:bCs w:val="1"/>
                <w:color w:val="auto"/>
              </w:rPr>
              <w:t>$</w:t>
            </w:r>
          </w:p>
        </w:tc>
        <w:tc>
          <w:tcPr>
            <w:tcW w:w="980" w:type="dxa"/>
            <w:vAlign w:val="bottom"/>
          </w:tcPr>
          <w:p>
            <w:pPr>
              <w:jc w:val="right"/>
              <w:ind w:right="81"/>
              <w:spacing w:after="0"/>
              <w:rPr>
                <w:sz w:val="20"/>
                <w:szCs w:val="20"/>
                <w:color w:val="auto"/>
              </w:rPr>
            </w:pPr>
            <w:r>
              <w:rPr>
                <w:rFonts w:ascii="Arial" w:cs="Arial" w:eastAsia="Arial" w:hAnsi="Arial"/>
                <w:sz w:val="16"/>
                <w:szCs w:val="16"/>
                <w:b w:val="1"/>
                <w:bCs w:val="1"/>
                <w:color w:val="auto"/>
              </w:rPr>
              <w:t>2,042,490</w:t>
            </w:r>
          </w:p>
        </w:tc>
        <w:tc>
          <w:tcPr>
            <w:tcW w:w="30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900" w:type="dxa"/>
            <w:vAlign w:val="bottom"/>
          </w:tcPr>
          <w:p>
            <w:pPr>
              <w:jc w:val="right"/>
              <w:ind w:right="20"/>
              <w:spacing w:after="0"/>
              <w:rPr>
                <w:sz w:val="20"/>
                <w:szCs w:val="20"/>
                <w:color w:val="auto"/>
              </w:rPr>
            </w:pPr>
            <w:r>
              <w:rPr>
                <w:rFonts w:ascii="Arial" w:cs="Arial" w:eastAsia="Arial" w:hAnsi="Arial"/>
                <w:sz w:val="16"/>
                <w:szCs w:val="16"/>
                <w:color w:val="auto"/>
              </w:rPr>
              <w:t>2,234,268</w:t>
            </w:r>
          </w:p>
        </w:tc>
      </w:tr>
      <w:tr>
        <w:trPr>
          <w:trHeight w:val="270"/>
        </w:trPr>
        <w:tc>
          <w:tcPr>
            <w:tcW w:w="9020" w:type="dxa"/>
            <w:vAlign w:val="bottom"/>
          </w:tcPr>
          <w:p>
            <w:pPr>
              <w:ind w:left="40"/>
              <w:spacing w:after="0"/>
              <w:rPr>
                <w:sz w:val="20"/>
                <w:szCs w:val="20"/>
                <w:color w:val="auto"/>
              </w:rPr>
            </w:pPr>
            <w:r>
              <w:rPr>
                <w:rFonts w:ascii="Arial" w:cs="Arial" w:eastAsia="Arial" w:hAnsi="Arial"/>
                <w:sz w:val="16"/>
                <w:szCs w:val="16"/>
                <w:color w:val="auto"/>
              </w:rPr>
              <w:t>Actual return on plan assets</w:t>
            </w:r>
          </w:p>
        </w:tc>
        <w:tc>
          <w:tcPr>
            <w:tcW w:w="220" w:type="dxa"/>
            <w:vAlign w:val="bottom"/>
          </w:tcPr>
          <w:p>
            <w:pPr>
              <w:spacing w:after="0"/>
              <w:rPr>
                <w:sz w:val="23"/>
                <w:szCs w:val="23"/>
                <w:color w:val="auto"/>
              </w:rPr>
            </w:pPr>
          </w:p>
        </w:tc>
        <w:tc>
          <w:tcPr>
            <w:tcW w:w="980" w:type="dxa"/>
            <w:vAlign w:val="bottom"/>
          </w:tcPr>
          <w:p>
            <w:pPr>
              <w:jc w:val="right"/>
              <w:ind w:right="81"/>
              <w:spacing w:after="0"/>
              <w:rPr>
                <w:sz w:val="20"/>
                <w:szCs w:val="20"/>
                <w:color w:val="auto"/>
              </w:rPr>
            </w:pPr>
            <w:r>
              <w:rPr>
                <w:rFonts w:ascii="Arial" w:cs="Arial" w:eastAsia="Arial" w:hAnsi="Arial"/>
                <w:sz w:val="16"/>
                <w:szCs w:val="16"/>
                <w:b w:val="1"/>
                <w:bCs w:val="1"/>
                <w:color w:val="auto"/>
              </w:rPr>
              <w:t>375,487</w:t>
            </w:r>
          </w:p>
        </w:tc>
        <w:tc>
          <w:tcPr>
            <w:tcW w:w="300" w:type="dxa"/>
            <w:vAlign w:val="bottom"/>
          </w:tcPr>
          <w:p>
            <w:pPr>
              <w:spacing w:after="0"/>
              <w:rPr>
                <w:sz w:val="23"/>
                <w:szCs w:val="23"/>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(58,511)</w:t>
            </w:r>
          </w:p>
        </w:tc>
      </w:tr>
      <w:tr>
        <w:trPr>
          <w:trHeight w:val="270"/>
        </w:trPr>
        <w:tc>
          <w:tcPr>
            <w:tcW w:w="9020" w:type="dxa"/>
            <w:vAlign w:val="bottom"/>
          </w:tcPr>
          <w:p>
            <w:pPr>
              <w:ind w:left="40"/>
              <w:spacing w:after="0"/>
              <w:rPr>
                <w:sz w:val="20"/>
                <w:szCs w:val="20"/>
                <w:color w:val="auto"/>
              </w:rPr>
            </w:pPr>
            <w:r>
              <w:rPr>
                <w:rFonts w:ascii="Arial" w:cs="Arial" w:eastAsia="Arial" w:hAnsi="Arial"/>
                <w:sz w:val="16"/>
                <w:szCs w:val="16"/>
                <w:color w:val="auto"/>
              </w:rPr>
              <w:t>Benefits paid</w:t>
            </w:r>
          </w:p>
        </w:tc>
        <w:tc>
          <w:tcPr>
            <w:tcW w:w="220" w:type="dxa"/>
            <w:vAlign w:val="bottom"/>
          </w:tcPr>
          <w:p>
            <w:pPr>
              <w:spacing w:after="0"/>
              <w:rPr>
                <w:sz w:val="23"/>
                <w:szCs w:val="23"/>
                <w:color w:val="auto"/>
              </w:rPr>
            </w:pPr>
          </w:p>
        </w:tc>
        <w:tc>
          <w:tcPr>
            <w:tcW w:w="980" w:type="dxa"/>
            <w:vAlign w:val="bottom"/>
          </w:tcPr>
          <w:p>
            <w:pPr>
              <w:jc w:val="right"/>
              <w:ind w:right="21"/>
              <w:spacing w:after="0"/>
              <w:rPr>
                <w:sz w:val="20"/>
                <w:szCs w:val="20"/>
                <w:color w:val="auto"/>
              </w:rPr>
            </w:pPr>
            <w:r>
              <w:rPr>
                <w:rFonts w:ascii="Arial" w:cs="Arial" w:eastAsia="Arial" w:hAnsi="Arial"/>
                <w:sz w:val="16"/>
                <w:szCs w:val="16"/>
                <w:b w:val="1"/>
                <w:bCs w:val="1"/>
                <w:color w:val="auto"/>
              </w:rPr>
              <w:t>(74,506)</w:t>
            </w:r>
          </w:p>
        </w:tc>
        <w:tc>
          <w:tcPr>
            <w:tcW w:w="300" w:type="dxa"/>
            <w:vAlign w:val="bottom"/>
          </w:tcPr>
          <w:p>
            <w:pPr>
              <w:spacing w:after="0"/>
              <w:rPr>
                <w:sz w:val="23"/>
                <w:szCs w:val="23"/>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(60,076)</w:t>
            </w:r>
          </w:p>
        </w:tc>
      </w:tr>
      <w:tr>
        <w:trPr>
          <w:trHeight w:val="283"/>
        </w:trPr>
        <w:tc>
          <w:tcPr>
            <w:tcW w:w="9020" w:type="dxa"/>
            <w:vAlign w:val="bottom"/>
          </w:tcPr>
          <w:p>
            <w:pPr>
              <w:ind w:left="40"/>
              <w:spacing w:after="0"/>
              <w:rPr>
                <w:sz w:val="20"/>
                <w:szCs w:val="20"/>
                <w:color w:val="auto"/>
              </w:rPr>
            </w:pPr>
            <w:r>
              <w:rPr>
                <w:rFonts w:ascii="Arial" w:cs="Arial" w:eastAsia="Arial" w:hAnsi="Arial"/>
                <w:sz w:val="16"/>
                <w:szCs w:val="16"/>
                <w:color w:val="auto"/>
              </w:rPr>
              <w:t>Settlement</w:t>
            </w:r>
          </w:p>
        </w:tc>
        <w:tc>
          <w:tcPr>
            <w:tcW w:w="22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jc w:val="right"/>
              <w:ind w:right="81"/>
              <w:spacing w:after="0"/>
              <w:rPr>
                <w:sz w:val="20"/>
                <w:szCs w:val="20"/>
                <w:color w:val="auto"/>
              </w:rPr>
            </w:pPr>
            <w:r>
              <w:rPr>
                <w:rFonts w:ascii="Arial" w:cs="Arial" w:eastAsia="Arial" w:hAnsi="Arial"/>
                <w:sz w:val="16"/>
                <w:szCs w:val="16"/>
                <w:b w:val="1"/>
                <w:bCs w:val="1"/>
                <w:color w:val="auto"/>
              </w:rPr>
              <w:t>—</w:t>
            </w:r>
          </w:p>
        </w:tc>
        <w:tc>
          <w:tcPr>
            <w:tcW w:w="30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(73,191)</w:t>
            </w:r>
          </w:p>
        </w:tc>
      </w:tr>
      <w:tr>
        <w:trPr>
          <w:trHeight w:val="264"/>
        </w:trPr>
        <w:tc>
          <w:tcPr>
            <w:tcW w:w="9020" w:type="dxa"/>
            <w:vAlign w:val="bottom"/>
          </w:tcPr>
          <w:p>
            <w:pPr>
              <w:ind w:left="40"/>
              <w:spacing w:after="0"/>
              <w:rPr>
                <w:sz w:val="20"/>
                <w:szCs w:val="20"/>
                <w:color w:val="auto"/>
              </w:rPr>
            </w:pPr>
            <w:r>
              <w:rPr>
                <w:rFonts w:ascii="Arial" w:cs="Arial" w:eastAsia="Arial" w:hAnsi="Arial"/>
                <w:sz w:val="16"/>
                <w:szCs w:val="16"/>
                <w:b w:val="1"/>
                <w:bCs w:val="1"/>
                <w:color w:val="auto"/>
              </w:rPr>
              <w:t>Fair Value of Assets at End of Year</w:t>
            </w:r>
          </w:p>
        </w:tc>
        <w:tc>
          <w:tcPr>
            <w:tcW w:w="2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b w:val="1"/>
                <w:bCs w:val="1"/>
                <w:color w:val="auto"/>
              </w:rPr>
              <w:t>$</w:t>
            </w:r>
          </w:p>
        </w:tc>
        <w:tc>
          <w:tcPr>
            <w:tcW w:w="980" w:type="dxa"/>
            <w:vAlign w:val="bottom"/>
            <w:tcBorders>
              <w:bottom w:val="single" w:sz="8" w:color="auto"/>
            </w:tcBorders>
          </w:tcPr>
          <w:p>
            <w:pPr>
              <w:jc w:val="right"/>
              <w:ind w:right="81"/>
              <w:spacing w:after="0"/>
              <w:rPr>
                <w:sz w:val="20"/>
                <w:szCs w:val="20"/>
                <w:color w:val="auto"/>
              </w:rPr>
            </w:pPr>
            <w:r>
              <w:rPr>
                <w:rFonts w:ascii="Arial" w:cs="Arial" w:eastAsia="Arial" w:hAnsi="Arial"/>
                <w:sz w:val="16"/>
                <w:szCs w:val="16"/>
                <w:b w:val="1"/>
                <w:bCs w:val="1"/>
                <w:color w:val="auto"/>
              </w:rPr>
              <w:t>2,343,471</w:t>
            </w:r>
          </w:p>
        </w:tc>
        <w:tc>
          <w:tcPr>
            <w:tcW w:w="30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90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2,042,490</w:t>
            </w:r>
          </w:p>
        </w:tc>
      </w:tr>
      <w:tr>
        <w:trPr>
          <w:trHeight w:val="267"/>
        </w:trPr>
        <w:tc>
          <w:tcPr>
            <w:tcW w:w="9020" w:type="dxa"/>
            <w:vAlign w:val="bottom"/>
          </w:tcPr>
          <w:p>
            <w:pPr>
              <w:ind w:left="40"/>
              <w:spacing w:after="0"/>
              <w:rPr>
                <w:sz w:val="20"/>
                <w:szCs w:val="20"/>
                <w:color w:val="auto"/>
              </w:rPr>
            </w:pPr>
            <w:r>
              <w:rPr>
                <w:rFonts w:ascii="Arial" w:cs="Arial" w:eastAsia="Arial" w:hAnsi="Arial"/>
                <w:sz w:val="16"/>
                <w:szCs w:val="16"/>
                <w:b w:val="1"/>
                <w:bCs w:val="1"/>
                <w:color w:val="auto"/>
              </w:rPr>
              <w:t>Funded Status</w:t>
            </w:r>
          </w:p>
        </w:tc>
        <w:tc>
          <w:tcPr>
            <w:tcW w:w="2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b w:val="1"/>
                <w:bCs w:val="1"/>
                <w:color w:val="auto"/>
              </w:rPr>
              <w:t>$</w:t>
            </w:r>
          </w:p>
        </w:tc>
        <w:tc>
          <w:tcPr>
            <w:tcW w:w="980" w:type="dxa"/>
            <w:vAlign w:val="bottom"/>
            <w:tcBorders>
              <w:bottom w:val="single" w:sz="8" w:color="auto"/>
            </w:tcBorders>
          </w:tcPr>
          <w:p>
            <w:pPr>
              <w:jc w:val="right"/>
              <w:ind w:right="81"/>
              <w:spacing w:after="0"/>
              <w:rPr>
                <w:sz w:val="20"/>
                <w:szCs w:val="20"/>
                <w:color w:val="auto"/>
              </w:rPr>
            </w:pPr>
            <w:r>
              <w:rPr>
                <w:rFonts w:ascii="Arial" w:cs="Arial" w:eastAsia="Arial" w:hAnsi="Arial"/>
                <w:sz w:val="16"/>
                <w:szCs w:val="16"/>
                <w:b w:val="1"/>
                <w:bCs w:val="1"/>
                <w:color w:val="auto"/>
              </w:rPr>
              <w:t>1,056,777</w:t>
            </w:r>
          </w:p>
        </w:tc>
        <w:tc>
          <w:tcPr>
            <w:tcW w:w="30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90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881,593</w:t>
            </w:r>
          </w:p>
        </w:tc>
      </w:tr>
      <w:tr>
        <w:trPr>
          <w:trHeight w:val="20"/>
        </w:trPr>
        <w:tc>
          <w:tcPr>
            <w:tcW w:w="90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gridSpan w:val="2"/>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r>
      <w:tr>
        <w:trPr>
          <w:trHeight w:val="383"/>
        </w:trPr>
        <w:tc>
          <w:tcPr>
            <w:tcW w:w="902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280" w:type="dxa"/>
            <w:vAlign w:val="bottom"/>
            <w:tcBorders>
              <w:bottom w:val="single" w:sz="8" w:color="auto"/>
            </w:tcBorders>
            <w:gridSpan w:val="2"/>
          </w:tcPr>
          <w:p>
            <w:pPr>
              <w:jc w:val="center"/>
              <w:ind w:left="641"/>
              <w:spacing w:after="0"/>
              <w:rPr>
                <w:sz w:val="20"/>
                <w:szCs w:val="20"/>
                <w:color w:val="auto"/>
              </w:rPr>
            </w:pPr>
            <w:r>
              <w:rPr>
                <w:rFonts w:ascii="Arial" w:cs="Arial" w:eastAsia="Arial" w:hAnsi="Arial"/>
                <w:sz w:val="14"/>
                <w:szCs w:val="14"/>
                <w:b w:val="1"/>
                <w:bCs w:val="1"/>
                <w:color w:val="auto"/>
              </w:rPr>
              <w:t>SERP</w:t>
            </w:r>
          </w:p>
        </w:tc>
        <w:tc>
          <w:tcPr>
            <w:tcW w:w="900" w:type="dxa"/>
            <w:vAlign w:val="bottom"/>
            <w:tcBorders>
              <w:bottom w:val="single" w:sz="8" w:color="auto"/>
            </w:tcBorders>
          </w:tcPr>
          <w:p>
            <w:pPr>
              <w:spacing w:after="0"/>
              <w:rPr>
                <w:sz w:val="24"/>
                <w:szCs w:val="24"/>
                <w:color w:val="auto"/>
              </w:rPr>
            </w:pPr>
          </w:p>
        </w:tc>
      </w:tr>
      <w:tr>
        <w:trPr>
          <w:trHeight w:val="250"/>
        </w:trPr>
        <w:tc>
          <w:tcPr>
            <w:tcW w:w="9020" w:type="dxa"/>
            <w:vAlign w:val="bottom"/>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2180" w:type="dxa"/>
            <w:vAlign w:val="bottom"/>
            <w:tcBorders>
              <w:bottom w:val="single" w:sz="8" w:color="auto"/>
            </w:tcBorders>
            <w:gridSpan w:val="3"/>
          </w:tcPr>
          <w:p>
            <w:pPr>
              <w:jc w:val="center"/>
              <w:ind w:right="100"/>
              <w:spacing w:after="0"/>
              <w:rPr>
                <w:sz w:val="20"/>
                <w:szCs w:val="20"/>
                <w:color w:val="auto"/>
              </w:rPr>
            </w:pPr>
            <w:r>
              <w:rPr>
                <w:rFonts w:ascii="Arial" w:cs="Arial" w:eastAsia="Arial" w:hAnsi="Arial"/>
                <w:sz w:val="14"/>
                <w:szCs w:val="14"/>
                <w:b w:val="1"/>
                <w:bCs w:val="1"/>
                <w:color w:val="auto"/>
              </w:rPr>
              <w:t>As of December 31</w:t>
            </w:r>
          </w:p>
        </w:tc>
      </w:tr>
      <w:tr>
        <w:trPr>
          <w:trHeight w:val="264"/>
        </w:trPr>
        <w:tc>
          <w:tcPr>
            <w:tcW w:w="902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(in thousands)</w:t>
            </w:r>
          </w:p>
        </w:tc>
        <w:tc>
          <w:tcPr>
            <w:tcW w:w="22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ind w:right="381"/>
              <w:spacing w:after="0"/>
              <w:rPr>
                <w:sz w:val="20"/>
                <w:szCs w:val="20"/>
                <w:color w:val="auto"/>
              </w:rPr>
            </w:pPr>
            <w:r>
              <w:rPr>
                <w:rFonts w:ascii="Arial" w:cs="Arial" w:eastAsia="Arial" w:hAnsi="Arial"/>
                <w:sz w:val="14"/>
                <w:szCs w:val="14"/>
                <w:b w:val="1"/>
                <w:bCs w:val="1"/>
                <w:color w:val="auto"/>
              </w:rPr>
              <w:t>2017</w:t>
            </w:r>
          </w:p>
        </w:tc>
        <w:tc>
          <w:tcPr>
            <w:tcW w:w="30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ind w:right="320"/>
              <w:spacing w:after="0"/>
              <w:rPr>
                <w:sz w:val="20"/>
                <w:szCs w:val="20"/>
                <w:color w:val="auto"/>
              </w:rPr>
            </w:pPr>
            <w:r>
              <w:rPr>
                <w:rFonts w:ascii="Arial" w:cs="Arial" w:eastAsia="Arial" w:hAnsi="Arial"/>
                <w:sz w:val="14"/>
                <w:szCs w:val="14"/>
                <w:color w:val="auto"/>
              </w:rPr>
              <w:t>2016</w:t>
            </w:r>
          </w:p>
        </w:tc>
      </w:tr>
      <w:tr>
        <w:trPr>
          <w:trHeight w:val="250"/>
        </w:trPr>
        <w:tc>
          <w:tcPr>
            <w:tcW w:w="9020" w:type="dxa"/>
            <w:vAlign w:val="bottom"/>
          </w:tcPr>
          <w:p>
            <w:pPr>
              <w:ind w:left="40"/>
              <w:spacing w:after="0"/>
              <w:rPr>
                <w:sz w:val="20"/>
                <w:szCs w:val="20"/>
                <w:color w:val="auto"/>
              </w:rPr>
            </w:pPr>
            <w:r>
              <w:rPr>
                <w:rFonts w:ascii="Arial" w:cs="Arial" w:eastAsia="Arial" w:hAnsi="Arial"/>
                <w:sz w:val="16"/>
                <w:szCs w:val="16"/>
                <w:b w:val="1"/>
                <w:bCs w:val="1"/>
                <w:color w:val="auto"/>
              </w:rPr>
              <w:t>Change in Benefit Obligation</w:t>
            </w:r>
          </w:p>
        </w:tc>
        <w:tc>
          <w:tcPr>
            <w:tcW w:w="22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00" w:type="dxa"/>
            <w:vAlign w:val="bottom"/>
          </w:tcPr>
          <w:p>
            <w:pPr>
              <w:spacing w:after="0"/>
              <w:rPr>
                <w:sz w:val="21"/>
                <w:szCs w:val="21"/>
                <w:color w:val="auto"/>
              </w:rPr>
            </w:pPr>
          </w:p>
        </w:tc>
      </w:tr>
      <w:tr>
        <w:trPr>
          <w:trHeight w:val="270"/>
        </w:trPr>
        <w:tc>
          <w:tcPr>
            <w:tcW w:w="9020" w:type="dxa"/>
            <w:vAlign w:val="bottom"/>
          </w:tcPr>
          <w:p>
            <w:pPr>
              <w:ind w:left="40"/>
              <w:spacing w:after="0"/>
              <w:rPr>
                <w:sz w:val="20"/>
                <w:szCs w:val="20"/>
                <w:color w:val="auto"/>
              </w:rPr>
            </w:pPr>
            <w:r>
              <w:rPr>
                <w:rFonts w:ascii="Arial" w:cs="Arial" w:eastAsia="Arial" w:hAnsi="Arial"/>
                <w:sz w:val="16"/>
                <w:szCs w:val="16"/>
                <w:color w:val="auto"/>
              </w:rPr>
              <w:t>Benefit obligation at beginning of year</w:t>
            </w:r>
          </w:p>
        </w:tc>
        <w:tc>
          <w:tcPr>
            <w:tcW w:w="220" w:type="dxa"/>
            <w:vAlign w:val="bottom"/>
          </w:tcPr>
          <w:p>
            <w:pPr>
              <w:jc w:val="right"/>
              <w:ind w:right="19"/>
              <w:spacing w:after="0"/>
              <w:rPr>
                <w:sz w:val="20"/>
                <w:szCs w:val="20"/>
                <w:color w:val="auto"/>
              </w:rPr>
            </w:pPr>
            <w:r>
              <w:rPr>
                <w:rFonts w:ascii="Arial" w:cs="Arial" w:eastAsia="Arial" w:hAnsi="Arial"/>
                <w:sz w:val="16"/>
                <w:szCs w:val="16"/>
                <w:b w:val="1"/>
                <w:bCs w:val="1"/>
                <w:color w:val="auto"/>
              </w:rPr>
              <w:t>$</w:t>
            </w:r>
          </w:p>
        </w:tc>
        <w:tc>
          <w:tcPr>
            <w:tcW w:w="980" w:type="dxa"/>
            <w:vAlign w:val="bottom"/>
          </w:tcPr>
          <w:p>
            <w:pPr>
              <w:jc w:val="right"/>
              <w:ind w:right="81"/>
              <w:spacing w:after="0"/>
              <w:rPr>
                <w:sz w:val="20"/>
                <w:szCs w:val="20"/>
                <w:color w:val="auto"/>
              </w:rPr>
            </w:pPr>
            <w:r>
              <w:rPr>
                <w:rFonts w:ascii="Arial" w:cs="Arial" w:eastAsia="Arial" w:hAnsi="Arial"/>
                <w:sz w:val="16"/>
                <w:szCs w:val="16"/>
                <w:b w:val="1"/>
                <w:bCs w:val="1"/>
                <w:color w:val="auto"/>
              </w:rPr>
              <w:t>106,526</w:t>
            </w:r>
          </w:p>
        </w:tc>
        <w:tc>
          <w:tcPr>
            <w:tcW w:w="30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900" w:type="dxa"/>
            <w:vAlign w:val="bottom"/>
          </w:tcPr>
          <w:p>
            <w:pPr>
              <w:jc w:val="right"/>
              <w:ind w:right="20"/>
              <w:spacing w:after="0"/>
              <w:rPr>
                <w:sz w:val="20"/>
                <w:szCs w:val="20"/>
                <w:color w:val="auto"/>
              </w:rPr>
            </w:pPr>
            <w:r>
              <w:rPr>
                <w:rFonts w:ascii="Arial" w:cs="Arial" w:eastAsia="Arial" w:hAnsi="Arial"/>
                <w:sz w:val="16"/>
                <w:szCs w:val="16"/>
                <w:color w:val="auto"/>
              </w:rPr>
              <w:t>105,004</w:t>
            </w:r>
          </w:p>
        </w:tc>
      </w:tr>
      <w:tr>
        <w:trPr>
          <w:trHeight w:val="270"/>
        </w:trPr>
        <w:tc>
          <w:tcPr>
            <w:tcW w:w="9020" w:type="dxa"/>
            <w:vAlign w:val="bottom"/>
          </w:tcPr>
          <w:p>
            <w:pPr>
              <w:ind w:left="40"/>
              <w:spacing w:after="0"/>
              <w:rPr>
                <w:sz w:val="20"/>
                <w:szCs w:val="20"/>
                <w:color w:val="auto"/>
              </w:rPr>
            </w:pPr>
            <w:r>
              <w:rPr>
                <w:rFonts w:ascii="Arial" w:cs="Arial" w:eastAsia="Arial" w:hAnsi="Arial"/>
                <w:sz w:val="16"/>
                <w:szCs w:val="16"/>
                <w:color w:val="auto"/>
              </w:rPr>
              <w:t>Service cost</w:t>
            </w:r>
          </w:p>
        </w:tc>
        <w:tc>
          <w:tcPr>
            <w:tcW w:w="220" w:type="dxa"/>
            <w:vAlign w:val="bottom"/>
          </w:tcPr>
          <w:p>
            <w:pPr>
              <w:spacing w:after="0"/>
              <w:rPr>
                <w:sz w:val="23"/>
                <w:szCs w:val="23"/>
                <w:color w:val="auto"/>
              </w:rPr>
            </w:pPr>
          </w:p>
        </w:tc>
        <w:tc>
          <w:tcPr>
            <w:tcW w:w="980" w:type="dxa"/>
            <w:vAlign w:val="bottom"/>
          </w:tcPr>
          <w:p>
            <w:pPr>
              <w:jc w:val="right"/>
              <w:ind w:right="81"/>
              <w:spacing w:after="0"/>
              <w:rPr>
                <w:sz w:val="20"/>
                <w:szCs w:val="20"/>
                <w:color w:val="auto"/>
              </w:rPr>
            </w:pPr>
            <w:r>
              <w:rPr>
                <w:rFonts w:ascii="Arial" w:cs="Arial" w:eastAsia="Arial" w:hAnsi="Arial"/>
                <w:sz w:val="16"/>
                <w:szCs w:val="16"/>
                <w:b w:val="1"/>
                <w:bCs w:val="1"/>
                <w:color w:val="auto"/>
              </w:rPr>
              <w:t>858</w:t>
            </w:r>
          </w:p>
        </w:tc>
        <w:tc>
          <w:tcPr>
            <w:tcW w:w="300" w:type="dxa"/>
            <w:vAlign w:val="bottom"/>
          </w:tcPr>
          <w:p>
            <w:pPr>
              <w:spacing w:after="0"/>
              <w:rPr>
                <w:sz w:val="23"/>
                <w:szCs w:val="23"/>
                <w:color w:val="auto"/>
              </w:rPr>
            </w:pPr>
          </w:p>
        </w:tc>
        <w:tc>
          <w:tcPr>
            <w:tcW w:w="900" w:type="dxa"/>
            <w:vAlign w:val="bottom"/>
          </w:tcPr>
          <w:p>
            <w:pPr>
              <w:jc w:val="right"/>
              <w:ind w:right="20"/>
              <w:spacing w:after="0"/>
              <w:rPr>
                <w:sz w:val="20"/>
                <w:szCs w:val="20"/>
                <w:color w:val="auto"/>
              </w:rPr>
            </w:pPr>
            <w:r>
              <w:rPr>
                <w:rFonts w:ascii="Arial" w:cs="Arial" w:eastAsia="Arial" w:hAnsi="Arial"/>
                <w:sz w:val="16"/>
                <w:szCs w:val="16"/>
                <w:color w:val="auto"/>
              </w:rPr>
              <w:t>985</w:t>
            </w:r>
          </w:p>
        </w:tc>
      </w:tr>
      <w:tr>
        <w:trPr>
          <w:trHeight w:val="270"/>
        </w:trPr>
        <w:tc>
          <w:tcPr>
            <w:tcW w:w="9020" w:type="dxa"/>
            <w:vAlign w:val="bottom"/>
          </w:tcPr>
          <w:p>
            <w:pPr>
              <w:ind w:left="40"/>
              <w:spacing w:after="0"/>
              <w:rPr>
                <w:sz w:val="20"/>
                <w:szCs w:val="20"/>
                <w:color w:val="auto"/>
              </w:rPr>
            </w:pPr>
            <w:r>
              <w:rPr>
                <w:rFonts w:ascii="Arial" w:cs="Arial" w:eastAsia="Arial" w:hAnsi="Arial"/>
                <w:sz w:val="16"/>
                <w:szCs w:val="16"/>
                <w:color w:val="auto"/>
              </w:rPr>
              <w:t>Interest cost</w:t>
            </w:r>
          </w:p>
        </w:tc>
        <w:tc>
          <w:tcPr>
            <w:tcW w:w="220" w:type="dxa"/>
            <w:vAlign w:val="bottom"/>
          </w:tcPr>
          <w:p>
            <w:pPr>
              <w:spacing w:after="0"/>
              <w:rPr>
                <w:sz w:val="23"/>
                <w:szCs w:val="23"/>
                <w:color w:val="auto"/>
              </w:rPr>
            </w:pPr>
          </w:p>
        </w:tc>
        <w:tc>
          <w:tcPr>
            <w:tcW w:w="980" w:type="dxa"/>
            <w:vAlign w:val="bottom"/>
          </w:tcPr>
          <w:p>
            <w:pPr>
              <w:jc w:val="right"/>
              <w:ind w:right="81"/>
              <w:spacing w:after="0"/>
              <w:rPr>
                <w:sz w:val="20"/>
                <w:szCs w:val="20"/>
                <w:color w:val="auto"/>
              </w:rPr>
            </w:pPr>
            <w:r>
              <w:rPr>
                <w:rFonts w:ascii="Arial" w:cs="Arial" w:eastAsia="Arial" w:hAnsi="Arial"/>
                <w:sz w:val="16"/>
                <w:szCs w:val="16"/>
                <w:b w:val="1"/>
                <w:bCs w:val="1"/>
                <w:color w:val="auto"/>
              </w:rPr>
              <w:t>4,233</w:t>
            </w:r>
          </w:p>
        </w:tc>
        <w:tc>
          <w:tcPr>
            <w:tcW w:w="300" w:type="dxa"/>
            <w:vAlign w:val="bottom"/>
          </w:tcPr>
          <w:p>
            <w:pPr>
              <w:spacing w:after="0"/>
              <w:rPr>
                <w:sz w:val="23"/>
                <w:szCs w:val="23"/>
                <w:color w:val="auto"/>
              </w:rPr>
            </w:pPr>
          </w:p>
        </w:tc>
        <w:tc>
          <w:tcPr>
            <w:tcW w:w="900" w:type="dxa"/>
            <w:vAlign w:val="bottom"/>
          </w:tcPr>
          <w:p>
            <w:pPr>
              <w:jc w:val="right"/>
              <w:ind w:right="20"/>
              <w:spacing w:after="0"/>
              <w:rPr>
                <w:sz w:val="20"/>
                <w:szCs w:val="20"/>
                <w:color w:val="auto"/>
              </w:rPr>
            </w:pPr>
            <w:r>
              <w:rPr>
                <w:rFonts w:ascii="Arial" w:cs="Arial" w:eastAsia="Arial" w:hAnsi="Arial"/>
                <w:sz w:val="16"/>
                <w:szCs w:val="16"/>
                <w:color w:val="auto"/>
              </w:rPr>
              <w:t>4,384</w:t>
            </w:r>
          </w:p>
        </w:tc>
      </w:tr>
      <w:tr>
        <w:trPr>
          <w:trHeight w:val="270"/>
        </w:trPr>
        <w:tc>
          <w:tcPr>
            <w:tcW w:w="9020" w:type="dxa"/>
            <w:vAlign w:val="bottom"/>
          </w:tcPr>
          <w:p>
            <w:pPr>
              <w:ind w:left="40"/>
              <w:spacing w:after="0"/>
              <w:rPr>
                <w:sz w:val="20"/>
                <w:szCs w:val="20"/>
                <w:color w:val="auto"/>
              </w:rPr>
            </w:pPr>
            <w:r>
              <w:rPr>
                <w:rFonts w:ascii="Arial" w:cs="Arial" w:eastAsia="Arial" w:hAnsi="Arial"/>
                <w:sz w:val="16"/>
                <w:szCs w:val="16"/>
                <w:color w:val="auto"/>
              </w:rPr>
              <w:t>Actuarial loss</w:t>
            </w:r>
          </w:p>
        </w:tc>
        <w:tc>
          <w:tcPr>
            <w:tcW w:w="220" w:type="dxa"/>
            <w:vAlign w:val="bottom"/>
          </w:tcPr>
          <w:p>
            <w:pPr>
              <w:spacing w:after="0"/>
              <w:rPr>
                <w:sz w:val="23"/>
                <w:szCs w:val="23"/>
                <w:color w:val="auto"/>
              </w:rPr>
            </w:pPr>
          </w:p>
        </w:tc>
        <w:tc>
          <w:tcPr>
            <w:tcW w:w="980" w:type="dxa"/>
            <w:vAlign w:val="bottom"/>
          </w:tcPr>
          <w:p>
            <w:pPr>
              <w:jc w:val="right"/>
              <w:ind w:right="81"/>
              <w:spacing w:after="0"/>
              <w:rPr>
                <w:sz w:val="20"/>
                <w:szCs w:val="20"/>
                <w:color w:val="auto"/>
              </w:rPr>
            </w:pPr>
            <w:r>
              <w:rPr>
                <w:rFonts w:ascii="Arial" w:cs="Arial" w:eastAsia="Arial" w:hAnsi="Arial"/>
                <w:sz w:val="16"/>
                <w:szCs w:val="16"/>
                <w:b w:val="1"/>
                <w:bCs w:val="1"/>
                <w:color w:val="auto"/>
              </w:rPr>
              <w:t>4,041</w:t>
            </w:r>
          </w:p>
        </w:tc>
        <w:tc>
          <w:tcPr>
            <w:tcW w:w="300" w:type="dxa"/>
            <w:vAlign w:val="bottom"/>
          </w:tcPr>
          <w:p>
            <w:pPr>
              <w:spacing w:after="0"/>
              <w:rPr>
                <w:sz w:val="23"/>
                <w:szCs w:val="23"/>
                <w:color w:val="auto"/>
              </w:rPr>
            </w:pPr>
          </w:p>
        </w:tc>
        <w:tc>
          <w:tcPr>
            <w:tcW w:w="900" w:type="dxa"/>
            <w:vAlign w:val="bottom"/>
          </w:tcPr>
          <w:p>
            <w:pPr>
              <w:jc w:val="right"/>
              <w:ind w:right="20"/>
              <w:spacing w:after="0"/>
              <w:rPr>
                <w:sz w:val="20"/>
                <w:szCs w:val="20"/>
                <w:color w:val="auto"/>
              </w:rPr>
            </w:pPr>
            <w:r>
              <w:rPr>
                <w:rFonts w:ascii="Arial" w:cs="Arial" w:eastAsia="Arial" w:hAnsi="Arial"/>
                <w:sz w:val="16"/>
                <w:szCs w:val="16"/>
                <w:color w:val="auto"/>
              </w:rPr>
              <w:t>1,120</w:t>
            </w:r>
          </w:p>
        </w:tc>
      </w:tr>
      <w:tr>
        <w:trPr>
          <w:trHeight w:val="283"/>
        </w:trPr>
        <w:tc>
          <w:tcPr>
            <w:tcW w:w="9020" w:type="dxa"/>
            <w:vAlign w:val="bottom"/>
          </w:tcPr>
          <w:p>
            <w:pPr>
              <w:ind w:left="40"/>
              <w:spacing w:after="0"/>
              <w:rPr>
                <w:sz w:val="20"/>
                <w:szCs w:val="20"/>
                <w:color w:val="auto"/>
              </w:rPr>
            </w:pPr>
            <w:r>
              <w:rPr>
                <w:rFonts w:ascii="Arial" w:cs="Arial" w:eastAsia="Arial" w:hAnsi="Arial"/>
                <w:sz w:val="16"/>
                <w:szCs w:val="16"/>
                <w:color w:val="auto"/>
              </w:rPr>
              <w:t>Benefits paid</w:t>
            </w:r>
          </w:p>
        </w:tc>
        <w:tc>
          <w:tcPr>
            <w:tcW w:w="22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jc w:val="right"/>
              <w:ind w:right="21"/>
              <w:spacing w:after="0"/>
              <w:rPr>
                <w:sz w:val="20"/>
                <w:szCs w:val="20"/>
                <w:color w:val="auto"/>
              </w:rPr>
            </w:pPr>
            <w:r>
              <w:rPr>
                <w:rFonts w:ascii="Arial" w:cs="Arial" w:eastAsia="Arial" w:hAnsi="Arial"/>
                <w:sz w:val="16"/>
                <w:szCs w:val="16"/>
                <w:b w:val="1"/>
                <w:bCs w:val="1"/>
                <w:color w:val="auto"/>
              </w:rPr>
              <w:t>(5,576)</w:t>
            </w:r>
          </w:p>
        </w:tc>
        <w:tc>
          <w:tcPr>
            <w:tcW w:w="30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(4,967)</w:t>
            </w:r>
          </w:p>
        </w:tc>
      </w:tr>
      <w:tr>
        <w:trPr>
          <w:trHeight w:val="264"/>
        </w:trPr>
        <w:tc>
          <w:tcPr>
            <w:tcW w:w="9020" w:type="dxa"/>
            <w:vAlign w:val="bottom"/>
          </w:tcPr>
          <w:p>
            <w:pPr>
              <w:ind w:left="40"/>
              <w:spacing w:after="0"/>
              <w:rPr>
                <w:sz w:val="20"/>
                <w:szCs w:val="20"/>
                <w:color w:val="auto"/>
              </w:rPr>
            </w:pPr>
            <w:r>
              <w:rPr>
                <w:rFonts w:ascii="Arial" w:cs="Arial" w:eastAsia="Arial" w:hAnsi="Arial"/>
                <w:sz w:val="16"/>
                <w:szCs w:val="16"/>
                <w:b w:val="1"/>
                <w:bCs w:val="1"/>
                <w:color w:val="auto"/>
              </w:rPr>
              <w:t>Benefit Obligation at End of Year</w:t>
            </w:r>
          </w:p>
        </w:tc>
        <w:tc>
          <w:tcPr>
            <w:tcW w:w="2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b w:val="1"/>
                <w:bCs w:val="1"/>
                <w:color w:val="auto"/>
              </w:rPr>
              <w:t>$</w:t>
            </w:r>
          </w:p>
        </w:tc>
        <w:tc>
          <w:tcPr>
            <w:tcW w:w="980" w:type="dxa"/>
            <w:vAlign w:val="bottom"/>
            <w:tcBorders>
              <w:bottom w:val="single" w:sz="8" w:color="auto"/>
            </w:tcBorders>
          </w:tcPr>
          <w:p>
            <w:pPr>
              <w:jc w:val="right"/>
              <w:ind w:right="81"/>
              <w:spacing w:after="0"/>
              <w:rPr>
                <w:sz w:val="20"/>
                <w:szCs w:val="20"/>
                <w:color w:val="auto"/>
              </w:rPr>
            </w:pPr>
            <w:r>
              <w:rPr>
                <w:rFonts w:ascii="Arial" w:cs="Arial" w:eastAsia="Arial" w:hAnsi="Arial"/>
                <w:sz w:val="16"/>
                <w:szCs w:val="16"/>
                <w:b w:val="1"/>
                <w:bCs w:val="1"/>
                <w:color w:val="auto"/>
              </w:rPr>
              <w:t>110,082</w:t>
            </w:r>
          </w:p>
        </w:tc>
        <w:tc>
          <w:tcPr>
            <w:tcW w:w="30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90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106,526</w:t>
            </w:r>
          </w:p>
        </w:tc>
      </w:tr>
      <w:tr>
        <w:trPr>
          <w:trHeight w:val="251"/>
        </w:trPr>
        <w:tc>
          <w:tcPr>
            <w:tcW w:w="9020" w:type="dxa"/>
            <w:vAlign w:val="bottom"/>
          </w:tcPr>
          <w:p>
            <w:pPr>
              <w:ind w:left="40"/>
              <w:spacing w:after="0"/>
              <w:rPr>
                <w:sz w:val="20"/>
                <w:szCs w:val="20"/>
                <w:color w:val="auto"/>
              </w:rPr>
            </w:pPr>
            <w:r>
              <w:rPr>
                <w:rFonts w:ascii="Arial" w:cs="Arial" w:eastAsia="Arial" w:hAnsi="Arial"/>
                <w:sz w:val="16"/>
                <w:szCs w:val="16"/>
                <w:b w:val="1"/>
                <w:bCs w:val="1"/>
                <w:color w:val="auto"/>
              </w:rPr>
              <w:t>Change in Plan Assets</w:t>
            </w:r>
          </w:p>
        </w:tc>
        <w:tc>
          <w:tcPr>
            <w:tcW w:w="22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00" w:type="dxa"/>
            <w:vAlign w:val="bottom"/>
          </w:tcPr>
          <w:p>
            <w:pPr>
              <w:spacing w:after="0"/>
              <w:rPr>
                <w:sz w:val="21"/>
                <w:szCs w:val="21"/>
                <w:color w:val="auto"/>
              </w:rPr>
            </w:pPr>
          </w:p>
        </w:tc>
      </w:tr>
      <w:tr>
        <w:trPr>
          <w:trHeight w:val="270"/>
        </w:trPr>
        <w:tc>
          <w:tcPr>
            <w:tcW w:w="9020" w:type="dxa"/>
            <w:vAlign w:val="bottom"/>
          </w:tcPr>
          <w:p>
            <w:pPr>
              <w:ind w:left="40"/>
              <w:spacing w:after="0"/>
              <w:rPr>
                <w:sz w:val="20"/>
                <w:szCs w:val="20"/>
                <w:color w:val="auto"/>
              </w:rPr>
            </w:pPr>
            <w:r>
              <w:rPr>
                <w:rFonts w:ascii="Arial" w:cs="Arial" w:eastAsia="Arial" w:hAnsi="Arial"/>
                <w:sz w:val="16"/>
                <w:szCs w:val="16"/>
                <w:color w:val="auto"/>
              </w:rPr>
              <w:t>Fair value of assets at beginning of year</w:t>
            </w:r>
          </w:p>
        </w:tc>
        <w:tc>
          <w:tcPr>
            <w:tcW w:w="220" w:type="dxa"/>
            <w:vAlign w:val="bottom"/>
          </w:tcPr>
          <w:p>
            <w:pPr>
              <w:jc w:val="right"/>
              <w:ind w:right="19"/>
              <w:spacing w:after="0"/>
              <w:rPr>
                <w:sz w:val="20"/>
                <w:szCs w:val="20"/>
                <w:color w:val="auto"/>
              </w:rPr>
            </w:pPr>
            <w:r>
              <w:rPr>
                <w:rFonts w:ascii="Arial" w:cs="Arial" w:eastAsia="Arial" w:hAnsi="Arial"/>
                <w:sz w:val="16"/>
                <w:szCs w:val="16"/>
                <w:b w:val="1"/>
                <w:bCs w:val="1"/>
                <w:color w:val="auto"/>
              </w:rPr>
              <w:t>$</w:t>
            </w:r>
          </w:p>
        </w:tc>
        <w:tc>
          <w:tcPr>
            <w:tcW w:w="980" w:type="dxa"/>
            <w:vAlign w:val="bottom"/>
          </w:tcPr>
          <w:p>
            <w:pPr>
              <w:jc w:val="right"/>
              <w:ind w:right="81"/>
              <w:spacing w:after="0"/>
              <w:rPr>
                <w:sz w:val="20"/>
                <w:szCs w:val="20"/>
                <w:color w:val="auto"/>
              </w:rPr>
            </w:pPr>
            <w:r>
              <w:rPr>
                <w:rFonts w:ascii="Arial" w:cs="Arial" w:eastAsia="Arial" w:hAnsi="Arial"/>
                <w:sz w:val="16"/>
                <w:szCs w:val="16"/>
                <w:b w:val="1"/>
                <w:bCs w:val="1"/>
                <w:color w:val="auto"/>
              </w:rPr>
              <w:t>—</w:t>
            </w:r>
          </w:p>
        </w:tc>
        <w:tc>
          <w:tcPr>
            <w:tcW w:w="30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900" w:type="dxa"/>
            <w:vAlign w:val="bottom"/>
          </w:tcPr>
          <w:p>
            <w:pPr>
              <w:jc w:val="right"/>
              <w:ind w:right="20"/>
              <w:spacing w:after="0"/>
              <w:rPr>
                <w:sz w:val="20"/>
                <w:szCs w:val="20"/>
                <w:color w:val="auto"/>
              </w:rPr>
            </w:pPr>
            <w:r>
              <w:rPr>
                <w:rFonts w:ascii="Arial" w:cs="Arial" w:eastAsia="Arial" w:hAnsi="Arial"/>
                <w:sz w:val="16"/>
                <w:szCs w:val="16"/>
                <w:color w:val="auto"/>
              </w:rPr>
              <w:t>—</w:t>
            </w:r>
          </w:p>
        </w:tc>
      </w:tr>
      <w:tr>
        <w:trPr>
          <w:trHeight w:val="270"/>
        </w:trPr>
        <w:tc>
          <w:tcPr>
            <w:tcW w:w="9020" w:type="dxa"/>
            <w:vAlign w:val="bottom"/>
          </w:tcPr>
          <w:p>
            <w:pPr>
              <w:ind w:left="40"/>
              <w:spacing w:after="0"/>
              <w:rPr>
                <w:sz w:val="20"/>
                <w:szCs w:val="20"/>
                <w:color w:val="auto"/>
              </w:rPr>
            </w:pPr>
            <w:r>
              <w:rPr>
                <w:rFonts w:ascii="Arial" w:cs="Arial" w:eastAsia="Arial" w:hAnsi="Arial"/>
                <w:sz w:val="16"/>
                <w:szCs w:val="16"/>
                <w:color w:val="auto"/>
              </w:rPr>
              <w:t>Employer contributions</w:t>
            </w:r>
          </w:p>
        </w:tc>
        <w:tc>
          <w:tcPr>
            <w:tcW w:w="220" w:type="dxa"/>
            <w:vAlign w:val="bottom"/>
          </w:tcPr>
          <w:p>
            <w:pPr>
              <w:spacing w:after="0"/>
              <w:rPr>
                <w:sz w:val="23"/>
                <w:szCs w:val="23"/>
                <w:color w:val="auto"/>
              </w:rPr>
            </w:pPr>
          </w:p>
        </w:tc>
        <w:tc>
          <w:tcPr>
            <w:tcW w:w="980" w:type="dxa"/>
            <w:vAlign w:val="bottom"/>
          </w:tcPr>
          <w:p>
            <w:pPr>
              <w:jc w:val="right"/>
              <w:ind w:right="81"/>
              <w:spacing w:after="0"/>
              <w:rPr>
                <w:sz w:val="20"/>
                <w:szCs w:val="20"/>
                <w:color w:val="auto"/>
              </w:rPr>
            </w:pPr>
            <w:r>
              <w:rPr>
                <w:rFonts w:ascii="Arial" w:cs="Arial" w:eastAsia="Arial" w:hAnsi="Arial"/>
                <w:sz w:val="16"/>
                <w:szCs w:val="16"/>
                <w:b w:val="1"/>
                <w:bCs w:val="1"/>
                <w:color w:val="auto"/>
              </w:rPr>
              <w:t>5,576</w:t>
            </w:r>
          </w:p>
        </w:tc>
        <w:tc>
          <w:tcPr>
            <w:tcW w:w="300" w:type="dxa"/>
            <w:vAlign w:val="bottom"/>
          </w:tcPr>
          <w:p>
            <w:pPr>
              <w:spacing w:after="0"/>
              <w:rPr>
                <w:sz w:val="23"/>
                <w:szCs w:val="23"/>
                <w:color w:val="auto"/>
              </w:rPr>
            </w:pPr>
          </w:p>
        </w:tc>
        <w:tc>
          <w:tcPr>
            <w:tcW w:w="900" w:type="dxa"/>
            <w:vAlign w:val="bottom"/>
          </w:tcPr>
          <w:p>
            <w:pPr>
              <w:jc w:val="right"/>
              <w:ind w:right="20"/>
              <w:spacing w:after="0"/>
              <w:rPr>
                <w:sz w:val="20"/>
                <w:szCs w:val="20"/>
                <w:color w:val="auto"/>
              </w:rPr>
            </w:pPr>
            <w:r>
              <w:rPr>
                <w:rFonts w:ascii="Arial" w:cs="Arial" w:eastAsia="Arial" w:hAnsi="Arial"/>
                <w:sz w:val="16"/>
                <w:szCs w:val="16"/>
                <w:color w:val="auto"/>
              </w:rPr>
              <w:t>4,967</w:t>
            </w:r>
          </w:p>
        </w:tc>
      </w:tr>
      <w:tr>
        <w:trPr>
          <w:trHeight w:val="283"/>
        </w:trPr>
        <w:tc>
          <w:tcPr>
            <w:tcW w:w="9020" w:type="dxa"/>
            <w:vAlign w:val="bottom"/>
          </w:tcPr>
          <w:p>
            <w:pPr>
              <w:ind w:left="40"/>
              <w:spacing w:after="0"/>
              <w:rPr>
                <w:sz w:val="20"/>
                <w:szCs w:val="20"/>
                <w:color w:val="auto"/>
              </w:rPr>
            </w:pPr>
            <w:r>
              <w:rPr>
                <w:rFonts w:ascii="Arial" w:cs="Arial" w:eastAsia="Arial" w:hAnsi="Arial"/>
                <w:sz w:val="16"/>
                <w:szCs w:val="16"/>
                <w:color w:val="auto"/>
              </w:rPr>
              <w:t>Benefits paid</w:t>
            </w:r>
          </w:p>
        </w:tc>
        <w:tc>
          <w:tcPr>
            <w:tcW w:w="22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jc w:val="right"/>
              <w:ind w:right="21"/>
              <w:spacing w:after="0"/>
              <w:rPr>
                <w:sz w:val="20"/>
                <w:szCs w:val="20"/>
                <w:color w:val="auto"/>
              </w:rPr>
            </w:pPr>
            <w:r>
              <w:rPr>
                <w:rFonts w:ascii="Arial" w:cs="Arial" w:eastAsia="Arial" w:hAnsi="Arial"/>
                <w:sz w:val="16"/>
                <w:szCs w:val="16"/>
                <w:b w:val="1"/>
                <w:bCs w:val="1"/>
                <w:color w:val="auto"/>
              </w:rPr>
              <w:t>(5,576)</w:t>
            </w:r>
          </w:p>
        </w:tc>
        <w:tc>
          <w:tcPr>
            <w:tcW w:w="30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(4,967)</w:t>
            </w:r>
          </w:p>
        </w:tc>
      </w:tr>
      <w:tr>
        <w:trPr>
          <w:trHeight w:val="264"/>
        </w:trPr>
        <w:tc>
          <w:tcPr>
            <w:tcW w:w="9020" w:type="dxa"/>
            <w:vAlign w:val="bottom"/>
          </w:tcPr>
          <w:p>
            <w:pPr>
              <w:ind w:left="40"/>
              <w:spacing w:after="0"/>
              <w:rPr>
                <w:sz w:val="20"/>
                <w:szCs w:val="20"/>
                <w:color w:val="auto"/>
              </w:rPr>
            </w:pPr>
            <w:r>
              <w:rPr>
                <w:rFonts w:ascii="Arial" w:cs="Arial" w:eastAsia="Arial" w:hAnsi="Arial"/>
                <w:sz w:val="16"/>
                <w:szCs w:val="16"/>
                <w:b w:val="1"/>
                <w:bCs w:val="1"/>
                <w:color w:val="auto"/>
              </w:rPr>
              <w:t>Fair Value of Assets at End of Year</w:t>
            </w:r>
          </w:p>
        </w:tc>
        <w:tc>
          <w:tcPr>
            <w:tcW w:w="2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b w:val="1"/>
                <w:bCs w:val="1"/>
                <w:color w:val="auto"/>
              </w:rPr>
              <w:t>$</w:t>
            </w:r>
          </w:p>
        </w:tc>
        <w:tc>
          <w:tcPr>
            <w:tcW w:w="980" w:type="dxa"/>
            <w:vAlign w:val="bottom"/>
            <w:tcBorders>
              <w:bottom w:val="single" w:sz="8" w:color="auto"/>
            </w:tcBorders>
          </w:tcPr>
          <w:p>
            <w:pPr>
              <w:jc w:val="right"/>
              <w:ind w:right="81"/>
              <w:spacing w:after="0"/>
              <w:rPr>
                <w:sz w:val="20"/>
                <w:szCs w:val="20"/>
                <w:color w:val="auto"/>
              </w:rPr>
            </w:pPr>
            <w:r>
              <w:rPr>
                <w:rFonts w:ascii="Arial" w:cs="Arial" w:eastAsia="Arial" w:hAnsi="Arial"/>
                <w:sz w:val="16"/>
                <w:szCs w:val="16"/>
                <w:b w:val="1"/>
                <w:bCs w:val="1"/>
                <w:color w:val="auto"/>
              </w:rPr>
              <w:t>—</w:t>
            </w:r>
          </w:p>
        </w:tc>
        <w:tc>
          <w:tcPr>
            <w:tcW w:w="30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90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w:t>
            </w:r>
          </w:p>
        </w:tc>
      </w:tr>
      <w:tr>
        <w:trPr>
          <w:trHeight w:val="267"/>
        </w:trPr>
        <w:tc>
          <w:tcPr>
            <w:tcW w:w="9020" w:type="dxa"/>
            <w:vAlign w:val="bottom"/>
          </w:tcPr>
          <w:p>
            <w:pPr>
              <w:ind w:left="40"/>
              <w:spacing w:after="0"/>
              <w:rPr>
                <w:sz w:val="20"/>
                <w:szCs w:val="20"/>
                <w:color w:val="auto"/>
              </w:rPr>
            </w:pPr>
            <w:r>
              <w:rPr>
                <w:rFonts w:ascii="Arial" w:cs="Arial" w:eastAsia="Arial" w:hAnsi="Arial"/>
                <w:sz w:val="16"/>
                <w:szCs w:val="16"/>
                <w:b w:val="1"/>
                <w:bCs w:val="1"/>
                <w:color w:val="auto"/>
              </w:rPr>
              <w:t>Funded Status</w:t>
            </w:r>
          </w:p>
        </w:tc>
        <w:tc>
          <w:tcPr>
            <w:tcW w:w="2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b w:val="1"/>
                <w:bCs w:val="1"/>
                <w:color w:val="auto"/>
              </w:rPr>
              <w:t>$</w:t>
            </w:r>
          </w:p>
        </w:tc>
        <w:tc>
          <w:tcPr>
            <w:tcW w:w="980" w:type="dxa"/>
            <w:vAlign w:val="bottom"/>
            <w:tcBorders>
              <w:bottom w:val="single" w:sz="8" w:color="auto"/>
            </w:tcBorders>
          </w:tcPr>
          <w:p>
            <w:pPr>
              <w:jc w:val="right"/>
              <w:ind w:right="21"/>
              <w:spacing w:after="0"/>
              <w:rPr>
                <w:sz w:val="20"/>
                <w:szCs w:val="20"/>
                <w:color w:val="auto"/>
              </w:rPr>
            </w:pPr>
            <w:r>
              <w:rPr>
                <w:rFonts w:ascii="Arial" w:cs="Arial" w:eastAsia="Arial" w:hAnsi="Arial"/>
                <w:sz w:val="16"/>
                <w:szCs w:val="16"/>
                <w:b w:val="1"/>
                <w:bCs w:val="1"/>
                <w:color w:val="auto"/>
              </w:rPr>
              <w:t>(110,082)</w:t>
            </w:r>
          </w:p>
        </w:tc>
        <w:tc>
          <w:tcPr>
            <w:tcW w:w="30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(106,526)</w:t>
            </w:r>
          </w:p>
        </w:tc>
      </w:tr>
      <w:tr>
        <w:trPr>
          <w:trHeight w:val="20"/>
        </w:trPr>
        <w:tc>
          <w:tcPr>
            <w:tcW w:w="90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r>
    </w:tbl>
    <w:p>
      <w:pPr>
        <w:spacing w:after="0" w:line="130" w:lineRule="exact"/>
        <w:rPr>
          <w:sz w:val="20"/>
          <w:szCs w:val="20"/>
          <w:color w:val="auto"/>
        </w:rPr>
      </w:pPr>
    </w:p>
    <w:p>
      <w:pPr>
        <w:spacing w:after="0"/>
        <w:rPr>
          <w:sz w:val="20"/>
          <w:szCs w:val="20"/>
          <w:color w:val="auto"/>
        </w:rPr>
      </w:pPr>
      <w:r>
        <w:rPr>
          <w:rFonts w:ascii="Arial" w:cs="Arial" w:eastAsia="Arial" w:hAnsi="Arial"/>
          <w:sz w:val="18"/>
          <w:szCs w:val="18"/>
          <w:color w:val="auto"/>
        </w:rPr>
        <w:t>The accumulated benefit obligation for the Company’s pension plans at December 31, 2017 and 2016, was $1,261.8 million and $1,137.9</w:t>
      </w:r>
    </w:p>
    <w:p>
      <w:pPr>
        <w:spacing w:after="0" w:line="219" w:lineRule="auto"/>
        <w:rPr>
          <w:sz w:val="20"/>
          <w:szCs w:val="20"/>
          <w:color w:val="auto"/>
        </w:rPr>
      </w:pPr>
      <w:r>
        <w:rPr>
          <w:rFonts w:ascii="Arial" w:cs="Arial" w:eastAsia="Arial" w:hAnsi="Arial"/>
          <w:sz w:val="18"/>
          <w:szCs w:val="18"/>
          <w:color w:val="auto"/>
        </w:rPr>
        <w:t>million, respectively. The accumulated benefit obligation for the Company’s SERP at December 31, 2017 and 2016, was $108.0 million and</w:t>
      </w:r>
    </w:p>
    <w:p>
      <w:pPr>
        <w:spacing w:after="0" w:line="219" w:lineRule="auto"/>
        <w:rPr>
          <w:sz w:val="20"/>
          <w:szCs w:val="20"/>
          <w:color w:val="auto"/>
        </w:rPr>
      </w:pPr>
      <w:r>
        <w:rPr>
          <w:rFonts w:ascii="Arial" w:cs="Arial" w:eastAsia="Arial" w:hAnsi="Arial"/>
          <w:sz w:val="18"/>
          <w:szCs w:val="18"/>
          <w:color w:val="auto"/>
        </w:rPr>
        <w:t>$103.0 million, respectively. The amounts recognized in the Company’s Consolidated Balance Sheets for its defined benefit pension plans are</w:t>
      </w:r>
    </w:p>
    <w:p>
      <w:pPr>
        <w:spacing w:after="0"/>
        <w:rPr>
          <w:sz w:val="20"/>
          <w:szCs w:val="20"/>
          <w:color w:val="auto"/>
        </w:rPr>
      </w:pPr>
      <w:r>
        <w:rPr>
          <w:rFonts w:ascii="Arial" w:cs="Arial" w:eastAsia="Arial" w:hAnsi="Arial"/>
          <w:sz w:val="18"/>
          <w:szCs w:val="18"/>
          <w:color w:val="auto"/>
        </w:rPr>
        <w:t>as follows:</w:t>
      </w:r>
    </w:p>
    <w:p>
      <w:pPr>
        <w:spacing w:after="0" w:line="199"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652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2200" w:type="dxa"/>
            <w:vAlign w:val="bottom"/>
            <w:tcBorders>
              <w:bottom w:val="single" w:sz="8" w:color="auto"/>
            </w:tcBorders>
            <w:gridSpan w:val="3"/>
          </w:tcPr>
          <w:p>
            <w:pPr>
              <w:jc w:val="right"/>
              <w:ind w:right="621"/>
              <w:spacing w:after="0"/>
              <w:rPr>
                <w:sz w:val="20"/>
                <w:szCs w:val="20"/>
                <w:color w:val="auto"/>
              </w:rPr>
            </w:pPr>
            <w:r>
              <w:rPr>
                <w:rFonts w:ascii="Arial" w:cs="Arial" w:eastAsia="Arial" w:hAnsi="Arial"/>
                <w:sz w:val="14"/>
                <w:szCs w:val="14"/>
                <w:b w:val="1"/>
                <w:bCs w:val="1"/>
                <w:color w:val="auto"/>
              </w:rPr>
              <w:t>Pension Plans</w:t>
            </w:r>
          </w:p>
        </w:tc>
        <w:tc>
          <w:tcPr>
            <w:tcW w:w="36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gridSpan w:val="2"/>
          </w:tcPr>
          <w:p>
            <w:pPr>
              <w:jc w:val="right"/>
              <w:ind w:right="39"/>
              <w:spacing w:after="0"/>
              <w:rPr>
                <w:sz w:val="20"/>
                <w:szCs w:val="20"/>
                <w:color w:val="auto"/>
              </w:rPr>
            </w:pPr>
            <w:r>
              <w:rPr>
                <w:rFonts w:ascii="Arial" w:cs="Arial" w:eastAsia="Arial" w:hAnsi="Arial"/>
                <w:sz w:val="14"/>
                <w:szCs w:val="14"/>
                <w:b w:val="1"/>
                <w:bCs w:val="1"/>
                <w:color w:val="auto"/>
              </w:rPr>
              <w:t>SERP</w:t>
            </w:r>
          </w:p>
        </w:tc>
        <w:tc>
          <w:tcPr>
            <w:tcW w:w="860" w:type="dxa"/>
            <w:vAlign w:val="bottom"/>
            <w:tcBorders>
              <w:bottom w:val="single" w:sz="8" w:color="auto"/>
            </w:tcBorders>
          </w:tcPr>
          <w:p>
            <w:pPr>
              <w:spacing w:after="0"/>
              <w:rPr>
                <w:sz w:val="17"/>
                <w:szCs w:val="17"/>
                <w:color w:val="auto"/>
              </w:rPr>
            </w:pPr>
          </w:p>
        </w:tc>
      </w:tr>
      <w:tr>
        <w:trPr>
          <w:trHeight w:val="264"/>
        </w:trPr>
        <w:tc>
          <w:tcPr>
            <w:tcW w:w="6520" w:type="dxa"/>
            <w:vAlign w:val="bottom"/>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2200" w:type="dxa"/>
            <w:vAlign w:val="bottom"/>
            <w:tcBorders>
              <w:bottom w:val="single" w:sz="8" w:color="auto"/>
            </w:tcBorders>
            <w:gridSpan w:val="3"/>
          </w:tcPr>
          <w:p>
            <w:pPr>
              <w:jc w:val="right"/>
              <w:ind w:right="481"/>
              <w:spacing w:after="0"/>
              <w:rPr>
                <w:sz w:val="20"/>
                <w:szCs w:val="20"/>
                <w:color w:val="auto"/>
              </w:rPr>
            </w:pPr>
            <w:r>
              <w:rPr>
                <w:rFonts w:ascii="Arial" w:cs="Arial" w:eastAsia="Arial" w:hAnsi="Arial"/>
                <w:sz w:val="14"/>
                <w:szCs w:val="14"/>
                <w:b w:val="1"/>
                <w:bCs w:val="1"/>
                <w:color w:val="auto"/>
              </w:rPr>
              <w:t>As of December 31</w:t>
            </w:r>
          </w:p>
        </w:tc>
        <w:tc>
          <w:tcPr>
            <w:tcW w:w="360" w:type="dxa"/>
            <w:vAlign w:val="bottom"/>
            <w:tcBorders>
              <w:bottom w:val="single" w:sz="8" w:color="auto"/>
            </w:tcBorders>
          </w:tcPr>
          <w:p>
            <w:pPr>
              <w:spacing w:after="0"/>
              <w:rPr>
                <w:sz w:val="22"/>
                <w:szCs w:val="22"/>
                <w:color w:val="auto"/>
              </w:rPr>
            </w:pPr>
          </w:p>
        </w:tc>
        <w:tc>
          <w:tcPr>
            <w:tcW w:w="2120" w:type="dxa"/>
            <w:vAlign w:val="bottom"/>
            <w:tcBorders>
              <w:bottom w:val="single" w:sz="8" w:color="auto"/>
            </w:tcBorders>
            <w:gridSpan w:val="3"/>
          </w:tcPr>
          <w:p>
            <w:pPr>
              <w:jc w:val="right"/>
              <w:ind w:right="441"/>
              <w:spacing w:after="0"/>
              <w:rPr>
                <w:sz w:val="20"/>
                <w:szCs w:val="20"/>
                <w:color w:val="auto"/>
              </w:rPr>
            </w:pPr>
            <w:r>
              <w:rPr>
                <w:rFonts w:ascii="Arial" w:cs="Arial" w:eastAsia="Arial" w:hAnsi="Arial"/>
                <w:sz w:val="14"/>
                <w:szCs w:val="14"/>
                <w:b w:val="1"/>
                <w:bCs w:val="1"/>
                <w:color w:val="auto"/>
              </w:rPr>
              <w:t>As of December 31</w:t>
            </w:r>
          </w:p>
        </w:tc>
      </w:tr>
      <w:tr>
        <w:trPr>
          <w:trHeight w:val="264"/>
        </w:trPr>
        <w:tc>
          <w:tcPr>
            <w:tcW w:w="652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(in thousands)</w:t>
            </w:r>
          </w:p>
        </w:tc>
        <w:tc>
          <w:tcPr>
            <w:tcW w:w="22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363"/>
              <w:spacing w:after="0"/>
              <w:rPr>
                <w:sz w:val="20"/>
                <w:szCs w:val="20"/>
                <w:color w:val="auto"/>
              </w:rPr>
            </w:pPr>
            <w:r>
              <w:rPr>
                <w:rFonts w:ascii="Arial" w:cs="Arial" w:eastAsia="Arial" w:hAnsi="Arial"/>
                <w:sz w:val="14"/>
                <w:szCs w:val="14"/>
                <w:b w:val="1"/>
                <w:bCs w:val="1"/>
                <w:color w:val="auto"/>
              </w:rPr>
              <w:t>2017</w:t>
            </w:r>
          </w:p>
        </w:tc>
        <w:tc>
          <w:tcPr>
            <w:tcW w:w="36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ind w:right="341"/>
              <w:spacing w:after="0"/>
              <w:rPr>
                <w:sz w:val="20"/>
                <w:szCs w:val="20"/>
                <w:color w:val="auto"/>
              </w:rPr>
            </w:pPr>
            <w:r>
              <w:rPr>
                <w:rFonts w:ascii="Arial" w:cs="Arial" w:eastAsia="Arial" w:hAnsi="Arial"/>
                <w:sz w:val="14"/>
                <w:szCs w:val="14"/>
                <w:color w:val="auto"/>
              </w:rPr>
              <w:t>2016</w:t>
            </w:r>
          </w:p>
        </w:tc>
        <w:tc>
          <w:tcPr>
            <w:tcW w:w="36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jc w:val="right"/>
              <w:ind w:right="363"/>
              <w:spacing w:after="0"/>
              <w:rPr>
                <w:sz w:val="20"/>
                <w:szCs w:val="20"/>
                <w:color w:val="auto"/>
              </w:rPr>
            </w:pPr>
            <w:r>
              <w:rPr>
                <w:rFonts w:ascii="Arial" w:cs="Arial" w:eastAsia="Arial" w:hAnsi="Arial"/>
                <w:sz w:val="14"/>
                <w:szCs w:val="14"/>
                <w:b w:val="1"/>
                <w:bCs w:val="1"/>
                <w:color w:val="auto"/>
              </w:rPr>
              <w:t>2017</w:t>
            </w:r>
          </w:p>
        </w:tc>
        <w:tc>
          <w:tcPr>
            <w:tcW w:w="34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jc w:val="right"/>
              <w:ind w:right="321"/>
              <w:spacing w:after="0"/>
              <w:rPr>
                <w:sz w:val="20"/>
                <w:szCs w:val="20"/>
                <w:color w:val="auto"/>
              </w:rPr>
            </w:pPr>
            <w:r>
              <w:rPr>
                <w:rFonts w:ascii="Arial" w:cs="Arial" w:eastAsia="Arial" w:hAnsi="Arial"/>
                <w:sz w:val="14"/>
                <w:szCs w:val="14"/>
                <w:color w:val="auto"/>
              </w:rPr>
              <w:t>2016</w:t>
            </w:r>
          </w:p>
        </w:tc>
      </w:tr>
      <w:tr>
        <w:trPr>
          <w:trHeight w:val="250"/>
        </w:trPr>
        <w:tc>
          <w:tcPr>
            <w:tcW w:w="6520" w:type="dxa"/>
            <w:vAlign w:val="bottom"/>
          </w:tcPr>
          <w:p>
            <w:pPr>
              <w:ind w:left="40"/>
              <w:spacing w:after="0"/>
              <w:rPr>
                <w:sz w:val="20"/>
                <w:szCs w:val="20"/>
                <w:color w:val="auto"/>
              </w:rPr>
            </w:pPr>
            <w:r>
              <w:rPr>
                <w:rFonts w:ascii="Arial" w:cs="Arial" w:eastAsia="Arial" w:hAnsi="Arial"/>
                <w:sz w:val="16"/>
                <w:szCs w:val="16"/>
                <w:color w:val="auto"/>
              </w:rPr>
              <w:t>Noncurrent asset</w:t>
            </w:r>
          </w:p>
        </w:tc>
        <w:tc>
          <w:tcPr>
            <w:tcW w:w="220" w:type="dxa"/>
            <w:vAlign w:val="bottom"/>
          </w:tcPr>
          <w:p>
            <w:pPr>
              <w:jc w:val="right"/>
              <w:ind w:right="19"/>
              <w:spacing w:after="0"/>
              <w:rPr>
                <w:sz w:val="20"/>
                <w:szCs w:val="20"/>
                <w:color w:val="auto"/>
              </w:rPr>
            </w:pPr>
            <w:r>
              <w:rPr>
                <w:rFonts w:ascii="Arial" w:cs="Arial" w:eastAsia="Arial" w:hAnsi="Arial"/>
                <w:sz w:val="16"/>
                <w:szCs w:val="16"/>
                <w:b w:val="1"/>
                <w:bCs w:val="1"/>
                <w:color w:val="auto"/>
              </w:rPr>
              <w:t>$</w:t>
            </w:r>
          </w:p>
        </w:tc>
        <w:tc>
          <w:tcPr>
            <w:tcW w:w="960" w:type="dxa"/>
            <w:vAlign w:val="bottom"/>
          </w:tcPr>
          <w:p>
            <w:pPr>
              <w:jc w:val="right"/>
              <w:ind w:right="43"/>
              <w:spacing w:after="0"/>
              <w:rPr>
                <w:sz w:val="20"/>
                <w:szCs w:val="20"/>
                <w:color w:val="auto"/>
              </w:rPr>
            </w:pPr>
            <w:r>
              <w:rPr>
                <w:rFonts w:ascii="Arial" w:cs="Arial" w:eastAsia="Arial" w:hAnsi="Arial"/>
                <w:sz w:val="16"/>
                <w:szCs w:val="16"/>
                <w:b w:val="1"/>
                <w:bCs w:val="1"/>
                <w:color w:val="auto"/>
              </w:rPr>
              <w:t>1,056,777</w:t>
            </w:r>
          </w:p>
        </w:tc>
        <w:tc>
          <w:tcPr>
            <w:tcW w:w="36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880" w:type="dxa"/>
            <w:vAlign w:val="bottom"/>
          </w:tcPr>
          <w:p>
            <w:pPr>
              <w:jc w:val="right"/>
              <w:ind w:right="41"/>
              <w:spacing w:after="0"/>
              <w:rPr>
                <w:sz w:val="20"/>
                <w:szCs w:val="20"/>
                <w:color w:val="auto"/>
              </w:rPr>
            </w:pPr>
            <w:r>
              <w:rPr>
                <w:rFonts w:ascii="Arial" w:cs="Arial" w:eastAsia="Arial" w:hAnsi="Arial"/>
                <w:sz w:val="16"/>
                <w:szCs w:val="16"/>
                <w:color w:val="auto"/>
              </w:rPr>
              <w:t>881,593</w:t>
            </w:r>
          </w:p>
        </w:tc>
        <w:tc>
          <w:tcPr>
            <w:tcW w:w="360" w:type="dxa"/>
            <w:vAlign w:val="bottom"/>
          </w:tcPr>
          <w:p>
            <w:pPr>
              <w:jc w:val="right"/>
              <w:ind w:right="59"/>
              <w:spacing w:after="0"/>
              <w:rPr>
                <w:sz w:val="20"/>
                <w:szCs w:val="20"/>
                <w:color w:val="auto"/>
              </w:rPr>
            </w:pPr>
            <w:r>
              <w:rPr>
                <w:rFonts w:ascii="Arial" w:cs="Arial" w:eastAsia="Arial" w:hAnsi="Arial"/>
                <w:sz w:val="16"/>
                <w:szCs w:val="16"/>
                <w:b w:val="1"/>
                <w:bCs w:val="1"/>
                <w:color w:val="auto"/>
              </w:rPr>
              <w:t>$</w:t>
            </w:r>
          </w:p>
        </w:tc>
        <w:tc>
          <w:tcPr>
            <w:tcW w:w="920" w:type="dxa"/>
            <w:vAlign w:val="bottom"/>
          </w:tcPr>
          <w:p>
            <w:pPr>
              <w:jc w:val="right"/>
              <w:ind w:right="83"/>
              <w:spacing w:after="0"/>
              <w:rPr>
                <w:sz w:val="20"/>
                <w:szCs w:val="20"/>
                <w:color w:val="auto"/>
              </w:rPr>
            </w:pPr>
            <w:r>
              <w:rPr>
                <w:rFonts w:ascii="Arial" w:cs="Arial" w:eastAsia="Arial" w:hAnsi="Arial"/>
                <w:sz w:val="16"/>
                <w:szCs w:val="16"/>
                <w:b w:val="1"/>
                <w:bCs w:val="1"/>
                <w:color w:val="auto"/>
              </w:rPr>
              <w:t>—</w:t>
            </w:r>
          </w:p>
        </w:tc>
        <w:tc>
          <w:tcPr>
            <w:tcW w:w="34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860" w:type="dxa"/>
            <w:vAlign w:val="bottom"/>
          </w:tcPr>
          <w:p>
            <w:pPr>
              <w:jc w:val="right"/>
              <w:ind w:right="21"/>
              <w:spacing w:after="0"/>
              <w:rPr>
                <w:sz w:val="20"/>
                <w:szCs w:val="20"/>
                <w:color w:val="auto"/>
              </w:rPr>
            </w:pPr>
            <w:r>
              <w:rPr>
                <w:rFonts w:ascii="Arial" w:cs="Arial" w:eastAsia="Arial" w:hAnsi="Arial"/>
                <w:sz w:val="16"/>
                <w:szCs w:val="16"/>
                <w:color w:val="auto"/>
              </w:rPr>
              <w:t>—</w:t>
            </w:r>
          </w:p>
        </w:tc>
      </w:tr>
      <w:tr>
        <w:trPr>
          <w:trHeight w:val="270"/>
        </w:trPr>
        <w:tc>
          <w:tcPr>
            <w:tcW w:w="6520" w:type="dxa"/>
            <w:vAlign w:val="bottom"/>
          </w:tcPr>
          <w:p>
            <w:pPr>
              <w:ind w:left="40"/>
              <w:spacing w:after="0"/>
              <w:rPr>
                <w:sz w:val="20"/>
                <w:szCs w:val="20"/>
                <w:color w:val="auto"/>
              </w:rPr>
            </w:pPr>
            <w:r>
              <w:rPr>
                <w:rFonts w:ascii="Arial" w:cs="Arial" w:eastAsia="Arial" w:hAnsi="Arial"/>
                <w:sz w:val="16"/>
                <w:szCs w:val="16"/>
                <w:color w:val="auto"/>
              </w:rPr>
              <w:t>Current liability</w:t>
            </w:r>
          </w:p>
        </w:tc>
        <w:tc>
          <w:tcPr>
            <w:tcW w:w="220" w:type="dxa"/>
            <w:vAlign w:val="bottom"/>
          </w:tcPr>
          <w:p>
            <w:pPr>
              <w:spacing w:after="0"/>
              <w:rPr>
                <w:sz w:val="23"/>
                <w:szCs w:val="23"/>
                <w:color w:val="auto"/>
              </w:rPr>
            </w:pPr>
          </w:p>
        </w:tc>
        <w:tc>
          <w:tcPr>
            <w:tcW w:w="960" w:type="dxa"/>
            <w:vAlign w:val="bottom"/>
          </w:tcPr>
          <w:p>
            <w:pPr>
              <w:jc w:val="right"/>
              <w:ind w:right="43"/>
              <w:spacing w:after="0"/>
              <w:rPr>
                <w:sz w:val="20"/>
                <w:szCs w:val="20"/>
                <w:color w:val="auto"/>
              </w:rPr>
            </w:pPr>
            <w:r>
              <w:rPr>
                <w:rFonts w:ascii="Arial" w:cs="Arial" w:eastAsia="Arial" w:hAnsi="Arial"/>
                <w:sz w:val="16"/>
                <w:szCs w:val="16"/>
                <w:b w:val="1"/>
                <w:bCs w:val="1"/>
                <w:color w:val="auto"/>
              </w:rPr>
              <w:t>—</w:t>
            </w:r>
          </w:p>
        </w:tc>
        <w:tc>
          <w:tcPr>
            <w:tcW w:w="360" w:type="dxa"/>
            <w:vAlign w:val="bottom"/>
          </w:tcPr>
          <w:p>
            <w:pPr>
              <w:spacing w:after="0"/>
              <w:rPr>
                <w:sz w:val="23"/>
                <w:szCs w:val="23"/>
                <w:color w:val="auto"/>
              </w:rPr>
            </w:pPr>
          </w:p>
        </w:tc>
        <w:tc>
          <w:tcPr>
            <w:tcW w:w="880" w:type="dxa"/>
            <w:vAlign w:val="bottom"/>
          </w:tcPr>
          <w:p>
            <w:pPr>
              <w:jc w:val="right"/>
              <w:ind w:right="41"/>
              <w:spacing w:after="0"/>
              <w:rPr>
                <w:sz w:val="20"/>
                <w:szCs w:val="20"/>
                <w:color w:val="auto"/>
              </w:rPr>
            </w:pPr>
            <w:r>
              <w:rPr>
                <w:rFonts w:ascii="Arial" w:cs="Arial" w:eastAsia="Arial" w:hAnsi="Arial"/>
                <w:sz w:val="16"/>
                <w:szCs w:val="16"/>
                <w:color w:val="auto"/>
              </w:rPr>
              <w:t>—</w:t>
            </w:r>
          </w:p>
        </w:tc>
        <w:tc>
          <w:tcPr>
            <w:tcW w:w="360" w:type="dxa"/>
            <w:vAlign w:val="bottom"/>
          </w:tcPr>
          <w:p>
            <w:pPr>
              <w:spacing w:after="0"/>
              <w:rPr>
                <w:sz w:val="23"/>
                <w:szCs w:val="23"/>
                <w:color w:val="auto"/>
              </w:rPr>
            </w:pPr>
          </w:p>
        </w:tc>
        <w:tc>
          <w:tcPr>
            <w:tcW w:w="920" w:type="dxa"/>
            <w:vAlign w:val="bottom"/>
          </w:tcPr>
          <w:p>
            <w:pPr>
              <w:jc w:val="right"/>
              <w:ind w:right="23"/>
              <w:spacing w:after="0"/>
              <w:rPr>
                <w:sz w:val="20"/>
                <w:szCs w:val="20"/>
                <w:color w:val="auto"/>
              </w:rPr>
            </w:pPr>
            <w:r>
              <w:rPr>
                <w:rFonts w:ascii="Arial" w:cs="Arial" w:eastAsia="Arial" w:hAnsi="Arial"/>
                <w:sz w:val="16"/>
                <w:szCs w:val="16"/>
                <w:b w:val="1"/>
                <w:bCs w:val="1"/>
                <w:color w:val="auto"/>
              </w:rPr>
              <w:t>(5,838)</w:t>
            </w:r>
          </w:p>
        </w:tc>
        <w:tc>
          <w:tcPr>
            <w:tcW w:w="340" w:type="dxa"/>
            <w:vAlign w:val="bottom"/>
          </w:tcPr>
          <w:p>
            <w:pPr>
              <w:spacing w:after="0"/>
              <w:rPr>
                <w:sz w:val="23"/>
                <w:szCs w:val="23"/>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(5,580)</w:t>
            </w:r>
          </w:p>
        </w:tc>
      </w:tr>
      <w:tr>
        <w:trPr>
          <w:trHeight w:val="283"/>
        </w:trPr>
        <w:tc>
          <w:tcPr>
            <w:tcW w:w="6520" w:type="dxa"/>
            <w:vAlign w:val="bottom"/>
          </w:tcPr>
          <w:p>
            <w:pPr>
              <w:ind w:left="40"/>
              <w:spacing w:after="0"/>
              <w:rPr>
                <w:sz w:val="20"/>
                <w:szCs w:val="20"/>
                <w:color w:val="auto"/>
              </w:rPr>
            </w:pPr>
            <w:r>
              <w:rPr>
                <w:rFonts w:ascii="Arial" w:cs="Arial" w:eastAsia="Arial" w:hAnsi="Arial"/>
                <w:sz w:val="16"/>
                <w:szCs w:val="16"/>
                <w:color w:val="auto"/>
              </w:rPr>
              <w:t>Noncurrent liability</w:t>
            </w:r>
          </w:p>
        </w:tc>
        <w:tc>
          <w:tcPr>
            <w:tcW w:w="22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jc w:val="right"/>
              <w:ind w:right="43"/>
              <w:spacing w:after="0"/>
              <w:rPr>
                <w:sz w:val="20"/>
                <w:szCs w:val="20"/>
                <w:color w:val="auto"/>
              </w:rPr>
            </w:pPr>
            <w:r>
              <w:rPr>
                <w:rFonts w:ascii="Arial" w:cs="Arial" w:eastAsia="Arial" w:hAnsi="Arial"/>
                <w:sz w:val="16"/>
                <w:szCs w:val="16"/>
                <w:b w:val="1"/>
                <w:bCs w:val="1"/>
                <w:color w:val="auto"/>
              </w:rPr>
              <w:t>—</w:t>
            </w:r>
          </w:p>
        </w:tc>
        <w:tc>
          <w:tcPr>
            <w:tcW w:w="36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jc w:val="right"/>
              <w:ind w:right="41"/>
              <w:spacing w:after="0"/>
              <w:rPr>
                <w:sz w:val="20"/>
                <w:szCs w:val="20"/>
                <w:color w:val="auto"/>
              </w:rPr>
            </w:pPr>
            <w:r>
              <w:rPr>
                <w:rFonts w:ascii="Arial" w:cs="Arial" w:eastAsia="Arial" w:hAnsi="Arial"/>
                <w:sz w:val="16"/>
                <w:szCs w:val="16"/>
                <w:color w:val="auto"/>
              </w:rPr>
              <w:t>—</w:t>
            </w:r>
          </w:p>
        </w:tc>
        <w:tc>
          <w:tcPr>
            <w:tcW w:w="36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jc w:val="right"/>
              <w:ind w:right="23"/>
              <w:spacing w:after="0"/>
              <w:rPr>
                <w:sz w:val="20"/>
                <w:szCs w:val="20"/>
                <w:color w:val="auto"/>
              </w:rPr>
            </w:pPr>
            <w:r>
              <w:rPr>
                <w:rFonts w:ascii="Arial" w:cs="Arial" w:eastAsia="Arial" w:hAnsi="Arial"/>
                <w:sz w:val="16"/>
                <w:szCs w:val="16"/>
                <w:b w:val="1"/>
                <w:bCs w:val="1"/>
                <w:color w:val="auto"/>
              </w:rPr>
              <w:t>(104,244)</w:t>
            </w:r>
          </w:p>
        </w:tc>
        <w:tc>
          <w:tcPr>
            <w:tcW w:w="34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(100,946)</w:t>
            </w:r>
          </w:p>
        </w:tc>
      </w:tr>
      <w:tr>
        <w:trPr>
          <w:trHeight w:val="267"/>
        </w:trPr>
        <w:tc>
          <w:tcPr>
            <w:tcW w:w="6520" w:type="dxa"/>
            <w:vAlign w:val="bottom"/>
          </w:tcPr>
          <w:p>
            <w:pPr>
              <w:ind w:left="40"/>
              <w:spacing w:after="0"/>
              <w:rPr>
                <w:sz w:val="20"/>
                <w:szCs w:val="20"/>
                <w:color w:val="auto"/>
              </w:rPr>
            </w:pPr>
            <w:r>
              <w:rPr>
                <w:rFonts w:ascii="Arial" w:cs="Arial" w:eastAsia="Arial" w:hAnsi="Arial"/>
                <w:sz w:val="16"/>
                <w:szCs w:val="16"/>
                <w:b w:val="1"/>
                <w:bCs w:val="1"/>
                <w:color w:val="auto"/>
              </w:rPr>
              <w:t>Recognized Asset (Liability)</w:t>
            </w:r>
          </w:p>
        </w:tc>
        <w:tc>
          <w:tcPr>
            <w:tcW w:w="2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b w:val="1"/>
                <w:bCs w:val="1"/>
                <w:color w:val="auto"/>
              </w:rPr>
              <w:t>$</w:t>
            </w:r>
          </w:p>
        </w:tc>
        <w:tc>
          <w:tcPr>
            <w:tcW w:w="960" w:type="dxa"/>
            <w:vAlign w:val="bottom"/>
            <w:tcBorders>
              <w:bottom w:val="single" w:sz="8" w:color="auto"/>
            </w:tcBorders>
          </w:tcPr>
          <w:p>
            <w:pPr>
              <w:jc w:val="right"/>
              <w:ind w:right="43"/>
              <w:spacing w:after="0"/>
              <w:rPr>
                <w:sz w:val="20"/>
                <w:szCs w:val="20"/>
                <w:color w:val="auto"/>
              </w:rPr>
            </w:pPr>
            <w:r>
              <w:rPr>
                <w:rFonts w:ascii="Arial" w:cs="Arial" w:eastAsia="Arial" w:hAnsi="Arial"/>
                <w:sz w:val="16"/>
                <w:szCs w:val="16"/>
                <w:b w:val="1"/>
                <w:bCs w:val="1"/>
                <w:color w:val="auto"/>
              </w:rPr>
              <w:t>1,056,777</w:t>
            </w:r>
          </w:p>
        </w:tc>
        <w:tc>
          <w:tcPr>
            <w:tcW w:w="36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w:t>
            </w:r>
          </w:p>
        </w:tc>
        <w:tc>
          <w:tcPr>
            <w:tcW w:w="880" w:type="dxa"/>
            <w:vAlign w:val="bottom"/>
            <w:tcBorders>
              <w:bottom w:val="single" w:sz="8" w:color="auto"/>
            </w:tcBorders>
          </w:tcPr>
          <w:p>
            <w:pPr>
              <w:jc w:val="right"/>
              <w:ind w:right="41"/>
              <w:spacing w:after="0"/>
              <w:rPr>
                <w:sz w:val="20"/>
                <w:szCs w:val="20"/>
                <w:color w:val="auto"/>
              </w:rPr>
            </w:pPr>
            <w:r>
              <w:rPr>
                <w:rFonts w:ascii="Arial" w:cs="Arial" w:eastAsia="Arial" w:hAnsi="Arial"/>
                <w:sz w:val="16"/>
                <w:szCs w:val="16"/>
                <w:color w:val="auto"/>
              </w:rPr>
              <w:t>881,593</w:t>
            </w:r>
          </w:p>
        </w:tc>
        <w:tc>
          <w:tcPr>
            <w:tcW w:w="36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b w:val="1"/>
                <w:bCs w:val="1"/>
                <w:color w:val="auto"/>
              </w:rPr>
              <w:t>$</w:t>
            </w:r>
          </w:p>
        </w:tc>
        <w:tc>
          <w:tcPr>
            <w:tcW w:w="920" w:type="dxa"/>
            <w:vAlign w:val="bottom"/>
            <w:tcBorders>
              <w:bottom w:val="single" w:sz="8" w:color="auto"/>
            </w:tcBorders>
          </w:tcPr>
          <w:p>
            <w:pPr>
              <w:jc w:val="right"/>
              <w:ind w:right="23"/>
              <w:spacing w:after="0"/>
              <w:rPr>
                <w:sz w:val="20"/>
                <w:szCs w:val="20"/>
                <w:color w:val="auto"/>
              </w:rPr>
            </w:pPr>
            <w:r>
              <w:rPr>
                <w:rFonts w:ascii="Arial" w:cs="Arial" w:eastAsia="Arial" w:hAnsi="Arial"/>
                <w:sz w:val="16"/>
                <w:szCs w:val="16"/>
                <w:b w:val="1"/>
                <w:bCs w:val="1"/>
                <w:color w:val="auto"/>
              </w:rPr>
              <w:t>(110,082)</w:t>
            </w:r>
          </w:p>
        </w:tc>
        <w:tc>
          <w:tcPr>
            <w:tcW w:w="34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(106,526)</w:t>
            </w:r>
          </w:p>
        </w:tc>
      </w:tr>
      <w:tr>
        <w:trPr>
          <w:trHeight w:val="20"/>
        </w:trPr>
        <w:tc>
          <w:tcPr>
            <w:tcW w:w="65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spacing w:after="0"/>
        <w:rPr>
          <w:sz w:val="20"/>
          <w:szCs w:val="20"/>
          <w:color w:val="auto"/>
        </w:rPr>
      </w:pPr>
      <w:r>
        <w:rPr>
          <w:rFonts w:ascii="Arial" w:cs="Arial" w:eastAsia="Arial" w:hAnsi="Arial"/>
          <w:sz w:val="18"/>
          <w:szCs w:val="18"/>
          <w:color w:val="auto"/>
        </w:rPr>
        <w:t>Key assumptions utilized for determining the benefit obligation are as follows:</w:t>
      </w:r>
    </w:p>
    <w:p>
      <w:pPr>
        <w:spacing w:after="0" w:line="199"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4240" w:type="dxa"/>
            <w:vAlign w:val="bottom"/>
          </w:tcPr>
          <w:p>
            <w:pPr>
              <w:spacing w:after="0"/>
              <w:rPr>
                <w:sz w:val="17"/>
                <w:szCs w:val="17"/>
                <w:color w:val="auto"/>
              </w:rPr>
            </w:pPr>
          </w:p>
        </w:tc>
        <w:tc>
          <w:tcPr>
            <w:tcW w:w="1280" w:type="dxa"/>
            <w:vAlign w:val="bottom"/>
            <w:tcBorders>
              <w:bottom w:val="single" w:sz="8" w:color="auto"/>
            </w:tcBorders>
          </w:tcPr>
          <w:p>
            <w:pPr>
              <w:spacing w:after="0"/>
              <w:rPr>
                <w:sz w:val="17"/>
                <w:szCs w:val="17"/>
                <w:color w:val="auto"/>
              </w:rPr>
            </w:pPr>
          </w:p>
        </w:tc>
        <w:tc>
          <w:tcPr>
            <w:tcW w:w="2320" w:type="dxa"/>
            <w:vAlign w:val="bottom"/>
            <w:tcBorders>
              <w:bottom w:val="single" w:sz="8" w:color="auto"/>
            </w:tcBorders>
          </w:tcPr>
          <w:p>
            <w:pPr>
              <w:jc w:val="center"/>
              <w:ind w:right="1263"/>
              <w:spacing w:after="0"/>
              <w:rPr>
                <w:sz w:val="20"/>
                <w:szCs w:val="20"/>
                <w:color w:val="auto"/>
              </w:rPr>
            </w:pPr>
            <w:r>
              <w:rPr>
                <w:rFonts w:ascii="Arial" w:cs="Arial" w:eastAsia="Arial" w:hAnsi="Arial"/>
                <w:sz w:val="14"/>
                <w:szCs w:val="14"/>
                <w:b w:val="1"/>
                <w:bCs w:val="1"/>
                <w:color w:val="auto"/>
              </w:rPr>
              <w:t>Pension Plans</w:t>
            </w:r>
          </w:p>
        </w:tc>
        <w:tc>
          <w:tcPr>
            <w:tcW w:w="1480" w:type="dxa"/>
            <w:vAlign w:val="bottom"/>
            <w:tcBorders>
              <w:bottom w:val="single" w:sz="8" w:color="auto"/>
            </w:tcBorders>
          </w:tcPr>
          <w:p>
            <w:pPr>
              <w:spacing w:after="0"/>
              <w:rPr>
                <w:sz w:val="17"/>
                <w:szCs w:val="17"/>
                <w:color w:val="auto"/>
              </w:rPr>
            </w:pPr>
          </w:p>
        </w:tc>
        <w:tc>
          <w:tcPr>
            <w:tcW w:w="2100" w:type="dxa"/>
            <w:vAlign w:val="bottom"/>
            <w:tcBorders>
              <w:bottom w:val="single" w:sz="8" w:color="auto"/>
            </w:tcBorders>
          </w:tcPr>
          <w:p>
            <w:pPr>
              <w:jc w:val="center"/>
              <w:ind w:right="1343"/>
              <w:spacing w:after="0"/>
              <w:rPr>
                <w:sz w:val="20"/>
                <w:szCs w:val="20"/>
                <w:color w:val="auto"/>
              </w:rPr>
            </w:pPr>
            <w:r>
              <w:rPr>
                <w:rFonts w:ascii="Arial" w:cs="Arial" w:eastAsia="Arial" w:hAnsi="Arial"/>
                <w:sz w:val="14"/>
                <w:szCs w:val="14"/>
                <w:b w:val="1"/>
                <w:bCs w:val="1"/>
                <w:color w:val="auto"/>
              </w:rPr>
              <w:t>SERP</w:t>
            </w:r>
          </w:p>
        </w:tc>
      </w:tr>
      <w:tr>
        <w:trPr>
          <w:trHeight w:val="264"/>
        </w:trPr>
        <w:tc>
          <w:tcPr>
            <w:tcW w:w="4240" w:type="dxa"/>
            <w:vAlign w:val="bottom"/>
          </w:tcPr>
          <w:p>
            <w:pPr>
              <w:spacing w:after="0"/>
              <w:rPr>
                <w:sz w:val="22"/>
                <w:szCs w:val="22"/>
                <w:color w:val="auto"/>
              </w:rPr>
            </w:pPr>
          </w:p>
        </w:tc>
        <w:tc>
          <w:tcPr>
            <w:tcW w:w="360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rPr>
              <w:t>As of December 31</w:t>
            </w:r>
          </w:p>
        </w:tc>
        <w:tc>
          <w:tcPr>
            <w:tcW w:w="3580" w:type="dxa"/>
            <w:vAlign w:val="bottom"/>
            <w:tcBorders>
              <w:bottom w:val="single" w:sz="8" w:color="auto"/>
            </w:tcBorders>
            <w:gridSpan w:val="2"/>
          </w:tcPr>
          <w:p>
            <w:pPr>
              <w:jc w:val="center"/>
              <w:ind w:left="3"/>
              <w:spacing w:after="0"/>
              <w:rPr>
                <w:sz w:val="20"/>
                <w:szCs w:val="20"/>
                <w:color w:val="auto"/>
              </w:rPr>
            </w:pPr>
            <w:r>
              <w:rPr>
                <w:rFonts w:ascii="Arial" w:cs="Arial" w:eastAsia="Arial" w:hAnsi="Arial"/>
                <w:sz w:val="14"/>
                <w:szCs w:val="14"/>
                <w:b w:val="1"/>
                <w:bCs w:val="1"/>
                <w:color w:val="auto"/>
              </w:rPr>
              <w:t>As of December 31</w:t>
            </w:r>
          </w:p>
        </w:tc>
      </w:tr>
      <w:tr>
        <w:trPr>
          <w:trHeight w:val="264"/>
        </w:trPr>
        <w:tc>
          <w:tcPr>
            <w:tcW w:w="4240" w:type="dxa"/>
            <w:vAlign w:val="bottom"/>
            <w:tcBorders>
              <w:bottom w:val="single" w:sz="8" w:color="auto"/>
            </w:tcBorders>
          </w:tcPr>
          <w:p>
            <w:pPr>
              <w:spacing w:after="0"/>
              <w:rPr>
                <w:sz w:val="22"/>
                <w:szCs w:val="22"/>
                <w:color w:val="auto"/>
              </w:rPr>
            </w:pPr>
          </w:p>
        </w:tc>
        <w:tc>
          <w:tcPr>
            <w:tcW w:w="1280" w:type="dxa"/>
            <w:vAlign w:val="bottom"/>
            <w:tcBorders>
              <w:bottom w:val="single" w:sz="8" w:color="auto"/>
            </w:tcBorders>
          </w:tcPr>
          <w:p>
            <w:pPr>
              <w:jc w:val="center"/>
              <w:ind w:left="363"/>
              <w:spacing w:after="0"/>
              <w:rPr>
                <w:sz w:val="20"/>
                <w:szCs w:val="20"/>
                <w:color w:val="auto"/>
              </w:rPr>
            </w:pPr>
            <w:r>
              <w:rPr>
                <w:rFonts w:ascii="Arial" w:cs="Arial" w:eastAsia="Arial" w:hAnsi="Arial"/>
                <w:sz w:val="14"/>
                <w:szCs w:val="14"/>
                <w:b w:val="1"/>
                <w:bCs w:val="1"/>
                <w:color w:val="auto"/>
              </w:rPr>
              <w:t>2017</w:t>
            </w:r>
          </w:p>
        </w:tc>
        <w:tc>
          <w:tcPr>
            <w:tcW w:w="2320" w:type="dxa"/>
            <w:vAlign w:val="bottom"/>
            <w:tcBorders>
              <w:bottom w:val="single" w:sz="8" w:color="auto"/>
            </w:tcBorders>
          </w:tcPr>
          <w:p>
            <w:pPr>
              <w:jc w:val="center"/>
              <w:ind w:left="403"/>
              <w:spacing w:after="0"/>
              <w:rPr>
                <w:sz w:val="20"/>
                <w:szCs w:val="20"/>
                <w:color w:val="auto"/>
              </w:rPr>
            </w:pPr>
            <w:r>
              <w:rPr>
                <w:rFonts w:ascii="Arial" w:cs="Arial" w:eastAsia="Arial" w:hAnsi="Arial"/>
                <w:sz w:val="14"/>
                <w:szCs w:val="14"/>
                <w:color w:val="auto"/>
              </w:rPr>
              <w:t>2016</w:t>
            </w:r>
          </w:p>
        </w:tc>
        <w:tc>
          <w:tcPr>
            <w:tcW w:w="1480" w:type="dxa"/>
            <w:vAlign w:val="bottom"/>
            <w:tcBorders>
              <w:bottom w:val="single" w:sz="8" w:color="auto"/>
            </w:tcBorders>
          </w:tcPr>
          <w:p>
            <w:pPr>
              <w:jc w:val="center"/>
              <w:ind w:left="283"/>
              <w:spacing w:after="0"/>
              <w:rPr>
                <w:sz w:val="20"/>
                <w:szCs w:val="20"/>
                <w:color w:val="auto"/>
              </w:rPr>
            </w:pPr>
            <w:r>
              <w:rPr>
                <w:rFonts w:ascii="Arial" w:cs="Arial" w:eastAsia="Arial" w:hAnsi="Arial"/>
                <w:sz w:val="14"/>
                <w:szCs w:val="14"/>
                <w:b w:val="1"/>
                <w:bCs w:val="1"/>
                <w:color w:val="auto"/>
              </w:rPr>
              <w:t>2017</w:t>
            </w:r>
          </w:p>
        </w:tc>
        <w:tc>
          <w:tcPr>
            <w:tcW w:w="2100" w:type="dxa"/>
            <w:vAlign w:val="bottom"/>
            <w:tcBorders>
              <w:bottom w:val="single" w:sz="8" w:color="auto"/>
            </w:tcBorders>
          </w:tcPr>
          <w:p>
            <w:pPr>
              <w:jc w:val="center"/>
              <w:ind w:left="303"/>
              <w:spacing w:after="0"/>
              <w:rPr>
                <w:sz w:val="20"/>
                <w:szCs w:val="20"/>
                <w:color w:val="auto"/>
              </w:rPr>
            </w:pPr>
            <w:r>
              <w:rPr>
                <w:rFonts w:ascii="Arial" w:cs="Arial" w:eastAsia="Arial" w:hAnsi="Arial"/>
                <w:sz w:val="14"/>
                <w:szCs w:val="14"/>
                <w:color w:val="auto"/>
              </w:rPr>
              <w:t>2016</w:t>
            </w:r>
          </w:p>
        </w:tc>
      </w:tr>
      <w:tr>
        <w:trPr>
          <w:trHeight w:val="250"/>
        </w:trPr>
        <w:tc>
          <w:tcPr>
            <w:tcW w:w="4240" w:type="dxa"/>
            <w:vAlign w:val="bottom"/>
          </w:tcPr>
          <w:p>
            <w:pPr>
              <w:ind w:left="40"/>
              <w:spacing w:after="0"/>
              <w:rPr>
                <w:sz w:val="20"/>
                <w:szCs w:val="20"/>
                <w:color w:val="auto"/>
              </w:rPr>
            </w:pPr>
            <w:r>
              <w:rPr>
                <w:rFonts w:ascii="Arial" w:cs="Arial" w:eastAsia="Arial" w:hAnsi="Arial"/>
                <w:sz w:val="16"/>
                <w:szCs w:val="16"/>
                <w:color w:val="auto"/>
              </w:rPr>
              <w:t>Discount rate</w:t>
            </w:r>
          </w:p>
        </w:tc>
        <w:tc>
          <w:tcPr>
            <w:tcW w:w="1280" w:type="dxa"/>
            <w:vAlign w:val="bottom"/>
          </w:tcPr>
          <w:p>
            <w:pPr>
              <w:jc w:val="center"/>
              <w:ind w:left="343"/>
              <w:spacing w:after="0"/>
              <w:rPr>
                <w:sz w:val="20"/>
                <w:szCs w:val="20"/>
                <w:color w:val="auto"/>
              </w:rPr>
            </w:pPr>
            <w:r>
              <w:rPr>
                <w:rFonts w:ascii="Arial" w:cs="Arial" w:eastAsia="Arial" w:hAnsi="Arial"/>
                <w:sz w:val="16"/>
                <w:szCs w:val="16"/>
                <w:b w:val="1"/>
                <w:bCs w:val="1"/>
                <w:color w:val="auto"/>
              </w:rPr>
              <w:t>3.6%</w:t>
            </w:r>
          </w:p>
        </w:tc>
        <w:tc>
          <w:tcPr>
            <w:tcW w:w="2320" w:type="dxa"/>
            <w:vAlign w:val="bottom"/>
          </w:tcPr>
          <w:p>
            <w:pPr>
              <w:jc w:val="center"/>
              <w:ind w:left="423"/>
              <w:spacing w:after="0"/>
              <w:rPr>
                <w:sz w:val="20"/>
                <w:szCs w:val="20"/>
                <w:color w:val="auto"/>
              </w:rPr>
            </w:pPr>
            <w:r>
              <w:rPr>
                <w:rFonts w:ascii="Arial" w:cs="Arial" w:eastAsia="Arial" w:hAnsi="Arial"/>
                <w:sz w:val="16"/>
                <w:szCs w:val="16"/>
                <w:color w:val="auto"/>
              </w:rPr>
              <w:t>4.1%</w:t>
            </w:r>
          </w:p>
        </w:tc>
        <w:tc>
          <w:tcPr>
            <w:tcW w:w="1480" w:type="dxa"/>
            <w:vAlign w:val="bottom"/>
          </w:tcPr>
          <w:p>
            <w:pPr>
              <w:jc w:val="center"/>
              <w:ind w:left="283"/>
              <w:spacing w:after="0"/>
              <w:rPr>
                <w:sz w:val="20"/>
                <w:szCs w:val="20"/>
                <w:color w:val="auto"/>
              </w:rPr>
            </w:pPr>
            <w:r>
              <w:rPr>
                <w:rFonts w:ascii="Arial" w:cs="Arial" w:eastAsia="Arial" w:hAnsi="Arial"/>
                <w:sz w:val="16"/>
                <w:szCs w:val="16"/>
                <w:b w:val="1"/>
                <w:bCs w:val="1"/>
                <w:color w:val="auto"/>
                <w:w w:val="98"/>
              </w:rPr>
              <w:t>3.6%</w:t>
            </w:r>
          </w:p>
        </w:tc>
        <w:tc>
          <w:tcPr>
            <w:tcW w:w="2100" w:type="dxa"/>
            <w:vAlign w:val="bottom"/>
          </w:tcPr>
          <w:p>
            <w:pPr>
              <w:jc w:val="center"/>
              <w:ind w:left="323"/>
              <w:spacing w:after="0"/>
              <w:rPr>
                <w:sz w:val="20"/>
                <w:szCs w:val="20"/>
                <w:color w:val="auto"/>
              </w:rPr>
            </w:pPr>
            <w:r>
              <w:rPr>
                <w:rFonts w:ascii="Arial" w:cs="Arial" w:eastAsia="Arial" w:hAnsi="Arial"/>
                <w:sz w:val="16"/>
                <w:szCs w:val="16"/>
                <w:color w:val="auto"/>
              </w:rPr>
              <w:t>4.1%</w:t>
            </w:r>
          </w:p>
        </w:tc>
      </w:tr>
      <w:tr>
        <w:trPr>
          <w:trHeight w:val="270"/>
        </w:trPr>
        <w:tc>
          <w:tcPr>
            <w:tcW w:w="4240" w:type="dxa"/>
            <w:vAlign w:val="bottom"/>
          </w:tcPr>
          <w:p>
            <w:pPr>
              <w:ind w:left="40"/>
              <w:spacing w:after="0"/>
              <w:rPr>
                <w:sz w:val="20"/>
                <w:szCs w:val="20"/>
                <w:color w:val="auto"/>
              </w:rPr>
            </w:pPr>
            <w:r>
              <w:rPr>
                <w:rFonts w:ascii="Arial" w:cs="Arial" w:eastAsia="Arial" w:hAnsi="Arial"/>
                <w:sz w:val="16"/>
                <w:szCs w:val="16"/>
                <w:color w:val="auto"/>
              </w:rPr>
              <w:t>Rate of compensation increase - age graded</w:t>
            </w:r>
          </w:p>
        </w:tc>
        <w:tc>
          <w:tcPr>
            <w:tcW w:w="1280" w:type="dxa"/>
            <w:vAlign w:val="bottom"/>
          </w:tcPr>
          <w:p>
            <w:pPr>
              <w:jc w:val="center"/>
              <w:ind w:left="343"/>
              <w:spacing w:after="0"/>
              <w:rPr>
                <w:sz w:val="20"/>
                <w:szCs w:val="20"/>
                <w:color w:val="auto"/>
              </w:rPr>
            </w:pPr>
            <w:r>
              <w:rPr>
                <w:rFonts w:ascii="Arial" w:cs="Arial" w:eastAsia="Arial" w:hAnsi="Arial"/>
                <w:sz w:val="16"/>
                <w:szCs w:val="16"/>
                <w:b w:val="1"/>
                <w:bCs w:val="1"/>
                <w:color w:val="auto"/>
              </w:rPr>
              <w:t>5.0%–1.0%</w:t>
            </w:r>
          </w:p>
        </w:tc>
        <w:tc>
          <w:tcPr>
            <w:tcW w:w="2320" w:type="dxa"/>
            <w:vAlign w:val="bottom"/>
          </w:tcPr>
          <w:p>
            <w:pPr>
              <w:jc w:val="center"/>
              <w:ind w:left="423"/>
              <w:spacing w:after="0"/>
              <w:rPr>
                <w:sz w:val="20"/>
                <w:szCs w:val="20"/>
                <w:color w:val="auto"/>
              </w:rPr>
            </w:pPr>
            <w:r>
              <w:rPr>
                <w:rFonts w:ascii="Arial" w:cs="Arial" w:eastAsia="Arial" w:hAnsi="Arial"/>
                <w:sz w:val="16"/>
                <w:szCs w:val="16"/>
                <w:color w:val="auto"/>
              </w:rPr>
              <w:t>5.0%–1.0%</w:t>
            </w:r>
          </w:p>
        </w:tc>
        <w:tc>
          <w:tcPr>
            <w:tcW w:w="1480" w:type="dxa"/>
            <w:vAlign w:val="bottom"/>
          </w:tcPr>
          <w:p>
            <w:pPr>
              <w:jc w:val="center"/>
              <w:ind w:left="283"/>
              <w:spacing w:after="0"/>
              <w:rPr>
                <w:sz w:val="20"/>
                <w:szCs w:val="20"/>
                <w:color w:val="auto"/>
              </w:rPr>
            </w:pPr>
            <w:r>
              <w:rPr>
                <w:rFonts w:ascii="Arial" w:cs="Arial" w:eastAsia="Arial" w:hAnsi="Arial"/>
                <w:sz w:val="16"/>
                <w:szCs w:val="16"/>
                <w:b w:val="1"/>
                <w:bCs w:val="1"/>
                <w:color w:val="auto"/>
              </w:rPr>
              <w:t>5.0%–1.0%</w:t>
            </w:r>
          </w:p>
        </w:tc>
        <w:tc>
          <w:tcPr>
            <w:tcW w:w="2100" w:type="dxa"/>
            <w:vAlign w:val="bottom"/>
          </w:tcPr>
          <w:p>
            <w:pPr>
              <w:jc w:val="center"/>
              <w:ind w:left="323"/>
              <w:spacing w:after="0"/>
              <w:rPr>
                <w:sz w:val="20"/>
                <w:szCs w:val="20"/>
                <w:color w:val="auto"/>
              </w:rPr>
            </w:pPr>
            <w:r>
              <w:rPr>
                <w:rFonts w:ascii="Arial" w:cs="Arial" w:eastAsia="Arial" w:hAnsi="Arial"/>
                <w:sz w:val="16"/>
                <w:szCs w:val="16"/>
                <w:color w:val="auto"/>
              </w:rPr>
              <w:t>5.0%–1.0%</w:t>
            </w:r>
          </w:p>
        </w:tc>
      </w:tr>
    </w:tbl>
    <w:p>
      <w:pPr>
        <w:sectPr>
          <w:pgSz w:w="11900" w:h="16838" w:orient="portrait"/>
          <w:cols w:equalWidth="0" w:num="1">
            <w:col w:w="11420"/>
          </w:cols>
          <w:pgMar w:left="240" w:top="746" w:right="239" w:bottom="0" w:gutter="0" w:footer="0" w:header="0"/>
        </w:sectPr>
      </w:pPr>
    </w:p>
    <w:bookmarkStart w:id="107" w:name="page108"/>
    <w:bookmarkEnd w:id="107"/>
    <w:p>
      <w:pPr>
        <w:jc w:val="center"/>
        <w:spacing w:after="0"/>
        <w:rPr>
          <w:sz w:val="20"/>
          <w:szCs w:val="20"/>
          <w:color w:val="auto"/>
        </w:rPr>
      </w:pPr>
      <w:r>
        <w:rPr>
          <w:rFonts w:ascii="Arial" w:cs="Arial" w:eastAsia="Arial" w:hAnsi="Arial"/>
          <w:sz w:val="17"/>
          <w:szCs w:val="17"/>
          <w:color w:val="auto"/>
        </w:rPr>
        <w:t>104</w:t>
      </w:r>
    </w:p>
    <w:p>
      <w:pPr>
        <w:sectPr>
          <w:pgSz w:w="11900" w:h="16838" w:orient="portrait"/>
          <w:cols w:equalWidth="0" w:num="1">
            <w:col w:w="9019"/>
          </w:cols>
          <w:pgMar w:left="1440" w:top="490" w:right="1440" w:bottom="1440" w:gutter="0" w:footer="0" w:header="0"/>
        </w:sectPr>
      </w:pPr>
    </w:p>
    <w:bookmarkStart w:id="108" w:name="page109"/>
    <w:bookmarkEnd w:id="108"/>
    <w:p>
      <w:pPr>
        <w:ind w:right="300"/>
        <w:spacing w:after="0" w:line="229" w:lineRule="auto"/>
        <w:rPr>
          <w:sz w:val="20"/>
          <w:szCs w:val="20"/>
          <w:color w:val="auto"/>
        </w:rPr>
      </w:pPr>
      <w:r>
        <w:rPr>
          <w:rFonts w:ascii="Arial" w:cs="Arial" w:eastAsia="Arial" w:hAnsi="Arial"/>
          <w:sz w:val="18"/>
          <w:szCs w:val="18"/>
          <w:color w:val="auto"/>
        </w:rPr>
        <w:t>The Company made no contributions to its pension plans in 2017 and 2016, and the Company does not expect to make any contributions in 2018. The Company made contributions to its SERP of $5.6 million and $5.0 million for the years ended December 31, 2017 and 2016, respectively. As the plan is unfunded, the Company makes contributions to the SERP based on actual benefit payments.</w:t>
      </w:r>
    </w:p>
    <w:p>
      <w:pPr>
        <w:spacing w:after="0" w:line="137" w:lineRule="exact"/>
        <w:rPr>
          <w:sz w:val="20"/>
          <w:szCs w:val="20"/>
          <w:color w:val="auto"/>
        </w:rPr>
      </w:pPr>
    </w:p>
    <w:p>
      <w:pPr>
        <w:spacing w:after="0"/>
        <w:rPr>
          <w:sz w:val="20"/>
          <w:szCs w:val="20"/>
          <w:color w:val="auto"/>
        </w:rPr>
      </w:pPr>
      <w:r>
        <w:rPr>
          <w:rFonts w:ascii="Arial" w:cs="Arial" w:eastAsia="Arial" w:hAnsi="Arial"/>
          <w:sz w:val="18"/>
          <w:szCs w:val="18"/>
          <w:color w:val="auto"/>
        </w:rPr>
        <w:t>At December 31, 2017, future estimated benefit payments, excluding charges for early retirement programs, are as follows:</w:t>
      </w:r>
    </w:p>
    <w:p>
      <w:pPr>
        <w:spacing w:after="0" w:line="199"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500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(in thousands)</w:t>
            </w:r>
          </w:p>
        </w:tc>
        <w:tc>
          <w:tcPr>
            <w:tcW w:w="5200" w:type="dxa"/>
            <w:vAlign w:val="bottom"/>
            <w:tcBorders>
              <w:bottom w:val="single" w:sz="8" w:color="auto"/>
            </w:tcBorders>
            <w:gridSpan w:val="2"/>
          </w:tcPr>
          <w:p>
            <w:pPr>
              <w:jc w:val="right"/>
              <w:ind w:right="19"/>
              <w:spacing w:after="0"/>
              <w:rPr>
                <w:sz w:val="20"/>
                <w:szCs w:val="20"/>
                <w:color w:val="auto"/>
              </w:rPr>
            </w:pPr>
            <w:r>
              <w:rPr>
                <w:rFonts w:ascii="Arial" w:cs="Arial" w:eastAsia="Arial" w:hAnsi="Arial"/>
                <w:sz w:val="14"/>
                <w:szCs w:val="14"/>
                <w:b w:val="1"/>
                <w:bCs w:val="1"/>
                <w:color w:val="auto"/>
              </w:rPr>
              <w:t>Pension Plans</w:t>
            </w:r>
          </w:p>
        </w:tc>
        <w:tc>
          <w:tcPr>
            <w:tcW w:w="32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ind w:right="300"/>
              <w:spacing w:after="0"/>
              <w:rPr>
                <w:sz w:val="20"/>
                <w:szCs w:val="20"/>
                <w:color w:val="auto"/>
              </w:rPr>
            </w:pPr>
            <w:r>
              <w:rPr>
                <w:rFonts w:ascii="Arial" w:cs="Arial" w:eastAsia="Arial" w:hAnsi="Arial"/>
                <w:sz w:val="14"/>
                <w:szCs w:val="14"/>
                <w:b w:val="1"/>
                <w:bCs w:val="1"/>
                <w:color w:val="auto"/>
              </w:rPr>
              <w:t>SERP</w:t>
            </w:r>
          </w:p>
        </w:tc>
      </w:tr>
      <w:tr>
        <w:trPr>
          <w:trHeight w:val="250"/>
        </w:trPr>
        <w:tc>
          <w:tcPr>
            <w:tcW w:w="5000" w:type="dxa"/>
            <w:vAlign w:val="bottom"/>
          </w:tcPr>
          <w:p>
            <w:pPr>
              <w:ind w:left="40"/>
              <w:spacing w:after="0"/>
              <w:rPr>
                <w:sz w:val="20"/>
                <w:szCs w:val="20"/>
                <w:color w:val="auto"/>
              </w:rPr>
            </w:pPr>
            <w:r>
              <w:rPr>
                <w:rFonts w:ascii="Arial" w:cs="Arial" w:eastAsia="Arial" w:hAnsi="Arial"/>
                <w:sz w:val="16"/>
                <w:szCs w:val="16"/>
                <w:color w:val="auto"/>
              </w:rPr>
              <w:t>2018</w:t>
            </w:r>
          </w:p>
        </w:tc>
        <w:tc>
          <w:tcPr>
            <w:tcW w:w="4320" w:type="dxa"/>
            <w:vAlign w:val="bottom"/>
          </w:tcPr>
          <w:p>
            <w:pPr>
              <w:jc w:val="right"/>
              <w:ind w:right="100"/>
              <w:spacing w:after="0"/>
              <w:rPr>
                <w:sz w:val="20"/>
                <w:szCs w:val="20"/>
                <w:color w:val="auto"/>
              </w:rPr>
            </w:pPr>
            <w:r>
              <w:rPr>
                <w:rFonts w:ascii="Arial" w:cs="Arial" w:eastAsia="Arial" w:hAnsi="Arial"/>
                <w:sz w:val="16"/>
                <w:szCs w:val="16"/>
                <w:color w:val="auto"/>
              </w:rPr>
              <w:t>$</w:t>
            </w:r>
          </w:p>
        </w:tc>
        <w:tc>
          <w:tcPr>
            <w:tcW w:w="880" w:type="dxa"/>
            <w:vAlign w:val="bottom"/>
          </w:tcPr>
          <w:p>
            <w:pPr>
              <w:jc w:val="right"/>
              <w:ind w:right="59"/>
              <w:spacing w:after="0"/>
              <w:rPr>
                <w:sz w:val="20"/>
                <w:szCs w:val="20"/>
                <w:color w:val="auto"/>
              </w:rPr>
            </w:pPr>
            <w:r>
              <w:rPr>
                <w:rFonts w:ascii="Arial" w:cs="Arial" w:eastAsia="Arial" w:hAnsi="Arial"/>
                <w:sz w:val="16"/>
                <w:szCs w:val="16"/>
                <w:color w:val="auto"/>
              </w:rPr>
              <w:t>73,418</w:t>
            </w:r>
          </w:p>
        </w:tc>
        <w:tc>
          <w:tcPr>
            <w:tcW w:w="32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900" w:type="dxa"/>
            <w:vAlign w:val="bottom"/>
          </w:tcPr>
          <w:p>
            <w:pPr>
              <w:jc w:val="right"/>
              <w:ind w:right="20"/>
              <w:spacing w:after="0"/>
              <w:rPr>
                <w:sz w:val="20"/>
                <w:szCs w:val="20"/>
                <w:color w:val="auto"/>
              </w:rPr>
            </w:pPr>
            <w:r>
              <w:rPr>
                <w:rFonts w:ascii="Arial" w:cs="Arial" w:eastAsia="Arial" w:hAnsi="Arial"/>
                <w:sz w:val="16"/>
                <w:szCs w:val="16"/>
                <w:color w:val="auto"/>
              </w:rPr>
              <w:t>5,943</w:t>
            </w:r>
          </w:p>
        </w:tc>
      </w:tr>
      <w:tr>
        <w:trPr>
          <w:trHeight w:val="270"/>
        </w:trPr>
        <w:tc>
          <w:tcPr>
            <w:tcW w:w="5000" w:type="dxa"/>
            <w:vAlign w:val="bottom"/>
          </w:tcPr>
          <w:p>
            <w:pPr>
              <w:ind w:left="40"/>
              <w:spacing w:after="0"/>
              <w:rPr>
                <w:sz w:val="20"/>
                <w:szCs w:val="20"/>
                <w:color w:val="auto"/>
              </w:rPr>
            </w:pPr>
            <w:r>
              <w:rPr>
                <w:rFonts w:ascii="Arial" w:cs="Arial" w:eastAsia="Arial" w:hAnsi="Arial"/>
                <w:sz w:val="16"/>
                <w:szCs w:val="16"/>
                <w:color w:val="auto"/>
              </w:rPr>
              <w:t>2019</w:t>
            </w:r>
          </w:p>
        </w:tc>
        <w:tc>
          <w:tcPr>
            <w:tcW w:w="4320" w:type="dxa"/>
            <w:vAlign w:val="bottom"/>
          </w:tcPr>
          <w:p>
            <w:pPr>
              <w:jc w:val="right"/>
              <w:ind w:right="100"/>
              <w:spacing w:after="0"/>
              <w:rPr>
                <w:sz w:val="20"/>
                <w:szCs w:val="20"/>
                <w:color w:val="auto"/>
              </w:rPr>
            </w:pPr>
            <w:r>
              <w:rPr>
                <w:rFonts w:ascii="Arial" w:cs="Arial" w:eastAsia="Arial" w:hAnsi="Arial"/>
                <w:sz w:val="16"/>
                <w:szCs w:val="16"/>
                <w:color w:val="auto"/>
              </w:rPr>
              <w:t>$</w:t>
            </w:r>
          </w:p>
        </w:tc>
        <w:tc>
          <w:tcPr>
            <w:tcW w:w="880" w:type="dxa"/>
            <w:vAlign w:val="bottom"/>
          </w:tcPr>
          <w:p>
            <w:pPr>
              <w:jc w:val="right"/>
              <w:ind w:right="59"/>
              <w:spacing w:after="0"/>
              <w:rPr>
                <w:sz w:val="20"/>
                <w:szCs w:val="20"/>
                <w:color w:val="auto"/>
              </w:rPr>
            </w:pPr>
            <w:r>
              <w:rPr>
                <w:rFonts w:ascii="Arial" w:cs="Arial" w:eastAsia="Arial" w:hAnsi="Arial"/>
                <w:sz w:val="16"/>
                <w:szCs w:val="16"/>
                <w:color w:val="auto"/>
              </w:rPr>
              <w:t>74,433</w:t>
            </w:r>
          </w:p>
        </w:tc>
        <w:tc>
          <w:tcPr>
            <w:tcW w:w="32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900" w:type="dxa"/>
            <w:vAlign w:val="bottom"/>
          </w:tcPr>
          <w:p>
            <w:pPr>
              <w:jc w:val="right"/>
              <w:ind w:right="20"/>
              <w:spacing w:after="0"/>
              <w:rPr>
                <w:sz w:val="20"/>
                <w:szCs w:val="20"/>
                <w:color w:val="auto"/>
              </w:rPr>
            </w:pPr>
            <w:r>
              <w:rPr>
                <w:rFonts w:ascii="Arial" w:cs="Arial" w:eastAsia="Arial" w:hAnsi="Arial"/>
                <w:sz w:val="16"/>
                <w:szCs w:val="16"/>
                <w:color w:val="auto"/>
              </w:rPr>
              <w:t>6,320</w:t>
            </w:r>
          </w:p>
        </w:tc>
      </w:tr>
      <w:tr>
        <w:trPr>
          <w:trHeight w:val="270"/>
        </w:trPr>
        <w:tc>
          <w:tcPr>
            <w:tcW w:w="5000" w:type="dxa"/>
            <w:vAlign w:val="bottom"/>
          </w:tcPr>
          <w:p>
            <w:pPr>
              <w:ind w:left="40"/>
              <w:spacing w:after="0"/>
              <w:rPr>
                <w:sz w:val="20"/>
                <w:szCs w:val="20"/>
                <w:color w:val="auto"/>
              </w:rPr>
            </w:pPr>
            <w:r>
              <w:rPr>
                <w:rFonts w:ascii="Arial" w:cs="Arial" w:eastAsia="Arial" w:hAnsi="Arial"/>
                <w:sz w:val="16"/>
                <w:szCs w:val="16"/>
                <w:color w:val="auto"/>
              </w:rPr>
              <w:t>2020</w:t>
            </w:r>
          </w:p>
        </w:tc>
        <w:tc>
          <w:tcPr>
            <w:tcW w:w="4320" w:type="dxa"/>
            <w:vAlign w:val="bottom"/>
          </w:tcPr>
          <w:p>
            <w:pPr>
              <w:jc w:val="right"/>
              <w:ind w:right="100"/>
              <w:spacing w:after="0"/>
              <w:rPr>
                <w:sz w:val="20"/>
                <w:szCs w:val="20"/>
                <w:color w:val="auto"/>
              </w:rPr>
            </w:pPr>
            <w:r>
              <w:rPr>
                <w:rFonts w:ascii="Arial" w:cs="Arial" w:eastAsia="Arial" w:hAnsi="Arial"/>
                <w:sz w:val="16"/>
                <w:szCs w:val="16"/>
                <w:color w:val="auto"/>
              </w:rPr>
              <w:t>$</w:t>
            </w:r>
          </w:p>
        </w:tc>
        <w:tc>
          <w:tcPr>
            <w:tcW w:w="880" w:type="dxa"/>
            <w:vAlign w:val="bottom"/>
          </w:tcPr>
          <w:p>
            <w:pPr>
              <w:jc w:val="right"/>
              <w:ind w:right="59"/>
              <w:spacing w:after="0"/>
              <w:rPr>
                <w:sz w:val="20"/>
                <w:szCs w:val="20"/>
                <w:color w:val="auto"/>
              </w:rPr>
            </w:pPr>
            <w:r>
              <w:rPr>
                <w:rFonts w:ascii="Arial" w:cs="Arial" w:eastAsia="Arial" w:hAnsi="Arial"/>
                <w:sz w:val="16"/>
                <w:szCs w:val="16"/>
                <w:color w:val="auto"/>
              </w:rPr>
              <w:t>74,572</w:t>
            </w:r>
          </w:p>
        </w:tc>
        <w:tc>
          <w:tcPr>
            <w:tcW w:w="32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900" w:type="dxa"/>
            <w:vAlign w:val="bottom"/>
          </w:tcPr>
          <w:p>
            <w:pPr>
              <w:jc w:val="right"/>
              <w:ind w:right="20"/>
              <w:spacing w:after="0"/>
              <w:rPr>
                <w:sz w:val="20"/>
                <w:szCs w:val="20"/>
                <w:color w:val="auto"/>
              </w:rPr>
            </w:pPr>
            <w:r>
              <w:rPr>
                <w:rFonts w:ascii="Arial" w:cs="Arial" w:eastAsia="Arial" w:hAnsi="Arial"/>
                <w:sz w:val="16"/>
                <w:szCs w:val="16"/>
                <w:color w:val="auto"/>
              </w:rPr>
              <w:t>6,454</w:t>
            </w:r>
          </w:p>
        </w:tc>
      </w:tr>
      <w:tr>
        <w:trPr>
          <w:trHeight w:val="270"/>
        </w:trPr>
        <w:tc>
          <w:tcPr>
            <w:tcW w:w="5000" w:type="dxa"/>
            <w:vAlign w:val="bottom"/>
          </w:tcPr>
          <w:p>
            <w:pPr>
              <w:ind w:left="40"/>
              <w:spacing w:after="0"/>
              <w:rPr>
                <w:sz w:val="20"/>
                <w:szCs w:val="20"/>
                <w:color w:val="auto"/>
              </w:rPr>
            </w:pPr>
            <w:r>
              <w:rPr>
                <w:rFonts w:ascii="Arial" w:cs="Arial" w:eastAsia="Arial" w:hAnsi="Arial"/>
                <w:sz w:val="16"/>
                <w:szCs w:val="16"/>
                <w:color w:val="auto"/>
              </w:rPr>
              <w:t>2021</w:t>
            </w:r>
          </w:p>
        </w:tc>
        <w:tc>
          <w:tcPr>
            <w:tcW w:w="4320" w:type="dxa"/>
            <w:vAlign w:val="bottom"/>
          </w:tcPr>
          <w:p>
            <w:pPr>
              <w:jc w:val="right"/>
              <w:ind w:right="100"/>
              <w:spacing w:after="0"/>
              <w:rPr>
                <w:sz w:val="20"/>
                <w:szCs w:val="20"/>
                <w:color w:val="auto"/>
              </w:rPr>
            </w:pPr>
            <w:r>
              <w:rPr>
                <w:rFonts w:ascii="Arial" w:cs="Arial" w:eastAsia="Arial" w:hAnsi="Arial"/>
                <w:sz w:val="16"/>
                <w:szCs w:val="16"/>
                <w:color w:val="auto"/>
              </w:rPr>
              <w:t>$</w:t>
            </w:r>
          </w:p>
        </w:tc>
        <w:tc>
          <w:tcPr>
            <w:tcW w:w="880" w:type="dxa"/>
            <w:vAlign w:val="bottom"/>
          </w:tcPr>
          <w:p>
            <w:pPr>
              <w:jc w:val="right"/>
              <w:ind w:right="59"/>
              <w:spacing w:after="0"/>
              <w:rPr>
                <w:sz w:val="20"/>
                <w:szCs w:val="20"/>
                <w:color w:val="auto"/>
              </w:rPr>
            </w:pPr>
            <w:r>
              <w:rPr>
                <w:rFonts w:ascii="Arial" w:cs="Arial" w:eastAsia="Arial" w:hAnsi="Arial"/>
                <w:sz w:val="16"/>
                <w:szCs w:val="16"/>
                <w:color w:val="auto"/>
              </w:rPr>
              <w:t>75,661</w:t>
            </w:r>
          </w:p>
        </w:tc>
        <w:tc>
          <w:tcPr>
            <w:tcW w:w="32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900" w:type="dxa"/>
            <w:vAlign w:val="bottom"/>
          </w:tcPr>
          <w:p>
            <w:pPr>
              <w:jc w:val="right"/>
              <w:ind w:right="20"/>
              <w:spacing w:after="0"/>
              <w:rPr>
                <w:sz w:val="20"/>
                <w:szCs w:val="20"/>
                <w:color w:val="auto"/>
              </w:rPr>
            </w:pPr>
            <w:r>
              <w:rPr>
                <w:rFonts w:ascii="Arial" w:cs="Arial" w:eastAsia="Arial" w:hAnsi="Arial"/>
                <w:sz w:val="16"/>
                <w:szCs w:val="16"/>
                <w:color w:val="auto"/>
              </w:rPr>
              <w:t>6,591</w:t>
            </w:r>
          </w:p>
        </w:tc>
      </w:tr>
      <w:tr>
        <w:trPr>
          <w:trHeight w:val="270"/>
        </w:trPr>
        <w:tc>
          <w:tcPr>
            <w:tcW w:w="5000" w:type="dxa"/>
            <w:vAlign w:val="bottom"/>
          </w:tcPr>
          <w:p>
            <w:pPr>
              <w:ind w:left="40"/>
              <w:spacing w:after="0"/>
              <w:rPr>
                <w:sz w:val="20"/>
                <w:szCs w:val="20"/>
                <w:color w:val="auto"/>
              </w:rPr>
            </w:pPr>
            <w:r>
              <w:rPr>
                <w:rFonts w:ascii="Arial" w:cs="Arial" w:eastAsia="Arial" w:hAnsi="Arial"/>
                <w:sz w:val="16"/>
                <w:szCs w:val="16"/>
                <w:color w:val="auto"/>
              </w:rPr>
              <w:t>2022</w:t>
            </w:r>
          </w:p>
        </w:tc>
        <w:tc>
          <w:tcPr>
            <w:tcW w:w="4320" w:type="dxa"/>
            <w:vAlign w:val="bottom"/>
          </w:tcPr>
          <w:p>
            <w:pPr>
              <w:jc w:val="right"/>
              <w:ind w:right="100"/>
              <w:spacing w:after="0"/>
              <w:rPr>
                <w:sz w:val="20"/>
                <w:szCs w:val="20"/>
                <w:color w:val="auto"/>
              </w:rPr>
            </w:pPr>
            <w:r>
              <w:rPr>
                <w:rFonts w:ascii="Arial" w:cs="Arial" w:eastAsia="Arial" w:hAnsi="Arial"/>
                <w:sz w:val="16"/>
                <w:szCs w:val="16"/>
                <w:color w:val="auto"/>
              </w:rPr>
              <w:t>$</w:t>
            </w:r>
          </w:p>
        </w:tc>
        <w:tc>
          <w:tcPr>
            <w:tcW w:w="880" w:type="dxa"/>
            <w:vAlign w:val="bottom"/>
          </w:tcPr>
          <w:p>
            <w:pPr>
              <w:jc w:val="right"/>
              <w:ind w:right="59"/>
              <w:spacing w:after="0"/>
              <w:rPr>
                <w:sz w:val="20"/>
                <w:szCs w:val="20"/>
                <w:color w:val="auto"/>
              </w:rPr>
            </w:pPr>
            <w:r>
              <w:rPr>
                <w:rFonts w:ascii="Arial" w:cs="Arial" w:eastAsia="Arial" w:hAnsi="Arial"/>
                <w:sz w:val="16"/>
                <w:szCs w:val="16"/>
                <w:color w:val="auto"/>
              </w:rPr>
              <w:t>73,921</w:t>
            </w:r>
          </w:p>
        </w:tc>
        <w:tc>
          <w:tcPr>
            <w:tcW w:w="32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900" w:type="dxa"/>
            <w:vAlign w:val="bottom"/>
          </w:tcPr>
          <w:p>
            <w:pPr>
              <w:jc w:val="right"/>
              <w:ind w:right="20"/>
              <w:spacing w:after="0"/>
              <w:rPr>
                <w:sz w:val="20"/>
                <w:szCs w:val="20"/>
                <w:color w:val="auto"/>
              </w:rPr>
            </w:pPr>
            <w:r>
              <w:rPr>
                <w:rFonts w:ascii="Arial" w:cs="Arial" w:eastAsia="Arial" w:hAnsi="Arial"/>
                <w:sz w:val="16"/>
                <w:szCs w:val="16"/>
                <w:color w:val="auto"/>
              </w:rPr>
              <w:t>6,719</w:t>
            </w:r>
          </w:p>
        </w:tc>
      </w:tr>
      <w:tr>
        <w:trPr>
          <w:trHeight w:val="270"/>
        </w:trPr>
        <w:tc>
          <w:tcPr>
            <w:tcW w:w="5000" w:type="dxa"/>
            <w:vAlign w:val="bottom"/>
          </w:tcPr>
          <w:p>
            <w:pPr>
              <w:ind w:left="40"/>
              <w:spacing w:after="0"/>
              <w:rPr>
                <w:sz w:val="20"/>
                <w:szCs w:val="20"/>
                <w:color w:val="auto"/>
              </w:rPr>
            </w:pPr>
            <w:r>
              <w:rPr>
                <w:rFonts w:ascii="Arial" w:cs="Arial" w:eastAsia="Arial" w:hAnsi="Arial"/>
                <w:sz w:val="16"/>
                <w:szCs w:val="16"/>
                <w:color w:val="auto"/>
              </w:rPr>
              <w:t>2023–2027</w:t>
            </w:r>
          </w:p>
        </w:tc>
        <w:tc>
          <w:tcPr>
            <w:tcW w:w="4320" w:type="dxa"/>
            <w:vAlign w:val="bottom"/>
          </w:tcPr>
          <w:p>
            <w:pPr>
              <w:jc w:val="right"/>
              <w:ind w:right="100"/>
              <w:spacing w:after="0"/>
              <w:rPr>
                <w:sz w:val="20"/>
                <w:szCs w:val="20"/>
                <w:color w:val="auto"/>
              </w:rPr>
            </w:pPr>
            <w:r>
              <w:rPr>
                <w:rFonts w:ascii="Arial" w:cs="Arial" w:eastAsia="Arial" w:hAnsi="Arial"/>
                <w:sz w:val="16"/>
                <w:szCs w:val="16"/>
                <w:color w:val="auto"/>
              </w:rPr>
              <w:t>$</w:t>
            </w:r>
          </w:p>
        </w:tc>
        <w:tc>
          <w:tcPr>
            <w:tcW w:w="880" w:type="dxa"/>
            <w:vAlign w:val="bottom"/>
          </w:tcPr>
          <w:p>
            <w:pPr>
              <w:jc w:val="right"/>
              <w:ind w:right="59"/>
              <w:spacing w:after="0"/>
              <w:rPr>
                <w:sz w:val="20"/>
                <w:szCs w:val="20"/>
                <w:color w:val="auto"/>
              </w:rPr>
            </w:pPr>
            <w:r>
              <w:rPr>
                <w:rFonts w:ascii="Arial" w:cs="Arial" w:eastAsia="Arial" w:hAnsi="Arial"/>
                <w:sz w:val="16"/>
                <w:szCs w:val="16"/>
                <w:color w:val="auto"/>
              </w:rPr>
              <w:t>371,073</w:t>
            </w:r>
          </w:p>
        </w:tc>
        <w:tc>
          <w:tcPr>
            <w:tcW w:w="32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900" w:type="dxa"/>
            <w:vAlign w:val="bottom"/>
          </w:tcPr>
          <w:p>
            <w:pPr>
              <w:jc w:val="right"/>
              <w:ind w:right="20"/>
              <w:spacing w:after="0"/>
              <w:rPr>
                <w:sz w:val="20"/>
                <w:szCs w:val="20"/>
                <w:color w:val="auto"/>
              </w:rPr>
            </w:pPr>
            <w:r>
              <w:rPr>
                <w:rFonts w:ascii="Arial" w:cs="Arial" w:eastAsia="Arial" w:hAnsi="Arial"/>
                <w:sz w:val="16"/>
                <w:szCs w:val="16"/>
                <w:color w:val="auto"/>
              </w:rPr>
              <w:t>34,165</w:t>
            </w:r>
          </w:p>
        </w:tc>
      </w:tr>
    </w:tbl>
    <w:p>
      <w:pPr>
        <w:spacing w:after="0" w:line="167" w:lineRule="exact"/>
        <w:rPr>
          <w:sz w:val="20"/>
          <w:szCs w:val="20"/>
          <w:color w:val="auto"/>
        </w:rPr>
      </w:pPr>
    </w:p>
    <w:p>
      <w:pPr>
        <w:ind w:right="360"/>
        <w:spacing w:after="0" w:line="235" w:lineRule="auto"/>
        <w:rPr>
          <w:sz w:val="20"/>
          <w:szCs w:val="20"/>
          <w:color w:val="auto"/>
        </w:rPr>
      </w:pPr>
      <w:r>
        <w:rPr>
          <w:rFonts w:ascii="Arial" w:cs="Arial" w:eastAsia="Arial" w:hAnsi="Arial"/>
          <w:sz w:val="18"/>
          <w:szCs w:val="18"/>
          <w:color w:val="auto"/>
        </w:rPr>
        <w:t>The total (benefit) cost arising from the Company’s defined benefit pension plans, including the portion included in discontinued operations, consists of the following components:</w:t>
      </w:r>
    </w:p>
    <w:p>
      <w:pPr>
        <w:spacing w:after="0" w:line="190" w:lineRule="exact"/>
        <w:rPr>
          <w:sz w:val="20"/>
          <w:szCs w:val="20"/>
          <w:color w:val="auto"/>
        </w:rPr>
      </w:pPr>
    </w:p>
    <w:p>
      <w:pPr>
        <w:jc w:val="center"/>
        <w:ind w:left="7800"/>
        <w:spacing w:after="0"/>
        <w:rPr>
          <w:sz w:val="20"/>
          <w:szCs w:val="20"/>
          <w:color w:val="auto"/>
        </w:rPr>
      </w:pPr>
      <w:r>
        <w:rPr>
          <w:rFonts w:ascii="Arial" w:cs="Arial" w:eastAsia="Arial" w:hAnsi="Arial"/>
          <w:sz w:val="14"/>
          <w:szCs w:val="14"/>
          <w:b w:val="1"/>
          <w:bCs w:val="1"/>
          <w:color w:val="auto"/>
        </w:rPr>
        <w:t>Pension Plans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4936490</wp:posOffset>
            </wp:positionH>
            <wp:positionV relativeFrom="paragraph">
              <wp:posOffset>26035</wp:posOffset>
            </wp:positionV>
            <wp:extent cx="2315210"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46">
                      <a:extLst>
                        <a:ext uri="{28A0092B-C50C-407E-A947-70E740481C1C}"/>
                      </a:extLst>
                    </a:blip>
                    <a:srcRect/>
                    <a:stretch>
                      <a:fillRect/>
                    </a:stretch>
                  </pic:blipFill>
                  <pic:spPr bwMode="auto">
                    <a:xfrm>
                      <a:off x="0" y="0"/>
                      <a:ext cx="2315210" cy="8890"/>
                    </a:xfrm>
                    <a:prstGeom prst="rect">
                      <a:avLst/>
                    </a:prstGeom>
                    <a:noFill/>
                  </pic:spPr>
                </pic:pic>
              </a:graphicData>
            </a:graphic>
          </wp:anchor>
        </w:drawing>
      </w:r>
    </w:p>
    <w:p>
      <w:pPr>
        <w:spacing w:after="0" w:line="89" w:lineRule="exact"/>
        <w:rPr>
          <w:sz w:val="20"/>
          <w:szCs w:val="20"/>
          <w:color w:val="auto"/>
        </w:rPr>
      </w:pPr>
    </w:p>
    <w:p>
      <w:pPr>
        <w:jc w:val="center"/>
        <w:ind w:left="7800"/>
        <w:spacing w:after="0"/>
        <w:rPr>
          <w:sz w:val="20"/>
          <w:szCs w:val="20"/>
          <w:color w:val="auto"/>
        </w:rPr>
      </w:pPr>
      <w:r>
        <w:rPr>
          <w:rFonts w:ascii="Arial" w:cs="Arial" w:eastAsia="Arial" w:hAnsi="Arial"/>
          <w:sz w:val="14"/>
          <w:szCs w:val="14"/>
          <w:b w:val="1"/>
          <w:bCs w:val="1"/>
          <w:color w:val="auto"/>
        </w:rPr>
        <w:t>Year Ended 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4936490</wp:posOffset>
            </wp:positionH>
            <wp:positionV relativeFrom="paragraph">
              <wp:posOffset>26035</wp:posOffset>
            </wp:positionV>
            <wp:extent cx="2315210"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47">
                      <a:extLst>
                        <a:ext uri="{28A0092B-C50C-407E-A947-70E740481C1C}"/>
                      </a:extLst>
                    </a:blip>
                    <a:srcRect/>
                    <a:stretch>
                      <a:fillRect/>
                    </a:stretch>
                  </pic:blipFill>
                  <pic:spPr bwMode="auto">
                    <a:xfrm>
                      <a:off x="0" y="0"/>
                      <a:ext cx="2315210" cy="8890"/>
                    </a:xfrm>
                    <a:prstGeom prst="rect">
                      <a:avLst/>
                    </a:prstGeom>
                    <a:noFill/>
                  </pic:spPr>
                </pic:pic>
              </a:graphicData>
            </a:graphic>
          </wp:anchor>
        </w:drawing>
      </w:r>
    </w:p>
    <w:p>
      <w:pPr>
        <w:spacing w:after="0" w:line="103"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458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(in thousands)</w:t>
            </w:r>
          </w:p>
        </w:tc>
        <w:tc>
          <w:tcPr>
            <w:tcW w:w="4400" w:type="dxa"/>
            <w:vAlign w:val="bottom"/>
            <w:tcBorders>
              <w:bottom w:val="single" w:sz="8" w:color="auto"/>
            </w:tcBorders>
          </w:tcPr>
          <w:p>
            <w:pPr>
              <w:jc w:val="right"/>
              <w:ind w:right="388"/>
              <w:spacing w:after="0"/>
              <w:rPr>
                <w:sz w:val="20"/>
                <w:szCs w:val="20"/>
                <w:color w:val="auto"/>
              </w:rPr>
            </w:pPr>
            <w:r>
              <w:rPr>
                <w:rFonts w:ascii="Arial" w:cs="Arial" w:eastAsia="Arial" w:hAnsi="Arial"/>
                <w:sz w:val="14"/>
                <w:szCs w:val="14"/>
                <w:b w:val="1"/>
                <w:bCs w:val="1"/>
                <w:color w:val="auto"/>
              </w:rPr>
              <w:t>2017</w:t>
            </w:r>
          </w:p>
        </w:tc>
        <w:tc>
          <w:tcPr>
            <w:tcW w:w="1260" w:type="dxa"/>
            <w:vAlign w:val="bottom"/>
            <w:tcBorders>
              <w:bottom w:val="single" w:sz="8" w:color="auto"/>
            </w:tcBorders>
          </w:tcPr>
          <w:p>
            <w:pPr>
              <w:jc w:val="right"/>
              <w:ind w:right="388"/>
              <w:spacing w:after="0"/>
              <w:rPr>
                <w:sz w:val="20"/>
                <w:szCs w:val="20"/>
                <w:color w:val="auto"/>
              </w:rPr>
            </w:pPr>
            <w:r>
              <w:rPr>
                <w:rFonts w:ascii="Arial" w:cs="Arial" w:eastAsia="Arial" w:hAnsi="Arial"/>
                <w:sz w:val="14"/>
                <w:szCs w:val="14"/>
                <w:color w:val="auto"/>
              </w:rPr>
              <w:t>2016</w:t>
            </w:r>
          </w:p>
        </w:tc>
        <w:tc>
          <w:tcPr>
            <w:tcW w:w="1180" w:type="dxa"/>
            <w:vAlign w:val="bottom"/>
            <w:tcBorders>
              <w:bottom w:val="single" w:sz="8" w:color="auto"/>
            </w:tcBorders>
          </w:tcPr>
          <w:p>
            <w:pPr>
              <w:jc w:val="right"/>
              <w:ind w:right="328"/>
              <w:spacing w:after="0"/>
              <w:rPr>
                <w:sz w:val="20"/>
                <w:szCs w:val="20"/>
                <w:color w:val="auto"/>
              </w:rPr>
            </w:pPr>
            <w:r>
              <w:rPr>
                <w:rFonts w:ascii="Arial" w:cs="Arial" w:eastAsia="Arial" w:hAnsi="Arial"/>
                <w:sz w:val="14"/>
                <w:szCs w:val="14"/>
                <w:color w:val="auto"/>
              </w:rPr>
              <w:t>2015</w:t>
            </w:r>
          </w:p>
        </w:tc>
      </w:tr>
    </w:tbl>
    <w:p>
      <w:pPr>
        <w:spacing w:after="0" w:line="36" w:lineRule="exact"/>
        <w:rPr>
          <w:sz w:val="20"/>
          <w:szCs w:val="20"/>
          <w:color w:val="auto"/>
        </w:rPr>
      </w:pPr>
    </w:p>
    <w:p>
      <w:pPr>
        <w:sectPr>
          <w:pgSz w:w="11900" w:h="16838" w:orient="portrait"/>
          <w:cols w:equalWidth="0" w:num="1">
            <w:col w:w="11420"/>
          </w:cols>
          <w:pgMar w:left="240" w:top="746" w:right="239" w:bottom="516" w:gutter="0" w:footer="0" w:header="0"/>
        </w:sectPr>
      </w:pPr>
    </w:p>
    <w:p>
      <w:pPr>
        <w:spacing w:after="0" w:line="20" w:lineRule="exact"/>
        <w:rPr>
          <w:sz w:val="20"/>
          <w:szCs w:val="20"/>
          <w:color w:val="auto"/>
        </w:rPr>
      </w:pPr>
    </w:p>
    <w:p>
      <w:pPr>
        <w:ind w:left="40"/>
        <w:spacing w:after="0"/>
        <w:rPr>
          <w:sz w:val="20"/>
          <w:szCs w:val="20"/>
          <w:color w:val="auto"/>
        </w:rPr>
      </w:pPr>
      <w:r>
        <w:rPr>
          <w:rFonts w:ascii="Arial" w:cs="Arial" w:eastAsia="Arial" w:hAnsi="Arial"/>
          <w:sz w:val="16"/>
          <w:szCs w:val="16"/>
          <w:color w:val="auto"/>
        </w:rPr>
        <w:t>Service cost</w:t>
      </w:r>
    </w:p>
    <w:p>
      <w:pPr>
        <w:spacing w:after="0" w:line="86" w:lineRule="exact"/>
        <w:rPr>
          <w:sz w:val="20"/>
          <w:szCs w:val="20"/>
          <w:color w:val="auto"/>
        </w:rPr>
      </w:pPr>
    </w:p>
    <w:p>
      <w:pPr>
        <w:ind w:left="40"/>
        <w:spacing w:after="0"/>
        <w:rPr>
          <w:sz w:val="20"/>
          <w:szCs w:val="20"/>
          <w:color w:val="auto"/>
        </w:rPr>
      </w:pPr>
      <w:r>
        <w:rPr>
          <w:rFonts w:ascii="Arial" w:cs="Arial" w:eastAsia="Arial" w:hAnsi="Arial"/>
          <w:sz w:val="16"/>
          <w:szCs w:val="16"/>
          <w:color w:val="auto"/>
        </w:rPr>
        <w:t>Interest cost</w:t>
      </w:r>
    </w:p>
    <w:p>
      <w:pPr>
        <w:spacing w:after="0" w:line="86" w:lineRule="exact"/>
        <w:rPr>
          <w:sz w:val="20"/>
          <w:szCs w:val="20"/>
          <w:color w:val="auto"/>
        </w:rPr>
      </w:pPr>
    </w:p>
    <w:p>
      <w:pPr>
        <w:ind w:left="40"/>
        <w:spacing w:after="0"/>
        <w:rPr>
          <w:sz w:val="20"/>
          <w:szCs w:val="20"/>
          <w:color w:val="auto"/>
        </w:rPr>
      </w:pPr>
      <w:r>
        <w:rPr>
          <w:rFonts w:ascii="Arial" w:cs="Arial" w:eastAsia="Arial" w:hAnsi="Arial"/>
          <w:sz w:val="16"/>
          <w:szCs w:val="16"/>
          <w:color w:val="auto"/>
        </w:rPr>
        <w:t>Expected return on assets</w:t>
      </w:r>
    </w:p>
    <w:p>
      <w:pPr>
        <w:spacing w:after="0" w:line="86" w:lineRule="exact"/>
        <w:rPr>
          <w:sz w:val="20"/>
          <w:szCs w:val="20"/>
          <w:color w:val="auto"/>
        </w:rPr>
      </w:pPr>
    </w:p>
    <w:p>
      <w:pPr>
        <w:ind w:left="40"/>
        <w:spacing w:after="0"/>
        <w:rPr>
          <w:sz w:val="20"/>
          <w:szCs w:val="20"/>
          <w:color w:val="auto"/>
        </w:rPr>
      </w:pPr>
      <w:r>
        <w:rPr>
          <w:rFonts w:ascii="Arial" w:cs="Arial" w:eastAsia="Arial" w:hAnsi="Arial"/>
          <w:sz w:val="16"/>
          <w:szCs w:val="16"/>
          <w:color w:val="auto"/>
        </w:rPr>
        <w:t>Amortization of prior service cost</w:t>
      </w:r>
    </w:p>
    <w:p>
      <w:pPr>
        <w:spacing w:after="0" w:line="86" w:lineRule="exact"/>
        <w:rPr>
          <w:sz w:val="20"/>
          <w:szCs w:val="20"/>
          <w:color w:val="auto"/>
        </w:rPr>
      </w:pPr>
    </w:p>
    <w:p>
      <w:pPr>
        <w:ind w:left="40"/>
        <w:spacing w:after="0"/>
        <w:rPr>
          <w:sz w:val="20"/>
          <w:szCs w:val="20"/>
          <w:color w:val="auto"/>
        </w:rPr>
      </w:pPr>
      <w:r>
        <w:rPr>
          <w:rFonts w:ascii="Arial" w:cs="Arial" w:eastAsia="Arial" w:hAnsi="Arial"/>
          <w:sz w:val="16"/>
          <w:szCs w:val="16"/>
          <w:color w:val="auto"/>
        </w:rPr>
        <w:t>Recognized actuarial gain</w:t>
      </w:r>
    </w:p>
    <w:p>
      <w:pPr>
        <w:spacing w:after="0" w:line="80" w:lineRule="exact"/>
        <w:rPr>
          <w:sz w:val="20"/>
          <w:szCs w:val="20"/>
          <w:color w:val="auto"/>
        </w:rPr>
      </w:pPr>
    </w:p>
    <w:p>
      <w:pPr>
        <w:ind w:left="40"/>
        <w:spacing w:after="0"/>
        <w:rPr>
          <w:sz w:val="20"/>
          <w:szCs w:val="20"/>
          <w:color w:val="auto"/>
        </w:rPr>
      </w:pPr>
      <w:r>
        <w:rPr>
          <w:rFonts w:ascii="Arial" w:cs="Arial" w:eastAsia="Arial" w:hAnsi="Arial"/>
          <w:sz w:val="16"/>
          <w:szCs w:val="16"/>
          <w:b w:val="1"/>
          <w:bCs w:val="1"/>
          <w:color w:val="auto"/>
        </w:rPr>
        <w:t>Net Periodic Benefit for the Year</w:t>
      </w:r>
    </w:p>
    <w:p>
      <w:pPr>
        <w:spacing w:after="0" w:line="106" w:lineRule="exact"/>
        <w:rPr>
          <w:sz w:val="20"/>
          <w:szCs w:val="20"/>
          <w:color w:val="auto"/>
        </w:rPr>
      </w:pPr>
    </w:p>
    <w:p>
      <w:pPr>
        <w:ind w:left="40"/>
        <w:spacing w:after="0"/>
        <w:rPr>
          <w:sz w:val="20"/>
          <w:szCs w:val="20"/>
          <w:color w:val="auto"/>
        </w:rPr>
      </w:pPr>
      <w:r>
        <w:rPr>
          <w:rFonts w:ascii="Arial" w:cs="Arial" w:eastAsia="Arial" w:hAnsi="Arial"/>
          <w:sz w:val="16"/>
          <w:szCs w:val="16"/>
          <w:color w:val="auto"/>
        </w:rPr>
        <w:t>Curtailment</w:t>
      </w:r>
    </w:p>
    <w:p>
      <w:pPr>
        <w:spacing w:after="0" w:line="86" w:lineRule="exact"/>
        <w:rPr>
          <w:sz w:val="20"/>
          <w:szCs w:val="20"/>
          <w:color w:val="auto"/>
        </w:rPr>
      </w:pPr>
    </w:p>
    <w:p>
      <w:pPr>
        <w:ind w:left="40"/>
        <w:spacing w:after="0"/>
        <w:rPr>
          <w:sz w:val="20"/>
          <w:szCs w:val="20"/>
          <w:color w:val="auto"/>
        </w:rPr>
      </w:pPr>
      <w:r>
        <w:rPr>
          <w:rFonts w:ascii="Arial" w:cs="Arial" w:eastAsia="Arial" w:hAnsi="Arial"/>
          <w:sz w:val="16"/>
          <w:szCs w:val="16"/>
          <w:color w:val="auto"/>
        </w:rPr>
        <w:t>Settlement</w:t>
      </w:r>
    </w:p>
    <w:p>
      <w:pPr>
        <w:spacing w:after="0" w:line="86" w:lineRule="exact"/>
        <w:rPr>
          <w:sz w:val="20"/>
          <w:szCs w:val="20"/>
          <w:color w:val="auto"/>
        </w:rPr>
      </w:pPr>
    </w:p>
    <w:p>
      <w:pPr>
        <w:ind w:left="40"/>
        <w:spacing w:after="0"/>
        <w:rPr>
          <w:sz w:val="20"/>
          <w:szCs w:val="20"/>
          <w:color w:val="auto"/>
        </w:rPr>
      </w:pPr>
      <w:r>
        <w:rPr>
          <w:rFonts w:ascii="Arial" w:cs="Arial" w:eastAsia="Arial" w:hAnsi="Arial"/>
          <w:sz w:val="16"/>
          <w:szCs w:val="16"/>
          <w:color w:val="auto"/>
        </w:rPr>
        <w:t>Early retirement programs and special separation benefit expense</w:t>
      </w:r>
    </w:p>
    <w:p>
      <w:pPr>
        <w:spacing w:after="0" w:line="80" w:lineRule="exact"/>
        <w:rPr>
          <w:sz w:val="20"/>
          <w:szCs w:val="20"/>
          <w:color w:val="auto"/>
        </w:rPr>
      </w:pPr>
    </w:p>
    <w:p>
      <w:pPr>
        <w:ind w:left="40"/>
        <w:spacing w:after="0"/>
        <w:rPr>
          <w:sz w:val="20"/>
          <w:szCs w:val="20"/>
          <w:color w:val="auto"/>
        </w:rPr>
      </w:pPr>
      <w:r>
        <w:rPr>
          <w:rFonts w:ascii="Arial" w:cs="Arial" w:eastAsia="Arial" w:hAnsi="Arial"/>
          <w:sz w:val="16"/>
          <w:szCs w:val="16"/>
          <w:b w:val="1"/>
          <w:bCs w:val="1"/>
          <w:color w:val="auto"/>
        </w:rPr>
        <w:t>Total Benefit for the Year</w:t>
      </w:r>
    </w:p>
    <w:p>
      <w:pPr>
        <w:spacing w:after="0" w:line="100" w:lineRule="exact"/>
        <w:rPr>
          <w:sz w:val="20"/>
          <w:szCs w:val="20"/>
          <w:color w:val="auto"/>
        </w:rPr>
      </w:pPr>
    </w:p>
    <w:p>
      <w:pPr>
        <w:ind w:left="40"/>
        <w:spacing w:after="0"/>
        <w:rPr>
          <w:sz w:val="20"/>
          <w:szCs w:val="20"/>
          <w:color w:val="auto"/>
        </w:rPr>
      </w:pPr>
      <w:r>
        <w:rPr>
          <w:rFonts w:ascii="Arial" w:cs="Arial" w:eastAsia="Arial" w:hAnsi="Arial"/>
          <w:sz w:val="16"/>
          <w:szCs w:val="16"/>
          <w:b w:val="1"/>
          <w:bCs w:val="1"/>
          <w:color w:val="auto"/>
        </w:rPr>
        <w:t>Other Changes in Plan Assets and Benefit Obligations Recognized in Other Comprehensive Income</w:t>
      </w:r>
    </w:p>
    <w:p>
      <w:pPr>
        <w:spacing w:after="0" w:line="106" w:lineRule="exact"/>
        <w:rPr>
          <w:sz w:val="20"/>
          <w:szCs w:val="20"/>
          <w:color w:val="auto"/>
        </w:rPr>
      </w:pPr>
    </w:p>
    <w:p>
      <w:pPr>
        <w:ind w:left="40"/>
        <w:spacing w:after="0"/>
        <w:rPr>
          <w:sz w:val="20"/>
          <w:szCs w:val="20"/>
          <w:color w:val="auto"/>
        </w:rPr>
      </w:pPr>
      <w:r>
        <w:rPr>
          <w:rFonts w:ascii="Arial" w:cs="Arial" w:eastAsia="Arial" w:hAnsi="Arial"/>
          <w:sz w:val="16"/>
          <w:szCs w:val="16"/>
          <w:color w:val="auto"/>
        </w:rPr>
        <w:t>Current year actuarial (gain) loss</w:t>
      </w:r>
    </w:p>
    <w:p>
      <w:pPr>
        <w:spacing w:after="0" w:line="86" w:lineRule="exact"/>
        <w:rPr>
          <w:sz w:val="20"/>
          <w:szCs w:val="20"/>
          <w:color w:val="auto"/>
        </w:rPr>
      </w:pPr>
    </w:p>
    <w:p>
      <w:pPr>
        <w:ind w:left="40"/>
        <w:spacing w:after="0"/>
        <w:rPr>
          <w:sz w:val="20"/>
          <w:szCs w:val="20"/>
          <w:color w:val="auto"/>
        </w:rPr>
      </w:pPr>
      <w:r>
        <w:rPr>
          <w:rFonts w:ascii="Arial" w:cs="Arial" w:eastAsia="Arial" w:hAnsi="Arial"/>
          <w:sz w:val="16"/>
          <w:szCs w:val="16"/>
          <w:color w:val="auto"/>
        </w:rPr>
        <w:t>Current year prior service cost</w:t>
      </w:r>
    </w:p>
    <w:p>
      <w:pPr>
        <w:spacing w:after="0" w:line="86" w:lineRule="exact"/>
        <w:rPr>
          <w:sz w:val="20"/>
          <w:szCs w:val="20"/>
          <w:color w:val="auto"/>
        </w:rPr>
      </w:pPr>
    </w:p>
    <w:p>
      <w:pPr>
        <w:ind w:left="40"/>
        <w:spacing w:after="0"/>
        <w:rPr>
          <w:sz w:val="20"/>
          <w:szCs w:val="20"/>
          <w:color w:val="auto"/>
        </w:rPr>
      </w:pPr>
      <w:r>
        <w:rPr>
          <w:rFonts w:ascii="Arial" w:cs="Arial" w:eastAsia="Arial" w:hAnsi="Arial"/>
          <w:sz w:val="16"/>
          <w:szCs w:val="16"/>
          <w:color w:val="auto"/>
        </w:rPr>
        <w:t>Amortization of prior service cost</w:t>
      </w:r>
    </w:p>
    <w:p>
      <w:pPr>
        <w:spacing w:after="0" w:line="86" w:lineRule="exact"/>
        <w:rPr>
          <w:sz w:val="20"/>
          <w:szCs w:val="20"/>
          <w:color w:val="auto"/>
        </w:rPr>
      </w:pPr>
    </w:p>
    <w:p>
      <w:pPr>
        <w:ind w:left="40"/>
        <w:spacing w:after="0"/>
        <w:rPr>
          <w:sz w:val="20"/>
          <w:szCs w:val="20"/>
          <w:color w:val="auto"/>
        </w:rPr>
      </w:pPr>
      <w:r>
        <w:rPr>
          <w:rFonts w:ascii="Arial" w:cs="Arial" w:eastAsia="Arial" w:hAnsi="Arial"/>
          <w:sz w:val="16"/>
          <w:szCs w:val="16"/>
          <w:color w:val="auto"/>
        </w:rPr>
        <w:t>Recognized net actuarial gain</w:t>
      </w:r>
    </w:p>
    <w:p>
      <w:pPr>
        <w:spacing w:after="0" w:line="86" w:lineRule="exact"/>
        <w:rPr>
          <w:sz w:val="20"/>
          <w:szCs w:val="20"/>
          <w:color w:val="auto"/>
        </w:rPr>
      </w:pPr>
    </w:p>
    <w:p>
      <w:pPr>
        <w:ind w:left="40"/>
        <w:spacing w:after="0"/>
        <w:rPr>
          <w:sz w:val="20"/>
          <w:szCs w:val="20"/>
          <w:color w:val="auto"/>
        </w:rPr>
      </w:pPr>
      <w:r>
        <w:rPr>
          <w:rFonts w:ascii="Arial" w:cs="Arial" w:eastAsia="Arial" w:hAnsi="Arial"/>
          <w:sz w:val="16"/>
          <w:szCs w:val="16"/>
          <w:color w:val="auto"/>
        </w:rPr>
        <w:t>Curtailment and settlement</w:t>
      </w:r>
    </w:p>
    <w:p>
      <w:pPr>
        <w:spacing w:after="0" w:line="80" w:lineRule="exact"/>
        <w:rPr>
          <w:sz w:val="20"/>
          <w:szCs w:val="20"/>
          <w:color w:val="auto"/>
        </w:rPr>
      </w:pPr>
    </w:p>
    <w:p>
      <w:pPr>
        <w:ind w:left="40"/>
        <w:spacing w:after="0"/>
        <w:rPr>
          <w:sz w:val="20"/>
          <w:szCs w:val="20"/>
          <w:color w:val="auto"/>
        </w:rPr>
      </w:pPr>
      <w:r>
        <w:rPr>
          <w:rFonts w:ascii="Arial" w:cs="Arial" w:eastAsia="Arial" w:hAnsi="Arial"/>
          <w:sz w:val="16"/>
          <w:szCs w:val="16"/>
          <w:b w:val="1"/>
          <w:bCs w:val="1"/>
          <w:color w:val="auto"/>
        </w:rPr>
        <w:t>Total Recognized in Other Comprehensive Income (Before Tax Effects)</w:t>
      </w:r>
    </w:p>
    <w:p>
      <w:pPr>
        <w:spacing w:after="0" w:line="113" w:lineRule="exact"/>
        <w:rPr>
          <w:sz w:val="20"/>
          <w:szCs w:val="20"/>
          <w:color w:val="auto"/>
        </w:rPr>
      </w:pPr>
    </w:p>
    <w:p>
      <w:pPr>
        <w:ind w:left="40"/>
        <w:spacing w:after="0"/>
        <w:rPr>
          <w:sz w:val="20"/>
          <w:szCs w:val="20"/>
          <w:color w:val="auto"/>
        </w:rPr>
      </w:pPr>
      <w:r>
        <w:rPr>
          <w:rFonts w:ascii="Arial" w:cs="Arial" w:eastAsia="Arial" w:hAnsi="Arial"/>
          <w:sz w:val="16"/>
          <w:szCs w:val="16"/>
          <w:b w:val="1"/>
          <w:bCs w:val="1"/>
          <w:color w:val="auto"/>
        </w:rPr>
        <w:t>Total Recognized in Total Benefit and Other Comprehensive Income (Before Tax Effects)</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5"/>
        </w:trPr>
        <w:tc>
          <w:tcPr>
            <w:tcW w:w="260" w:type="dxa"/>
            <w:vAlign w:val="bottom"/>
          </w:tcPr>
          <w:p>
            <w:pPr>
              <w:jc w:val="right"/>
              <w:ind w:right="59"/>
              <w:spacing w:after="0"/>
              <w:rPr>
                <w:sz w:val="20"/>
                <w:szCs w:val="20"/>
                <w:color w:val="auto"/>
              </w:rPr>
            </w:pPr>
            <w:r>
              <w:rPr>
                <w:rFonts w:ascii="Arial" w:cs="Arial" w:eastAsia="Arial" w:hAnsi="Arial"/>
                <w:sz w:val="16"/>
                <w:szCs w:val="16"/>
                <w:b w:val="1"/>
                <w:bCs w:val="1"/>
                <w:color w:val="auto"/>
              </w:rPr>
              <w:t>$</w:t>
            </w:r>
          </w:p>
        </w:tc>
        <w:tc>
          <w:tcPr>
            <w:tcW w:w="940" w:type="dxa"/>
            <w:vAlign w:val="bottom"/>
          </w:tcPr>
          <w:p>
            <w:pPr>
              <w:jc w:val="right"/>
              <w:ind w:right="79"/>
              <w:spacing w:after="0"/>
              <w:rPr>
                <w:sz w:val="20"/>
                <w:szCs w:val="20"/>
                <w:color w:val="auto"/>
              </w:rPr>
            </w:pPr>
            <w:r>
              <w:rPr>
                <w:rFonts w:ascii="Arial" w:cs="Arial" w:eastAsia="Arial" w:hAnsi="Arial"/>
                <w:sz w:val="16"/>
                <w:szCs w:val="16"/>
                <w:b w:val="1"/>
                <w:bCs w:val="1"/>
                <w:color w:val="auto"/>
              </w:rPr>
              <w:t>18,687</w:t>
            </w:r>
          </w:p>
        </w:tc>
        <w:tc>
          <w:tcPr>
            <w:tcW w:w="32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920" w:type="dxa"/>
            <w:vAlign w:val="bottom"/>
          </w:tcPr>
          <w:p>
            <w:pPr>
              <w:jc w:val="right"/>
              <w:ind w:right="79"/>
              <w:spacing w:after="0"/>
              <w:rPr>
                <w:sz w:val="20"/>
                <w:szCs w:val="20"/>
                <w:color w:val="auto"/>
              </w:rPr>
            </w:pPr>
            <w:r>
              <w:rPr>
                <w:rFonts w:ascii="Arial" w:cs="Arial" w:eastAsia="Arial" w:hAnsi="Arial"/>
                <w:sz w:val="16"/>
                <w:szCs w:val="16"/>
                <w:color w:val="auto"/>
              </w:rPr>
              <w:t>20,461</w:t>
            </w:r>
          </w:p>
        </w:tc>
        <w:tc>
          <w:tcPr>
            <w:tcW w:w="32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880" w:type="dxa"/>
            <w:vAlign w:val="bottom"/>
          </w:tcPr>
          <w:p>
            <w:pPr>
              <w:jc w:val="right"/>
              <w:ind w:right="19"/>
              <w:spacing w:after="0"/>
              <w:rPr>
                <w:sz w:val="20"/>
                <w:szCs w:val="20"/>
                <w:color w:val="auto"/>
              </w:rPr>
            </w:pPr>
            <w:r>
              <w:rPr>
                <w:rFonts w:ascii="Arial" w:cs="Arial" w:eastAsia="Arial" w:hAnsi="Arial"/>
                <w:sz w:val="16"/>
                <w:szCs w:val="16"/>
                <w:color w:val="auto"/>
              </w:rPr>
              <w:t>26,294</w:t>
            </w:r>
          </w:p>
        </w:tc>
      </w:tr>
      <w:tr>
        <w:trPr>
          <w:trHeight w:val="270"/>
        </w:trPr>
        <w:tc>
          <w:tcPr>
            <w:tcW w:w="260" w:type="dxa"/>
            <w:vAlign w:val="bottom"/>
          </w:tcPr>
          <w:p>
            <w:pPr>
              <w:spacing w:after="0"/>
              <w:rPr>
                <w:sz w:val="23"/>
                <w:szCs w:val="23"/>
                <w:color w:val="auto"/>
              </w:rPr>
            </w:pPr>
          </w:p>
        </w:tc>
        <w:tc>
          <w:tcPr>
            <w:tcW w:w="940" w:type="dxa"/>
            <w:vAlign w:val="bottom"/>
          </w:tcPr>
          <w:p>
            <w:pPr>
              <w:jc w:val="right"/>
              <w:ind w:right="79"/>
              <w:spacing w:after="0"/>
              <w:rPr>
                <w:sz w:val="20"/>
                <w:szCs w:val="20"/>
                <w:color w:val="auto"/>
              </w:rPr>
            </w:pPr>
            <w:r>
              <w:rPr>
                <w:rFonts w:ascii="Arial" w:cs="Arial" w:eastAsia="Arial" w:hAnsi="Arial"/>
                <w:sz w:val="16"/>
                <w:szCs w:val="16"/>
                <w:b w:val="1"/>
                <w:bCs w:val="1"/>
                <w:color w:val="auto"/>
              </w:rPr>
              <w:t>47,925</w:t>
            </w:r>
          </w:p>
        </w:tc>
        <w:tc>
          <w:tcPr>
            <w:tcW w:w="320" w:type="dxa"/>
            <w:vAlign w:val="bottom"/>
          </w:tcPr>
          <w:p>
            <w:pPr>
              <w:spacing w:after="0"/>
              <w:rPr>
                <w:sz w:val="23"/>
                <w:szCs w:val="23"/>
                <w:color w:val="auto"/>
              </w:rPr>
            </w:pPr>
          </w:p>
        </w:tc>
        <w:tc>
          <w:tcPr>
            <w:tcW w:w="920" w:type="dxa"/>
            <w:vAlign w:val="bottom"/>
          </w:tcPr>
          <w:p>
            <w:pPr>
              <w:jc w:val="right"/>
              <w:ind w:right="79"/>
              <w:spacing w:after="0"/>
              <w:rPr>
                <w:sz w:val="20"/>
                <w:szCs w:val="20"/>
                <w:color w:val="auto"/>
              </w:rPr>
            </w:pPr>
            <w:r>
              <w:rPr>
                <w:rFonts w:ascii="Arial" w:cs="Arial" w:eastAsia="Arial" w:hAnsi="Arial"/>
                <w:sz w:val="16"/>
                <w:szCs w:val="16"/>
                <w:color w:val="auto"/>
              </w:rPr>
              <w:t>51,608</w:t>
            </w:r>
          </w:p>
        </w:tc>
        <w:tc>
          <w:tcPr>
            <w:tcW w:w="320" w:type="dxa"/>
            <w:vAlign w:val="bottom"/>
          </w:tcPr>
          <w:p>
            <w:pPr>
              <w:spacing w:after="0"/>
              <w:rPr>
                <w:sz w:val="23"/>
                <w:szCs w:val="23"/>
                <w:color w:val="auto"/>
              </w:rPr>
            </w:pPr>
          </w:p>
        </w:tc>
        <w:tc>
          <w:tcPr>
            <w:tcW w:w="880" w:type="dxa"/>
            <w:vAlign w:val="bottom"/>
          </w:tcPr>
          <w:p>
            <w:pPr>
              <w:jc w:val="right"/>
              <w:ind w:right="19"/>
              <w:spacing w:after="0"/>
              <w:rPr>
                <w:sz w:val="20"/>
                <w:szCs w:val="20"/>
                <w:color w:val="auto"/>
              </w:rPr>
            </w:pPr>
            <w:r>
              <w:rPr>
                <w:rFonts w:ascii="Arial" w:cs="Arial" w:eastAsia="Arial" w:hAnsi="Arial"/>
                <w:sz w:val="16"/>
                <w:szCs w:val="16"/>
                <w:color w:val="auto"/>
              </w:rPr>
              <w:t>52,613</w:t>
            </w:r>
          </w:p>
        </w:tc>
      </w:tr>
      <w:tr>
        <w:trPr>
          <w:trHeight w:val="270"/>
        </w:trPr>
        <w:tc>
          <w:tcPr>
            <w:tcW w:w="260" w:type="dxa"/>
            <w:vAlign w:val="bottom"/>
          </w:tcPr>
          <w:p>
            <w:pPr>
              <w:spacing w:after="0"/>
              <w:rPr>
                <w:sz w:val="23"/>
                <w:szCs w:val="23"/>
                <w:color w:val="auto"/>
              </w:rPr>
            </w:pPr>
          </w:p>
        </w:tc>
        <w:tc>
          <w:tcPr>
            <w:tcW w:w="940" w:type="dxa"/>
            <w:vAlign w:val="bottom"/>
          </w:tcPr>
          <w:p>
            <w:pPr>
              <w:jc w:val="right"/>
              <w:ind w:right="19"/>
              <w:spacing w:after="0"/>
              <w:rPr>
                <w:sz w:val="20"/>
                <w:szCs w:val="20"/>
                <w:color w:val="auto"/>
              </w:rPr>
            </w:pPr>
            <w:r>
              <w:rPr>
                <w:rFonts w:ascii="Arial" w:cs="Arial" w:eastAsia="Arial" w:hAnsi="Arial"/>
                <w:sz w:val="16"/>
                <w:szCs w:val="16"/>
                <w:b w:val="1"/>
                <w:bCs w:val="1"/>
                <w:color w:val="auto"/>
              </w:rPr>
              <w:t>(121,411)</w:t>
            </w:r>
          </w:p>
        </w:tc>
        <w:tc>
          <w:tcPr>
            <w:tcW w:w="320" w:type="dxa"/>
            <w:vAlign w:val="bottom"/>
          </w:tcPr>
          <w:p>
            <w:pPr>
              <w:spacing w:after="0"/>
              <w:rPr>
                <w:sz w:val="23"/>
                <w:szCs w:val="23"/>
                <w:color w:val="auto"/>
              </w:rPr>
            </w:pPr>
          </w:p>
        </w:tc>
        <w:tc>
          <w:tcPr>
            <w:tcW w:w="920" w:type="dxa"/>
            <w:vAlign w:val="bottom"/>
          </w:tcPr>
          <w:p>
            <w:pPr>
              <w:jc w:val="right"/>
              <w:ind w:right="19"/>
              <w:spacing w:after="0"/>
              <w:rPr>
                <w:sz w:val="20"/>
                <w:szCs w:val="20"/>
                <w:color w:val="auto"/>
              </w:rPr>
            </w:pPr>
            <w:r>
              <w:rPr>
                <w:rFonts w:ascii="Arial" w:cs="Arial" w:eastAsia="Arial" w:hAnsi="Arial"/>
                <w:sz w:val="16"/>
                <w:szCs w:val="16"/>
                <w:color w:val="auto"/>
              </w:rPr>
              <w:t>(121,470)</w:t>
            </w:r>
          </w:p>
        </w:tc>
        <w:tc>
          <w:tcPr>
            <w:tcW w:w="320" w:type="dxa"/>
            <w:vAlign w:val="bottom"/>
          </w:tcPr>
          <w:p>
            <w:pPr>
              <w:spacing w:after="0"/>
              <w:rPr>
                <w:sz w:val="23"/>
                <w:szCs w:val="23"/>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(130,571)</w:t>
            </w:r>
          </w:p>
        </w:tc>
      </w:tr>
      <w:tr>
        <w:trPr>
          <w:trHeight w:val="270"/>
        </w:trPr>
        <w:tc>
          <w:tcPr>
            <w:tcW w:w="260" w:type="dxa"/>
            <w:vAlign w:val="bottom"/>
          </w:tcPr>
          <w:p>
            <w:pPr>
              <w:spacing w:after="0"/>
              <w:rPr>
                <w:sz w:val="23"/>
                <w:szCs w:val="23"/>
                <w:color w:val="auto"/>
              </w:rPr>
            </w:pPr>
          </w:p>
        </w:tc>
        <w:tc>
          <w:tcPr>
            <w:tcW w:w="940" w:type="dxa"/>
            <w:vAlign w:val="bottom"/>
          </w:tcPr>
          <w:p>
            <w:pPr>
              <w:jc w:val="right"/>
              <w:ind w:right="79"/>
              <w:spacing w:after="0"/>
              <w:rPr>
                <w:sz w:val="20"/>
                <w:szCs w:val="20"/>
                <w:color w:val="auto"/>
              </w:rPr>
            </w:pPr>
            <w:r>
              <w:rPr>
                <w:rFonts w:ascii="Arial" w:cs="Arial" w:eastAsia="Arial" w:hAnsi="Arial"/>
                <w:sz w:val="16"/>
                <w:szCs w:val="16"/>
                <w:b w:val="1"/>
                <w:bCs w:val="1"/>
                <w:color w:val="auto"/>
              </w:rPr>
              <w:t>170</w:t>
            </w:r>
          </w:p>
        </w:tc>
        <w:tc>
          <w:tcPr>
            <w:tcW w:w="320" w:type="dxa"/>
            <w:vAlign w:val="bottom"/>
          </w:tcPr>
          <w:p>
            <w:pPr>
              <w:spacing w:after="0"/>
              <w:rPr>
                <w:sz w:val="23"/>
                <w:szCs w:val="23"/>
                <w:color w:val="auto"/>
              </w:rPr>
            </w:pPr>
          </w:p>
        </w:tc>
        <w:tc>
          <w:tcPr>
            <w:tcW w:w="920" w:type="dxa"/>
            <w:vAlign w:val="bottom"/>
          </w:tcPr>
          <w:p>
            <w:pPr>
              <w:jc w:val="right"/>
              <w:ind w:right="79"/>
              <w:spacing w:after="0"/>
              <w:rPr>
                <w:sz w:val="20"/>
                <w:szCs w:val="20"/>
                <w:color w:val="auto"/>
              </w:rPr>
            </w:pPr>
            <w:r>
              <w:rPr>
                <w:rFonts w:ascii="Arial" w:cs="Arial" w:eastAsia="Arial" w:hAnsi="Arial"/>
                <w:sz w:val="16"/>
                <w:szCs w:val="16"/>
                <w:color w:val="auto"/>
              </w:rPr>
              <w:t>297</w:t>
            </w:r>
          </w:p>
        </w:tc>
        <w:tc>
          <w:tcPr>
            <w:tcW w:w="320" w:type="dxa"/>
            <w:vAlign w:val="bottom"/>
          </w:tcPr>
          <w:p>
            <w:pPr>
              <w:spacing w:after="0"/>
              <w:rPr>
                <w:sz w:val="23"/>
                <w:szCs w:val="23"/>
                <w:color w:val="auto"/>
              </w:rPr>
            </w:pPr>
          </w:p>
        </w:tc>
        <w:tc>
          <w:tcPr>
            <w:tcW w:w="880" w:type="dxa"/>
            <w:vAlign w:val="bottom"/>
          </w:tcPr>
          <w:p>
            <w:pPr>
              <w:jc w:val="right"/>
              <w:ind w:right="19"/>
              <w:spacing w:after="0"/>
              <w:rPr>
                <w:sz w:val="20"/>
                <w:szCs w:val="20"/>
                <w:color w:val="auto"/>
              </w:rPr>
            </w:pPr>
            <w:r>
              <w:rPr>
                <w:rFonts w:ascii="Arial" w:cs="Arial" w:eastAsia="Arial" w:hAnsi="Arial"/>
                <w:sz w:val="16"/>
                <w:szCs w:val="16"/>
                <w:color w:val="auto"/>
              </w:rPr>
              <w:t>320</w:t>
            </w:r>
          </w:p>
        </w:tc>
      </w:tr>
      <w:tr>
        <w:trPr>
          <w:trHeight w:val="283"/>
        </w:trPr>
        <w:tc>
          <w:tcPr>
            <w:tcW w:w="26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b w:val="1"/>
                <w:bCs w:val="1"/>
                <w:color w:val="auto"/>
              </w:rPr>
              <w:t>(4,410)</w:t>
            </w:r>
          </w:p>
        </w:tc>
        <w:tc>
          <w:tcPr>
            <w:tcW w:w="32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w:t>
            </w:r>
          </w:p>
        </w:tc>
        <w:tc>
          <w:tcPr>
            <w:tcW w:w="32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(11,925)</w:t>
            </w:r>
          </w:p>
        </w:tc>
      </w:tr>
      <w:tr>
        <w:trPr>
          <w:trHeight w:val="251"/>
        </w:trPr>
        <w:tc>
          <w:tcPr>
            <w:tcW w:w="260" w:type="dxa"/>
            <w:vAlign w:val="bottom"/>
          </w:tcPr>
          <w:p>
            <w:pPr>
              <w:spacing w:after="0"/>
              <w:rPr>
                <w:sz w:val="21"/>
                <w:szCs w:val="21"/>
                <w:color w:val="auto"/>
              </w:rPr>
            </w:pPr>
          </w:p>
        </w:tc>
        <w:tc>
          <w:tcPr>
            <w:tcW w:w="940" w:type="dxa"/>
            <w:vAlign w:val="bottom"/>
          </w:tcPr>
          <w:p>
            <w:pPr>
              <w:jc w:val="right"/>
              <w:ind w:right="19"/>
              <w:spacing w:after="0"/>
              <w:rPr>
                <w:sz w:val="20"/>
                <w:szCs w:val="20"/>
                <w:color w:val="auto"/>
              </w:rPr>
            </w:pPr>
            <w:r>
              <w:rPr>
                <w:rFonts w:ascii="Arial" w:cs="Arial" w:eastAsia="Arial" w:hAnsi="Arial"/>
                <w:sz w:val="16"/>
                <w:szCs w:val="16"/>
                <w:b w:val="1"/>
                <w:bCs w:val="1"/>
                <w:color w:val="auto"/>
              </w:rPr>
              <w:t>(59,039)</w:t>
            </w:r>
          </w:p>
        </w:tc>
        <w:tc>
          <w:tcPr>
            <w:tcW w:w="320" w:type="dxa"/>
            <w:vAlign w:val="bottom"/>
          </w:tcPr>
          <w:p>
            <w:pPr>
              <w:spacing w:after="0"/>
              <w:rPr>
                <w:sz w:val="21"/>
                <w:szCs w:val="21"/>
                <w:color w:val="auto"/>
              </w:rPr>
            </w:pPr>
          </w:p>
        </w:tc>
        <w:tc>
          <w:tcPr>
            <w:tcW w:w="920" w:type="dxa"/>
            <w:vAlign w:val="bottom"/>
          </w:tcPr>
          <w:p>
            <w:pPr>
              <w:jc w:val="right"/>
              <w:ind w:right="19"/>
              <w:spacing w:after="0"/>
              <w:rPr>
                <w:sz w:val="20"/>
                <w:szCs w:val="20"/>
                <w:color w:val="auto"/>
              </w:rPr>
            </w:pPr>
            <w:r>
              <w:rPr>
                <w:rFonts w:ascii="Arial" w:cs="Arial" w:eastAsia="Arial" w:hAnsi="Arial"/>
                <w:sz w:val="16"/>
                <w:szCs w:val="16"/>
                <w:color w:val="auto"/>
              </w:rPr>
              <w:t>(49,104)</w:t>
            </w:r>
          </w:p>
        </w:tc>
        <w:tc>
          <w:tcPr>
            <w:tcW w:w="32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(63,269)</w:t>
            </w:r>
          </w:p>
        </w:tc>
      </w:tr>
      <w:tr>
        <w:trPr>
          <w:trHeight w:val="270"/>
        </w:trPr>
        <w:tc>
          <w:tcPr>
            <w:tcW w:w="260" w:type="dxa"/>
            <w:vAlign w:val="bottom"/>
          </w:tcPr>
          <w:p>
            <w:pPr>
              <w:spacing w:after="0"/>
              <w:rPr>
                <w:sz w:val="23"/>
                <w:szCs w:val="23"/>
                <w:color w:val="auto"/>
              </w:rPr>
            </w:pPr>
          </w:p>
        </w:tc>
        <w:tc>
          <w:tcPr>
            <w:tcW w:w="940" w:type="dxa"/>
            <w:vAlign w:val="bottom"/>
          </w:tcPr>
          <w:p>
            <w:pPr>
              <w:jc w:val="right"/>
              <w:ind w:right="79"/>
              <w:spacing w:after="0"/>
              <w:rPr>
                <w:sz w:val="20"/>
                <w:szCs w:val="20"/>
                <w:color w:val="auto"/>
              </w:rPr>
            </w:pPr>
            <w:r>
              <w:rPr>
                <w:rFonts w:ascii="Arial" w:cs="Arial" w:eastAsia="Arial" w:hAnsi="Arial"/>
                <w:sz w:val="16"/>
                <w:szCs w:val="16"/>
                <w:b w:val="1"/>
                <w:bCs w:val="1"/>
                <w:color w:val="auto"/>
              </w:rPr>
              <w:t>—</w:t>
            </w:r>
          </w:p>
        </w:tc>
        <w:tc>
          <w:tcPr>
            <w:tcW w:w="320" w:type="dxa"/>
            <w:vAlign w:val="bottom"/>
          </w:tcPr>
          <w:p>
            <w:pPr>
              <w:spacing w:after="0"/>
              <w:rPr>
                <w:sz w:val="23"/>
                <w:szCs w:val="23"/>
                <w:color w:val="auto"/>
              </w:rPr>
            </w:pPr>
          </w:p>
        </w:tc>
        <w:tc>
          <w:tcPr>
            <w:tcW w:w="92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320" w:type="dxa"/>
            <w:vAlign w:val="bottom"/>
          </w:tcPr>
          <w:p>
            <w:pPr>
              <w:spacing w:after="0"/>
              <w:rPr>
                <w:sz w:val="23"/>
                <w:szCs w:val="23"/>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(3,267)</w:t>
            </w:r>
          </w:p>
        </w:tc>
      </w:tr>
      <w:tr>
        <w:trPr>
          <w:trHeight w:val="270"/>
        </w:trPr>
        <w:tc>
          <w:tcPr>
            <w:tcW w:w="260" w:type="dxa"/>
            <w:vAlign w:val="bottom"/>
          </w:tcPr>
          <w:p>
            <w:pPr>
              <w:spacing w:after="0"/>
              <w:rPr>
                <w:sz w:val="23"/>
                <w:szCs w:val="23"/>
                <w:color w:val="auto"/>
              </w:rPr>
            </w:pPr>
          </w:p>
        </w:tc>
        <w:tc>
          <w:tcPr>
            <w:tcW w:w="940" w:type="dxa"/>
            <w:vAlign w:val="bottom"/>
          </w:tcPr>
          <w:p>
            <w:pPr>
              <w:jc w:val="right"/>
              <w:ind w:right="79"/>
              <w:spacing w:after="0"/>
              <w:rPr>
                <w:sz w:val="20"/>
                <w:szCs w:val="20"/>
                <w:color w:val="auto"/>
              </w:rPr>
            </w:pPr>
            <w:r>
              <w:rPr>
                <w:rFonts w:ascii="Arial" w:cs="Arial" w:eastAsia="Arial" w:hAnsi="Arial"/>
                <w:sz w:val="16"/>
                <w:szCs w:val="16"/>
                <w:b w:val="1"/>
                <w:bCs w:val="1"/>
                <w:color w:val="auto"/>
              </w:rPr>
              <w:t>—</w:t>
            </w:r>
          </w:p>
        </w:tc>
        <w:tc>
          <w:tcPr>
            <w:tcW w:w="320" w:type="dxa"/>
            <w:vAlign w:val="bottom"/>
          </w:tcPr>
          <w:p>
            <w:pPr>
              <w:spacing w:after="0"/>
              <w:rPr>
                <w:sz w:val="23"/>
                <w:szCs w:val="23"/>
                <w:color w:val="auto"/>
              </w:rPr>
            </w:pPr>
          </w:p>
        </w:tc>
        <w:tc>
          <w:tcPr>
            <w:tcW w:w="920" w:type="dxa"/>
            <w:vAlign w:val="bottom"/>
          </w:tcPr>
          <w:p>
            <w:pPr>
              <w:jc w:val="right"/>
              <w:ind w:right="19"/>
              <w:spacing w:after="0"/>
              <w:rPr>
                <w:sz w:val="20"/>
                <w:szCs w:val="20"/>
                <w:color w:val="auto"/>
              </w:rPr>
            </w:pPr>
            <w:r>
              <w:rPr>
                <w:rFonts w:ascii="Arial" w:cs="Arial" w:eastAsia="Arial" w:hAnsi="Arial"/>
                <w:sz w:val="16"/>
                <w:szCs w:val="16"/>
                <w:color w:val="auto"/>
              </w:rPr>
              <w:t>(17,993)</w:t>
            </w:r>
          </w:p>
        </w:tc>
        <w:tc>
          <w:tcPr>
            <w:tcW w:w="320" w:type="dxa"/>
            <w:vAlign w:val="bottom"/>
          </w:tcPr>
          <w:p>
            <w:pPr>
              <w:spacing w:after="0"/>
              <w:rPr>
                <w:sz w:val="23"/>
                <w:szCs w:val="23"/>
                <w:color w:val="auto"/>
              </w:rPr>
            </w:pPr>
          </w:p>
        </w:tc>
        <w:tc>
          <w:tcPr>
            <w:tcW w:w="880" w:type="dxa"/>
            <w:vAlign w:val="bottom"/>
          </w:tcPr>
          <w:p>
            <w:pPr>
              <w:jc w:val="right"/>
              <w:ind w:right="19"/>
              <w:spacing w:after="0"/>
              <w:rPr>
                <w:sz w:val="20"/>
                <w:szCs w:val="20"/>
                <w:color w:val="auto"/>
              </w:rPr>
            </w:pPr>
            <w:r>
              <w:rPr>
                <w:rFonts w:ascii="Arial" w:cs="Arial" w:eastAsia="Arial" w:hAnsi="Arial"/>
                <w:sz w:val="16"/>
                <w:szCs w:val="16"/>
                <w:color w:val="auto"/>
              </w:rPr>
              <w:t>—</w:t>
            </w:r>
          </w:p>
        </w:tc>
      </w:tr>
      <w:tr>
        <w:trPr>
          <w:trHeight w:val="283"/>
        </w:trPr>
        <w:tc>
          <w:tcPr>
            <w:tcW w:w="26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b w:val="1"/>
                <w:bCs w:val="1"/>
                <w:color w:val="auto"/>
              </w:rPr>
              <w:t>1,825</w:t>
            </w:r>
          </w:p>
        </w:tc>
        <w:tc>
          <w:tcPr>
            <w:tcW w:w="32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w:t>
            </w:r>
          </w:p>
        </w:tc>
        <w:tc>
          <w:tcPr>
            <w:tcW w:w="32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4,606</w:t>
            </w:r>
          </w:p>
        </w:tc>
      </w:tr>
      <w:tr>
        <w:trPr>
          <w:trHeight w:val="264"/>
        </w:trPr>
        <w:tc>
          <w:tcPr>
            <w:tcW w:w="26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b w:val="1"/>
                <w:bCs w:val="1"/>
                <w:color w:val="auto"/>
              </w:rPr>
              <w:t>$</w:t>
            </w:r>
          </w:p>
        </w:tc>
        <w:tc>
          <w:tcPr>
            <w:tcW w:w="94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b w:val="1"/>
                <w:bCs w:val="1"/>
                <w:color w:val="auto"/>
              </w:rPr>
              <w:t>(57,214)</w:t>
            </w:r>
          </w:p>
        </w:tc>
        <w:tc>
          <w:tcPr>
            <w:tcW w:w="32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w:t>
            </w:r>
          </w:p>
        </w:tc>
        <w:tc>
          <w:tcPr>
            <w:tcW w:w="9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(67,097)</w:t>
            </w:r>
          </w:p>
        </w:tc>
        <w:tc>
          <w:tcPr>
            <w:tcW w:w="32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(61,930)</w:t>
            </w:r>
          </w:p>
        </w:tc>
      </w:tr>
      <w:tr>
        <w:trPr>
          <w:trHeight w:val="521"/>
        </w:trPr>
        <w:tc>
          <w:tcPr>
            <w:tcW w:w="260" w:type="dxa"/>
            <w:vAlign w:val="bottom"/>
          </w:tcPr>
          <w:p>
            <w:pPr>
              <w:jc w:val="right"/>
              <w:ind w:right="59"/>
              <w:spacing w:after="0"/>
              <w:rPr>
                <w:sz w:val="20"/>
                <w:szCs w:val="20"/>
                <w:color w:val="auto"/>
              </w:rPr>
            </w:pPr>
            <w:r>
              <w:rPr>
                <w:rFonts w:ascii="Arial" w:cs="Arial" w:eastAsia="Arial" w:hAnsi="Arial"/>
                <w:sz w:val="16"/>
                <w:szCs w:val="16"/>
                <w:b w:val="1"/>
                <w:bCs w:val="1"/>
                <w:color w:val="auto"/>
              </w:rPr>
              <w:t>$</w:t>
            </w:r>
          </w:p>
        </w:tc>
        <w:tc>
          <w:tcPr>
            <w:tcW w:w="940" w:type="dxa"/>
            <w:vAlign w:val="bottom"/>
          </w:tcPr>
          <w:p>
            <w:pPr>
              <w:jc w:val="right"/>
              <w:ind w:right="19"/>
              <w:spacing w:after="0"/>
              <w:rPr>
                <w:sz w:val="20"/>
                <w:szCs w:val="20"/>
                <w:color w:val="auto"/>
              </w:rPr>
            </w:pPr>
            <w:r>
              <w:rPr>
                <w:rFonts w:ascii="Arial" w:cs="Arial" w:eastAsia="Arial" w:hAnsi="Arial"/>
                <w:sz w:val="16"/>
                <w:szCs w:val="16"/>
                <w:b w:val="1"/>
                <w:bCs w:val="1"/>
                <w:color w:val="auto"/>
              </w:rPr>
              <w:t>(180,885)</w:t>
            </w:r>
          </w:p>
        </w:tc>
        <w:tc>
          <w:tcPr>
            <w:tcW w:w="32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920" w:type="dxa"/>
            <w:vAlign w:val="bottom"/>
          </w:tcPr>
          <w:p>
            <w:pPr>
              <w:jc w:val="right"/>
              <w:ind w:right="79"/>
              <w:spacing w:after="0"/>
              <w:rPr>
                <w:sz w:val="20"/>
                <w:szCs w:val="20"/>
                <w:color w:val="auto"/>
              </w:rPr>
            </w:pPr>
            <w:r>
              <w:rPr>
                <w:rFonts w:ascii="Arial" w:cs="Arial" w:eastAsia="Arial" w:hAnsi="Arial"/>
                <w:sz w:val="16"/>
                <w:szCs w:val="16"/>
                <w:color w:val="auto"/>
              </w:rPr>
              <w:t>147,779</w:t>
            </w:r>
          </w:p>
        </w:tc>
        <w:tc>
          <w:tcPr>
            <w:tcW w:w="32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880" w:type="dxa"/>
            <w:vAlign w:val="bottom"/>
          </w:tcPr>
          <w:p>
            <w:pPr>
              <w:jc w:val="right"/>
              <w:ind w:right="19"/>
              <w:spacing w:after="0"/>
              <w:rPr>
                <w:sz w:val="20"/>
                <w:szCs w:val="20"/>
                <w:color w:val="auto"/>
              </w:rPr>
            </w:pPr>
            <w:r>
              <w:rPr>
                <w:rFonts w:ascii="Arial" w:cs="Arial" w:eastAsia="Arial" w:hAnsi="Arial"/>
                <w:sz w:val="16"/>
                <w:szCs w:val="16"/>
                <w:color w:val="auto"/>
              </w:rPr>
              <w:t>222,894</w:t>
            </w:r>
          </w:p>
        </w:tc>
      </w:tr>
      <w:tr>
        <w:trPr>
          <w:trHeight w:val="270"/>
        </w:trPr>
        <w:tc>
          <w:tcPr>
            <w:tcW w:w="260" w:type="dxa"/>
            <w:vAlign w:val="bottom"/>
          </w:tcPr>
          <w:p>
            <w:pPr>
              <w:spacing w:after="0"/>
              <w:rPr>
                <w:sz w:val="23"/>
                <w:szCs w:val="23"/>
                <w:color w:val="auto"/>
              </w:rPr>
            </w:pPr>
          </w:p>
        </w:tc>
        <w:tc>
          <w:tcPr>
            <w:tcW w:w="940" w:type="dxa"/>
            <w:vAlign w:val="bottom"/>
          </w:tcPr>
          <w:p>
            <w:pPr>
              <w:jc w:val="right"/>
              <w:ind w:right="79"/>
              <w:spacing w:after="0"/>
              <w:rPr>
                <w:sz w:val="20"/>
                <w:szCs w:val="20"/>
                <w:color w:val="auto"/>
              </w:rPr>
            </w:pPr>
            <w:r>
              <w:rPr>
                <w:rFonts w:ascii="Arial" w:cs="Arial" w:eastAsia="Arial" w:hAnsi="Arial"/>
                <w:sz w:val="16"/>
                <w:szCs w:val="16"/>
                <w:b w:val="1"/>
                <w:bCs w:val="1"/>
                <w:color w:val="auto"/>
              </w:rPr>
              <w:t>75</w:t>
            </w:r>
          </w:p>
        </w:tc>
        <w:tc>
          <w:tcPr>
            <w:tcW w:w="320" w:type="dxa"/>
            <w:vAlign w:val="bottom"/>
          </w:tcPr>
          <w:p>
            <w:pPr>
              <w:spacing w:after="0"/>
              <w:rPr>
                <w:sz w:val="23"/>
                <w:szCs w:val="23"/>
                <w:color w:val="auto"/>
              </w:rPr>
            </w:pPr>
          </w:p>
        </w:tc>
        <w:tc>
          <w:tcPr>
            <w:tcW w:w="92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320" w:type="dxa"/>
            <w:vAlign w:val="bottom"/>
          </w:tcPr>
          <w:p>
            <w:pPr>
              <w:spacing w:after="0"/>
              <w:rPr>
                <w:sz w:val="23"/>
                <w:szCs w:val="23"/>
                <w:color w:val="auto"/>
              </w:rPr>
            </w:pPr>
          </w:p>
        </w:tc>
        <w:tc>
          <w:tcPr>
            <w:tcW w:w="880" w:type="dxa"/>
            <w:vAlign w:val="bottom"/>
          </w:tcPr>
          <w:p>
            <w:pPr>
              <w:jc w:val="right"/>
              <w:ind w:right="19"/>
              <w:spacing w:after="0"/>
              <w:rPr>
                <w:sz w:val="20"/>
                <w:szCs w:val="20"/>
                <w:color w:val="auto"/>
              </w:rPr>
            </w:pPr>
            <w:r>
              <w:rPr>
                <w:rFonts w:ascii="Arial" w:cs="Arial" w:eastAsia="Arial" w:hAnsi="Arial"/>
                <w:sz w:val="16"/>
                <w:szCs w:val="16"/>
                <w:color w:val="auto"/>
              </w:rPr>
              <w:t>—</w:t>
            </w:r>
          </w:p>
        </w:tc>
      </w:tr>
      <w:tr>
        <w:trPr>
          <w:trHeight w:val="270"/>
        </w:trPr>
        <w:tc>
          <w:tcPr>
            <w:tcW w:w="260" w:type="dxa"/>
            <w:vAlign w:val="bottom"/>
          </w:tcPr>
          <w:p>
            <w:pPr>
              <w:spacing w:after="0"/>
              <w:rPr>
                <w:sz w:val="23"/>
                <w:szCs w:val="23"/>
                <w:color w:val="auto"/>
              </w:rPr>
            </w:pPr>
          </w:p>
        </w:tc>
        <w:tc>
          <w:tcPr>
            <w:tcW w:w="940" w:type="dxa"/>
            <w:vAlign w:val="bottom"/>
          </w:tcPr>
          <w:p>
            <w:pPr>
              <w:jc w:val="right"/>
              <w:ind w:right="19"/>
              <w:spacing w:after="0"/>
              <w:rPr>
                <w:sz w:val="20"/>
                <w:szCs w:val="20"/>
                <w:color w:val="auto"/>
              </w:rPr>
            </w:pPr>
            <w:r>
              <w:rPr>
                <w:rFonts w:ascii="Arial" w:cs="Arial" w:eastAsia="Arial" w:hAnsi="Arial"/>
                <w:sz w:val="16"/>
                <w:szCs w:val="16"/>
                <w:b w:val="1"/>
                <w:bCs w:val="1"/>
                <w:color w:val="auto"/>
              </w:rPr>
              <w:t>(170)</w:t>
            </w:r>
          </w:p>
        </w:tc>
        <w:tc>
          <w:tcPr>
            <w:tcW w:w="320" w:type="dxa"/>
            <w:vAlign w:val="bottom"/>
          </w:tcPr>
          <w:p>
            <w:pPr>
              <w:spacing w:after="0"/>
              <w:rPr>
                <w:sz w:val="23"/>
                <w:szCs w:val="23"/>
                <w:color w:val="auto"/>
              </w:rPr>
            </w:pPr>
          </w:p>
        </w:tc>
        <w:tc>
          <w:tcPr>
            <w:tcW w:w="920" w:type="dxa"/>
            <w:vAlign w:val="bottom"/>
          </w:tcPr>
          <w:p>
            <w:pPr>
              <w:jc w:val="right"/>
              <w:ind w:right="19"/>
              <w:spacing w:after="0"/>
              <w:rPr>
                <w:sz w:val="20"/>
                <w:szCs w:val="20"/>
                <w:color w:val="auto"/>
              </w:rPr>
            </w:pPr>
            <w:r>
              <w:rPr>
                <w:rFonts w:ascii="Arial" w:cs="Arial" w:eastAsia="Arial" w:hAnsi="Arial"/>
                <w:sz w:val="16"/>
                <w:szCs w:val="16"/>
                <w:color w:val="auto"/>
              </w:rPr>
              <w:t>(297)</w:t>
            </w:r>
          </w:p>
        </w:tc>
        <w:tc>
          <w:tcPr>
            <w:tcW w:w="320" w:type="dxa"/>
            <w:vAlign w:val="bottom"/>
          </w:tcPr>
          <w:p>
            <w:pPr>
              <w:spacing w:after="0"/>
              <w:rPr>
                <w:sz w:val="23"/>
                <w:szCs w:val="23"/>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(320)</w:t>
            </w:r>
          </w:p>
        </w:tc>
      </w:tr>
      <w:tr>
        <w:trPr>
          <w:trHeight w:val="270"/>
        </w:trPr>
        <w:tc>
          <w:tcPr>
            <w:tcW w:w="260" w:type="dxa"/>
            <w:vAlign w:val="bottom"/>
          </w:tcPr>
          <w:p>
            <w:pPr>
              <w:spacing w:after="0"/>
              <w:rPr>
                <w:sz w:val="23"/>
                <w:szCs w:val="23"/>
                <w:color w:val="auto"/>
              </w:rPr>
            </w:pPr>
          </w:p>
        </w:tc>
        <w:tc>
          <w:tcPr>
            <w:tcW w:w="940" w:type="dxa"/>
            <w:vAlign w:val="bottom"/>
          </w:tcPr>
          <w:p>
            <w:pPr>
              <w:jc w:val="right"/>
              <w:ind w:right="79"/>
              <w:spacing w:after="0"/>
              <w:rPr>
                <w:sz w:val="20"/>
                <w:szCs w:val="20"/>
                <w:color w:val="auto"/>
              </w:rPr>
            </w:pPr>
            <w:r>
              <w:rPr>
                <w:rFonts w:ascii="Arial" w:cs="Arial" w:eastAsia="Arial" w:hAnsi="Arial"/>
                <w:sz w:val="16"/>
                <w:szCs w:val="16"/>
                <w:b w:val="1"/>
                <w:bCs w:val="1"/>
                <w:color w:val="auto"/>
              </w:rPr>
              <w:t>4,410</w:t>
            </w:r>
          </w:p>
        </w:tc>
        <w:tc>
          <w:tcPr>
            <w:tcW w:w="320" w:type="dxa"/>
            <w:vAlign w:val="bottom"/>
          </w:tcPr>
          <w:p>
            <w:pPr>
              <w:spacing w:after="0"/>
              <w:rPr>
                <w:sz w:val="23"/>
                <w:szCs w:val="23"/>
                <w:color w:val="auto"/>
              </w:rPr>
            </w:pPr>
          </w:p>
        </w:tc>
        <w:tc>
          <w:tcPr>
            <w:tcW w:w="92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320" w:type="dxa"/>
            <w:vAlign w:val="bottom"/>
          </w:tcPr>
          <w:p>
            <w:pPr>
              <w:spacing w:after="0"/>
              <w:rPr>
                <w:sz w:val="23"/>
                <w:szCs w:val="23"/>
                <w:color w:val="auto"/>
              </w:rPr>
            </w:pPr>
          </w:p>
        </w:tc>
        <w:tc>
          <w:tcPr>
            <w:tcW w:w="880" w:type="dxa"/>
            <w:vAlign w:val="bottom"/>
          </w:tcPr>
          <w:p>
            <w:pPr>
              <w:jc w:val="right"/>
              <w:ind w:right="19"/>
              <w:spacing w:after="0"/>
              <w:rPr>
                <w:sz w:val="20"/>
                <w:szCs w:val="20"/>
                <w:color w:val="auto"/>
              </w:rPr>
            </w:pPr>
            <w:r>
              <w:rPr>
                <w:rFonts w:ascii="Arial" w:cs="Arial" w:eastAsia="Arial" w:hAnsi="Arial"/>
                <w:sz w:val="16"/>
                <w:szCs w:val="16"/>
                <w:color w:val="auto"/>
              </w:rPr>
              <w:t>11,925</w:t>
            </w:r>
          </w:p>
        </w:tc>
      </w:tr>
      <w:tr>
        <w:trPr>
          <w:trHeight w:val="283"/>
        </w:trPr>
        <w:tc>
          <w:tcPr>
            <w:tcW w:w="26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b w:val="1"/>
                <w:bCs w:val="1"/>
                <w:color w:val="auto"/>
              </w:rPr>
              <w:t>—</w:t>
            </w:r>
          </w:p>
        </w:tc>
        <w:tc>
          <w:tcPr>
            <w:tcW w:w="32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17,993</w:t>
            </w:r>
          </w:p>
        </w:tc>
        <w:tc>
          <w:tcPr>
            <w:tcW w:w="32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(51)</w:t>
            </w:r>
          </w:p>
        </w:tc>
      </w:tr>
      <w:tr>
        <w:trPr>
          <w:trHeight w:val="264"/>
        </w:trPr>
        <w:tc>
          <w:tcPr>
            <w:tcW w:w="26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b w:val="1"/>
                <w:bCs w:val="1"/>
                <w:color w:val="auto"/>
              </w:rPr>
              <w:t>$</w:t>
            </w:r>
          </w:p>
        </w:tc>
        <w:tc>
          <w:tcPr>
            <w:tcW w:w="94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b w:val="1"/>
                <w:bCs w:val="1"/>
                <w:color w:val="auto"/>
              </w:rPr>
              <w:t>(176,570)</w:t>
            </w:r>
          </w:p>
        </w:tc>
        <w:tc>
          <w:tcPr>
            <w:tcW w:w="32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w:t>
            </w:r>
          </w:p>
        </w:tc>
        <w:tc>
          <w:tcPr>
            <w:tcW w:w="92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165,475</w:t>
            </w:r>
          </w:p>
        </w:tc>
        <w:tc>
          <w:tcPr>
            <w:tcW w:w="32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w:t>
            </w:r>
          </w:p>
        </w:tc>
        <w:tc>
          <w:tcPr>
            <w:tcW w:w="88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234,448</w:t>
            </w:r>
          </w:p>
        </w:tc>
      </w:tr>
      <w:tr>
        <w:trPr>
          <w:trHeight w:val="264"/>
        </w:trPr>
        <w:tc>
          <w:tcPr>
            <w:tcW w:w="26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b w:val="1"/>
                <w:bCs w:val="1"/>
                <w:color w:val="auto"/>
              </w:rPr>
              <w:t>$</w:t>
            </w:r>
          </w:p>
        </w:tc>
        <w:tc>
          <w:tcPr>
            <w:tcW w:w="94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b w:val="1"/>
                <w:bCs w:val="1"/>
                <w:color w:val="auto"/>
              </w:rPr>
              <w:t>(233,784)</w:t>
            </w:r>
          </w:p>
        </w:tc>
        <w:tc>
          <w:tcPr>
            <w:tcW w:w="32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w:t>
            </w:r>
          </w:p>
        </w:tc>
        <w:tc>
          <w:tcPr>
            <w:tcW w:w="92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98,378</w:t>
            </w:r>
          </w:p>
        </w:tc>
        <w:tc>
          <w:tcPr>
            <w:tcW w:w="32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w:t>
            </w:r>
          </w:p>
        </w:tc>
        <w:tc>
          <w:tcPr>
            <w:tcW w:w="88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172,518</w:t>
            </w:r>
          </w:p>
        </w:tc>
      </w:tr>
      <w:tr>
        <w:trPr>
          <w:trHeight w:val="20"/>
        </w:trPr>
        <w:tc>
          <w:tcPr>
            <w:tcW w:w="2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2">
            <w:col w:w="7700" w:space="80"/>
            <w:col w:w="3640"/>
          </w:cols>
          <w:pgMar w:left="240" w:top="746" w:right="239" w:bottom="516" w:gutter="0" w:footer="0" w:header="0"/>
          <w:type w:val="continuous"/>
        </w:sectPr>
      </w:pPr>
    </w:p>
    <w:p>
      <w:pPr>
        <w:spacing w:after="0" w:line="3"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778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center"/>
              <w:ind w:right="182"/>
              <w:spacing w:after="0"/>
              <w:rPr>
                <w:sz w:val="20"/>
                <w:szCs w:val="20"/>
                <w:color w:val="auto"/>
              </w:rPr>
            </w:pPr>
            <w:r>
              <w:rPr>
                <w:rFonts w:ascii="Arial" w:cs="Arial" w:eastAsia="Arial" w:hAnsi="Arial"/>
                <w:sz w:val="14"/>
                <w:szCs w:val="14"/>
                <w:b w:val="1"/>
                <w:bCs w:val="1"/>
                <w:color w:val="auto"/>
                <w:w w:val="99"/>
              </w:rPr>
              <w:t>SERP</w:t>
            </w:r>
          </w:p>
        </w:tc>
        <w:tc>
          <w:tcPr>
            <w:tcW w:w="38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spacing w:after="0"/>
              <w:rPr>
                <w:sz w:val="17"/>
                <w:szCs w:val="17"/>
                <w:color w:val="auto"/>
              </w:rPr>
            </w:pPr>
          </w:p>
        </w:tc>
      </w:tr>
      <w:tr>
        <w:trPr>
          <w:trHeight w:val="250"/>
        </w:trPr>
        <w:tc>
          <w:tcPr>
            <w:tcW w:w="7780" w:type="dxa"/>
            <w:vAlign w:val="bottom"/>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2540" w:type="dxa"/>
            <w:vAlign w:val="bottom"/>
            <w:tcBorders>
              <w:bottom w:val="single" w:sz="8" w:color="auto"/>
            </w:tcBorders>
            <w:gridSpan w:val="4"/>
          </w:tcPr>
          <w:p>
            <w:pPr>
              <w:jc w:val="center"/>
              <w:ind w:left="542"/>
              <w:spacing w:after="0"/>
              <w:rPr>
                <w:sz w:val="20"/>
                <w:szCs w:val="20"/>
                <w:color w:val="auto"/>
              </w:rPr>
            </w:pPr>
            <w:r>
              <w:rPr>
                <w:rFonts w:ascii="Arial" w:cs="Arial" w:eastAsia="Arial" w:hAnsi="Arial"/>
                <w:sz w:val="14"/>
                <w:szCs w:val="14"/>
                <w:b w:val="1"/>
                <w:bCs w:val="1"/>
                <w:color w:val="auto"/>
              </w:rPr>
              <w:t>Year Ended December 31</w:t>
            </w:r>
          </w:p>
        </w:tc>
        <w:tc>
          <w:tcPr>
            <w:tcW w:w="840" w:type="dxa"/>
            <w:vAlign w:val="bottom"/>
            <w:tcBorders>
              <w:bottom w:val="single" w:sz="8" w:color="auto"/>
            </w:tcBorders>
          </w:tcPr>
          <w:p>
            <w:pPr>
              <w:spacing w:after="0"/>
              <w:rPr>
                <w:sz w:val="21"/>
                <w:szCs w:val="21"/>
                <w:color w:val="auto"/>
              </w:rPr>
            </w:pPr>
          </w:p>
        </w:tc>
      </w:tr>
      <w:tr>
        <w:trPr>
          <w:trHeight w:val="264"/>
        </w:trPr>
        <w:tc>
          <w:tcPr>
            <w:tcW w:w="778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(in thousands)</w:t>
            </w:r>
          </w:p>
        </w:tc>
        <w:tc>
          <w:tcPr>
            <w:tcW w:w="26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ind w:right="342"/>
              <w:spacing w:after="0"/>
              <w:rPr>
                <w:sz w:val="20"/>
                <w:szCs w:val="20"/>
                <w:color w:val="auto"/>
              </w:rPr>
            </w:pPr>
            <w:r>
              <w:rPr>
                <w:rFonts w:ascii="Arial" w:cs="Arial" w:eastAsia="Arial" w:hAnsi="Arial"/>
                <w:sz w:val="14"/>
                <w:szCs w:val="14"/>
                <w:b w:val="1"/>
                <w:bCs w:val="1"/>
                <w:color w:val="auto"/>
              </w:rPr>
              <w:t>2017</w:t>
            </w:r>
          </w:p>
        </w:tc>
        <w:tc>
          <w:tcPr>
            <w:tcW w:w="34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jc w:val="center"/>
              <w:ind w:right="162"/>
              <w:spacing w:after="0"/>
              <w:rPr>
                <w:sz w:val="20"/>
                <w:szCs w:val="20"/>
                <w:color w:val="auto"/>
              </w:rPr>
            </w:pPr>
            <w:r>
              <w:rPr>
                <w:rFonts w:ascii="Arial" w:cs="Arial" w:eastAsia="Arial" w:hAnsi="Arial"/>
                <w:sz w:val="14"/>
                <w:szCs w:val="14"/>
                <w:color w:val="auto"/>
              </w:rPr>
              <w:t>2016</w:t>
            </w:r>
          </w:p>
        </w:tc>
        <w:tc>
          <w:tcPr>
            <w:tcW w:w="380" w:type="dxa"/>
            <w:vAlign w:val="bottom"/>
            <w:tcBorders>
              <w:bottom w:val="single" w:sz="8" w:color="auto"/>
            </w:tcBorders>
          </w:tcPr>
          <w:p>
            <w:pPr>
              <w:spacing w:after="0"/>
              <w:rPr>
                <w:sz w:val="22"/>
                <w:szCs w:val="22"/>
                <w:color w:val="auto"/>
              </w:rPr>
            </w:pPr>
          </w:p>
        </w:tc>
        <w:tc>
          <w:tcPr>
            <w:tcW w:w="840" w:type="dxa"/>
            <w:vAlign w:val="bottom"/>
            <w:tcBorders>
              <w:bottom w:val="single" w:sz="8" w:color="auto"/>
            </w:tcBorders>
          </w:tcPr>
          <w:p>
            <w:pPr>
              <w:jc w:val="right"/>
              <w:ind w:right="320"/>
              <w:spacing w:after="0"/>
              <w:rPr>
                <w:sz w:val="20"/>
                <w:szCs w:val="20"/>
                <w:color w:val="auto"/>
              </w:rPr>
            </w:pPr>
            <w:r>
              <w:rPr>
                <w:rFonts w:ascii="Arial" w:cs="Arial" w:eastAsia="Arial" w:hAnsi="Arial"/>
                <w:sz w:val="14"/>
                <w:szCs w:val="14"/>
                <w:color w:val="auto"/>
              </w:rPr>
              <w:t>2015</w:t>
            </w:r>
          </w:p>
        </w:tc>
      </w:tr>
      <w:tr>
        <w:trPr>
          <w:trHeight w:val="250"/>
        </w:trPr>
        <w:tc>
          <w:tcPr>
            <w:tcW w:w="7780" w:type="dxa"/>
            <w:vAlign w:val="bottom"/>
          </w:tcPr>
          <w:p>
            <w:pPr>
              <w:ind w:left="40"/>
              <w:spacing w:after="0"/>
              <w:rPr>
                <w:sz w:val="20"/>
                <w:szCs w:val="20"/>
                <w:color w:val="auto"/>
              </w:rPr>
            </w:pPr>
            <w:r>
              <w:rPr>
                <w:rFonts w:ascii="Arial" w:cs="Arial" w:eastAsia="Arial" w:hAnsi="Arial"/>
                <w:sz w:val="16"/>
                <w:szCs w:val="16"/>
                <w:color w:val="auto"/>
              </w:rPr>
              <w:t>Service cost</w:t>
            </w:r>
          </w:p>
        </w:tc>
        <w:tc>
          <w:tcPr>
            <w:tcW w:w="260" w:type="dxa"/>
            <w:vAlign w:val="bottom"/>
          </w:tcPr>
          <w:p>
            <w:pPr>
              <w:jc w:val="right"/>
              <w:ind w:right="59"/>
              <w:spacing w:after="0"/>
              <w:rPr>
                <w:sz w:val="20"/>
                <w:szCs w:val="20"/>
                <w:color w:val="auto"/>
              </w:rPr>
            </w:pPr>
            <w:r>
              <w:rPr>
                <w:rFonts w:ascii="Arial" w:cs="Arial" w:eastAsia="Arial" w:hAnsi="Arial"/>
                <w:sz w:val="16"/>
                <w:szCs w:val="16"/>
                <w:b w:val="1"/>
                <w:bCs w:val="1"/>
                <w:color w:val="auto"/>
              </w:rPr>
              <w:t>$</w:t>
            </w:r>
          </w:p>
        </w:tc>
        <w:tc>
          <w:tcPr>
            <w:tcW w:w="900" w:type="dxa"/>
            <w:vAlign w:val="bottom"/>
          </w:tcPr>
          <w:p>
            <w:pPr>
              <w:jc w:val="right"/>
              <w:ind w:right="42"/>
              <w:spacing w:after="0"/>
              <w:rPr>
                <w:sz w:val="20"/>
                <w:szCs w:val="20"/>
                <w:color w:val="auto"/>
              </w:rPr>
            </w:pPr>
            <w:r>
              <w:rPr>
                <w:rFonts w:ascii="Arial" w:cs="Arial" w:eastAsia="Arial" w:hAnsi="Arial"/>
                <w:sz w:val="16"/>
                <w:szCs w:val="16"/>
                <w:b w:val="1"/>
                <w:bCs w:val="1"/>
                <w:color w:val="auto"/>
              </w:rPr>
              <w:t>858</w:t>
            </w:r>
          </w:p>
        </w:tc>
        <w:tc>
          <w:tcPr>
            <w:tcW w:w="34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920" w:type="dxa"/>
            <w:vAlign w:val="bottom"/>
          </w:tcPr>
          <w:p>
            <w:pPr>
              <w:jc w:val="right"/>
              <w:ind w:right="62"/>
              <w:spacing w:after="0"/>
              <w:rPr>
                <w:sz w:val="20"/>
                <w:szCs w:val="20"/>
                <w:color w:val="auto"/>
              </w:rPr>
            </w:pPr>
            <w:r>
              <w:rPr>
                <w:rFonts w:ascii="Arial" w:cs="Arial" w:eastAsia="Arial" w:hAnsi="Arial"/>
                <w:sz w:val="16"/>
                <w:szCs w:val="16"/>
                <w:color w:val="auto"/>
              </w:rPr>
              <w:t>985</w:t>
            </w:r>
          </w:p>
        </w:tc>
        <w:tc>
          <w:tcPr>
            <w:tcW w:w="380" w:type="dxa"/>
            <w:vAlign w:val="bottom"/>
          </w:tcPr>
          <w:p>
            <w:pPr>
              <w:jc w:val="right"/>
              <w:ind w:right="99"/>
              <w:spacing w:after="0"/>
              <w:rPr>
                <w:sz w:val="20"/>
                <w:szCs w:val="20"/>
                <w:color w:val="auto"/>
              </w:rPr>
            </w:pPr>
            <w:r>
              <w:rPr>
                <w:rFonts w:ascii="Arial" w:cs="Arial" w:eastAsia="Arial" w:hAnsi="Arial"/>
                <w:sz w:val="16"/>
                <w:szCs w:val="16"/>
                <w:color w:val="auto"/>
              </w:rPr>
              <w:t>$</w:t>
            </w:r>
          </w:p>
        </w:tc>
        <w:tc>
          <w:tcPr>
            <w:tcW w:w="840" w:type="dxa"/>
            <w:vAlign w:val="bottom"/>
          </w:tcPr>
          <w:p>
            <w:pPr>
              <w:jc w:val="right"/>
              <w:ind w:right="20"/>
              <w:spacing w:after="0"/>
              <w:rPr>
                <w:sz w:val="20"/>
                <w:szCs w:val="20"/>
                <w:color w:val="auto"/>
              </w:rPr>
            </w:pPr>
            <w:r>
              <w:rPr>
                <w:rFonts w:ascii="Arial" w:cs="Arial" w:eastAsia="Arial" w:hAnsi="Arial"/>
                <w:sz w:val="16"/>
                <w:szCs w:val="16"/>
                <w:color w:val="auto"/>
              </w:rPr>
              <w:t>1,946</w:t>
            </w:r>
          </w:p>
        </w:tc>
      </w:tr>
      <w:tr>
        <w:trPr>
          <w:trHeight w:val="270"/>
        </w:trPr>
        <w:tc>
          <w:tcPr>
            <w:tcW w:w="7780" w:type="dxa"/>
            <w:vAlign w:val="bottom"/>
          </w:tcPr>
          <w:p>
            <w:pPr>
              <w:ind w:left="40"/>
              <w:spacing w:after="0"/>
              <w:rPr>
                <w:sz w:val="20"/>
                <w:szCs w:val="20"/>
                <w:color w:val="auto"/>
              </w:rPr>
            </w:pPr>
            <w:r>
              <w:rPr>
                <w:rFonts w:ascii="Arial" w:cs="Arial" w:eastAsia="Arial" w:hAnsi="Arial"/>
                <w:sz w:val="16"/>
                <w:szCs w:val="16"/>
                <w:color w:val="auto"/>
              </w:rPr>
              <w:t>Interest cost</w:t>
            </w:r>
          </w:p>
        </w:tc>
        <w:tc>
          <w:tcPr>
            <w:tcW w:w="260" w:type="dxa"/>
            <w:vAlign w:val="bottom"/>
          </w:tcPr>
          <w:p>
            <w:pPr>
              <w:spacing w:after="0"/>
              <w:rPr>
                <w:sz w:val="23"/>
                <w:szCs w:val="23"/>
                <w:color w:val="auto"/>
              </w:rPr>
            </w:pPr>
          </w:p>
        </w:tc>
        <w:tc>
          <w:tcPr>
            <w:tcW w:w="900" w:type="dxa"/>
            <w:vAlign w:val="bottom"/>
          </w:tcPr>
          <w:p>
            <w:pPr>
              <w:jc w:val="right"/>
              <w:ind w:right="42"/>
              <w:spacing w:after="0"/>
              <w:rPr>
                <w:sz w:val="20"/>
                <w:szCs w:val="20"/>
                <w:color w:val="auto"/>
              </w:rPr>
            </w:pPr>
            <w:r>
              <w:rPr>
                <w:rFonts w:ascii="Arial" w:cs="Arial" w:eastAsia="Arial" w:hAnsi="Arial"/>
                <w:sz w:val="16"/>
                <w:szCs w:val="16"/>
                <w:b w:val="1"/>
                <w:bCs w:val="1"/>
                <w:color w:val="auto"/>
              </w:rPr>
              <w:t>4,233</w:t>
            </w:r>
          </w:p>
        </w:tc>
        <w:tc>
          <w:tcPr>
            <w:tcW w:w="340" w:type="dxa"/>
            <w:vAlign w:val="bottom"/>
          </w:tcPr>
          <w:p>
            <w:pPr>
              <w:spacing w:after="0"/>
              <w:rPr>
                <w:sz w:val="23"/>
                <w:szCs w:val="23"/>
                <w:color w:val="auto"/>
              </w:rPr>
            </w:pPr>
          </w:p>
        </w:tc>
        <w:tc>
          <w:tcPr>
            <w:tcW w:w="920" w:type="dxa"/>
            <w:vAlign w:val="bottom"/>
          </w:tcPr>
          <w:p>
            <w:pPr>
              <w:jc w:val="right"/>
              <w:ind w:right="62"/>
              <w:spacing w:after="0"/>
              <w:rPr>
                <w:sz w:val="20"/>
                <w:szCs w:val="20"/>
                <w:color w:val="auto"/>
              </w:rPr>
            </w:pPr>
            <w:r>
              <w:rPr>
                <w:rFonts w:ascii="Arial" w:cs="Arial" w:eastAsia="Arial" w:hAnsi="Arial"/>
                <w:sz w:val="16"/>
                <w:szCs w:val="16"/>
                <w:color w:val="auto"/>
              </w:rPr>
              <w:t>4,384</w:t>
            </w:r>
          </w:p>
        </w:tc>
        <w:tc>
          <w:tcPr>
            <w:tcW w:w="380" w:type="dxa"/>
            <w:vAlign w:val="bottom"/>
          </w:tcPr>
          <w:p>
            <w:pPr>
              <w:spacing w:after="0"/>
              <w:rPr>
                <w:sz w:val="23"/>
                <w:szCs w:val="23"/>
                <w:color w:val="auto"/>
              </w:rPr>
            </w:pPr>
          </w:p>
        </w:tc>
        <w:tc>
          <w:tcPr>
            <w:tcW w:w="840" w:type="dxa"/>
            <w:vAlign w:val="bottom"/>
          </w:tcPr>
          <w:p>
            <w:pPr>
              <w:jc w:val="right"/>
              <w:ind w:right="20"/>
              <w:spacing w:after="0"/>
              <w:rPr>
                <w:sz w:val="20"/>
                <w:szCs w:val="20"/>
                <w:color w:val="auto"/>
              </w:rPr>
            </w:pPr>
            <w:r>
              <w:rPr>
                <w:rFonts w:ascii="Arial" w:cs="Arial" w:eastAsia="Arial" w:hAnsi="Arial"/>
                <w:sz w:val="16"/>
                <w:szCs w:val="16"/>
                <w:color w:val="auto"/>
              </w:rPr>
              <w:t>4,550</w:t>
            </w:r>
          </w:p>
        </w:tc>
      </w:tr>
      <w:tr>
        <w:trPr>
          <w:trHeight w:val="270"/>
        </w:trPr>
        <w:tc>
          <w:tcPr>
            <w:tcW w:w="7780" w:type="dxa"/>
            <w:vAlign w:val="bottom"/>
          </w:tcPr>
          <w:p>
            <w:pPr>
              <w:ind w:left="40"/>
              <w:spacing w:after="0"/>
              <w:rPr>
                <w:sz w:val="20"/>
                <w:szCs w:val="20"/>
                <w:color w:val="auto"/>
              </w:rPr>
            </w:pPr>
            <w:r>
              <w:rPr>
                <w:rFonts w:ascii="Arial" w:cs="Arial" w:eastAsia="Arial" w:hAnsi="Arial"/>
                <w:sz w:val="16"/>
                <w:szCs w:val="16"/>
                <w:color w:val="auto"/>
              </w:rPr>
              <w:t>Amortization of prior service cost</w:t>
            </w:r>
          </w:p>
        </w:tc>
        <w:tc>
          <w:tcPr>
            <w:tcW w:w="260" w:type="dxa"/>
            <w:vAlign w:val="bottom"/>
          </w:tcPr>
          <w:p>
            <w:pPr>
              <w:spacing w:after="0"/>
              <w:rPr>
                <w:sz w:val="23"/>
                <w:szCs w:val="23"/>
                <w:color w:val="auto"/>
              </w:rPr>
            </w:pPr>
          </w:p>
        </w:tc>
        <w:tc>
          <w:tcPr>
            <w:tcW w:w="900" w:type="dxa"/>
            <w:vAlign w:val="bottom"/>
          </w:tcPr>
          <w:p>
            <w:pPr>
              <w:jc w:val="right"/>
              <w:ind w:right="42"/>
              <w:spacing w:after="0"/>
              <w:rPr>
                <w:sz w:val="20"/>
                <w:szCs w:val="20"/>
                <w:color w:val="auto"/>
              </w:rPr>
            </w:pPr>
            <w:r>
              <w:rPr>
                <w:rFonts w:ascii="Arial" w:cs="Arial" w:eastAsia="Arial" w:hAnsi="Arial"/>
                <w:sz w:val="16"/>
                <w:szCs w:val="16"/>
                <w:b w:val="1"/>
                <w:bCs w:val="1"/>
                <w:color w:val="auto"/>
              </w:rPr>
              <w:t>455</w:t>
            </w:r>
          </w:p>
        </w:tc>
        <w:tc>
          <w:tcPr>
            <w:tcW w:w="340" w:type="dxa"/>
            <w:vAlign w:val="bottom"/>
          </w:tcPr>
          <w:p>
            <w:pPr>
              <w:spacing w:after="0"/>
              <w:rPr>
                <w:sz w:val="23"/>
                <w:szCs w:val="23"/>
                <w:color w:val="auto"/>
              </w:rPr>
            </w:pPr>
          </w:p>
        </w:tc>
        <w:tc>
          <w:tcPr>
            <w:tcW w:w="920" w:type="dxa"/>
            <w:vAlign w:val="bottom"/>
          </w:tcPr>
          <w:p>
            <w:pPr>
              <w:jc w:val="right"/>
              <w:ind w:right="62"/>
              <w:spacing w:after="0"/>
              <w:rPr>
                <w:sz w:val="20"/>
                <w:szCs w:val="20"/>
                <w:color w:val="auto"/>
              </w:rPr>
            </w:pPr>
            <w:r>
              <w:rPr>
                <w:rFonts w:ascii="Arial" w:cs="Arial" w:eastAsia="Arial" w:hAnsi="Arial"/>
                <w:sz w:val="16"/>
                <w:szCs w:val="16"/>
                <w:color w:val="auto"/>
              </w:rPr>
              <w:t>457</w:t>
            </w:r>
          </w:p>
        </w:tc>
        <w:tc>
          <w:tcPr>
            <w:tcW w:w="380" w:type="dxa"/>
            <w:vAlign w:val="bottom"/>
          </w:tcPr>
          <w:p>
            <w:pPr>
              <w:spacing w:after="0"/>
              <w:rPr>
                <w:sz w:val="23"/>
                <w:szCs w:val="23"/>
                <w:color w:val="auto"/>
              </w:rPr>
            </w:pPr>
          </w:p>
        </w:tc>
        <w:tc>
          <w:tcPr>
            <w:tcW w:w="840" w:type="dxa"/>
            <w:vAlign w:val="bottom"/>
          </w:tcPr>
          <w:p>
            <w:pPr>
              <w:jc w:val="right"/>
              <w:ind w:right="20"/>
              <w:spacing w:after="0"/>
              <w:rPr>
                <w:sz w:val="20"/>
                <w:szCs w:val="20"/>
                <w:color w:val="auto"/>
              </w:rPr>
            </w:pPr>
            <w:r>
              <w:rPr>
                <w:rFonts w:ascii="Arial" w:cs="Arial" w:eastAsia="Arial" w:hAnsi="Arial"/>
                <w:sz w:val="16"/>
                <w:szCs w:val="16"/>
                <w:color w:val="auto"/>
              </w:rPr>
              <w:t>457</w:t>
            </w:r>
          </w:p>
        </w:tc>
      </w:tr>
      <w:tr>
        <w:trPr>
          <w:trHeight w:val="283"/>
        </w:trPr>
        <w:tc>
          <w:tcPr>
            <w:tcW w:w="7780" w:type="dxa"/>
            <w:vAlign w:val="bottom"/>
          </w:tcPr>
          <w:p>
            <w:pPr>
              <w:ind w:left="40"/>
              <w:spacing w:after="0"/>
              <w:rPr>
                <w:sz w:val="20"/>
                <w:szCs w:val="20"/>
                <w:color w:val="auto"/>
              </w:rPr>
            </w:pPr>
            <w:r>
              <w:rPr>
                <w:rFonts w:ascii="Arial" w:cs="Arial" w:eastAsia="Arial" w:hAnsi="Arial"/>
                <w:sz w:val="16"/>
                <w:szCs w:val="16"/>
                <w:color w:val="auto"/>
              </w:rPr>
              <w:t>Recognized actuarial loss</w:t>
            </w:r>
          </w:p>
        </w:tc>
        <w:tc>
          <w:tcPr>
            <w:tcW w:w="26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jc w:val="right"/>
              <w:ind w:right="42"/>
              <w:spacing w:after="0"/>
              <w:rPr>
                <w:sz w:val="20"/>
                <w:szCs w:val="20"/>
                <w:color w:val="auto"/>
              </w:rPr>
            </w:pPr>
            <w:r>
              <w:rPr>
                <w:rFonts w:ascii="Arial" w:cs="Arial" w:eastAsia="Arial" w:hAnsi="Arial"/>
                <w:sz w:val="16"/>
                <w:szCs w:val="16"/>
                <w:b w:val="1"/>
                <w:bCs w:val="1"/>
                <w:color w:val="auto"/>
              </w:rPr>
              <w:t>1,774</w:t>
            </w:r>
          </w:p>
        </w:tc>
        <w:tc>
          <w:tcPr>
            <w:tcW w:w="34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jc w:val="right"/>
              <w:ind w:right="62"/>
              <w:spacing w:after="0"/>
              <w:rPr>
                <w:sz w:val="20"/>
                <w:szCs w:val="20"/>
                <w:color w:val="auto"/>
              </w:rPr>
            </w:pPr>
            <w:r>
              <w:rPr>
                <w:rFonts w:ascii="Arial" w:cs="Arial" w:eastAsia="Arial" w:hAnsi="Arial"/>
                <w:sz w:val="16"/>
                <w:szCs w:val="16"/>
                <w:color w:val="auto"/>
              </w:rPr>
              <w:t>2,659</w:t>
            </w:r>
          </w:p>
        </w:tc>
        <w:tc>
          <w:tcPr>
            <w:tcW w:w="38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3,015</w:t>
            </w:r>
          </w:p>
        </w:tc>
      </w:tr>
      <w:tr>
        <w:trPr>
          <w:trHeight w:val="264"/>
        </w:trPr>
        <w:tc>
          <w:tcPr>
            <w:tcW w:w="7780" w:type="dxa"/>
            <w:vAlign w:val="bottom"/>
          </w:tcPr>
          <w:p>
            <w:pPr>
              <w:ind w:left="40"/>
              <w:spacing w:after="0"/>
              <w:rPr>
                <w:sz w:val="20"/>
                <w:szCs w:val="20"/>
                <w:color w:val="auto"/>
              </w:rPr>
            </w:pPr>
            <w:r>
              <w:rPr>
                <w:rFonts w:ascii="Arial" w:cs="Arial" w:eastAsia="Arial" w:hAnsi="Arial"/>
                <w:sz w:val="16"/>
                <w:szCs w:val="16"/>
                <w:b w:val="1"/>
                <w:bCs w:val="1"/>
                <w:color w:val="auto"/>
              </w:rPr>
              <w:t>Total Cost for the Year</w:t>
            </w:r>
          </w:p>
        </w:tc>
        <w:tc>
          <w:tcPr>
            <w:tcW w:w="26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b w:val="1"/>
                <w:bCs w:val="1"/>
                <w:color w:val="auto"/>
              </w:rPr>
              <w:t>$</w:t>
            </w:r>
          </w:p>
        </w:tc>
        <w:tc>
          <w:tcPr>
            <w:tcW w:w="900" w:type="dxa"/>
            <w:vAlign w:val="bottom"/>
            <w:tcBorders>
              <w:bottom w:val="single" w:sz="8" w:color="auto"/>
            </w:tcBorders>
          </w:tcPr>
          <w:p>
            <w:pPr>
              <w:jc w:val="right"/>
              <w:ind w:right="42"/>
              <w:spacing w:after="0"/>
              <w:rPr>
                <w:sz w:val="20"/>
                <w:szCs w:val="20"/>
                <w:color w:val="auto"/>
              </w:rPr>
            </w:pPr>
            <w:r>
              <w:rPr>
                <w:rFonts w:ascii="Arial" w:cs="Arial" w:eastAsia="Arial" w:hAnsi="Arial"/>
                <w:sz w:val="16"/>
                <w:szCs w:val="16"/>
                <w:b w:val="1"/>
                <w:bCs w:val="1"/>
                <w:color w:val="auto"/>
              </w:rPr>
              <w:t>7,320</w:t>
            </w:r>
          </w:p>
        </w:tc>
        <w:tc>
          <w:tcPr>
            <w:tcW w:w="34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920" w:type="dxa"/>
            <w:vAlign w:val="bottom"/>
            <w:tcBorders>
              <w:bottom w:val="single" w:sz="8" w:color="auto"/>
            </w:tcBorders>
          </w:tcPr>
          <w:p>
            <w:pPr>
              <w:jc w:val="right"/>
              <w:ind w:right="62"/>
              <w:spacing w:after="0"/>
              <w:rPr>
                <w:sz w:val="20"/>
                <w:szCs w:val="20"/>
                <w:color w:val="auto"/>
              </w:rPr>
            </w:pPr>
            <w:r>
              <w:rPr>
                <w:rFonts w:ascii="Arial" w:cs="Arial" w:eastAsia="Arial" w:hAnsi="Arial"/>
                <w:sz w:val="16"/>
                <w:szCs w:val="16"/>
                <w:color w:val="auto"/>
              </w:rPr>
              <w:t>8,485</w:t>
            </w:r>
          </w:p>
        </w:tc>
        <w:tc>
          <w:tcPr>
            <w:tcW w:w="38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rPr>
              <w:t>$</w:t>
            </w:r>
          </w:p>
        </w:tc>
        <w:tc>
          <w:tcPr>
            <w:tcW w:w="84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9,968</w:t>
            </w:r>
          </w:p>
        </w:tc>
      </w:tr>
      <w:tr>
        <w:trPr>
          <w:trHeight w:val="251"/>
        </w:trPr>
        <w:tc>
          <w:tcPr>
            <w:tcW w:w="7780" w:type="dxa"/>
            <w:vAlign w:val="bottom"/>
          </w:tcPr>
          <w:p>
            <w:pPr>
              <w:ind w:left="40"/>
              <w:spacing w:after="0"/>
              <w:rPr>
                <w:sz w:val="20"/>
                <w:szCs w:val="20"/>
                <w:color w:val="auto"/>
              </w:rPr>
            </w:pPr>
            <w:r>
              <w:rPr>
                <w:rFonts w:ascii="Arial" w:cs="Arial" w:eastAsia="Arial" w:hAnsi="Arial"/>
                <w:sz w:val="16"/>
                <w:szCs w:val="16"/>
                <w:b w:val="1"/>
                <w:bCs w:val="1"/>
                <w:color w:val="auto"/>
              </w:rPr>
              <w:t>Other Changes in Benefit Obligations Recognized in Other Comprehensive Income</w:t>
            </w:r>
          </w:p>
        </w:tc>
        <w:tc>
          <w:tcPr>
            <w:tcW w:w="26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840" w:type="dxa"/>
            <w:vAlign w:val="bottom"/>
          </w:tcPr>
          <w:p>
            <w:pPr>
              <w:spacing w:after="0"/>
              <w:rPr>
                <w:sz w:val="21"/>
                <w:szCs w:val="21"/>
                <w:color w:val="auto"/>
              </w:rPr>
            </w:pPr>
          </w:p>
        </w:tc>
      </w:tr>
    </w:tbl>
    <w:p>
      <w:pPr>
        <w:spacing w:after="0" w:line="55" w:lineRule="exact"/>
        <w:rPr>
          <w:sz w:val="20"/>
          <w:szCs w:val="20"/>
          <w:color w:val="auto"/>
        </w:rPr>
      </w:pPr>
    </w:p>
    <w:p>
      <w:pPr>
        <w:sectPr>
          <w:pgSz w:w="11900" w:h="16838" w:orient="portrait"/>
          <w:cols w:equalWidth="0" w:num="1">
            <w:col w:w="11420"/>
          </w:cols>
          <w:pgMar w:left="240" w:top="746" w:right="239" w:bottom="516" w:gutter="0" w:footer="0" w:header="0"/>
          <w:type w:val="continuous"/>
        </w:sectPr>
      </w:pPr>
    </w:p>
    <w:p>
      <w:pPr>
        <w:spacing w:after="0" w:line="20" w:lineRule="exact"/>
        <w:rPr>
          <w:sz w:val="20"/>
          <w:szCs w:val="20"/>
          <w:color w:val="auto"/>
        </w:rPr>
      </w:pPr>
    </w:p>
    <w:p>
      <w:pPr>
        <w:ind w:left="40"/>
        <w:spacing w:after="0"/>
        <w:rPr>
          <w:sz w:val="20"/>
          <w:szCs w:val="20"/>
          <w:color w:val="auto"/>
        </w:rPr>
      </w:pPr>
      <w:r>
        <w:rPr>
          <w:rFonts w:ascii="Arial" w:cs="Arial" w:eastAsia="Arial" w:hAnsi="Arial"/>
          <w:sz w:val="16"/>
          <w:szCs w:val="16"/>
          <w:color w:val="auto"/>
        </w:rPr>
        <w:t>Current year actuarial loss (gain)</w:t>
      </w:r>
    </w:p>
    <w:p>
      <w:pPr>
        <w:spacing w:after="0" w:line="86" w:lineRule="exact"/>
        <w:rPr>
          <w:sz w:val="20"/>
          <w:szCs w:val="20"/>
          <w:color w:val="auto"/>
        </w:rPr>
      </w:pPr>
    </w:p>
    <w:p>
      <w:pPr>
        <w:ind w:left="40"/>
        <w:spacing w:after="0"/>
        <w:rPr>
          <w:sz w:val="20"/>
          <w:szCs w:val="20"/>
          <w:color w:val="auto"/>
        </w:rPr>
      </w:pPr>
      <w:r>
        <w:rPr>
          <w:rFonts w:ascii="Arial" w:cs="Arial" w:eastAsia="Arial" w:hAnsi="Arial"/>
          <w:sz w:val="16"/>
          <w:szCs w:val="16"/>
          <w:color w:val="auto"/>
        </w:rPr>
        <w:t>Amortization of prior service cost</w:t>
      </w:r>
    </w:p>
    <w:p>
      <w:pPr>
        <w:spacing w:after="0" w:line="86" w:lineRule="exact"/>
        <w:rPr>
          <w:sz w:val="20"/>
          <w:szCs w:val="20"/>
          <w:color w:val="auto"/>
        </w:rPr>
      </w:pPr>
    </w:p>
    <w:p>
      <w:pPr>
        <w:ind w:left="40"/>
        <w:spacing w:after="0"/>
        <w:rPr>
          <w:sz w:val="20"/>
          <w:szCs w:val="20"/>
          <w:color w:val="auto"/>
        </w:rPr>
      </w:pPr>
      <w:r>
        <w:rPr>
          <w:rFonts w:ascii="Arial" w:cs="Arial" w:eastAsia="Arial" w:hAnsi="Arial"/>
          <w:sz w:val="16"/>
          <w:szCs w:val="16"/>
          <w:color w:val="auto"/>
        </w:rPr>
        <w:t>Recognized net actuarial loss</w:t>
      </w:r>
    </w:p>
    <w:p>
      <w:pPr>
        <w:spacing w:after="0" w:line="86" w:lineRule="exact"/>
        <w:rPr>
          <w:sz w:val="20"/>
          <w:szCs w:val="20"/>
          <w:color w:val="auto"/>
        </w:rPr>
      </w:pPr>
    </w:p>
    <w:p>
      <w:pPr>
        <w:ind w:left="40"/>
        <w:spacing w:after="0"/>
        <w:rPr>
          <w:sz w:val="20"/>
          <w:szCs w:val="20"/>
          <w:color w:val="auto"/>
        </w:rPr>
      </w:pPr>
      <w:r>
        <w:rPr>
          <w:rFonts w:ascii="Arial" w:cs="Arial" w:eastAsia="Arial" w:hAnsi="Arial"/>
          <w:sz w:val="16"/>
          <w:szCs w:val="16"/>
          <w:color w:val="auto"/>
        </w:rPr>
        <w:t>Curtailment and settlement</w:t>
      </w:r>
    </w:p>
    <w:p>
      <w:pPr>
        <w:spacing w:after="0" w:line="80" w:lineRule="exact"/>
        <w:rPr>
          <w:sz w:val="20"/>
          <w:szCs w:val="20"/>
          <w:color w:val="auto"/>
        </w:rPr>
      </w:pPr>
    </w:p>
    <w:p>
      <w:pPr>
        <w:ind w:left="40"/>
        <w:spacing w:after="0"/>
        <w:rPr>
          <w:sz w:val="20"/>
          <w:szCs w:val="20"/>
          <w:color w:val="auto"/>
        </w:rPr>
      </w:pPr>
      <w:r>
        <w:rPr>
          <w:rFonts w:ascii="Arial" w:cs="Arial" w:eastAsia="Arial" w:hAnsi="Arial"/>
          <w:sz w:val="16"/>
          <w:szCs w:val="16"/>
          <w:b w:val="1"/>
          <w:bCs w:val="1"/>
          <w:color w:val="auto"/>
        </w:rPr>
        <w:t>Total Recognized in Other Comprehensive Income (Before Tax Effects)</w:t>
      </w:r>
    </w:p>
    <w:p>
      <w:pPr>
        <w:spacing w:after="0" w:line="113" w:lineRule="exact"/>
        <w:rPr>
          <w:sz w:val="20"/>
          <w:szCs w:val="20"/>
          <w:color w:val="auto"/>
        </w:rPr>
      </w:pPr>
    </w:p>
    <w:p>
      <w:pPr>
        <w:ind w:left="40"/>
        <w:spacing w:after="0"/>
        <w:rPr>
          <w:sz w:val="20"/>
          <w:szCs w:val="20"/>
          <w:color w:val="auto"/>
        </w:rPr>
      </w:pPr>
      <w:r>
        <w:rPr>
          <w:rFonts w:ascii="Arial" w:cs="Arial" w:eastAsia="Arial" w:hAnsi="Arial"/>
          <w:sz w:val="16"/>
          <w:szCs w:val="16"/>
          <w:b w:val="1"/>
          <w:bCs w:val="1"/>
          <w:color w:val="auto"/>
        </w:rPr>
        <w:t>Total Recognized in Total Cost and Other Comprehensive Income (Before Tax Effects)</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5"/>
        </w:trPr>
        <w:tc>
          <w:tcPr>
            <w:tcW w:w="340" w:type="dxa"/>
            <w:vAlign w:val="bottom"/>
          </w:tcPr>
          <w:p>
            <w:pPr>
              <w:jc w:val="right"/>
              <w:ind w:right="139"/>
              <w:spacing w:after="0"/>
              <w:rPr>
                <w:sz w:val="20"/>
                <w:szCs w:val="20"/>
                <w:color w:val="auto"/>
              </w:rPr>
            </w:pPr>
            <w:r>
              <w:rPr>
                <w:rFonts w:ascii="Arial" w:cs="Arial" w:eastAsia="Arial" w:hAnsi="Arial"/>
                <w:sz w:val="16"/>
                <w:szCs w:val="16"/>
                <w:b w:val="1"/>
                <w:bCs w:val="1"/>
                <w:color w:val="auto"/>
              </w:rPr>
              <w:t>$</w:t>
            </w:r>
          </w:p>
        </w:tc>
        <w:tc>
          <w:tcPr>
            <w:tcW w:w="860" w:type="dxa"/>
            <w:vAlign w:val="bottom"/>
          </w:tcPr>
          <w:p>
            <w:pPr>
              <w:jc w:val="right"/>
              <w:ind w:right="79"/>
              <w:spacing w:after="0"/>
              <w:rPr>
                <w:sz w:val="20"/>
                <w:szCs w:val="20"/>
                <w:color w:val="auto"/>
              </w:rPr>
            </w:pPr>
            <w:r>
              <w:rPr>
                <w:rFonts w:ascii="Arial" w:cs="Arial" w:eastAsia="Arial" w:hAnsi="Arial"/>
                <w:sz w:val="16"/>
                <w:szCs w:val="16"/>
                <w:b w:val="1"/>
                <w:bCs w:val="1"/>
                <w:color w:val="auto"/>
              </w:rPr>
              <w:t>4,041</w:t>
            </w:r>
          </w:p>
        </w:tc>
        <w:tc>
          <w:tcPr>
            <w:tcW w:w="400" w:type="dxa"/>
            <w:vAlign w:val="bottom"/>
          </w:tcPr>
          <w:p>
            <w:pPr>
              <w:jc w:val="right"/>
              <w:ind w:right="139"/>
              <w:spacing w:after="0"/>
              <w:rPr>
                <w:sz w:val="20"/>
                <w:szCs w:val="20"/>
                <w:color w:val="auto"/>
              </w:rPr>
            </w:pPr>
            <w:r>
              <w:rPr>
                <w:rFonts w:ascii="Arial" w:cs="Arial" w:eastAsia="Arial" w:hAnsi="Arial"/>
                <w:sz w:val="16"/>
                <w:szCs w:val="16"/>
                <w:color w:val="auto"/>
              </w:rPr>
              <w:t>$</w:t>
            </w:r>
          </w:p>
        </w:tc>
        <w:tc>
          <w:tcPr>
            <w:tcW w:w="840" w:type="dxa"/>
            <w:vAlign w:val="bottom"/>
          </w:tcPr>
          <w:p>
            <w:pPr>
              <w:jc w:val="right"/>
              <w:ind w:right="79"/>
              <w:spacing w:after="0"/>
              <w:rPr>
                <w:sz w:val="20"/>
                <w:szCs w:val="20"/>
                <w:color w:val="auto"/>
              </w:rPr>
            </w:pPr>
            <w:r>
              <w:rPr>
                <w:rFonts w:ascii="Arial" w:cs="Arial" w:eastAsia="Arial" w:hAnsi="Arial"/>
                <w:sz w:val="16"/>
                <w:szCs w:val="16"/>
                <w:color w:val="auto"/>
              </w:rPr>
              <w:t>1,120</w:t>
            </w:r>
          </w:p>
        </w:tc>
        <w:tc>
          <w:tcPr>
            <w:tcW w:w="360" w:type="dxa"/>
            <w:vAlign w:val="bottom"/>
          </w:tcPr>
          <w:p>
            <w:pPr>
              <w:jc w:val="right"/>
              <w:ind w:right="99"/>
              <w:spacing w:after="0"/>
              <w:rPr>
                <w:sz w:val="20"/>
                <w:szCs w:val="20"/>
                <w:color w:val="auto"/>
              </w:rPr>
            </w:pPr>
            <w:r>
              <w:rPr>
                <w:rFonts w:ascii="Arial" w:cs="Arial" w:eastAsia="Arial" w:hAnsi="Arial"/>
                <w:sz w:val="16"/>
                <w:szCs w:val="16"/>
                <w:color w:val="auto"/>
              </w:rPr>
              <w:t>$</w:t>
            </w:r>
          </w:p>
        </w:tc>
        <w:tc>
          <w:tcPr>
            <w:tcW w:w="840" w:type="dxa"/>
            <w:vAlign w:val="bottom"/>
          </w:tcPr>
          <w:p>
            <w:pPr>
              <w:jc w:val="right"/>
              <w:spacing w:after="0"/>
              <w:rPr>
                <w:sz w:val="20"/>
                <w:szCs w:val="20"/>
                <w:color w:val="auto"/>
              </w:rPr>
            </w:pPr>
            <w:r>
              <w:rPr>
                <w:rFonts w:ascii="Arial" w:cs="Arial" w:eastAsia="Arial" w:hAnsi="Arial"/>
                <w:sz w:val="16"/>
                <w:szCs w:val="16"/>
                <w:color w:val="auto"/>
              </w:rPr>
              <w:t>(6,544)</w:t>
            </w:r>
          </w:p>
        </w:tc>
      </w:tr>
      <w:tr>
        <w:trPr>
          <w:trHeight w:val="270"/>
        </w:trPr>
        <w:tc>
          <w:tcPr>
            <w:tcW w:w="340" w:type="dxa"/>
            <w:vAlign w:val="bottom"/>
          </w:tcPr>
          <w:p>
            <w:pPr>
              <w:spacing w:after="0"/>
              <w:rPr>
                <w:sz w:val="23"/>
                <w:szCs w:val="23"/>
                <w:color w:val="auto"/>
              </w:rPr>
            </w:pPr>
          </w:p>
        </w:tc>
        <w:tc>
          <w:tcPr>
            <w:tcW w:w="860" w:type="dxa"/>
            <w:vAlign w:val="bottom"/>
          </w:tcPr>
          <w:p>
            <w:pPr>
              <w:jc w:val="right"/>
              <w:ind w:right="19"/>
              <w:spacing w:after="0"/>
              <w:rPr>
                <w:sz w:val="20"/>
                <w:szCs w:val="20"/>
                <w:color w:val="auto"/>
              </w:rPr>
            </w:pPr>
            <w:r>
              <w:rPr>
                <w:rFonts w:ascii="Arial" w:cs="Arial" w:eastAsia="Arial" w:hAnsi="Arial"/>
                <w:sz w:val="16"/>
                <w:szCs w:val="16"/>
                <w:b w:val="1"/>
                <w:bCs w:val="1"/>
                <w:color w:val="auto"/>
              </w:rPr>
              <w:t>(455)</w:t>
            </w:r>
          </w:p>
        </w:tc>
        <w:tc>
          <w:tcPr>
            <w:tcW w:w="400" w:type="dxa"/>
            <w:vAlign w:val="bottom"/>
          </w:tcPr>
          <w:p>
            <w:pPr>
              <w:spacing w:after="0"/>
              <w:rPr>
                <w:sz w:val="23"/>
                <w:szCs w:val="23"/>
                <w:color w:val="auto"/>
              </w:rPr>
            </w:pPr>
          </w:p>
        </w:tc>
        <w:tc>
          <w:tcPr>
            <w:tcW w:w="840" w:type="dxa"/>
            <w:vAlign w:val="bottom"/>
          </w:tcPr>
          <w:p>
            <w:pPr>
              <w:jc w:val="right"/>
              <w:ind w:right="19"/>
              <w:spacing w:after="0"/>
              <w:rPr>
                <w:sz w:val="20"/>
                <w:szCs w:val="20"/>
                <w:color w:val="auto"/>
              </w:rPr>
            </w:pPr>
            <w:r>
              <w:rPr>
                <w:rFonts w:ascii="Arial" w:cs="Arial" w:eastAsia="Arial" w:hAnsi="Arial"/>
                <w:sz w:val="16"/>
                <w:szCs w:val="16"/>
                <w:color w:val="auto"/>
              </w:rPr>
              <w:t>(457)</w:t>
            </w:r>
          </w:p>
        </w:tc>
        <w:tc>
          <w:tcPr>
            <w:tcW w:w="360" w:type="dxa"/>
            <w:vAlign w:val="bottom"/>
          </w:tcPr>
          <w:p>
            <w:pPr>
              <w:spacing w:after="0"/>
              <w:rPr>
                <w:sz w:val="23"/>
                <w:szCs w:val="23"/>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(457)</w:t>
            </w:r>
          </w:p>
        </w:tc>
      </w:tr>
      <w:tr>
        <w:trPr>
          <w:trHeight w:val="270"/>
        </w:trPr>
        <w:tc>
          <w:tcPr>
            <w:tcW w:w="340" w:type="dxa"/>
            <w:vAlign w:val="bottom"/>
          </w:tcPr>
          <w:p>
            <w:pPr>
              <w:spacing w:after="0"/>
              <w:rPr>
                <w:sz w:val="23"/>
                <w:szCs w:val="23"/>
                <w:color w:val="auto"/>
              </w:rPr>
            </w:pPr>
          </w:p>
        </w:tc>
        <w:tc>
          <w:tcPr>
            <w:tcW w:w="860" w:type="dxa"/>
            <w:vAlign w:val="bottom"/>
          </w:tcPr>
          <w:p>
            <w:pPr>
              <w:jc w:val="right"/>
              <w:ind w:right="19"/>
              <w:spacing w:after="0"/>
              <w:rPr>
                <w:sz w:val="20"/>
                <w:szCs w:val="20"/>
                <w:color w:val="auto"/>
              </w:rPr>
            </w:pPr>
            <w:r>
              <w:rPr>
                <w:rFonts w:ascii="Arial" w:cs="Arial" w:eastAsia="Arial" w:hAnsi="Arial"/>
                <w:sz w:val="16"/>
                <w:szCs w:val="16"/>
                <w:b w:val="1"/>
                <w:bCs w:val="1"/>
                <w:color w:val="auto"/>
              </w:rPr>
              <w:t>(1,774)</w:t>
            </w:r>
          </w:p>
        </w:tc>
        <w:tc>
          <w:tcPr>
            <w:tcW w:w="400" w:type="dxa"/>
            <w:vAlign w:val="bottom"/>
          </w:tcPr>
          <w:p>
            <w:pPr>
              <w:spacing w:after="0"/>
              <w:rPr>
                <w:sz w:val="23"/>
                <w:szCs w:val="23"/>
                <w:color w:val="auto"/>
              </w:rPr>
            </w:pPr>
          </w:p>
        </w:tc>
        <w:tc>
          <w:tcPr>
            <w:tcW w:w="840" w:type="dxa"/>
            <w:vAlign w:val="bottom"/>
          </w:tcPr>
          <w:p>
            <w:pPr>
              <w:jc w:val="right"/>
              <w:ind w:right="19"/>
              <w:spacing w:after="0"/>
              <w:rPr>
                <w:sz w:val="20"/>
                <w:szCs w:val="20"/>
                <w:color w:val="auto"/>
              </w:rPr>
            </w:pPr>
            <w:r>
              <w:rPr>
                <w:rFonts w:ascii="Arial" w:cs="Arial" w:eastAsia="Arial" w:hAnsi="Arial"/>
                <w:sz w:val="16"/>
                <w:szCs w:val="16"/>
                <w:color w:val="auto"/>
              </w:rPr>
              <w:t>(2,659)</w:t>
            </w:r>
          </w:p>
        </w:tc>
        <w:tc>
          <w:tcPr>
            <w:tcW w:w="360" w:type="dxa"/>
            <w:vAlign w:val="bottom"/>
          </w:tcPr>
          <w:p>
            <w:pPr>
              <w:spacing w:after="0"/>
              <w:rPr>
                <w:sz w:val="23"/>
                <w:szCs w:val="23"/>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(3,015)</w:t>
            </w:r>
          </w:p>
        </w:tc>
      </w:tr>
      <w:tr>
        <w:trPr>
          <w:trHeight w:val="283"/>
        </w:trPr>
        <w:tc>
          <w:tcPr>
            <w:tcW w:w="34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b w:val="1"/>
                <w:bCs w:val="1"/>
                <w:color w:val="auto"/>
              </w:rPr>
              <w:t>—</w:t>
            </w:r>
          </w:p>
        </w:tc>
        <w:tc>
          <w:tcPr>
            <w:tcW w:w="40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w:t>
            </w:r>
          </w:p>
        </w:tc>
        <w:tc>
          <w:tcPr>
            <w:tcW w:w="36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(834)</w:t>
            </w:r>
          </w:p>
        </w:tc>
      </w:tr>
      <w:tr>
        <w:trPr>
          <w:trHeight w:val="264"/>
        </w:trPr>
        <w:tc>
          <w:tcPr>
            <w:tcW w:w="34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b w:val="1"/>
                <w:bCs w:val="1"/>
                <w:color w:val="auto"/>
              </w:rPr>
              <w:t>$</w:t>
            </w:r>
          </w:p>
        </w:tc>
        <w:tc>
          <w:tcPr>
            <w:tcW w:w="86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b w:val="1"/>
                <w:bCs w:val="1"/>
                <w:color w:val="auto"/>
              </w:rPr>
              <w:t>1,812</w:t>
            </w:r>
          </w:p>
        </w:tc>
        <w:tc>
          <w:tcPr>
            <w:tcW w:w="40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color w:val="auto"/>
              </w:rPr>
              <w:t>$</w:t>
            </w:r>
          </w:p>
        </w:tc>
        <w:tc>
          <w:tcPr>
            <w:tcW w:w="84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(1,996)</w:t>
            </w:r>
          </w:p>
        </w:tc>
        <w:tc>
          <w:tcPr>
            <w:tcW w:w="36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(10,850)</w:t>
            </w:r>
          </w:p>
        </w:tc>
      </w:tr>
      <w:tr>
        <w:trPr>
          <w:trHeight w:val="264"/>
        </w:trPr>
        <w:tc>
          <w:tcPr>
            <w:tcW w:w="34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b w:val="1"/>
                <w:bCs w:val="1"/>
                <w:color w:val="auto"/>
              </w:rPr>
              <w:t>$</w:t>
            </w:r>
          </w:p>
        </w:tc>
        <w:tc>
          <w:tcPr>
            <w:tcW w:w="86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b w:val="1"/>
                <w:bCs w:val="1"/>
                <w:color w:val="auto"/>
              </w:rPr>
              <w:t>9,132</w:t>
            </w:r>
          </w:p>
        </w:tc>
        <w:tc>
          <w:tcPr>
            <w:tcW w:w="40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color w:val="auto"/>
              </w:rPr>
              <w:t>$</w:t>
            </w:r>
          </w:p>
        </w:tc>
        <w:tc>
          <w:tcPr>
            <w:tcW w:w="84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6,489</w:t>
            </w:r>
          </w:p>
        </w:tc>
        <w:tc>
          <w:tcPr>
            <w:tcW w:w="36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(882)</w:t>
            </w:r>
          </w:p>
        </w:tc>
      </w:tr>
      <w:tr>
        <w:trPr>
          <w:trHeight w:val="20"/>
        </w:trPr>
        <w:tc>
          <w:tcPr>
            <w:tcW w:w="3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sectPr>
          <w:pgSz w:w="11900" w:h="16838" w:orient="portrait"/>
          <w:cols w:equalWidth="0" w:num="2">
            <w:col w:w="7060" w:space="720"/>
            <w:col w:w="3640"/>
          </w:cols>
          <w:pgMar w:left="240" w:top="746" w:right="239" w:bottom="516" w:gutter="0" w:footer="0" w:header="0"/>
          <w:type w:val="continuous"/>
        </w:sectPr>
      </w:pPr>
    </w:p>
    <w:p>
      <w:pPr>
        <w:ind w:right="360"/>
        <w:spacing w:after="0" w:line="235" w:lineRule="auto"/>
        <w:rPr>
          <w:sz w:val="20"/>
          <w:szCs w:val="20"/>
          <w:color w:val="auto"/>
        </w:rPr>
      </w:pPr>
      <w:r>
        <w:rPr>
          <w:rFonts w:ascii="Arial" w:cs="Arial" w:eastAsia="Arial" w:hAnsi="Arial"/>
          <w:sz w:val="18"/>
          <w:szCs w:val="18"/>
          <w:color w:val="auto"/>
        </w:rPr>
        <w:t>The net periodic benefit for the Company’s pension plans, as reported above, includes pension cost of $1.9 million reported in discontinued operations for 2015. The net periodic cost for the Company’s SERP, as reported above,</w:t>
      </w:r>
    </w:p>
    <w:p>
      <w:pPr>
        <w:sectPr>
          <w:pgSz w:w="11900" w:h="16838" w:orient="portrait"/>
          <w:cols w:equalWidth="0" w:num="1">
            <w:col w:w="11420"/>
          </w:cols>
          <w:pgMar w:left="240" w:top="746" w:right="239" w:bottom="516" w:gutter="0" w:footer="0" w:header="0"/>
          <w:type w:val="continuous"/>
        </w:sectPr>
      </w:pPr>
    </w:p>
    <w:p>
      <w:pPr>
        <w:spacing w:after="0" w:line="200" w:lineRule="exact"/>
        <w:rPr>
          <w:sz w:val="20"/>
          <w:szCs w:val="20"/>
          <w:color w:val="auto"/>
        </w:rPr>
      </w:pPr>
    </w:p>
    <w:p>
      <w:pPr>
        <w:spacing w:after="0" w:line="30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105</w:t>
      </w:r>
    </w:p>
    <w:p>
      <w:pPr>
        <w:sectPr>
          <w:pgSz w:w="11900" w:h="16838" w:orient="portrait"/>
          <w:cols w:equalWidth="0" w:num="1">
            <w:col w:w="11420"/>
          </w:cols>
          <w:pgMar w:left="240" w:top="746" w:right="239" w:bottom="516" w:gutter="0" w:footer="0" w:header="0"/>
          <w:type w:val="continuous"/>
        </w:sectPr>
      </w:pPr>
    </w:p>
    <w:bookmarkStart w:id="109" w:name="page110"/>
    <w:bookmarkEnd w:id="109"/>
    <w:p>
      <w:pPr>
        <w:ind w:right="40"/>
        <w:spacing w:after="0" w:line="229" w:lineRule="auto"/>
        <w:rPr>
          <w:sz w:val="20"/>
          <w:szCs w:val="20"/>
          <w:color w:val="auto"/>
        </w:rPr>
      </w:pPr>
      <w:r>
        <w:rPr>
          <w:rFonts w:ascii="Arial" w:cs="Arial" w:eastAsia="Arial" w:hAnsi="Arial"/>
          <w:sz w:val="18"/>
          <w:szCs w:val="18"/>
          <w:color w:val="auto"/>
        </w:rPr>
        <w:t>includes cost of $0.2 million reported in discontinued operations for 2015. The curtailment gain of $2.2 million related to the Cable ONE spin-off is also included in discontinued operations for 2015. The curtailment gain of $1.1 million related to the sale of the KHE Campuses business is included in other income (expense), net for 2015.</w:t>
      </w:r>
    </w:p>
    <w:p>
      <w:pPr>
        <w:spacing w:after="0" w:line="137" w:lineRule="exact"/>
        <w:rPr>
          <w:sz w:val="20"/>
          <w:szCs w:val="20"/>
          <w:color w:val="auto"/>
        </w:rPr>
      </w:pPr>
    </w:p>
    <w:p>
      <w:pPr>
        <w:ind w:right="360"/>
        <w:spacing w:after="0" w:line="235" w:lineRule="auto"/>
        <w:rPr>
          <w:sz w:val="20"/>
          <w:szCs w:val="20"/>
          <w:color w:val="auto"/>
        </w:rPr>
      </w:pPr>
      <w:r>
        <w:rPr>
          <w:rFonts w:ascii="Arial" w:cs="Arial" w:eastAsia="Arial" w:hAnsi="Arial"/>
          <w:sz w:val="18"/>
          <w:szCs w:val="18"/>
          <w:color w:val="auto"/>
        </w:rPr>
        <w:t>The costs for the Company’s defined benefit pension plans are actuarially determined. Below are the key assumptions utilized to determine periodic cost:</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2980" w:type="dxa"/>
            <w:vAlign w:val="bottom"/>
          </w:tcPr>
          <w:p>
            <w:pPr>
              <w:spacing w:after="0"/>
              <w:rPr>
                <w:sz w:val="17"/>
                <w:szCs w:val="17"/>
                <w:color w:val="auto"/>
              </w:rPr>
            </w:pPr>
          </w:p>
        </w:tc>
        <w:tc>
          <w:tcPr>
            <w:tcW w:w="1480" w:type="dxa"/>
            <w:vAlign w:val="bottom"/>
            <w:tcBorders>
              <w:bottom w:val="single" w:sz="8" w:color="auto"/>
            </w:tcBorders>
          </w:tcPr>
          <w:p>
            <w:pPr>
              <w:spacing w:after="0"/>
              <w:rPr>
                <w:sz w:val="17"/>
                <w:szCs w:val="17"/>
                <w:color w:val="auto"/>
              </w:rPr>
            </w:pPr>
          </w:p>
        </w:tc>
        <w:tc>
          <w:tcPr>
            <w:tcW w:w="1600" w:type="dxa"/>
            <w:vAlign w:val="bottom"/>
            <w:tcBorders>
              <w:bottom w:val="single" w:sz="8" w:color="auto"/>
            </w:tcBorders>
          </w:tcPr>
          <w:p>
            <w:pPr>
              <w:jc w:val="center"/>
              <w:ind w:right="223"/>
              <w:spacing w:after="0"/>
              <w:rPr>
                <w:sz w:val="20"/>
                <w:szCs w:val="20"/>
                <w:color w:val="auto"/>
              </w:rPr>
            </w:pPr>
            <w:r>
              <w:rPr>
                <w:rFonts w:ascii="Arial" w:cs="Arial" w:eastAsia="Arial" w:hAnsi="Arial"/>
                <w:sz w:val="14"/>
                <w:szCs w:val="14"/>
                <w:b w:val="1"/>
                <w:bCs w:val="1"/>
                <w:color w:val="auto"/>
              </w:rPr>
              <w:t>Pension Plans</w:t>
            </w:r>
          </w:p>
        </w:tc>
        <w:tc>
          <w:tcPr>
            <w:tcW w:w="1280" w:type="dxa"/>
            <w:vAlign w:val="bottom"/>
            <w:tcBorders>
              <w:bottom w:val="single" w:sz="8" w:color="auto"/>
            </w:tcBorders>
          </w:tcPr>
          <w:p>
            <w:pPr>
              <w:spacing w:after="0"/>
              <w:rPr>
                <w:sz w:val="17"/>
                <w:szCs w:val="17"/>
                <w:color w:val="auto"/>
              </w:rPr>
            </w:pPr>
          </w:p>
        </w:tc>
        <w:tc>
          <w:tcPr>
            <w:tcW w:w="1600" w:type="dxa"/>
            <w:vAlign w:val="bottom"/>
            <w:tcBorders>
              <w:bottom w:val="single" w:sz="8" w:color="auto"/>
            </w:tcBorders>
          </w:tcPr>
          <w:p>
            <w:pPr>
              <w:spacing w:after="0"/>
              <w:rPr>
                <w:sz w:val="17"/>
                <w:szCs w:val="17"/>
                <w:color w:val="auto"/>
              </w:rPr>
            </w:pPr>
          </w:p>
        </w:tc>
        <w:tc>
          <w:tcPr>
            <w:tcW w:w="1380" w:type="dxa"/>
            <w:vAlign w:val="bottom"/>
            <w:tcBorders>
              <w:bottom w:val="single" w:sz="8" w:color="auto"/>
            </w:tcBorders>
          </w:tcPr>
          <w:p>
            <w:pPr>
              <w:jc w:val="center"/>
              <w:ind w:right="403"/>
              <w:spacing w:after="0"/>
              <w:rPr>
                <w:sz w:val="20"/>
                <w:szCs w:val="20"/>
                <w:color w:val="auto"/>
              </w:rPr>
            </w:pPr>
            <w:r>
              <w:rPr>
                <w:rFonts w:ascii="Arial" w:cs="Arial" w:eastAsia="Arial" w:hAnsi="Arial"/>
                <w:sz w:val="14"/>
                <w:szCs w:val="14"/>
                <w:b w:val="1"/>
                <w:bCs w:val="1"/>
                <w:color w:val="auto"/>
                <w:w w:val="99"/>
              </w:rPr>
              <w:t>SERP</w:t>
            </w:r>
          </w:p>
        </w:tc>
        <w:tc>
          <w:tcPr>
            <w:tcW w:w="1100" w:type="dxa"/>
            <w:vAlign w:val="bottom"/>
            <w:tcBorders>
              <w:bottom w:val="single" w:sz="8" w:color="auto"/>
            </w:tcBorders>
          </w:tcPr>
          <w:p>
            <w:pPr>
              <w:spacing w:after="0"/>
              <w:rPr>
                <w:sz w:val="17"/>
                <w:szCs w:val="17"/>
                <w:color w:val="auto"/>
              </w:rPr>
            </w:pPr>
          </w:p>
        </w:tc>
      </w:tr>
      <w:tr>
        <w:trPr>
          <w:trHeight w:val="264"/>
        </w:trPr>
        <w:tc>
          <w:tcPr>
            <w:tcW w:w="2980" w:type="dxa"/>
            <w:vAlign w:val="bottom"/>
          </w:tcPr>
          <w:p>
            <w:pPr>
              <w:spacing w:after="0"/>
              <w:rPr>
                <w:sz w:val="22"/>
                <w:szCs w:val="22"/>
                <w:color w:val="auto"/>
              </w:rPr>
            </w:pPr>
          </w:p>
        </w:tc>
        <w:tc>
          <w:tcPr>
            <w:tcW w:w="3080" w:type="dxa"/>
            <w:vAlign w:val="bottom"/>
            <w:tcBorders>
              <w:bottom w:val="single" w:sz="8" w:color="auto"/>
            </w:tcBorders>
            <w:gridSpan w:val="2"/>
          </w:tcPr>
          <w:p>
            <w:pPr>
              <w:jc w:val="center"/>
              <w:ind w:left="1082"/>
              <w:spacing w:after="0"/>
              <w:rPr>
                <w:sz w:val="20"/>
                <w:szCs w:val="20"/>
                <w:color w:val="auto"/>
              </w:rPr>
            </w:pPr>
            <w:r>
              <w:rPr>
                <w:rFonts w:ascii="Arial" w:cs="Arial" w:eastAsia="Arial" w:hAnsi="Arial"/>
                <w:sz w:val="14"/>
                <w:szCs w:val="14"/>
                <w:b w:val="1"/>
                <w:bCs w:val="1"/>
                <w:color w:val="auto"/>
              </w:rPr>
              <w:t>Year Ended December 31</w:t>
            </w:r>
          </w:p>
        </w:tc>
        <w:tc>
          <w:tcPr>
            <w:tcW w:w="1280" w:type="dxa"/>
            <w:vAlign w:val="bottom"/>
            <w:tcBorders>
              <w:bottom w:val="single" w:sz="8" w:color="auto"/>
            </w:tcBorders>
          </w:tcPr>
          <w:p>
            <w:pPr>
              <w:spacing w:after="0"/>
              <w:rPr>
                <w:sz w:val="22"/>
                <w:szCs w:val="22"/>
                <w:color w:val="auto"/>
              </w:rPr>
            </w:pPr>
          </w:p>
        </w:tc>
        <w:tc>
          <w:tcPr>
            <w:tcW w:w="2980" w:type="dxa"/>
            <w:vAlign w:val="bottom"/>
            <w:tcBorders>
              <w:bottom w:val="single" w:sz="8" w:color="auto"/>
            </w:tcBorders>
            <w:gridSpan w:val="2"/>
          </w:tcPr>
          <w:p>
            <w:pPr>
              <w:jc w:val="center"/>
              <w:ind w:left="1022"/>
              <w:spacing w:after="0"/>
              <w:rPr>
                <w:sz w:val="20"/>
                <w:szCs w:val="20"/>
                <w:color w:val="auto"/>
              </w:rPr>
            </w:pPr>
            <w:r>
              <w:rPr>
                <w:rFonts w:ascii="Arial" w:cs="Arial" w:eastAsia="Arial" w:hAnsi="Arial"/>
                <w:sz w:val="14"/>
                <w:szCs w:val="14"/>
                <w:b w:val="1"/>
                <w:bCs w:val="1"/>
                <w:color w:val="auto"/>
              </w:rPr>
              <w:t>Year Ended December 31</w:t>
            </w:r>
          </w:p>
        </w:tc>
        <w:tc>
          <w:tcPr>
            <w:tcW w:w="1100" w:type="dxa"/>
            <w:vAlign w:val="bottom"/>
            <w:tcBorders>
              <w:bottom w:val="single" w:sz="8" w:color="auto"/>
            </w:tcBorders>
          </w:tcPr>
          <w:p>
            <w:pPr>
              <w:spacing w:after="0"/>
              <w:rPr>
                <w:sz w:val="22"/>
                <w:szCs w:val="22"/>
                <w:color w:val="auto"/>
              </w:rPr>
            </w:pPr>
          </w:p>
        </w:tc>
      </w:tr>
      <w:tr>
        <w:trPr>
          <w:trHeight w:val="264"/>
        </w:trPr>
        <w:tc>
          <w:tcPr>
            <w:tcW w:w="2980" w:type="dxa"/>
            <w:vAlign w:val="bottom"/>
            <w:tcBorders>
              <w:bottom w:val="single" w:sz="8" w:color="auto"/>
            </w:tcBorders>
          </w:tcPr>
          <w:p>
            <w:pPr>
              <w:spacing w:after="0"/>
              <w:rPr>
                <w:sz w:val="22"/>
                <w:szCs w:val="22"/>
                <w:color w:val="auto"/>
              </w:rPr>
            </w:pPr>
          </w:p>
        </w:tc>
        <w:tc>
          <w:tcPr>
            <w:tcW w:w="1480" w:type="dxa"/>
            <w:vAlign w:val="bottom"/>
            <w:tcBorders>
              <w:bottom w:val="single" w:sz="8" w:color="auto"/>
            </w:tcBorders>
          </w:tcPr>
          <w:p>
            <w:pPr>
              <w:jc w:val="center"/>
              <w:ind w:left="162"/>
              <w:spacing w:after="0"/>
              <w:rPr>
                <w:sz w:val="20"/>
                <w:szCs w:val="20"/>
                <w:color w:val="auto"/>
              </w:rPr>
            </w:pPr>
            <w:r>
              <w:rPr>
                <w:rFonts w:ascii="Arial" w:cs="Arial" w:eastAsia="Arial" w:hAnsi="Arial"/>
                <w:sz w:val="14"/>
                <w:szCs w:val="14"/>
                <w:b w:val="1"/>
                <w:bCs w:val="1"/>
                <w:color w:val="auto"/>
              </w:rPr>
              <w:t>2017</w:t>
            </w:r>
          </w:p>
        </w:tc>
        <w:tc>
          <w:tcPr>
            <w:tcW w:w="160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rPr>
              <w:t>2016</w:t>
            </w:r>
          </w:p>
        </w:tc>
        <w:tc>
          <w:tcPr>
            <w:tcW w:w="1280" w:type="dxa"/>
            <w:vAlign w:val="bottom"/>
            <w:tcBorders>
              <w:bottom w:val="single" w:sz="8" w:color="auto"/>
            </w:tcBorders>
          </w:tcPr>
          <w:p>
            <w:pPr>
              <w:jc w:val="center"/>
              <w:ind w:right="241"/>
              <w:spacing w:after="0"/>
              <w:rPr>
                <w:sz w:val="20"/>
                <w:szCs w:val="20"/>
                <w:color w:val="auto"/>
              </w:rPr>
            </w:pPr>
            <w:r>
              <w:rPr>
                <w:rFonts w:ascii="Arial" w:cs="Arial" w:eastAsia="Arial" w:hAnsi="Arial"/>
                <w:sz w:val="14"/>
                <w:szCs w:val="14"/>
                <w:color w:val="auto"/>
              </w:rPr>
              <w:t>2015</w:t>
            </w:r>
          </w:p>
        </w:tc>
        <w:tc>
          <w:tcPr>
            <w:tcW w:w="1600" w:type="dxa"/>
            <w:vAlign w:val="bottom"/>
            <w:tcBorders>
              <w:bottom w:val="single" w:sz="8" w:color="auto"/>
            </w:tcBorders>
          </w:tcPr>
          <w:p>
            <w:pPr>
              <w:jc w:val="center"/>
              <w:ind w:left="42"/>
              <w:spacing w:after="0"/>
              <w:rPr>
                <w:sz w:val="20"/>
                <w:szCs w:val="20"/>
                <w:color w:val="auto"/>
              </w:rPr>
            </w:pPr>
            <w:r>
              <w:rPr>
                <w:rFonts w:ascii="Arial" w:cs="Arial" w:eastAsia="Arial" w:hAnsi="Arial"/>
                <w:sz w:val="14"/>
                <w:szCs w:val="14"/>
                <w:b w:val="1"/>
                <w:bCs w:val="1"/>
                <w:color w:val="auto"/>
              </w:rPr>
              <w:t>2017</w:t>
            </w:r>
          </w:p>
        </w:tc>
        <w:tc>
          <w:tcPr>
            <w:tcW w:w="138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rPr>
              <w:t>2016</w:t>
            </w:r>
          </w:p>
        </w:tc>
        <w:tc>
          <w:tcPr>
            <w:tcW w:w="1100" w:type="dxa"/>
            <w:vAlign w:val="bottom"/>
            <w:tcBorders>
              <w:bottom w:val="single" w:sz="8" w:color="auto"/>
            </w:tcBorders>
          </w:tcPr>
          <w:p>
            <w:pPr>
              <w:jc w:val="center"/>
              <w:ind w:right="61"/>
              <w:spacing w:after="0"/>
              <w:rPr>
                <w:sz w:val="20"/>
                <w:szCs w:val="20"/>
                <w:color w:val="auto"/>
              </w:rPr>
            </w:pPr>
            <w:r>
              <w:rPr>
                <w:rFonts w:ascii="Arial" w:cs="Arial" w:eastAsia="Arial" w:hAnsi="Arial"/>
                <w:sz w:val="14"/>
                <w:szCs w:val="14"/>
                <w:color w:val="auto"/>
              </w:rPr>
              <w:t>2015</w:t>
            </w:r>
          </w:p>
        </w:tc>
      </w:tr>
      <w:tr>
        <w:trPr>
          <w:trHeight w:val="306"/>
        </w:trPr>
        <w:tc>
          <w:tcPr>
            <w:tcW w:w="2980" w:type="dxa"/>
            <w:vAlign w:val="bottom"/>
          </w:tcPr>
          <w:p>
            <w:pPr>
              <w:ind w:left="40"/>
              <w:spacing w:after="0"/>
              <w:rPr>
                <w:sz w:val="20"/>
                <w:szCs w:val="20"/>
                <w:color w:val="auto"/>
              </w:rPr>
            </w:pPr>
            <w:r>
              <w:rPr>
                <w:rFonts w:ascii="Arial" w:cs="Arial" w:eastAsia="Arial" w:hAnsi="Arial"/>
                <w:sz w:val="16"/>
                <w:szCs w:val="16"/>
                <w:color w:val="auto"/>
              </w:rPr>
              <w:t xml:space="preserve">Discount rate </w:t>
            </w:r>
            <w:r>
              <w:rPr>
                <w:rFonts w:ascii="Arial" w:cs="Arial" w:eastAsia="Arial" w:hAnsi="Arial"/>
                <w:sz w:val="21"/>
                <w:szCs w:val="21"/>
                <w:color w:val="auto"/>
                <w:vertAlign w:val="superscript"/>
              </w:rPr>
              <w:t>(1)</w:t>
            </w:r>
          </w:p>
        </w:tc>
        <w:tc>
          <w:tcPr>
            <w:tcW w:w="1480" w:type="dxa"/>
            <w:vAlign w:val="bottom"/>
          </w:tcPr>
          <w:p>
            <w:pPr>
              <w:jc w:val="center"/>
              <w:ind w:left="162"/>
              <w:spacing w:after="0"/>
              <w:rPr>
                <w:sz w:val="20"/>
                <w:szCs w:val="20"/>
                <w:color w:val="auto"/>
              </w:rPr>
            </w:pPr>
            <w:r>
              <w:rPr>
                <w:rFonts w:ascii="Arial" w:cs="Arial" w:eastAsia="Arial" w:hAnsi="Arial"/>
                <w:sz w:val="16"/>
                <w:szCs w:val="16"/>
                <w:b w:val="1"/>
                <w:bCs w:val="1"/>
                <w:color w:val="auto"/>
                <w:w w:val="98"/>
              </w:rPr>
              <w:t>4.1%</w:t>
            </w:r>
          </w:p>
        </w:tc>
        <w:tc>
          <w:tcPr>
            <w:tcW w:w="1600" w:type="dxa"/>
            <w:vAlign w:val="bottom"/>
          </w:tcPr>
          <w:p>
            <w:pPr>
              <w:jc w:val="center"/>
              <w:spacing w:after="0"/>
              <w:rPr>
                <w:sz w:val="20"/>
                <w:szCs w:val="20"/>
                <w:color w:val="auto"/>
              </w:rPr>
            </w:pPr>
            <w:r>
              <w:rPr>
                <w:rFonts w:ascii="Arial" w:cs="Arial" w:eastAsia="Arial" w:hAnsi="Arial"/>
                <w:sz w:val="16"/>
                <w:szCs w:val="16"/>
                <w:color w:val="auto"/>
                <w:w w:val="98"/>
              </w:rPr>
              <w:t>4.3%</w:t>
            </w:r>
          </w:p>
        </w:tc>
        <w:tc>
          <w:tcPr>
            <w:tcW w:w="1280" w:type="dxa"/>
            <w:vAlign w:val="bottom"/>
          </w:tcPr>
          <w:p>
            <w:pPr>
              <w:jc w:val="center"/>
              <w:ind w:right="221"/>
              <w:spacing w:after="0"/>
              <w:rPr>
                <w:sz w:val="20"/>
                <w:szCs w:val="20"/>
                <w:color w:val="auto"/>
              </w:rPr>
            </w:pPr>
            <w:r>
              <w:rPr>
                <w:rFonts w:ascii="Arial" w:cs="Arial" w:eastAsia="Arial" w:hAnsi="Arial"/>
                <w:sz w:val="16"/>
                <w:szCs w:val="16"/>
                <w:color w:val="auto"/>
              </w:rPr>
              <w:t>4.4%/4.0%</w:t>
            </w:r>
          </w:p>
        </w:tc>
        <w:tc>
          <w:tcPr>
            <w:tcW w:w="1600" w:type="dxa"/>
            <w:vAlign w:val="bottom"/>
          </w:tcPr>
          <w:p>
            <w:pPr>
              <w:jc w:val="center"/>
              <w:ind w:left="62"/>
              <w:spacing w:after="0"/>
              <w:rPr>
                <w:sz w:val="20"/>
                <w:szCs w:val="20"/>
                <w:color w:val="auto"/>
              </w:rPr>
            </w:pPr>
            <w:r>
              <w:rPr>
                <w:rFonts w:ascii="Arial" w:cs="Arial" w:eastAsia="Arial" w:hAnsi="Arial"/>
                <w:sz w:val="16"/>
                <w:szCs w:val="16"/>
                <w:b w:val="1"/>
                <w:bCs w:val="1"/>
                <w:color w:val="auto"/>
              </w:rPr>
              <w:t>4.1%</w:t>
            </w:r>
          </w:p>
        </w:tc>
        <w:tc>
          <w:tcPr>
            <w:tcW w:w="1380" w:type="dxa"/>
            <w:vAlign w:val="bottom"/>
          </w:tcPr>
          <w:p>
            <w:pPr>
              <w:jc w:val="center"/>
              <w:spacing w:after="0"/>
              <w:rPr>
                <w:sz w:val="20"/>
                <w:szCs w:val="20"/>
                <w:color w:val="auto"/>
              </w:rPr>
            </w:pPr>
            <w:r>
              <w:rPr>
                <w:rFonts w:ascii="Arial" w:cs="Arial" w:eastAsia="Arial" w:hAnsi="Arial"/>
                <w:sz w:val="16"/>
                <w:szCs w:val="16"/>
                <w:color w:val="auto"/>
                <w:w w:val="98"/>
              </w:rPr>
              <w:t>4.3%</w:t>
            </w:r>
          </w:p>
        </w:tc>
        <w:tc>
          <w:tcPr>
            <w:tcW w:w="1100" w:type="dxa"/>
            <w:vAlign w:val="bottom"/>
          </w:tcPr>
          <w:p>
            <w:pPr>
              <w:jc w:val="center"/>
              <w:ind w:right="61"/>
              <w:spacing w:after="0"/>
              <w:rPr>
                <w:sz w:val="20"/>
                <w:szCs w:val="20"/>
                <w:color w:val="auto"/>
              </w:rPr>
            </w:pPr>
            <w:r>
              <w:rPr>
                <w:rFonts w:ascii="Arial" w:cs="Arial" w:eastAsia="Arial" w:hAnsi="Arial"/>
                <w:sz w:val="16"/>
                <w:szCs w:val="16"/>
                <w:color w:val="auto"/>
              </w:rPr>
              <w:t>4.4%/4.0%</w:t>
            </w:r>
          </w:p>
        </w:tc>
      </w:tr>
      <w:tr>
        <w:trPr>
          <w:trHeight w:val="215"/>
        </w:trPr>
        <w:tc>
          <w:tcPr>
            <w:tcW w:w="2980" w:type="dxa"/>
            <w:vAlign w:val="bottom"/>
          </w:tcPr>
          <w:p>
            <w:pPr>
              <w:ind w:left="40"/>
              <w:spacing w:after="0"/>
              <w:rPr>
                <w:sz w:val="20"/>
                <w:szCs w:val="20"/>
                <w:color w:val="auto"/>
              </w:rPr>
            </w:pPr>
            <w:r>
              <w:rPr>
                <w:rFonts w:ascii="Arial" w:cs="Arial" w:eastAsia="Arial" w:hAnsi="Arial"/>
                <w:sz w:val="16"/>
                <w:szCs w:val="16"/>
                <w:color w:val="auto"/>
              </w:rPr>
              <w:t>Expected return on plan assets</w:t>
            </w:r>
          </w:p>
        </w:tc>
        <w:tc>
          <w:tcPr>
            <w:tcW w:w="1480" w:type="dxa"/>
            <w:vAlign w:val="bottom"/>
          </w:tcPr>
          <w:p>
            <w:pPr>
              <w:jc w:val="center"/>
              <w:ind w:left="142"/>
              <w:spacing w:after="0"/>
              <w:rPr>
                <w:sz w:val="20"/>
                <w:szCs w:val="20"/>
                <w:color w:val="auto"/>
              </w:rPr>
            </w:pPr>
            <w:r>
              <w:rPr>
                <w:rFonts w:ascii="Arial" w:cs="Arial" w:eastAsia="Arial" w:hAnsi="Arial"/>
                <w:sz w:val="16"/>
                <w:szCs w:val="16"/>
                <w:b w:val="1"/>
                <w:bCs w:val="1"/>
                <w:color w:val="auto"/>
              </w:rPr>
              <w:t>6.25%</w:t>
            </w:r>
          </w:p>
        </w:tc>
        <w:tc>
          <w:tcPr>
            <w:tcW w:w="1600" w:type="dxa"/>
            <w:vAlign w:val="bottom"/>
          </w:tcPr>
          <w:p>
            <w:pPr>
              <w:jc w:val="center"/>
              <w:spacing w:after="0"/>
              <w:rPr>
                <w:sz w:val="20"/>
                <w:szCs w:val="20"/>
                <w:color w:val="auto"/>
              </w:rPr>
            </w:pPr>
            <w:r>
              <w:rPr>
                <w:rFonts w:ascii="Arial" w:cs="Arial" w:eastAsia="Arial" w:hAnsi="Arial"/>
                <w:sz w:val="16"/>
                <w:szCs w:val="16"/>
                <w:color w:val="auto"/>
                <w:w w:val="98"/>
              </w:rPr>
              <w:t>6.5%</w:t>
            </w:r>
          </w:p>
        </w:tc>
        <w:tc>
          <w:tcPr>
            <w:tcW w:w="1280" w:type="dxa"/>
            <w:vAlign w:val="bottom"/>
          </w:tcPr>
          <w:p>
            <w:pPr>
              <w:jc w:val="center"/>
              <w:ind w:right="241"/>
              <w:spacing w:after="0"/>
              <w:rPr>
                <w:sz w:val="20"/>
                <w:szCs w:val="20"/>
                <w:color w:val="auto"/>
              </w:rPr>
            </w:pPr>
            <w:r>
              <w:rPr>
                <w:rFonts w:ascii="Arial" w:cs="Arial" w:eastAsia="Arial" w:hAnsi="Arial"/>
                <w:sz w:val="16"/>
                <w:szCs w:val="16"/>
                <w:color w:val="auto"/>
                <w:w w:val="98"/>
              </w:rPr>
              <w:t>6.5%</w:t>
            </w:r>
          </w:p>
        </w:tc>
        <w:tc>
          <w:tcPr>
            <w:tcW w:w="1600" w:type="dxa"/>
            <w:vAlign w:val="bottom"/>
          </w:tcPr>
          <w:p>
            <w:pPr>
              <w:jc w:val="center"/>
              <w:ind w:left="42"/>
              <w:spacing w:after="0"/>
              <w:rPr>
                <w:sz w:val="20"/>
                <w:szCs w:val="20"/>
                <w:color w:val="auto"/>
              </w:rPr>
            </w:pPr>
            <w:r>
              <w:rPr>
                <w:rFonts w:ascii="Arial" w:cs="Arial" w:eastAsia="Arial" w:hAnsi="Arial"/>
                <w:sz w:val="16"/>
                <w:szCs w:val="16"/>
                <w:b w:val="1"/>
                <w:bCs w:val="1"/>
                <w:color w:val="auto"/>
                <w:w w:val="99"/>
              </w:rPr>
              <w:t>—</w:t>
            </w:r>
          </w:p>
        </w:tc>
        <w:tc>
          <w:tcPr>
            <w:tcW w:w="1380" w:type="dxa"/>
            <w:vAlign w:val="bottom"/>
          </w:tcPr>
          <w:p>
            <w:pPr>
              <w:jc w:val="center"/>
              <w:spacing w:after="0"/>
              <w:rPr>
                <w:sz w:val="20"/>
                <w:szCs w:val="20"/>
                <w:color w:val="auto"/>
              </w:rPr>
            </w:pPr>
            <w:r>
              <w:rPr>
                <w:rFonts w:ascii="Arial" w:cs="Arial" w:eastAsia="Arial" w:hAnsi="Arial"/>
                <w:sz w:val="16"/>
                <w:szCs w:val="16"/>
                <w:color w:val="auto"/>
                <w:w w:val="99"/>
              </w:rPr>
              <w:t>—</w:t>
            </w:r>
          </w:p>
        </w:tc>
        <w:tc>
          <w:tcPr>
            <w:tcW w:w="1100" w:type="dxa"/>
            <w:vAlign w:val="bottom"/>
          </w:tcPr>
          <w:p>
            <w:pPr>
              <w:jc w:val="center"/>
              <w:ind w:right="61"/>
              <w:spacing w:after="0"/>
              <w:rPr>
                <w:sz w:val="20"/>
                <w:szCs w:val="20"/>
                <w:color w:val="auto"/>
              </w:rPr>
            </w:pPr>
            <w:r>
              <w:rPr>
                <w:rFonts w:ascii="Arial" w:cs="Arial" w:eastAsia="Arial" w:hAnsi="Arial"/>
                <w:sz w:val="16"/>
                <w:szCs w:val="16"/>
                <w:color w:val="auto"/>
                <w:w w:val="99"/>
              </w:rPr>
              <w:t>—</w:t>
            </w:r>
          </w:p>
        </w:tc>
      </w:tr>
      <w:tr>
        <w:trPr>
          <w:trHeight w:val="218"/>
        </w:trPr>
        <w:tc>
          <w:tcPr>
            <w:tcW w:w="2980" w:type="dxa"/>
            <w:vAlign w:val="bottom"/>
          </w:tcPr>
          <w:p>
            <w:pPr>
              <w:spacing w:after="0"/>
              <w:rPr>
                <w:sz w:val="18"/>
                <w:szCs w:val="18"/>
                <w:color w:val="auto"/>
              </w:rPr>
            </w:pPr>
          </w:p>
        </w:tc>
        <w:tc>
          <w:tcPr>
            <w:tcW w:w="1480" w:type="dxa"/>
            <w:vAlign w:val="bottom"/>
          </w:tcPr>
          <w:p>
            <w:pPr>
              <w:ind w:left="420"/>
              <w:spacing w:after="0"/>
              <w:rPr>
                <w:sz w:val="20"/>
                <w:szCs w:val="20"/>
                <w:color w:val="auto"/>
              </w:rPr>
            </w:pPr>
            <w:r>
              <w:rPr>
                <w:rFonts w:ascii="Arial" w:cs="Arial" w:eastAsia="Arial" w:hAnsi="Arial"/>
                <w:sz w:val="16"/>
                <w:szCs w:val="16"/>
                <w:b w:val="1"/>
                <w:bCs w:val="1"/>
                <w:color w:val="auto"/>
              </w:rPr>
              <w:t>Age graded</w:t>
            </w:r>
          </w:p>
        </w:tc>
        <w:tc>
          <w:tcPr>
            <w:tcW w:w="160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600" w:type="dxa"/>
            <w:vAlign w:val="bottom"/>
          </w:tcPr>
          <w:p>
            <w:pPr>
              <w:ind w:left="420"/>
              <w:spacing w:after="0"/>
              <w:rPr>
                <w:sz w:val="20"/>
                <w:szCs w:val="20"/>
                <w:color w:val="auto"/>
              </w:rPr>
            </w:pPr>
            <w:r>
              <w:rPr>
                <w:rFonts w:ascii="Arial" w:cs="Arial" w:eastAsia="Arial" w:hAnsi="Arial"/>
                <w:sz w:val="16"/>
                <w:szCs w:val="16"/>
                <w:b w:val="1"/>
                <w:bCs w:val="1"/>
                <w:color w:val="auto"/>
              </w:rPr>
              <w:t>Age graded</w:t>
            </w:r>
          </w:p>
        </w:tc>
        <w:tc>
          <w:tcPr>
            <w:tcW w:w="1380" w:type="dxa"/>
            <w:vAlign w:val="bottom"/>
          </w:tcPr>
          <w:p>
            <w:pPr>
              <w:spacing w:after="0"/>
              <w:rPr>
                <w:sz w:val="18"/>
                <w:szCs w:val="18"/>
                <w:color w:val="auto"/>
              </w:rPr>
            </w:pPr>
          </w:p>
        </w:tc>
        <w:tc>
          <w:tcPr>
            <w:tcW w:w="1100" w:type="dxa"/>
            <w:vAlign w:val="bottom"/>
          </w:tcPr>
          <w:p>
            <w:pPr>
              <w:spacing w:after="0"/>
              <w:rPr>
                <w:sz w:val="18"/>
                <w:szCs w:val="18"/>
                <w:color w:val="auto"/>
              </w:rPr>
            </w:pPr>
          </w:p>
        </w:tc>
      </w:tr>
      <w:tr>
        <w:trPr>
          <w:trHeight w:val="215"/>
        </w:trPr>
        <w:tc>
          <w:tcPr>
            <w:tcW w:w="2980" w:type="dxa"/>
            <w:vAlign w:val="bottom"/>
          </w:tcPr>
          <w:p>
            <w:pPr>
              <w:ind w:left="40"/>
              <w:spacing w:after="0"/>
              <w:rPr>
                <w:sz w:val="20"/>
                <w:szCs w:val="20"/>
                <w:color w:val="auto"/>
              </w:rPr>
            </w:pPr>
            <w:r>
              <w:rPr>
                <w:rFonts w:ascii="Arial" w:cs="Arial" w:eastAsia="Arial" w:hAnsi="Arial"/>
                <w:sz w:val="16"/>
                <w:szCs w:val="16"/>
                <w:color w:val="auto"/>
              </w:rPr>
              <w:t>Rate of compensation increase</w:t>
            </w:r>
          </w:p>
        </w:tc>
        <w:tc>
          <w:tcPr>
            <w:tcW w:w="1480" w:type="dxa"/>
            <w:vAlign w:val="bottom"/>
          </w:tcPr>
          <w:p>
            <w:pPr>
              <w:jc w:val="center"/>
              <w:ind w:left="142"/>
              <w:spacing w:after="0"/>
              <w:rPr>
                <w:sz w:val="20"/>
                <w:szCs w:val="20"/>
                <w:color w:val="auto"/>
              </w:rPr>
            </w:pPr>
            <w:r>
              <w:rPr>
                <w:rFonts w:ascii="Arial" w:cs="Arial" w:eastAsia="Arial" w:hAnsi="Arial"/>
                <w:sz w:val="16"/>
                <w:szCs w:val="16"/>
                <w:b w:val="1"/>
                <w:bCs w:val="1"/>
                <w:color w:val="auto"/>
              </w:rPr>
              <w:t>(5.0%–1.0%)</w:t>
            </w:r>
          </w:p>
        </w:tc>
        <w:tc>
          <w:tcPr>
            <w:tcW w:w="1600" w:type="dxa"/>
            <w:vAlign w:val="bottom"/>
          </w:tcPr>
          <w:p>
            <w:pPr>
              <w:jc w:val="center"/>
              <w:spacing w:after="0"/>
              <w:rPr>
                <w:sz w:val="20"/>
                <w:szCs w:val="20"/>
                <w:color w:val="auto"/>
              </w:rPr>
            </w:pPr>
            <w:r>
              <w:rPr>
                <w:rFonts w:ascii="Arial" w:cs="Arial" w:eastAsia="Arial" w:hAnsi="Arial"/>
                <w:sz w:val="16"/>
                <w:szCs w:val="16"/>
                <w:color w:val="auto"/>
                <w:w w:val="98"/>
              </w:rPr>
              <w:t>4.0%</w:t>
            </w:r>
          </w:p>
        </w:tc>
        <w:tc>
          <w:tcPr>
            <w:tcW w:w="1280" w:type="dxa"/>
            <w:vAlign w:val="bottom"/>
          </w:tcPr>
          <w:p>
            <w:pPr>
              <w:jc w:val="center"/>
              <w:ind w:right="241"/>
              <w:spacing w:after="0"/>
              <w:rPr>
                <w:sz w:val="20"/>
                <w:szCs w:val="20"/>
                <w:color w:val="auto"/>
              </w:rPr>
            </w:pPr>
            <w:r>
              <w:rPr>
                <w:rFonts w:ascii="Arial" w:cs="Arial" w:eastAsia="Arial" w:hAnsi="Arial"/>
                <w:sz w:val="16"/>
                <w:szCs w:val="16"/>
                <w:color w:val="auto"/>
                <w:w w:val="98"/>
              </w:rPr>
              <w:t>4.0%</w:t>
            </w:r>
          </w:p>
        </w:tc>
        <w:tc>
          <w:tcPr>
            <w:tcW w:w="1600" w:type="dxa"/>
            <w:vAlign w:val="bottom"/>
          </w:tcPr>
          <w:p>
            <w:pPr>
              <w:jc w:val="center"/>
              <w:ind w:left="62"/>
              <w:spacing w:after="0"/>
              <w:rPr>
                <w:sz w:val="20"/>
                <w:szCs w:val="20"/>
                <w:color w:val="auto"/>
              </w:rPr>
            </w:pPr>
            <w:r>
              <w:rPr>
                <w:rFonts w:ascii="Arial" w:cs="Arial" w:eastAsia="Arial" w:hAnsi="Arial"/>
                <w:sz w:val="16"/>
                <w:szCs w:val="16"/>
                <w:b w:val="1"/>
                <w:bCs w:val="1"/>
                <w:color w:val="auto"/>
              </w:rPr>
              <w:t>(5.0%–1.0%)</w:t>
            </w:r>
          </w:p>
        </w:tc>
        <w:tc>
          <w:tcPr>
            <w:tcW w:w="1380" w:type="dxa"/>
            <w:vAlign w:val="bottom"/>
          </w:tcPr>
          <w:p>
            <w:pPr>
              <w:jc w:val="center"/>
              <w:spacing w:after="0"/>
              <w:rPr>
                <w:sz w:val="20"/>
                <w:szCs w:val="20"/>
                <w:color w:val="auto"/>
              </w:rPr>
            </w:pPr>
            <w:r>
              <w:rPr>
                <w:rFonts w:ascii="Arial" w:cs="Arial" w:eastAsia="Arial" w:hAnsi="Arial"/>
                <w:sz w:val="16"/>
                <w:szCs w:val="16"/>
                <w:color w:val="auto"/>
                <w:w w:val="98"/>
              </w:rPr>
              <w:t>4.0%</w:t>
            </w:r>
          </w:p>
        </w:tc>
        <w:tc>
          <w:tcPr>
            <w:tcW w:w="1100" w:type="dxa"/>
            <w:vAlign w:val="bottom"/>
          </w:tcPr>
          <w:p>
            <w:pPr>
              <w:jc w:val="center"/>
              <w:ind w:right="61"/>
              <w:spacing w:after="0"/>
              <w:rPr>
                <w:sz w:val="20"/>
                <w:szCs w:val="20"/>
                <w:color w:val="auto"/>
              </w:rPr>
            </w:pPr>
            <w:r>
              <w:rPr>
                <w:rFonts w:ascii="Arial" w:cs="Arial" w:eastAsia="Arial" w:hAnsi="Arial"/>
                <w:sz w:val="16"/>
                <w:szCs w:val="16"/>
                <w:color w:val="auto"/>
                <w:w w:val="98"/>
              </w:rPr>
              <w:t>4.0%</w:t>
            </w:r>
          </w:p>
        </w:tc>
      </w:tr>
    </w:tbl>
    <w:p>
      <w:pPr>
        <w:spacing w:after="0" w:line="14" w:lineRule="exact"/>
        <w:rPr>
          <w:sz w:val="20"/>
          <w:szCs w:val="20"/>
          <w:color w:val="auto"/>
        </w:rPr>
      </w:pPr>
    </w:p>
    <w:p>
      <w:pPr>
        <w:spacing w:after="0"/>
        <w:rPr>
          <w:sz w:val="20"/>
          <w:szCs w:val="20"/>
          <w:color w:val="auto"/>
        </w:rPr>
      </w:pPr>
      <w:r>
        <w:rPr>
          <w:rFonts w:ascii="Arial" w:cs="Arial" w:eastAsia="Arial" w:hAnsi="Arial"/>
          <w:sz w:val="11"/>
          <w:szCs w:val="11"/>
          <w:color w:val="auto"/>
        </w:rPr>
        <w:t>___________</w:t>
      </w:r>
      <w:r>
        <w:rPr>
          <w:rFonts w:ascii="Arial" w:cs="Arial" w:eastAsia="Arial" w:hAnsi="Arial"/>
          <w:sz w:val="12"/>
          <w:szCs w:val="12"/>
          <w:color w:val="auto"/>
        </w:rPr>
        <w:t>_</w:t>
      </w:r>
    </w:p>
    <w:p>
      <w:pPr>
        <w:spacing w:after="0" w:line="65" w:lineRule="exact"/>
        <w:rPr>
          <w:sz w:val="20"/>
          <w:szCs w:val="20"/>
          <w:color w:val="auto"/>
        </w:rPr>
      </w:pPr>
    </w:p>
    <w:p>
      <w:pPr>
        <w:ind w:left="260" w:right="40" w:hanging="252"/>
        <w:spacing w:after="0" w:line="225" w:lineRule="auto"/>
        <w:tabs>
          <w:tab w:leader="none" w:pos="260" w:val="left"/>
        </w:tabs>
        <w:numPr>
          <w:ilvl w:val="0"/>
          <w:numId w:val="78"/>
        </w:numPr>
        <w:rPr>
          <w:rFonts w:ascii="Arial" w:cs="Arial" w:eastAsia="Arial" w:hAnsi="Arial"/>
          <w:sz w:val="13"/>
          <w:szCs w:val="13"/>
          <w:color w:val="auto"/>
        </w:rPr>
      </w:pPr>
      <w:r>
        <w:rPr>
          <w:rFonts w:ascii="Arial" w:cs="Arial" w:eastAsia="Arial" w:hAnsi="Arial"/>
          <w:sz w:val="13"/>
          <w:szCs w:val="13"/>
          <w:color w:val="auto"/>
        </w:rPr>
        <w:t>As a result of the spin-off of Cable ONE and the sale of the KHE Campuses business, the Company remeasured the accumulated and projected benefit obligation of the pension plan as of July 1, 2015 and September 3, 2015, respectively. As a result of the spin-off of Cable ONE, the accumulated and projected benefit obligation of the SERP was remeasured as of July 1, 2015. The remeasurement changed the discount rate from 4.0% for the first six months to 4.4% for the second half of 2015.</w:t>
      </w:r>
    </w:p>
    <w:p>
      <w:pPr>
        <w:spacing w:after="0" w:line="138" w:lineRule="exact"/>
        <w:rPr>
          <w:sz w:val="20"/>
          <w:szCs w:val="20"/>
          <w:color w:val="auto"/>
        </w:rPr>
      </w:pPr>
    </w:p>
    <w:p>
      <w:pPr>
        <w:ind w:right="120"/>
        <w:spacing w:after="0" w:line="235" w:lineRule="auto"/>
        <w:rPr>
          <w:sz w:val="20"/>
          <w:szCs w:val="20"/>
          <w:color w:val="auto"/>
        </w:rPr>
      </w:pPr>
      <w:r>
        <w:rPr>
          <w:rFonts w:ascii="Arial" w:cs="Arial" w:eastAsia="Arial" w:hAnsi="Arial"/>
          <w:sz w:val="18"/>
          <w:szCs w:val="18"/>
          <w:color w:val="auto"/>
        </w:rPr>
        <w:t>Accumulated other comprehensive income (AOCI) includes the following components of unrecognized net periodic cost for the defined benefit plans:</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652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2200" w:type="dxa"/>
            <w:vAlign w:val="bottom"/>
            <w:tcBorders>
              <w:bottom w:val="single" w:sz="8" w:color="auto"/>
            </w:tcBorders>
            <w:gridSpan w:val="3"/>
          </w:tcPr>
          <w:p>
            <w:pPr>
              <w:jc w:val="right"/>
              <w:ind w:right="660"/>
              <w:spacing w:after="0"/>
              <w:rPr>
                <w:sz w:val="20"/>
                <w:szCs w:val="20"/>
                <w:color w:val="auto"/>
              </w:rPr>
            </w:pPr>
            <w:r>
              <w:rPr>
                <w:rFonts w:ascii="Arial" w:cs="Arial" w:eastAsia="Arial" w:hAnsi="Arial"/>
                <w:sz w:val="14"/>
                <w:szCs w:val="14"/>
                <w:b w:val="1"/>
                <w:bCs w:val="1"/>
                <w:color w:val="auto"/>
              </w:rPr>
              <w:t>Pension Plans</w:t>
            </w:r>
          </w:p>
        </w:tc>
        <w:tc>
          <w:tcPr>
            <w:tcW w:w="32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gridSpan w:val="2"/>
          </w:tcPr>
          <w:p>
            <w:pPr>
              <w:jc w:val="right"/>
              <w:ind w:right="39"/>
              <w:spacing w:after="0"/>
              <w:rPr>
                <w:sz w:val="20"/>
                <w:szCs w:val="20"/>
                <w:color w:val="auto"/>
              </w:rPr>
            </w:pPr>
            <w:r>
              <w:rPr>
                <w:rFonts w:ascii="Arial" w:cs="Arial" w:eastAsia="Arial" w:hAnsi="Arial"/>
                <w:sz w:val="14"/>
                <w:szCs w:val="14"/>
                <w:b w:val="1"/>
                <w:bCs w:val="1"/>
                <w:color w:val="auto"/>
              </w:rPr>
              <w:t>SERP</w:t>
            </w:r>
          </w:p>
        </w:tc>
        <w:tc>
          <w:tcPr>
            <w:tcW w:w="860" w:type="dxa"/>
            <w:vAlign w:val="bottom"/>
            <w:tcBorders>
              <w:bottom w:val="single" w:sz="8" w:color="auto"/>
            </w:tcBorders>
          </w:tcPr>
          <w:p>
            <w:pPr>
              <w:spacing w:after="0"/>
              <w:rPr>
                <w:sz w:val="17"/>
                <w:szCs w:val="17"/>
                <w:color w:val="auto"/>
              </w:rPr>
            </w:pPr>
          </w:p>
        </w:tc>
      </w:tr>
      <w:tr>
        <w:trPr>
          <w:trHeight w:val="264"/>
        </w:trPr>
        <w:tc>
          <w:tcPr>
            <w:tcW w:w="6520" w:type="dxa"/>
            <w:vAlign w:val="bottom"/>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2200" w:type="dxa"/>
            <w:vAlign w:val="bottom"/>
            <w:tcBorders>
              <w:bottom w:val="single" w:sz="8" w:color="auto"/>
            </w:tcBorders>
            <w:gridSpan w:val="3"/>
          </w:tcPr>
          <w:p>
            <w:pPr>
              <w:jc w:val="right"/>
              <w:ind w:right="520"/>
              <w:spacing w:after="0"/>
              <w:rPr>
                <w:sz w:val="20"/>
                <w:szCs w:val="20"/>
                <w:color w:val="auto"/>
              </w:rPr>
            </w:pPr>
            <w:r>
              <w:rPr>
                <w:rFonts w:ascii="Arial" w:cs="Arial" w:eastAsia="Arial" w:hAnsi="Arial"/>
                <w:sz w:val="14"/>
                <w:szCs w:val="14"/>
                <w:b w:val="1"/>
                <w:bCs w:val="1"/>
                <w:color w:val="auto"/>
              </w:rPr>
              <w:t>As of December 31</w:t>
            </w:r>
          </w:p>
        </w:tc>
        <w:tc>
          <w:tcPr>
            <w:tcW w:w="320" w:type="dxa"/>
            <w:vAlign w:val="bottom"/>
            <w:tcBorders>
              <w:bottom w:val="single" w:sz="8" w:color="auto"/>
            </w:tcBorders>
          </w:tcPr>
          <w:p>
            <w:pPr>
              <w:spacing w:after="0"/>
              <w:rPr>
                <w:sz w:val="22"/>
                <w:szCs w:val="22"/>
                <w:color w:val="auto"/>
              </w:rPr>
            </w:pPr>
          </w:p>
        </w:tc>
        <w:tc>
          <w:tcPr>
            <w:tcW w:w="2120" w:type="dxa"/>
            <w:vAlign w:val="bottom"/>
            <w:tcBorders>
              <w:bottom w:val="single" w:sz="8" w:color="auto"/>
            </w:tcBorders>
            <w:gridSpan w:val="3"/>
          </w:tcPr>
          <w:p>
            <w:pPr>
              <w:jc w:val="right"/>
              <w:ind w:right="440"/>
              <w:spacing w:after="0"/>
              <w:rPr>
                <w:sz w:val="20"/>
                <w:szCs w:val="20"/>
                <w:color w:val="auto"/>
              </w:rPr>
            </w:pPr>
            <w:r>
              <w:rPr>
                <w:rFonts w:ascii="Arial" w:cs="Arial" w:eastAsia="Arial" w:hAnsi="Arial"/>
                <w:sz w:val="14"/>
                <w:szCs w:val="14"/>
                <w:b w:val="1"/>
                <w:bCs w:val="1"/>
                <w:color w:val="auto"/>
              </w:rPr>
              <w:t>As of December 31</w:t>
            </w:r>
          </w:p>
        </w:tc>
      </w:tr>
      <w:tr>
        <w:trPr>
          <w:trHeight w:val="264"/>
        </w:trPr>
        <w:tc>
          <w:tcPr>
            <w:tcW w:w="652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(in thousands)</w:t>
            </w:r>
          </w:p>
        </w:tc>
        <w:tc>
          <w:tcPr>
            <w:tcW w:w="26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right"/>
              <w:ind w:right="382"/>
              <w:spacing w:after="0"/>
              <w:rPr>
                <w:sz w:val="20"/>
                <w:szCs w:val="20"/>
                <w:color w:val="auto"/>
              </w:rPr>
            </w:pPr>
            <w:r>
              <w:rPr>
                <w:rFonts w:ascii="Arial" w:cs="Arial" w:eastAsia="Arial" w:hAnsi="Arial"/>
                <w:sz w:val="14"/>
                <w:szCs w:val="14"/>
                <w:b w:val="1"/>
                <w:bCs w:val="1"/>
                <w:color w:val="auto"/>
              </w:rPr>
              <w:t>2017</w:t>
            </w:r>
          </w:p>
        </w:tc>
        <w:tc>
          <w:tcPr>
            <w:tcW w:w="34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jc w:val="right"/>
              <w:ind w:right="380"/>
              <w:spacing w:after="0"/>
              <w:rPr>
                <w:sz w:val="20"/>
                <w:szCs w:val="20"/>
                <w:color w:val="auto"/>
              </w:rPr>
            </w:pPr>
            <w:r>
              <w:rPr>
                <w:rFonts w:ascii="Arial" w:cs="Arial" w:eastAsia="Arial" w:hAnsi="Arial"/>
                <w:sz w:val="14"/>
                <w:szCs w:val="14"/>
                <w:color w:val="auto"/>
              </w:rPr>
              <w:t>2016</w:t>
            </w:r>
          </w:p>
        </w:tc>
        <w:tc>
          <w:tcPr>
            <w:tcW w:w="32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jc w:val="right"/>
              <w:ind w:right="362"/>
              <w:spacing w:after="0"/>
              <w:rPr>
                <w:sz w:val="20"/>
                <w:szCs w:val="20"/>
                <w:color w:val="auto"/>
              </w:rPr>
            </w:pPr>
            <w:r>
              <w:rPr>
                <w:rFonts w:ascii="Arial" w:cs="Arial" w:eastAsia="Arial" w:hAnsi="Arial"/>
                <w:sz w:val="14"/>
                <w:szCs w:val="14"/>
                <w:b w:val="1"/>
                <w:bCs w:val="1"/>
                <w:color w:val="auto"/>
              </w:rPr>
              <w:t>2017</w:t>
            </w:r>
          </w:p>
        </w:tc>
        <w:tc>
          <w:tcPr>
            <w:tcW w:w="34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jc w:val="right"/>
              <w:ind w:right="320"/>
              <w:spacing w:after="0"/>
              <w:rPr>
                <w:sz w:val="20"/>
                <w:szCs w:val="20"/>
                <w:color w:val="auto"/>
              </w:rPr>
            </w:pPr>
            <w:r>
              <w:rPr>
                <w:rFonts w:ascii="Arial" w:cs="Arial" w:eastAsia="Arial" w:hAnsi="Arial"/>
                <w:sz w:val="14"/>
                <w:szCs w:val="14"/>
                <w:color w:val="auto"/>
              </w:rPr>
              <w:t>2016</w:t>
            </w:r>
          </w:p>
        </w:tc>
      </w:tr>
      <w:tr>
        <w:trPr>
          <w:trHeight w:val="250"/>
        </w:trPr>
        <w:tc>
          <w:tcPr>
            <w:tcW w:w="6520" w:type="dxa"/>
            <w:vAlign w:val="bottom"/>
          </w:tcPr>
          <w:p>
            <w:pPr>
              <w:ind w:left="40"/>
              <w:spacing w:after="0"/>
              <w:rPr>
                <w:sz w:val="20"/>
                <w:szCs w:val="20"/>
                <w:color w:val="auto"/>
              </w:rPr>
            </w:pPr>
            <w:r>
              <w:rPr>
                <w:rFonts w:ascii="Arial" w:cs="Arial" w:eastAsia="Arial" w:hAnsi="Arial"/>
                <w:sz w:val="16"/>
                <w:szCs w:val="16"/>
                <w:color w:val="auto"/>
              </w:rPr>
              <w:t>Unrecognized actuarial (gain) loss</w:t>
            </w:r>
          </w:p>
        </w:tc>
        <w:tc>
          <w:tcPr>
            <w:tcW w:w="260" w:type="dxa"/>
            <w:vAlign w:val="bottom"/>
          </w:tcPr>
          <w:p>
            <w:pPr>
              <w:jc w:val="right"/>
              <w:ind w:right="59"/>
              <w:spacing w:after="0"/>
              <w:rPr>
                <w:sz w:val="20"/>
                <w:szCs w:val="20"/>
                <w:color w:val="auto"/>
              </w:rPr>
            </w:pPr>
            <w:r>
              <w:rPr>
                <w:rFonts w:ascii="Arial" w:cs="Arial" w:eastAsia="Arial" w:hAnsi="Arial"/>
                <w:sz w:val="16"/>
                <w:szCs w:val="16"/>
                <w:b w:val="1"/>
                <w:bCs w:val="1"/>
                <w:color w:val="auto"/>
              </w:rPr>
              <w:t>$</w:t>
            </w:r>
          </w:p>
        </w:tc>
        <w:tc>
          <w:tcPr>
            <w:tcW w:w="940" w:type="dxa"/>
            <w:vAlign w:val="bottom"/>
          </w:tcPr>
          <w:p>
            <w:pPr>
              <w:jc w:val="right"/>
              <w:ind w:right="22"/>
              <w:spacing w:after="0"/>
              <w:rPr>
                <w:sz w:val="20"/>
                <w:szCs w:val="20"/>
                <w:color w:val="auto"/>
              </w:rPr>
            </w:pPr>
            <w:r>
              <w:rPr>
                <w:rFonts w:ascii="Arial" w:cs="Arial" w:eastAsia="Arial" w:hAnsi="Arial"/>
                <w:sz w:val="16"/>
                <w:szCs w:val="16"/>
                <w:b w:val="1"/>
                <w:bCs w:val="1"/>
                <w:color w:val="auto"/>
              </w:rPr>
              <w:t>(461,779)</w:t>
            </w:r>
          </w:p>
        </w:tc>
        <w:tc>
          <w:tcPr>
            <w:tcW w:w="34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920" w:type="dxa"/>
            <w:vAlign w:val="bottom"/>
          </w:tcPr>
          <w:p>
            <w:pPr>
              <w:jc w:val="right"/>
              <w:ind w:right="20"/>
              <w:spacing w:after="0"/>
              <w:rPr>
                <w:sz w:val="20"/>
                <w:szCs w:val="20"/>
                <w:color w:val="auto"/>
              </w:rPr>
            </w:pPr>
            <w:r>
              <w:rPr>
                <w:rFonts w:ascii="Arial" w:cs="Arial" w:eastAsia="Arial" w:hAnsi="Arial"/>
                <w:sz w:val="16"/>
                <w:szCs w:val="16"/>
                <w:color w:val="auto"/>
              </w:rPr>
              <w:t>(285,304)</w:t>
            </w:r>
          </w:p>
        </w:tc>
        <w:tc>
          <w:tcPr>
            <w:tcW w:w="320" w:type="dxa"/>
            <w:vAlign w:val="bottom"/>
          </w:tcPr>
          <w:p>
            <w:pPr>
              <w:jc w:val="right"/>
              <w:ind w:right="59"/>
              <w:spacing w:after="0"/>
              <w:rPr>
                <w:sz w:val="20"/>
                <w:szCs w:val="20"/>
                <w:color w:val="auto"/>
              </w:rPr>
            </w:pPr>
            <w:r>
              <w:rPr>
                <w:rFonts w:ascii="Arial" w:cs="Arial" w:eastAsia="Arial" w:hAnsi="Arial"/>
                <w:sz w:val="16"/>
                <w:szCs w:val="16"/>
                <w:b w:val="1"/>
                <w:bCs w:val="1"/>
                <w:color w:val="auto"/>
              </w:rPr>
              <w:t>$</w:t>
            </w:r>
          </w:p>
        </w:tc>
        <w:tc>
          <w:tcPr>
            <w:tcW w:w="920" w:type="dxa"/>
            <w:vAlign w:val="bottom"/>
          </w:tcPr>
          <w:p>
            <w:pPr>
              <w:jc w:val="right"/>
              <w:ind w:right="82"/>
              <w:spacing w:after="0"/>
              <w:rPr>
                <w:sz w:val="20"/>
                <w:szCs w:val="20"/>
                <w:color w:val="auto"/>
              </w:rPr>
            </w:pPr>
            <w:r>
              <w:rPr>
                <w:rFonts w:ascii="Arial" w:cs="Arial" w:eastAsia="Arial" w:hAnsi="Arial"/>
                <w:sz w:val="16"/>
                <w:szCs w:val="16"/>
                <w:b w:val="1"/>
                <w:bCs w:val="1"/>
                <w:color w:val="auto"/>
              </w:rPr>
              <w:t>27,225</w:t>
            </w:r>
          </w:p>
        </w:tc>
        <w:tc>
          <w:tcPr>
            <w:tcW w:w="34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860" w:type="dxa"/>
            <w:vAlign w:val="bottom"/>
          </w:tcPr>
          <w:p>
            <w:pPr>
              <w:jc w:val="right"/>
              <w:ind w:right="20"/>
              <w:spacing w:after="0"/>
              <w:rPr>
                <w:sz w:val="20"/>
                <w:szCs w:val="20"/>
                <w:color w:val="auto"/>
              </w:rPr>
            </w:pPr>
            <w:r>
              <w:rPr>
                <w:rFonts w:ascii="Arial" w:cs="Arial" w:eastAsia="Arial" w:hAnsi="Arial"/>
                <w:sz w:val="16"/>
                <w:szCs w:val="16"/>
                <w:color w:val="auto"/>
              </w:rPr>
              <w:t>24,958</w:t>
            </w:r>
          </w:p>
        </w:tc>
      </w:tr>
      <w:tr>
        <w:trPr>
          <w:trHeight w:val="283"/>
        </w:trPr>
        <w:tc>
          <w:tcPr>
            <w:tcW w:w="6520" w:type="dxa"/>
            <w:vAlign w:val="bottom"/>
          </w:tcPr>
          <w:p>
            <w:pPr>
              <w:ind w:left="40"/>
              <w:spacing w:after="0"/>
              <w:rPr>
                <w:sz w:val="20"/>
                <w:szCs w:val="20"/>
                <w:color w:val="auto"/>
              </w:rPr>
            </w:pPr>
            <w:r>
              <w:rPr>
                <w:rFonts w:ascii="Arial" w:cs="Arial" w:eastAsia="Arial" w:hAnsi="Arial"/>
                <w:sz w:val="16"/>
                <w:szCs w:val="16"/>
                <w:color w:val="auto"/>
              </w:rPr>
              <w:t>Unrecognized prior service cost</w:t>
            </w:r>
          </w:p>
        </w:tc>
        <w:tc>
          <w:tcPr>
            <w:tcW w:w="26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jc w:val="right"/>
              <w:ind w:right="62"/>
              <w:spacing w:after="0"/>
              <w:rPr>
                <w:sz w:val="20"/>
                <w:szCs w:val="20"/>
                <w:color w:val="auto"/>
              </w:rPr>
            </w:pPr>
            <w:r>
              <w:rPr>
                <w:rFonts w:ascii="Arial" w:cs="Arial" w:eastAsia="Arial" w:hAnsi="Arial"/>
                <w:sz w:val="16"/>
                <w:szCs w:val="16"/>
                <w:b w:val="1"/>
                <w:bCs w:val="1"/>
                <w:color w:val="auto"/>
              </w:rPr>
              <w:t>270</w:t>
            </w:r>
          </w:p>
        </w:tc>
        <w:tc>
          <w:tcPr>
            <w:tcW w:w="34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jc w:val="right"/>
              <w:ind w:right="80"/>
              <w:spacing w:after="0"/>
              <w:rPr>
                <w:sz w:val="20"/>
                <w:szCs w:val="20"/>
                <w:color w:val="auto"/>
              </w:rPr>
            </w:pPr>
            <w:r>
              <w:rPr>
                <w:rFonts w:ascii="Arial" w:cs="Arial" w:eastAsia="Arial" w:hAnsi="Arial"/>
                <w:sz w:val="16"/>
                <w:szCs w:val="16"/>
                <w:color w:val="auto"/>
              </w:rPr>
              <w:t>365</w:t>
            </w:r>
          </w:p>
        </w:tc>
        <w:tc>
          <w:tcPr>
            <w:tcW w:w="32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jc w:val="right"/>
              <w:ind w:right="82"/>
              <w:spacing w:after="0"/>
              <w:rPr>
                <w:sz w:val="20"/>
                <w:szCs w:val="20"/>
                <w:color w:val="auto"/>
              </w:rPr>
            </w:pPr>
            <w:r>
              <w:rPr>
                <w:rFonts w:ascii="Arial" w:cs="Arial" w:eastAsia="Arial" w:hAnsi="Arial"/>
                <w:sz w:val="16"/>
                <w:szCs w:val="16"/>
                <w:b w:val="1"/>
                <w:bCs w:val="1"/>
                <w:color w:val="auto"/>
              </w:rPr>
              <w:t>320</w:t>
            </w:r>
          </w:p>
        </w:tc>
        <w:tc>
          <w:tcPr>
            <w:tcW w:w="34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775</w:t>
            </w:r>
          </w:p>
        </w:tc>
      </w:tr>
      <w:tr>
        <w:trPr>
          <w:trHeight w:val="251"/>
        </w:trPr>
        <w:tc>
          <w:tcPr>
            <w:tcW w:w="6520" w:type="dxa"/>
            <w:vAlign w:val="bottom"/>
          </w:tcPr>
          <w:p>
            <w:pPr>
              <w:ind w:left="40"/>
              <w:spacing w:after="0"/>
              <w:rPr>
                <w:sz w:val="20"/>
                <w:szCs w:val="20"/>
                <w:color w:val="auto"/>
              </w:rPr>
            </w:pPr>
            <w:r>
              <w:rPr>
                <w:rFonts w:ascii="Arial" w:cs="Arial" w:eastAsia="Arial" w:hAnsi="Arial"/>
                <w:sz w:val="16"/>
                <w:szCs w:val="16"/>
                <w:b w:val="1"/>
                <w:bCs w:val="1"/>
                <w:color w:val="auto"/>
              </w:rPr>
              <w:t>Gross Amount</w:t>
            </w:r>
          </w:p>
        </w:tc>
        <w:tc>
          <w:tcPr>
            <w:tcW w:w="260" w:type="dxa"/>
            <w:vAlign w:val="bottom"/>
          </w:tcPr>
          <w:p>
            <w:pPr>
              <w:spacing w:after="0"/>
              <w:rPr>
                <w:sz w:val="21"/>
                <w:szCs w:val="21"/>
                <w:color w:val="auto"/>
              </w:rPr>
            </w:pPr>
          </w:p>
        </w:tc>
        <w:tc>
          <w:tcPr>
            <w:tcW w:w="940" w:type="dxa"/>
            <w:vAlign w:val="bottom"/>
          </w:tcPr>
          <w:p>
            <w:pPr>
              <w:jc w:val="right"/>
              <w:ind w:right="22"/>
              <w:spacing w:after="0"/>
              <w:rPr>
                <w:sz w:val="20"/>
                <w:szCs w:val="20"/>
                <w:color w:val="auto"/>
              </w:rPr>
            </w:pPr>
            <w:r>
              <w:rPr>
                <w:rFonts w:ascii="Arial" w:cs="Arial" w:eastAsia="Arial" w:hAnsi="Arial"/>
                <w:sz w:val="16"/>
                <w:szCs w:val="16"/>
                <w:b w:val="1"/>
                <w:bCs w:val="1"/>
                <w:color w:val="auto"/>
              </w:rPr>
              <w:t>(461,509)</w:t>
            </w:r>
          </w:p>
        </w:tc>
        <w:tc>
          <w:tcPr>
            <w:tcW w:w="340" w:type="dxa"/>
            <w:vAlign w:val="bottom"/>
          </w:tcPr>
          <w:p>
            <w:pPr>
              <w:spacing w:after="0"/>
              <w:rPr>
                <w:sz w:val="21"/>
                <w:szCs w:val="21"/>
                <w:color w:val="auto"/>
              </w:rPr>
            </w:pPr>
          </w:p>
        </w:tc>
        <w:tc>
          <w:tcPr>
            <w:tcW w:w="920" w:type="dxa"/>
            <w:vAlign w:val="bottom"/>
          </w:tcPr>
          <w:p>
            <w:pPr>
              <w:jc w:val="right"/>
              <w:ind w:right="20"/>
              <w:spacing w:after="0"/>
              <w:rPr>
                <w:sz w:val="20"/>
                <w:szCs w:val="20"/>
                <w:color w:val="auto"/>
              </w:rPr>
            </w:pPr>
            <w:r>
              <w:rPr>
                <w:rFonts w:ascii="Arial" w:cs="Arial" w:eastAsia="Arial" w:hAnsi="Arial"/>
                <w:sz w:val="16"/>
                <w:szCs w:val="16"/>
                <w:color w:val="auto"/>
              </w:rPr>
              <w:t>(284,939)</w:t>
            </w:r>
          </w:p>
        </w:tc>
        <w:tc>
          <w:tcPr>
            <w:tcW w:w="320" w:type="dxa"/>
            <w:vAlign w:val="bottom"/>
          </w:tcPr>
          <w:p>
            <w:pPr>
              <w:spacing w:after="0"/>
              <w:rPr>
                <w:sz w:val="21"/>
                <w:szCs w:val="21"/>
                <w:color w:val="auto"/>
              </w:rPr>
            </w:pPr>
          </w:p>
        </w:tc>
        <w:tc>
          <w:tcPr>
            <w:tcW w:w="920" w:type="dxa"/>
            <w:vAlign w:val="bottom"/>
          </w:tcPr>
          <w:p>
            <w:pPr>
              <w:jc w:val="right"/>
              <w:ind w:right="82"/>
              <w:spacing w:after="0"/>
              <w:rPr>
                <w:sz w:val="20"/>
                <w:szCs w:val="20"/>
                <w:color w:val="auto"/>
              </w:rPr>
            </w:pPr>
            <w:r>
              <w:rPr>
                <w:rFonts w:ascii="Arial" w:cs="Arial" w:eastAsia="Arial" w:hAnsi="Arial"/>
                <w:sz w:val="16"/>
                <w:szCs w:val="16"/>
                <w:b w:val="1"/>
                <w:bCs w:val="1"/>
                <w:color w:val="auto"/>
              </w:rPr>
              <w:t>27,545</w:t>
            </w:r>
          </w:p>
        </w:tc>
        <w:tc>
          <w:tcPr>
            <w:tcW w:w="340" w:type="dxa"/>
            <w:vAlign w:val="bottom"/>
          </w:tcPr>
          <w:p>
            <w:pPr>
              <w:spacing w:after="0"/>
              <w:rPr>
                <w:sz w:val="21"/>
                <w:szCs w:val="21"/>
                <w:color w:val="auto"/>
              </w:rPr>
            </w:pPr>
          </w:p>
        </w:tc>
        <w:tc>
          <w:tcPr>
            <w:tcW w:w="860" w:type="dxa"/>
            <w:vAlign w:val="bottom"/>
          </w:tcPr>
          <w:p>
            <w:pPr>
              <w:jc w:val="right"/>
              <w:ind w:right="20"/>
              <w:spacing w:after="0"/>
              <w:rPr>
                <w:sz w:val="20"/>
                <w:szCs w:val="20"/>
                <w:color w:val="auto"/>
              </w:rPr>
            </w:pPr>
            <w:r>
              <w:rPr>
                <w:rFonts w:ascii="Arial" w:cs="Arial" w:eastAsia="Arial" w:hAnsi="Arial"/>
                <w:sz w:val="16"/>
                <w:szCs w:val="16"/>
                <w:color w:val="auto"/>
              </w:rPr>
              <w:t>25,733</w:t>
            </w:r>
          </w:p>
        </w:tc>
      </w:tr>
      <w:tr>
        <w:trPr>
          <w:trHeight w:val="283"/>
        </w:trPr>
        <w:tc>
          <w:tcPr>
            <w:tcW w:w="6520" w:type="dxa"/>
            <w:vAlign w:val="bottom"/>
          </w:tcPr>
          <w:p>
            <w:pPr>
              <w:ind w:left="40"/>
              <w:spacing w:after="0"/>
              <w:rPr>
                <w:sz w:val="20"/>
                <w:szCs w:val="20"/>
                <w:color w:val="auto"/>
              </w:rPr>
            </w:pPr>
            <w:r>
              <w:rPr>
                <w:rFonts w:ascii="Arial" w:cs="Arial" w:eastAsia="Arial" w:hAnsi="Arial"/>
                <w:sz w:val="16"/>
                <w:szCs w:val="16"/>
                <w:color w:val="auto"/>
              </w:rPr>
              <w:t>Deferred tax liability (asset)</w:t>
            </w:r>
          </w:p>
        </w:tc>
        <w:tc>
          <w:tcPr>
            <w:tcW w:w="26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jc w:val="right"/>
              <w:ind w:right="62"/>
              <w:spacing w:after="0"/>
              <w:rPr>
                <w:sz w:val="20"/>
                <w:szCs w:val="20"/>
                <w:color w:val="auto"/>
              </w:rPr>
            </w:pPr>
            <w:r>
              <w:rPr>
                <w:rFonts w:ascii="Arial" w:cs="Arial" w:eastAsia="Arial" w:hAnsi="Arial"/>
                <w:sz w:val="16"/>
                <w:szCs w:val="16"/>
                <w:b w:val="1"/>
                <w:bCs w:val="1"/>
                <w:color w:val="auto"/>
              </w:rPr>
              <w:t>124,607</w:t>
            </w:r>
          </w:p>
        </w:tc>
        <w:tc>
          <w:tcPr>
            <w:tcW w:w="34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jc w:val="right"/>
              <w:ind w:right="80"/>
              <w:spacing w:after="0"/>
              <w:rPr>
                <w:sz w:val="20"/>
                <w:szCs w:val="20"/>
                <w:color w:val="auto"/>
              </w:rPr>
            </w:pPr>
            <w:r>
              <w:rPr>
                <w:rFonts w:ascii="Arial" w:cs="Arial" w:eastAsia="Arial" w:hAnsi="Arial"/>
                <w:sz w:val="16"/>
                <w:szCs w:val="16"/>
                <w:color w:val="auto"/>
              </w:rPr>
              <w:t>113,976</w:t>
            </w:r>
          </w:p>
        </w:tc>
        <w:tc>
          <w:tcPr>
            <w:tcW w:w="32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jc w:val="right"/>
              <w:ind w:right="22"/>
              <w:spacing w:after="0"/>
              <w:rPr>
                <w:sz w:val="20"/>
                <w:szCs w:val="20"/>
                <w:color w:val="auto"/>
              </w:rPr>
            </w:pPr>
            <w:r>
              <w:rPr>
                <w:rFonts w:ascii="Arial" w:cs="Arial" w:eastAsia="Arial" w:hAnsi="Arial"/>
                <w:sz w:val="16"/>
                <w:szCs w:val="16"/>
                <w:b w:val="1"/>
                <w:bCs w:val="1"/>
                <w:color w:val="auto"/>
              </w:rPr>
              <w:t>(7,437)</w:t>
            </w:r>
          </w:p>
        </w:tc>
        <w:tc>
          <w:tcPr>
            <w:tcW w:w="34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(10,293)</w:t>
            </w:r>
          </w:p>
        </w:tc>
      </w:tr>
      <w:tr>
        <w:trPr>
          <w:trHeight w:val="267"/>
        </w:trPr>
        <w:tc>
          <w:tcPr>
            <w:tcW w:w="6520" w:type="dxa"/>
            <w:vAlign w:val="bottom"/>
          </w:tcPr>
          <w:p>
            <w:pPr>
              <w:ind w:left="40"/>
              <w:spacing w:after="0"/>
              <w:rPr>
                <w:sz w:val="20"/>
                <w:szCs w:val="20"/>
                <w:color w:val="auto"/>
              </w:rPr>
            </w:pPr>
            <w:r>
              <w:rPr>
                <w:rFonts w:ascii="Arial" w:cs="Arial" w:eastAsia="Arial" w:hAnsi="Arial"/>
                <w:sz w:val="16"/>
                <w:szCs w:val="16"/>
                <w:b w:val="1"/>
                <w:bCs w:val="1"/>
                <w:color w:val="auto"/>
              </w:rPr>
              <w:t>Net Amount</w:t>
            </w:r>
          </w:p>
        </w:tc>
        <w:tc>
          <w:tcPr>
            <w:tcW w:w="26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b w:val="1"/>
                <w:bCs w:val="1"/>
                <w:color w:val="auto"/>
              </w:rPr>
              <w:t>$</w:t>
            </w:r>
          </w:p>
        </w:tc>
        <w:tc>
          <w:tcPr>
            <w:tcW w:w="940" w:type="dxa"/>
            <w:vAlign w:val="bottom"/>
            <w:tcBorders>
              <w:bottom w:val="single" w:sz="8" w:color="auto"/>
            </w:tcBorders>
          </w:tcPr>
          <w:p>
            <w:pPr>
              <w:jc w:val="right"/>
              <w:ind w:right="22"/>
              <w:spacing w:after="0"/>
              <w:rPr>
                <w:sz w:val="20"/>
                <w:szCs w:val="20"/>
                <w:color w:val="auto"/>
              </w:rPr>
            </w:pPr>
            <w:r>
              <w:rPr>
                <w:rFonts w:ascii="Arial" w:cs="Arial" w:eastAsia="Arial" w:hAnsi="Arial"/>
                <w:sz w:val="16"/>
                <w:szCs w:val="16"/>
                <w:b w:val="1"/>
                <w:bCs w:val="1"/>
                <w:color w:val="auto"/>
              </w:rPr>
              <w:t>(336,902)</w:t>
            </w:r>
          </w:p>
        </w:tc>
        <w:tc>
          <w:tcPr>
            <w:tcW w:w="34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w:t>
            </w:r>
          </w:p>
        </w:tc>
        <w:tc>
          <w:tcPr>
            <w:tcW w:w="92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(170,963)</w:t>
            </w:r>
          </w:p>
        </w:tc>
        <w:tc>
          <w:tcPr>
            <w:tcW w:w="32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b w:val="1"/>
                <w:bCs w:val="1"/>
                <w:color w:val="auto"/>
              </w:rPr>
              <w:t>$</w:t>
            </w:r>
          </w:p>
        </w:tc>
        <w:tc>
          <w:tcPr>
            <w:tcW w:w="920" w:type="dxa"/>
            <w:vAlign w:val="bottom"/>
            <w:tcBorders>
              <w:bottom w:val="single" w:sz="8" w:color="auto"/>
            </w:tcBorders>
          </w:tcPr>
          <w:p>
            <w:pPr>
              <w:jc w:val="right"/>
              <w:ind w:right="82"/>
              <w:spacing w:after="0"/>
              <w:rPr>
                <w:sz w:val="20"/>
                <w:szCs w:val="20"/>
                <w:color w:val="auto"/>
              </w:rPr>
            </w:pPr>
            <w:r>
              <w:rPr>
                <w:rFonts w:ascii="Arial" w:cs="Arial" w:eastAsia="Arial" w:hAnsi="Arial"/>
                <w:sz w:val="16"/>
                <w:szCs w:val="16"/>
                <w:b w:val="1"/>
                <w:bCs w:val="1"/>
                <w:color w:val="auto"/>
              </w:rPr>
              <w:t>20,108</w:t>
            </w:r>
          </w:p>
        </w:tc>
        <w:tc>
          <w:tcPr>
            <w:tcW w:w="34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w:t>
            </w:r>
          </w:p>
        </w:tc>
        <w:tc>
          <w:tcPr>
            <w:tcW w:w="86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15,440</w:t>
            </w:r>
          </w:p>
        </w:tc>
      </w:tr>
      <w:tr>
        <w:trPr>
          <w:trHeight w:val="20"/>
        </w:trPr>
        <w:tc>
          <w:tcPr>
            <w:tcW w:w="65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spacing w:after="0"/>
        <w:rPr>
          <w:sz w:val="20"/>
          <w:szCs w:val="20"/>
          <w:color w:val="auto"/>
        </w:rPr>
      </w:pPr>
      <w:r>
        <w:rPr>
          <w:rFonts w:ascii="Arial" w:cs="Arial" w:eastAsia="Arial" w:hAnsi="Arial"/>
          <w:sz w:val="18"/>
          <w:szCs w:val="18"/>
          <w:color w:val="auto"/>
        </w:rPr>
        <w:t>During 2018, the Company expects to recognize the following amortization components of net periodic cost for the defined benefit plans:</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902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280" w:type="dxa"/>
            <w:vAlign w:val="bottom"/>
            <w:tcBorders>
              <w:bottom w:val="single" w:sz="8" w:color="auto"/>
            </w:tcBorders>
          </w:tcPr>
          <w:p>
            <w:pPr>
              <w:jc w:val="right"/>
              <w:ind w:right="3"/>
              <w:spacing w:after="0"/>
              <w:rPr>
                <w:sz w:val="20"/>
                <w:szCs w:val="20"/>
                <w:color w:val="auto"/>
              </w:rPr>
            </w:pPr>
            <w:r>
              <w:rPr>
                <w:rFonts w:ascii="Arial" w:cs="Arial" w:eastAsia="Arial" w:hAnsi="Arial"/>
                <w:sz w:val="14"/>
                <w:szCs w:val="14"/>
                <w:color w:val="auto"/>
              </w:rPr>
              <w:t>2018</w:t>
            </w:r>
          </w:p>
        </w:tc>
        <w:tc>
          <w:tcPr>
            <w:tcW w:w="22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spacing w:after="0"/>
              <w:rPr>
                <w:sz w:val="15"/>
                <w:szCs w:val="15"/>
                <w:color w:val="auto"/>
              </w:rPr>
            </w:pPr>
          </w:p>
        </w:tc>
      </w:tr>
      <w:tr>
        <w:trPr>
          <w:trHeight w:val="264"/>
        </w:trPr>
        <w:tc>
          <w:tcPr>
            <w:tcW w:w="902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(in thousands)</w:t>
            </w:r>
          </w:p>
        </w:tc>
        <w:tc>
          <w:tcPr>
            <w:tcW w:w="180" w:type="dxa"/>
            <w:vAlign w:val="bottom"/>
            <w:tcBorders>
              <w:bottom w:val="single" w:sz="8" w:color="auto"/>
            </w:tcBorders>
          </w:tcPr>
          <w:p>
            <w:pPr>
              <w:spacing w:after="0"/>
              <w:rPr>
                <w:sz w:val="22"/>
                <w:szCs w:val="22"/>
                <w:color w:val="auto"/>
              </w:rPr>
            </w:pPr>
          </w:p>
        </w:tc>
        <w:tc>
          <w:tcPr>
            <w:tcW w:w="1280" w:type="dxa"/>
            <w:vAlign w:val="bottom"/>
            <w:tcBorders>
              <w:bottom w:val="single" w:sz="8" w:color="auto"/>
            </w:tcBorders>
          </w:tcPr>
          <w:p>
            <w:pPr>
              <w:jc w:val="right"/>
              <w:ind w:right="223"/>
              <w:spacing w:after="0"/>
              <w:rPr>
                <w:sz w:val="20"/>
                <w:szCs w:val="20"/>
                <w:color w:val="auto"/>
              </w:rPr>
            </w:pPr>
            <w:r>
              <w:rPr>
                <w:rFonts w:ascii="Arial" w:cs="Arial" w:eastAsia="Arial" w:hAnsi="Arial"/>
                <w:sz w:val="14"/>
                <w:szCs w:val="14"/>
                <w:color w:val="auto"/>
              </w:rPr>
              <w:t>Pension Plans</w:t>
            </w:r>
          </w:p>
        </w:tc>
        <w:tc>
          <w:tcPr>
            <w:tcW w:w="220" w:type="dxa"/>
            <w:vAlign w:val="bottom"/>
            <w:tcBorders>
              <w:bottom w:val="single" w:sz="8" w:color="auto"/>
            </w:tcBorders>
          </w:tcPr>
          <w:p>
            <w:pPr>
              <w:spacing w:after="0"/>
              <w:rPr>
                <w:sz w:val="22"/>
                <w:szCs w:val="22"/>
                <w:color w:val="auto"/>
              </w:rPr>
            </w:pPr>
          </w:p>
        </w:tc>
        <w:tc>
          <w:tcPr>
            <w:tcW w:w="720" w:type="dxa"/>
            <w:vAlign w:val="bottom"/>
            <w:tcBorders>
              <w:bottom w:val="single" w:sz="8" w:color="auto"/>
            </w:tcBorders>
          </w:tcPr>
          <w:p>
            <w:pPr>
              <w:jc w:val="right"/>
              <w:ind w:right="182"/>
              <w:spacing w:after="0"/>
              <w:rPr>
                <w:sz w:val="20"/>
                <w:szCs w:val="20"/>
                <w:color w:val="auto"/>
              </w:rPr>
            </w:pPr>
            <w:r>
              <w:rPr>
                <w:rFonts w:ascii="Arial" w:cs="Arial" w:eastAsia="Arial" w:hAnsi="Arial"/>
                <w:sz w:val="14"/>
                <w:szCs w:val="14"/>
                <w:color w:val="auto"/>
              </w:rPr>
              <w:t>SERP</w:t>
            </w:r>
          </w:p>
        </w:tc>
      </w:tr>
      <w:tr>
        <w:trPr>
          <w:trHeight w:val="250"/>
        </w:trPr>
        <w:tc>
          <w:tcPr>
            <w:tcW w:w="9020" w:type="dxa"/>
            <w:vAlign w:val="bottom"/>
          </w:tcPr>
          <w:p>
            <w:pPr>
              <w:ind w:left="40"/>
              <w:spacing w:after="0"/>
              <w:rPr>
                <w:sz w:val="20"/>
                <w:szCs w:val="20"/>
                <w:color w:val="auto"/>
              </w:rPr>
            </w:pPr>
            <w:r>
              <w:rPr>
                <w:rFonts w:ascii="Arial" w:cs="Arial" w:eastAsia="Arial" w:hAnsi="Arial"/>
                <w:sz w:val="16"/>
                <w:szCs w:val="16"/>
                <w:color w:val="auto"/>
              </w:rPr>
              <w:t>Actuarial (gain) loss recognition</w:t>
            </w:r>
          </w:p>
        </w:tc>
        <w:tc>
          <w:tcPr>
            <w:tcW w:w="180" w:type="dxa"/>
            <w:vAlign w:val="bottom"/>
          </w:tcPr>
          <w:p>
            <w:pPr>
              <w:jc w:val="right"/>
              <w:spacing w:after="0"/>
              <w:rPr>
                <w:sz w:val="20"/>
                <w:szCs w:val="20"/>
                <w:color w:val="auto"/>
              </w:rPr>
            </w:pPr>
            <w:r>
              <w:rPr>
                <w:rFonts w:ascii="Arial" w:cs="Arial" w:eastAsia="Arial" w:hAnsi="Arial"/>
                <w:sz w:val="16"/>
                <w:szCs w:val="16"/>
                <w:color w:val="auto"/>
              </w:rPr>
              <w:t>$</w:t>
            </w:r>
          </w:p>
        </w:tc>
        <w:tc>
          <w:tcPr>
            <w:tcW w:w="1280" w:type="dxa"/>
            <w:vAlign w:val="bottom"/>
          </w:tcPr>
          <w:p>
            <w:pPr>
              <w:jc w:val="right"/>
              <w:ind w:right="43"/>
              <w:spacing w:after="0"/>
              <w:rPr>
                <w:sz w:val="20"/>
                <w:szCs w:val="20"/>
                <w:color w:val="auto"/>
              </w:rPr>
            </w:pPr>
            <w:r>
              <w:rPr>
                <w:rFonts w:ascii="Arial" w:cs="Arial" w:eastAsia="Arial" w:hAnsi="Arial"/>
                <w:sz w:val="16"/>
                <w:szCs w:val="16"/>
                <w:color w:val="auto"/>
              </w:rPr>
              <w:t>(4,236)</w:t>
            </w:r>
          </w:p>
        </w:tc>
        <w:tc>
          <w:tcPr>
            <w:tcW w:w="220" w:type="dxa"/>
            <w:vAlign w:val="bottom"/>
          </w:tcPr>
          <w:p>
            <w:pPr>
              <w:jc w:val="right"/>
              <w:spacing w:after="0"/>
              <w:rPr>
                <w:sz w:val="20"/>
                <w:szCs w:val="20"/>
                <w:color w:val="auto"/>
              </w:rPr>
            </w:pPr>
            <w:r>
              <w:rPr>
                <w:rFonts w:ascii="Arial" w:cs="Arial" w:eastAsia="Arial" w:hAnsi="Arial"/>
                <w:sz w:val="16"/>
                <w:szCs w:val="16"/>
                <w:color w:val="auto"/>
              </w:rPr>
              <w:t>$</w:t>
            </w:r>
          </w:p>
        </w:tc>
        <w:tc>
          <w:tcPr>
            <w:tcW w:w="720" w:type="dxa"/>
            <w:vAlign w:val="bottom"/>
          </w:tcPr>
          <w:p>
            <w:pPr>
              <w:jc w:val="right"/>
              <w:ind w:right="22"/>
              <w:spacing w:after="0"/>
              <w:rPr>
                <w:sz w:val="20"/>
                <w:szCs w:val="20"/>
                <w:color w:val="auto"/>
              </w:rPr>
            </w:pPr>
            <w:r>
              <w:rPr>
                <w:rFonts w:ascii="Arial" w:cs="Arial" w:eastAsia="Arial" w:hAnsi="Arial"/>
                <w:sz w:val="16"/>
                <w:szCs w:val="16"/>
                <w:color w:val="auto"/>
              </w:rPr>
              <w:t>2,217</w:t>
            </w:r>
          </w:p>
        </w:tc>
      </w:tr>
      <w:tr>
        <w:trPr>
          <w:trHeight w:val="270"/>
        </w:trPr>
        <w:tc>
          <w:tcPr>
            <w:tcW w:w="9020" w:type="dxa"/>
            <w:vAlign w:val="bottom"/>
          </w:tcPr>
          <w:p>
            <w:pPr>
              <w:ind w:left="40"/>
              <w:spacing w:after="0"/>
              <w:rPr>
                <w:sz w:val="20"/>
                <w:szCs w:val="20"/>
                <w:color w:val="auto"/>
              </w:rPr>
            </w:pPr>
            <w:r>
              <w:rPr>
                <w:rFonts w:ascii="Arial" w:cs="Arial" w:eastAsia="Arial" w:hAnsi="Arial"/>
                <w:sz w:val="16"/>
                <w:szCs w:val="16"/>
                <w:color w:val="auto"/>
              </w:rPr>
              <w:t>Prior service cost recognition</w:t>
            </w:r>
          </w:p>
        </w:tc>
        <w:tc>
          <w:tcPr>
            <w:tcW w:w="180" w:type="dxa"/>
            <w:vAlign w:val="bottom"/>
          </w:tcPr>
          <w:p>
            <w:pPr>
              <w:jc w:val="right"/>
              <w:spacing w:after="0"/>
              <w:rPr>
                <w:sz w:val="20"/>
                <w:szCs w:val="20"/>
                <w:color w:val="auto"/>
              </w:rPr>
            </w:pPr>
            <w:r>
              <w:rPr>
                <w:rFonts w:ascii="Arial" w:cs="Arial" w:eastAsia="Arial" w:hAnsi="Arial"/>
                <w:sz w:val="16"/>
                <w:szCs w:val="16"/>
                <w:color w:val="auto"/>
              </w:rPr>
              <w:t>$</w:t>
            </w:r>
          </w:p>
        </w:tc>
        <w:tc>
          <w:tcPr>
            <w:tcW w:w="1280" w:type="dxa"/>
            <w:vAlign w:val="bottom"/>
          </w:tcPr>
          <w:p>
            <w:pPr>
              <w:jc w:val="right"/>
              <w:ind w:right="103"/>
              <w:spacing w:after="0"/>
              <w:rPr>
                <w:sz w:val="20"/>
                <w:szCs w:val="20"/>
                <w:color w:val="auto"/>
              </w:rPr>
            </w:pPr>
            <w:r>
              <w:rPr>
                <w:rFonts w:ascii="Arial" w:cs="Arial" w:eastAsia="Arial" w:hAnsi="Arial"/>
                <w:sz w:val="16"/>
                <w:szCs w:val="16"/>
                <w:color w:val="auto"/>
              </w:rPr>
              <w:t>148</w:t>
            </w:r>
          </w:p>
        </w:tc>
        <w:tc>
          <w:tcPr>
            <w:tcW w:w="220" w:type="dxa"/>
            <w:vAlign w:val="bottom"/>
          </w:tcPr>
          <w:p>
            <w:pPr>
              <w:jc w:val="right"/>
              <w:spacing w:after="0"/>
              <w:rPr>
                <w:sz w:val="20"/>
                <w:szCs w:val="20"/>
                <w:color w:val="auto"/>
              </w:rPr>
            </w:pPr>
            <w:r>
              <w:rPr>
                <w:rFonts w:ascii="Arial" w:cs="Arial" w:eastAsia="Arial" w:hAnsi="Arial"/>
                <w:sz w:val="16"/>
                <w:szCs w:val="16"/>
                <w:color w:val="auto"/>
              </w:rPr>
              <w:t>$</w:t>
            </w:r>
          </w:p>
        </w:tc>
        <w:tc>
          <w:tcPr>
            <w:tcW w:w="720" w:type="dxa"/>
            <w:vAlign w:val="bottom"/>
          </w:tcPr>
          <w:p>
            <w:pPr>
              <w:jc w:val="right"/>
              <w:ind w:right="22"/>
              <w:spacing w:after="0"/>
              <w:rPr>
                <w:sz w:val="20"/>
                <w:szCs w:val="20"/>
                <w:color w:val="auto"/>
              </w:rPr>
            </w:pPr>
            <w:r>
              <w:rPr>
                <w:rFonts w:ascii="Arial" w:cs="Arial" w:eastAsia="Arial" w:hAnsi="Arial"/>
                <w:sz w:val="16"/>
                <w:szCs w:val="16"/>
                <w:color w:val="auto"/>
              </w:rPr>
              <w:t>311</w:t>
            </w:r>
          </w:p>
        </w:tc>
      </w:tr>
    </w:tbl>
    <w:p>
      <w:pPr>
        <w:spacing w:after="0" w:line="145" w:lineRule="exact"/>
        <w:rPr>
          <w:sz w:val="20"/>
          <w:szCs w:val="20"/>
          <w:color w:val="auto"/>
        </w:rPr>
      </w:pPr>
    </w:p>
    <w:p>
      <w:pPr>
        <w:ind w:right="340"/>
        <w:spacing w:after="0" w:line="238" w:lineRule="auto"/>
        <w:rPr>
          <w:sz w:val="20"/>
          <w:szCs w:val="20"/>
          <w:color w:val="auto"/>
        </w:rPr>
      </w:pPr>
      <w:r>
        <w:rPr>
          <w:rFonts w:ascii="Arial" w:cs="Arial" w:eastAsia="Arial" w:hAnsi="Arial"/>
          <w:sz w:val="18"/>
          <w:szCs w:val="18"/>
          <w:b w:val="1"/>
          <w:bCs w:val="1"/>
          <w:color w:val="auto"/>
        </w:rPr>
        <w:t xml:space="preserve">Defined Benefit Plan Assets. </w:t>
      </w:r>
      <w:r>
        <w:rPr>
          <w:rFonts w:ascii="Arial" w:cs="Arial" w:eastAsia="Arial" w:hAnsi="Arial"/>
          <w:sz w:val="18"/>
          <w:szCs w:val="18"/>
          <w:color w:val="auto"/>
        </w:rPr>
        <w:t>The Company’s defined benefit pension obligations are funded by a portfolio made up of a U.S. stock index</w:t>
      </w:r>
      <w:r>
        <w:rPr>
          <w:rFonts w:ascii="Arial" w:cs="Arial" w:eastAsia="Arial" w:hAnsi="Arial"/>
          <w:sz w:val="18"/>
          <w:szCs w:val="18"/>
          <w:b w:val="1"/>
          <w:bCs w:val="1"/>
          <w:color w:val="auto"/>
        </w:rPr>
        <w:t xml:space="preserve"> </w:t>
      </w:r>
      <w:r>
        <w:rPr>
          <w:rFonts w:ascii="Arial" w:cs="Arial" w:eastAsia="Arial" w:hAnsi="Arial"/>
          <w:sz w:val="18"/>
          <w:szCs w:val="18"/>
          <w:color w:val="auto"/>
        </w:rPr>
        <w:t>fund, a relatively small number of stocks and high-quality fixed-income securities that are held by a third-party trustee. The assets of the Company’s pension plans were allocated as follows:</w:t>
      </w:r>
    </w:p>
    <w:p>
      <w:pPr>
        <w:spacing w:after="0" w:line="191"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9360" w:type="dxa"/>
            <w:vAlign w:val="bottom"/>
          </w:tcPr>
          <w:p>
            <w:pPr>
              <w:spacing w:after="0"/>
              <w:rPr>
                <w:sz w:val="17"/>
                <w:szCs w:val="17"/>
                <w:color w:val="auto"/>
              </w:rPr>
            </w:pPr>
          </w:p>
        </w:tc>
        <w:tc>
          <w:tcPr>
            <w:tcW w:w="2060" w:type="dxa"/>
            <w:vAlign w:val="bottom"/>
            <w:tcBorders>
              <w:bottom w:val="single" w:sz="8" w:color="auto"/>
            </w:tcBorders>
            <w:gridSpan w:val="2"/>
          </w:tcPr>
          <w:p>
            <w:pPr>
              <w:jc w:val="right"/>
              <w:ind w:right="280"/>
              <w:spacing w:after="0"/>
              <w:rPr>
                <w:sz w:val="20"/>
                <w:szCs w:val="20"/>
                <w:color w:val="auto"/>
              </w:rPr>
            </w:pPr>
            <w:r>
              <w:rPr>
                <w:rFonts w:ascii="Arial" w:cs="Arial" w:eastAsia="Arial" w:hAnsi="Arial"/>
                <w:sz w:val="14"/>
                <w:szCs w:val="14"/>
                <w:b w:val="1"/>
                <w:bCs w:val="1"/>
                <w:color w:val="auto"/>
              </w:rPr>
              <w:t>As of December 31</w:t>
            </w:r>
          </w:p>
        </w:tc>
      </w:tr>
      <w:tr>
        <w:trPr>
          <w:trHeight w:val="264"/>
        </w:trPr>
        <w:tc>
          <w:tcPr>
            <w:tcW w:w="9360" w:type="dxa"/>
            <w:vAlign w:val="bottom"/>
            <w:tcBorders>
              <w:bottom w:val="single" w:sz="8" w:color="auto"/>
            </w:tcBorders>
          </w:tcPr>
          <w:p>
            <w:pPr>
              <w:spacing w:after="0"/>
              <w:rPr>
                <w:sz w:val="22"/>
                <w:szCs w:val="22"/>
                <w:color w:val="auto"/>
              </w:rPr>
            </w:pPr>
          </w:p>
        </w:tc>
        <w:tc>
          <w:tcPr>
            <w:tcW w:w="1180" w:type="dxa"/>
            <w:vAlign w:val="bottom"/>
            <w:tcBorders>
              <w:bottom w:val="single" w:sz="8" w:color="auto"/>
            </w:tcBorders>
          </w:tcPr>
          <w:p>
            <w:pPr>
              <w:jc w:val="right"/>
              <w:ind w:right="442"/>
              <w:spacing w:after="0"/>
              <w:rPr>
                <w:sz w:val="20"/>
                <w:szCs w:val="20"/>
                <w:color w:val="auto"/>
              </w:rPr>
            </w:pPr>
            <w:r>
              <w:rPr>
                <w:rFonts w:ascii="Arial" w:cs="Arial" w:eastAsia="Arial" w:hAnsi="Arial"/>
                <w:sz w:val="14"/>
                <w:szCs w:val="14"/>
                <w:b w:val="1"/>
                <w:bCs w:val="1"/>
                <w:color w:val="auto"/>
              </w:rPr>
              <w:t>2017</w:t>
            </w:r>
          </w:p>
        </w:tc>
        <w:tc>
          <w:tcPr>
            <w:tcW w:w="880" w:type="dxa"/>
            <w:vAlign w:val="bottom"/>
            <w:tcBorders>
              <w:bottom w:val="single" w:sz="8" w:color="auto"/>
            </w:tcBorders>
          </w:tcPr>
          <w:p>
            <w:pPr>
              <w:jc w:val="right"/>
              <w:ind w:right="240"/>
              <w:spacing w:after="0"/>
              <w:rPr>
                <w:sz w:val="20"/>
                <w:szCs w:val="20"/>
                <w:color w:val="auto"/>
              </w:rPr>
            </w:pPr>
            <w:r>
              <w:rPr>
                <w:rFonts w:ascii="Arial" w:cs="Arial" w:eastAsia="Arial" w:hAnsi="Arial"/>
                <w:sz w:val="14"/>
                <w:szCs w:val="14"/>
                <w:color w:val="auto"/>
              </w:rPr>
              <w:t>2016</w:t>
            </w:r>
          </w:p>
        </w:tc>
      </w:tr>
      <w:tr>
        <w:trPr>
          <w:trHeight w:val="250"/>
        </w:trPr>
        <w:tc>
          <w:tcPr>
            <w:tcW w:w="9360" w:type="dxa"/>
            <w:vAlign w:val="bottom"/>
          </w:tcPr>
          <w:p>
            <w:pPr>
              <w:ind w:left="40"/>
              <w:spacing w:after="0"/>
              <w:rPr>
                <w:sz w:val="20"/>
                <w:szCs w:val="20"/>
                <w:color w:val="auto"/>
              </w:rPr>
            </w:pPr>
            <w:r>
              <w:rPr>
                <w:rFonts w:ascii="Arial" w:cs="Arial" w:eastAsia="Arial" w:hAnsi="Arial"/>
                <w:sz w:val="16"/>
                <w:szCs w:val="16"/>
                <w:color w:val="auto"/>
              </w:rPr>
              <w:t>U.S. equities</w:t>
            </w:r>
          </w:p>
        </w:tc>
        <w:tc>
          <w:tcPr>
            <w:tcW w:w="1180" w:type="dxa"/>
            <w:vAlign w:val="bottom"/>
          </w:tcPr>
          <w:p>
            <w:pPr>
              <w:jc w:val="right"/>
              <w:ind w:right="162"/>
              <w:spacing w:after="0"/>
              <w:rPr>
                <w:sz w:val="20"/>
                <w:szCs w:val="20"/>
                <w:color w:val="auto"/>
              </w:rPr>
            </w:pPr>
            <w:r>
              <w:rPr>
                <w:rFonts w:ascii="Arial" w:cs="Arial" w:eastAsia="Arial" w:hAnsi="Arial"/>
                <w:sz w:val="16"/>
                <w:szCs w:val="16"/>
                <w:b w:val="1"/>
                <w:bCs w:val="1"/>
                <w:color w:val="auto"/>
              </w:rPr>
              <w:t>53%</w:t>
            </w:r>
          </w:p>
        </w:tc>
        <w:tc>
          <w:tcPr>
            <w:tcW w:w="880" w:type="dxa"/>
            <w:vAlign w:val="bottom"/>
          </w:tcPr>
          <w:p>
            <w:pPr>
              <w:jc w:val="right"/>
              <w:spacing w:after="0"/>
              <w:rPr>
                <w:sz w:val="20"/>
                <w:szCs w:val="20"/>
                <w:color w:val="auto"/>
              </w:rPr>
            </w:pPr>
            <w:r>
              <w:rPr>
                <w:rFonts w:ascii="Arial" w:cs="Arial" w:eastAsia="Arial" w:hAnsi="Arial"/>
                <w:sz w:val="16"/>
                <w:szCs w:val="16"/>
                <w:color w:val="auto"/>
              </w:rPr>
              <w:t>53%</w:t>
            </w:r>
          </w:p>
        </w:tc>
      </w:tr>
      <w:tr>
        <w:trPr>
          <w:trHeight w:val="270"/>
        </w:trPr>
        <w:tc>
          <w:tcPr>
            <w:tcW w:w="9360" w:type="dxa"/>
            <w:vAlign w:val="bottom"/>
          </w:tcPr>
          <w:p>
            <w:pPr>
              <w:ind w:left="40"/>
              <w:spacing w:after="0"/>
              <w:rPr>
                <w:sz w:val="20"/>
                <w:szCs w:val="20"/>
                <w:color w:val="auto"/>
              </w:rPr>
            </w:pPr>
            <w:r>
              <w:rPr>
                <w:rFonts w:ascii="Arial" w:cs="Arial" w:eastAsia="Arial" w:hAnsi="Arial"/>
                <w:sz w:val="16"/>
                <w:szCs w:val="16"/>
                <w:color w:val="auto"/>
              </w:rPr>
              <w:t>U.S. stock index fund</w:t>
            </w:r>
          </w:p>
        </w:tc>
        <w:tc>
          <w:tcPr>
            <w:tcW w:w="1180" w:type="dxa"/>
            <w:vAlign w:val="bottom"/>
          </w:tcPr>
          <w:p>
            <w:pPr>
              <w:jc w:val="right"/>
              <w:ind w:right="162"/>
              <w:spacing w:after="0"/>
              <w:rPr>
                <w:sz w:val="20"/>
                <w:szCs w:val="20"/>
                <w:color w:val="auto"/>
              </w:rPr>
            </w:pPr>
            <w:r>
              <w:rPr>
                <w:rFonts w:ascii="Arial" w:cs="Arial" w:eastAsia="Arial" w:hAnsi="Arial"/>
                <w:sz w:val="16"/>
                <w:szCs w:val="16"/>
                <w:b w:val="1"/>
                <w:bCs w:val="1"/>
                <w:color w:val="auto"/>
              </w:rPr>
              <w:t>30%</w:t>
            </w:r>
          </w:p>
        </w:tc>
        <w:tc>
          <w:tcPr>
            <w:tcW w:w="880" w:type="dxa"/>
            <w:vAlign w:val="bottom"/>
          </w:tcPr>
          <w:p>
            <w:pPr>
              <w:jc w:val="right"/>
              <w:spacing w:after="0"/>
              <w:rPr>
                <w:sz w:val="20"/>
                <w:szCs w:val="20"/>
                <w:color w:val="auto"/>
              </w:rPr>
            </w:pPr>
            <w:r>
              <w:rPr>
                <w:rFonts w:ascii="Arial" w:cs="Arial" w:eastAsia="Arial" w:hAnsi="Arial"/>
                <w:sz w:val="16"/>
                <w:szCs w:val="16"/>
                <w:color w:val="auto"/>
              </w:rPr>
              <w:t>30%</w:t>
            </w:r>
          </w:p>
        </w:tc>
      </w:tr>
      <w:tr>
        <w:trPr>
          <w:trHeight w:val="270"/>
        </w:trPr>
        <w:tc>
          <w:tcPr>
            <w:tcW w:w="9360" w:type="dxa"/>
            <w:vAlign w:val="bottom"/>
          </w:tcPr>
          <w:p>
            <w:pPr>
              <w:ind w:left="40"/>
              <w:spacing w:after="0"/>
              <w:rPr>
                <w:sz w:val="20"/>
                <w:szCs w:val="20"/>
                <w:color w:val="auto"/>
              </w:rPr>
            </w:pPr>
            <w:r>
              <w:rPr>
                <w:rFonts w:ascii="Arial" w:cs="Arial" w:eastAsia="Arial" w:hAnsi="Arial"/>
                <w:sz w:val="16"/>
                <w:szCs w:val="16"/>
                <w:color w:val="auto"/>
              </w:rPr>
              <w:t>U.S. fixed income</w:t>
            </w:r>
          </w:p>
        </w:tc>
        <w:tc>
          <w:tcPr>
            <w:tcW w:w="1180" w:type="dxa"/>
            <w:vAlign w:val="bottom"/>
          </w:tcPr>
          <w:p>
            <w:pPr>
              <w:jc w:val="right"/>
              <w:ind w:right="162"/>
              <w:spacing w:after="0"/>
              <w:rPr>
                <w:sz w:val="20"/>
                <w:szCs w:val="20"/>
                <w:color w:val="auto"/>
              </w:rPr>
            </w:pPr>
            <w:r>
              <w:rPr>
                <w:rFonts w:ascii="Arial" w:cs="Arial" w:eastAsia="Arial" w:hAnsi="Arial"/>
                <w:sz w:val="16"/>
                <w:szCs w:val="16"/>
                <w:b w:val="1"/>
                <w:bCs w:val="1"/>
                <w:color w:val="auto"/>
              </w:rPr>
              <w:t>11%</w:t>
            </w:r>
          </w:p>
        </w:tc>
        <w:tc>
          <w:tcPr>
            <w:tcW w:w="880" w:type="dxa"/>
            <w:vAlign w:val="bottom"/>
          </w:tcPr>
          <w:p>
            <w:pPr>
              <w:jc w:val="right"/>
              <w:spacing w:after="0"/>
              <w:rPr>
                <w:sz w:val="20"/>
                <w:szCs w:val="20"/>
                <w:color w:val="auto"/>
              </w:rPr>
            </w:pPr>
            <w:r>
              <w:rPr>
                <w:rFonts w:ascii="Arial" w:cs="Arial" w:eastAsia="Arial" w:hAnsi="Arial"/>
                <w:sz w:val="16"/>
                <w:szCs w:val="16"/>
                <w:color w:val="auto"/>
              </w:rPr>
              <w:t>11%</w:t>
            </w:r>
          </w:p>
        </w:tc>
      </w:tr>
      <w:tr>
        <w:trPr>
          <w:trHeight w:val="283"/>
        </w:trPr>
        <w:tc>
          <w:tcPr>
            <w:tcW w:w="9360" w:type="dxa"/>
            <w:vAlign w:val="bottom"/>
          </w:tcPr>
          <w:p>
            <w:pPr>
              <w:ind w:left="40"/>
              <w:spacing w:after="0"/>
              <w:rPr>
                <w:sz w:val="20"/>
                <w:szCs w:val="20"/>
                <w:color w:val="auto"/>
              </w:rPr>
            </w:pPr>
            <w:r>
              <w:rPr>
                <w:rFonts w:ascii="Arial" w:cs="Arial" w:eastAsia="Arial" w:hAnsi="Arial"/>
                <w:sz w:val="16"/>
                <w:szCs w:val="16"/>
                <w:color w:val="auto"/>
              </w:rPr>
              <w:t>International equities</w:t>
            </w:r>
          </w:p>
        </w:tc>
        <w:tc>
          <w:tcPr>
            <w:tcW w:w="1180" w:type="dxa"/>
            <w:vAlign w:val="bottom"/>
            <w:tcBorders>
              <w:bottom w:val="single" w:sz="8" w:color="auto"/>
            </w:tcBorders>
          </w:tcPr>
          <w:p>
            <w:pPr>
              <w:jc w:val="right"/>
              <w:ind w:right="162"/>
              <w:spacing w:after="0"/>
              <w:rPr>
                <w:sz w:val="20"/>
                <w:szCs w:val="20"/>
                <w:color w:val="auto"/>
              </w:rPr>
            </w:pPr>
            <w:r>
              <w:rPr>
                <w:rFonts w:ascii="Arial" w:cs="Arial" w:eastAsia="Arial" w:hAnsi="Arial"/>
                <w:sz w:val="16"/>
                <w:szCs w:val="16"/>
                <w:b w:val="1"/>
                <w:bCs w:val="1"/>
                <w:color w:val="auto"/>
              </w:rPr>
              <w:t>6%</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w:t>
            </w:r>
          </w:p>
        </w:tc>
      </w:tr>
      <w:tr>
        <w:trPr>
          <w:trHeight w:val="264"/>
        </w:trPr>
        <w:tc>
          <w:tcPr>
            <w:tcW w:w="9360" w:type="dxa"/>
            <w:vAlign w:val="bottom"/>
          </w:tcPr>
          <w:p>
            <w:pPr>
              <w:spacing w:after="0"/>
              <w:rPr>
                <w:sz w:val="22"/>
                <w:szCs w:val="22"/>
                <w:color w:val="auto"/>
              </w:rPr>
            </w:pPr>
          </w:p>
        </w:tc>
        <w:tc>
          <w:tcPr>
            <w:tcW w:w="1180" w:type="dxa"/>
            <w:vAlign w:val="bottom"/>
            <w:tcBorders>
              <w:bottom w:val="single" w:sz="8" w:color="auto"/>
            </w:tcBorders>
          </w:tcPr>
          <w:p>
            <w:pPr>
              <w:jc w:val="right"/>
              <w:ind w:right="162"/>
              <w:spacing w:after="0"/>
              <w:rPr>
                <w:sz w:val="20"/>
                <w:szCs w:val="20"/>
                <w:color w:val="auto"/>
              </w:rPr>
            </w:pPr>
            <w:r>
              <w:rPr>
                <w:rFonts w:ascii="Arial" w:cs="Arial" w:eastAsia="Arial" w:hAnsi="Arial"/>
                <w:sz w:val="16"/>
                <w:szCs w:val="16"/>
                <w:b w:val="1"/>
                <w:bCs w:val="1"/>
                <w:color w:val="auto"/>
              </w:rPr>
              <w:t>100%</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100%</w:t>
            </w:r>
          </w:p>
        </w:tc>
      </w:tr>
      <w:tr>
        <w:trPr>
          <w:trHeight w:val="20"/>
        </w:trPr>
        <w:tc>
          <w:tcPr>
            <w:tcW w:w="9360" w:type="dxa"/>
            <w:vAlign w:val="bottom"/>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spacing w:after="0" w:line="222" w:lineRule="auto"/>
        <w:rPr>
          <w:sz w:val="20"/>
          <w:szCs w:val="20"/>
          <w:color w:val="auto"/>
        </w:rPr>
      </w:pPr>
      <w:r>
        <w:rPr>
          <w:rFonts w:ascii="Arial" w:cs="Arial" w:eastAsia="Arial" w:hAnsi="Arial"/>
          <w:sz w:val="18"/>
          <w:szCs w:val="18"/>
          <w:color w:val="auto"/>
        </w:rPr>
        <w:t>The Company manages approximately 45% of the pension assets internally, of which the majority is invested in a U.S. stock index fund with the remaining investments in Berkshire Hathaway stock and short-term fixed-income securities. The remaining 55% of plan assets are managed by two investment companies. The goal of the investment managers is to produce moderate long-term growth in the value of these assets, while protecting them against large decreases in value. Both investment managers may invest in a combination of equity and fixed-income securities and cash. The managers are not permitted to invest in securities of the Company or in alternative investments. The investment managers cannot invest more than 20% of the assets at the time of purchase in the stock of Berkshire Hathaway or more than 10% of the assets in the securities of any other single issuer, except for obligations of the U.S. Government, without receiving prior approval from the Plan administrator. As of December 31, 2017, the investment managers can invest no more than 23% of the assets they manage in specified international exchanges, at the time the investment is made, and no less than 10% of the assets could be invested in fixed-income securities.</w:t>
      </w:r>
    </w:p>
    <w:p>
      <w:pPr>
        <w:sectPr>
          <w:pgSz w:w="11900" w:h="16838" w:orient="portrait"/>
          <w:cols w:equalWidth="0" w:num="1">
            <w:col w:w="11420"/>
          </w:cols>
          <w:pgMar w:left="240" w:top="746" w:right="239" w:bottom="1440" w:gutter="0" w:footer="0" w:header="0"/>
        </w:sectPr>
      </w:pPr>
    </w:p>
    <w:p>
      <w:pPr>
        <w:spacing w:after="0" w:line="200" w:lineRule="exact"/>
        <w:rPr>
          <w:sz w:val="20"/>
          <w:szCs w:val="20"/>
          <w:color w:val="auto"/>
        </w:rPr>
      </w:pPr>
    </w:p>
    <w:p>
      <w:pPr>
        <w:spacing w:after="0" w:line="30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106</w:t>
      </w:r>
    </w:p>
    <w:p>
      <w:pPr>
        <w:sectPr>
          <w:pgSz w:w="11900" w:h="16838" w:orient="portrait"/>
          <w:cols w:equalWidth="0" w:num="1">
            <w:col w:w="11420"/>
          </w:cols>
          <w:pgMar w:left="240" w:top="746" w:right="239" w:bottom="1440" w:gutter="0" w:footer="0" w:header="0"/>
          <w:type w:val="continuous"/>
        </w:sectPr>
      </w:pPr>
    </w:p>
    <w:bookmarkStart w:id="110" w:name="page111"/>
    <w:bookmarkEnd w:id="110"/>
    <w:p>
      <w:pPr>
        <w:ind w:right="720"/>
        <w:spacing w:after="0" w:line="229" w:lineRule="auto"/>
        <w:rPr>
          <w:sz w:val="20"/>
          <w:szCs w:val="20"/>
          <w:color w:val="auto"/>
        </w:rPr>
      </w:pPr>
      <w:r>
        <w:rPr>
          <w:rFonts w:ascii="Arial" w:cs="Arial" w:eastAsia="Arial" w:hAnsi="Arial"/>
          <w:sz w:val="18"/>
          <w:szCs w:val="18"/>
          <w:color w:val="auto"/>
        </w:rPr>
        <w:t>In determining the expected rate of return on plan assets, the Company considers the relative weighting of plan assets, the historical performance of total plan assets and individual asset classes and economic and other indicators of future performance. In addition, the Company may consult with and consider the input of financial and other professionals in developing appropriate return benchmarks.</w:t>
      </w:r>
    </w:p>
    <w:p>
      <w:pPr>
        <w:spacing w:after="0" w:line="137" w:lineRule="exact"/>
        <w:rPr>
          <w:sz w:val="20"/>
          <w:szCs w:val="20"/>
          <w:color w:val="auto"/>
        </w:rPr>
      </w:pPr>
    </w:p>
    <w:p>
      <w:pPr>
        <w:ind w:right="120"/>
        <w:spacing w:after="0" w:line="224" w:lineRule="auto"/>
        <w:rPr>
          <w:sz w:val="20"/>
          <w:szCs w:val="20"/>
          <w:color w:val="auto"/>
        </w:rPr>
      </w:pPr>
      <w:r>
        <w:rPr>
          <w:rFonts w:ascii="Arial" w:cs="Arial" w:eastAsia="Arial" w:hAnsi="Arial"/>
          <w:sz w:val="18"/>
          <w:szCs w:val="18"/>
          <w:color w:val="auto"/>
        </w:rPr>
        <w:t>The Company evaluated its defined benefit pension plan asset portfolio for the existence of significant concentrations (defined as greater than 10% of plan assets) of credit risk as of December 31, 2017. Types of concentrations that were evaluated include, but are not limited to, investment concentrations in a single entity, type of industry, foreign country and individual fund. At December 31, 2017 and 2016, the pension plan held investments in one common stock and one U.S. stock index fund that exceeded 10% of total plan assets. These investments were valued at $1,079.3 million and $978.8 million at December 31, 2017 and 2016, respectively, or approximately 46% and 48%, respectively, of total plan assets.</w:t>
      </w:r>
    </w:p>
    <w:p>
      <w:pPr>
        <w:spacing w:after="0" w:line="137" w:lineRule="exact"/>
        <w:rPr>
          <w:sz w:val="20"/>
          <w:szCs w:val="20"/>
          <w:color w:val="auto"/>
        </w:rPr>
      </w:pPr>
    </w:p>
    <w:p>
      <w:pPr>
        <w:spacing w:after="0"/>
        <w:rPr>
          <w:sz w:val="20"/>
          <w:szCs w:val="20"/>
          <w:color w:val="auto"/>
        </w:rPr>
      </w:pPr>
      <w:r>
        <w:rPr>
          <w:rFonts w:ascii="Arial" w:cs="Arial" w:eastAsia="Arial" w:hAnsi="Arial"/>
          <w:sz w:val="18"/>
          <w:szCs w:val="18"/>
          <w:color w:val="auto"/>
        </w:rPr>
        <w:t>The Company’s pension plan assets measured at fair value on a recurring basis were as follows:</w:t>
      </w:r>
    </w:p>
    <w:p>
      <w:pPr>
        <w:spacing w:after="0" w:line="199"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628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2260" w:type="dxa"/>
            <w:vAlign w:val="bottom"/>
            <w:tcBorders>
              <w:bottom w:val="single" w:sz="8" w:color="auto"/>
            </w:tcBorders>
            <w:gridSpan w:val="3"/>
          </w:tcPr>
          <w:p>
            <w:pPr>
              <w:jc w:val="right"/>
              <w:ind w:right="360"/>
              <w:spacing w:after="0"/>
              <w:rPr>
                <w:sz w:val="20"/>
                <w:szCs w:val="20"/>
                <w:color w:val="auto"/>
              </w:rPr>
            </w:pPr>
            <w:r>
              <w:rPr>
                <w:rFonts w:ascii="Arial" w:cs="Arial" w:eastAsia="Arial" w:hAnsi="Arial"/>
                <w:sz w:val="14"/>
                <w:szCs w:val="14"/>
                <w:b w:val="1"/>
                <w:bCs w:val="1"/>
                <w:color w:val="auto"/>
              </w:rPr>
              <w:t>As of December 31, 2017</w:t>
            </w:r>
          </w:p>
        </w:tc>
        <w:tc>
          <w:tcPr>
            <w:tcW w:w="28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64"/>
        </w:trPr>
        <w:tc>
          <w:tcPr>
            <w:tcW w:w="628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(in thousands)</w:t>
            </w:r>
          </w:p>
        </w:tc>
        <w:tc>
          <w:tcPr>
            <w:tcW w:w="26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ind w:right="340"/>
              <w:spacing w:after="0"/>
              <w:rPr>
                <w:sz w:val="20"/>
                <w:szCs w:val="20"/>
                <w:color w:val="auto"/>
              </w:rPr>
            </w:pPr>
            <w:r>
              <w:rPr>
                <w:rFonts w:ascii="Arial" w:cs="Arial" w:eastAsia="Arial" w:hAnsi="Arial"/>
                <w:sz w:val="14"/>
                <w:szCs w:val="14"/>
                <w:b w:val="1"/>
                <w:bCs w:val="1"/>
                <w:color w:val="auto"/>
              </w:rPr>
              <w:t>Level 1</w:t>
            </w:r>
          </w:p>
        </w:tc>
        <w:tc>
          <w:tcPr>
            <w:tcW w:w="32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ind w:left="140"/>
              <w:spacing w:after="0"/>
              <w:rPr>
                <w:sz w:val="20"/>
                <w:szCs w:val="20"/>
                <w:color w:val="auto"/>
              </w:rPr>
            </w:pPr>
            <w:r>
              <w:rPr>
                <w:rFonts w:ascii="Arial" w:cs="Arial" w:eastAsia="Arial" w:hAnsi="Arial"/>
                <w:sz w:val="14"/>
                <w:szCs w:val="14"/>
                <w:b w:val="1"/>
                <w:bCs w:val="1"/>
                <w:color w:val="auto"/>
              </w:rPr>
              <w:t>Level 2</w:t>
            </w:r>
          </w:p>
        </w:tc>
        <w:tc>
          <w:tcPr>
            <w:tcW w:w="28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right"/>
              <w:ind w:right="300"/>
              <w:spacing w:after="0"/>
              <w:rPr>
                <w:sz w:val="20"/>
                <w:szCs w:val="20"/>
                <w:color w:val="auto"/>
              </w:rPr>
            </w:pPr>
            <w:r>
              <w:rPr>
                <w:rFonts w:ascii="Arial" w:cs="Arial" w:eastAsia="Arial" w:hAnsi="Arial"/>
                <w:sz w:val="14"/>
                <w:szCs w:val="14"/>
                <w:b w:val="1"/>
                <w:bCs w:val="1"/>
                <w:color w:val="auto"/>
              </w:rPr>
              <w:t>Level 3</w:t>
            </w:r>
          </w:p>
        </w:tc>
        <w:tc>
          <w:tcPr>
            <w:tcW w:w="28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ind w:right="38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250"/>
        </w:trPr>
        <w:tc>
          <w:tcPr>
            <w:tcW w:w="6280" w:type="dxa"/>
            <w:vAlign w:val="bottom"/>
          </w:tcPr>
          <w:p>
            <w:pPr>
              <w:ind w:left="40"/>
              <w:spacing w:after="0"/>
              <w:rPr>
                <w:sz w:val="20"/>
                <w:szCs w:val="20"/>
                <w:color w:val="auto"/>
              </w:rPr>
            </w:pPr>
            <w:r>
              <w:rPr>
                <w:rFonts w:ascii="Arial" w:cs="Arial" w:eastAsia="Arial" w:hAnsi="Arial"/>
                <w:sz w:val="16"/>
                <w:szCs w:val="16"/>
                <w:b w:val="1"/>
                <w:bCs w:val="1"/>
                <w:color w:val="auto"/>
              </w:rPr>
              <w:t>Cash equivalents and other short-term investments</w:t>
            </w:r>
          </w:p>
        </w:tc>
        <w:tc>
          <w:tcPr>
            <w:tcW w:w="260" w:type="dxa"/>
            <w:vAlign w:val="bottom"/>
          </w:tcPr>
          <w:p>
            <w:pPr>
              <w:jc w:val="right"/>
              <w:ind w:right="59"/>
              <w:spacing w:after="0"/>
              <w:rPr>
                <w:sz w:val="20"/>
                <w:szCs w:val="20"/>
                <w:color w:val="auto"/>
              </w:rPr>
            </w:pPr>
            <w:r>
              <w:rPr>
                <w:rFonts w:ascii="Arial" w:cs="Arial" w:eastAsia="Arial" w:hAnsi="Arial"/>
                <w:sz w:val="16"/>
                <w:szCs w:val="16"/>
                <w:b w:val="1"/>
                <w:bCs w:val="1"/>
                <w:color w:val="auto"/>
              </w:rPr>
              <w:t>$</w:t>
            </w:r>
          </w:p>
        </w:tc>
        <w:tc>
          <w:tcPr>
            <w:tcW w:w="1040" w:type="dxa"/>
            <w:vAlign w:val="bottom"/>
          </w:tcPr>
          <w:p>
            <w:pPr>
              <w:jc w:val="right"/>
              <w:ind w:right="60"/>
              <w:spacing w:after="0"/>
              <w:rPr>
                <w:sz w:val="20"/>
                <w:szCs w:val="20"/>
                <w:color w:val="auto"/>
              </w:rPr>
            </w:pPr>
            <w:r>
              <w:rPr>
                <w:rFonts w:ascii="Arial" w:cs="Arial" w:eastAsia="Arial" w:hAnsi="Arial"/>
                <w:sz w:val="16"/>
                <w:szCs w:val="16"/>
                <w:b w:val="1"/>
                <w:bCs w:val="1"/>
                <w:color w:val="auto"/>
              </w:rPr>
              <w:t>73,877</w:t>
            </w:r>
          </w:p>
        </w:tc>
        <w:tc>
          <w:tcPr>
            <w:tcW w:w="320" w:type="dxa"/>
            <w:vAlign w:val="bottom"/>
          </w:tcPr>
          <w:p>
            <w:pPr>
              <w:jc w:val="right"/>
              <w:ind w:right="39"/>
              <w:spacing w:after="0"/>
              <w:rPr>
                <w:sz w:val="20"/>
                <w:szCs w:val="20"/>
                <w:color w:val="auto"/>
              </w:rPr>
            </w:pPr>
            <w:r>
              <w:rPr>
                <w:rFonts w:ascii="Arial" w:cs="Arial" w:eastAsia="Arial" w:hAnsi="Arial"/>
                <w:sz w:val="16"/>
                <w:szCs w:val="16"/>
                <w:b w:val="1"/>
                <w:bCs w:val="1"/>
                <w:color w:val="auto"/>
              </w:rPr>
              <w:t>$</w:t>
            </w:r>
          </w:p>
        </w:tc>
        <w:tc>
          <w:tcPr>
            <w:tcW w:w="1040" w:type="dxa"/>
            <w:vAlign w:val="bottom"/>
          </w:tcPr>
          <w:p>
            <w:pPr>
              <w:jc w:val="right"/>
              <w:ind w:right="42"/>
              <w:spacing w:after="0"/>
              <w:rPr>
                <w:sz w:val="20"/>
                <w:szCs w:val="20"/>
                <w:color w:val="auto"/>
              </w:rPr>
            </w:pPr>
            <w:r>
              <w:rPr>
                <w:rFonts w:ascii="Arial" w:cs="Arial" w:eastAsia="Arial" w:hAnsi="Arial"/>
                <w:sz w:val="16"/>
                <w:szCs w:val="16"/>
                <w:b w:val="1"/>
                <w:bCs w:val="1"/>
                <w:color w:val="auto"/>
              </w:rPr>
              <w:t>181,638</w:t>
            </w:r>
          </w:p>
        </w:tc>
        <w:tc>
          <w:tcPr>
            <w:tcW w:w="280" w:type="dxa"/>
            <w:vAlign w:val="bottom"/>
          </w:tcPr>
          <w:p>
            <w:pPr>
              <w:jc w:val="right"/>
              <w:spacing w:after="0"/>
              <w:rPr>
                <w:sz w:val="20"/>
                <w:szCs w:val="20"/>
                <w:color w:val="auto"/>
              </w:rPr>
            </w:pPr>
            <w:r>
              <w:rPr>
                <w:rFonts w:ascii="Arial" w:cs="Arial" w:eastAsia="Arial" w:hAnsi="Arial"/>
                <w:sz w:val="16"/>
                <w:szCs w:val="16"/>
                <w:b w:val="1"/>
                <w:bCs w:val="1"/>
                <w:color w:val="auto"/>
              </w:rPr>
              <w:t>$</w:t>
            </w:r>
          </w:p>
        </w:tc>
        <w:tc>
          <w:tcPr>
            <w:tcW w:w="940" w:type="dxa"/>
            <w:vAlign w:val="bottom"/>
          </w:tcPr>
          <w:p>
            <w:pPr>
              <w:jc w:val="right"/>
              <w:ind w:right="140"/>
              <w:spacing w:after="0"/>
              <w:rPr>
                <w:sz w:val="20"/>
                <w:szCs w:val="20"/>
                <w:color w:val="auto"/>
              </w:rPr>
            </w:pPr>
            <w:r>
              <w:rPr>
                <w:rFonts w:ascii="Arial" w:cs="Arial" w:eastAsia="Arial" w:hAnsi="Arial"/>
                <w:sz w:val="16"/>
                <w:szCs w:val="16"/>
                <w:b w:val="1"/>
                <w:bCs w:val="1"/>
                <w:color w:val="auto"/>
              </w:rPr>
              <w:t>—</w:t>
            </w:r>
          </w:p>
        </w:tc>
        <w:tc>
          <w:tcPr>
            <w:tcW w:w="280" w:type="dxa"/>
            <w:vAlign w:val="bottom"/>
          </w:tcPr>
          <w:p>
            <w:pPr>
              <w:jc w:val="right"/>
              <w:ind w:right="79"/>
              <w:spacing w:after="0"/>
              <w:rPr>
                <w:sz w:val="20"/>
                <w:szCs w:val="20"/>
                <w:color w:val="auto"/>
              </w:rPr>
            </w:pPr>
            <w:r>
              <w:rPr>
                <w:rFonts w:ascii="Arial" w:cs="Arial" w:eastAsia="Arial" w:hAnsi="Arial"/>
                <w:sz w:val="16"/>
                <w:szCs w:val="16"/>
                <w:b w:val="1"/>
                <w:bCs w:val="1"/>
                <w:color w:val="auto"/>
              </w:rPr>
              <w:t>$</w:t>
            </w:r>
          </w:p>
        </w:tc>
        <w:tc>
          <w:tcPr>
            <w:tcW w:w="980" w:type="dxa"/>
            <w:vAlign w:val="bottom"/>
          </w:tcPr>
          <w:p>
            <w:pPr>
              <w:jc w:val="right"/>
              <w:ind w:right="20"/>
              <w:spacing w:after="0"/>
              <w:rPr>
                <w:sz w:val="20"/>
                <w:szCs w:val="20"/>
                <w:color w:val="auto"/>
              </w:rPr>
            </w:pPr>
            <w:r>
              <w:rPr>
                <w:rFonts w:ascii="Arial" w:cs="Arial" w:eastAsia="Arial" w:hAnsi="Arial"/>
                <w:sz w:val="16"/>
                <w:szCs w:val="16"/>
                <w:b w:val="1"/>
                <w:bCs w:val="1"/>
                <w:color w:val="auto"/>
              </w:rPr>
              <w:t>255,515</w:t>
            </w:r>
          </w:p>
        </w:tc>
        <w:tc>
          <w:tcPr>
            <w:tcW w:w="0" w:type="dxa"/>
            <w:vAlign w:val="bottom"/>
          </w:tcPr>
          <w:p>
            <w:pPr>
              <w:spacing w:after="0"/>
              <w:rPr>
                <w:sz w:val="1"/>
                <w:szCs w:val="1"/>
                <w:color w:val="auto"/>
              </w:rPr>
            </w:pPr>
          </w:p>
        </w:tc>
      </w:tr>
      <w:tr>
        <w:trPr>
          <w:trHeight w:val="270"/>
        </w:trPr>
        <w:tc>
          <w:tcPr>
            <w:tcW w:w="6280" w:type="dxa"/>
            <w:vAlign w:val="bottom"/>
          </w:tcPr>
          <w:p>
            <w:pPr>
              <w:ind w:left="40"/>
              <w:spacing w:after="0"/>
              <w:rPr>
                <w:sz w:val="20"/>
                <w:szCs w:val="20"/>
                <w:color w:val="auto"/>
              </w:rPr>
            </w:pPr>
            <w:r>
              <w:rPr>
                <w:rFonts w:ascii="Arial" w:cs="Arial" w:eastAsia="Arial" w:hAnsi="Arial"/>
                <w:sz w:val="16"/>
                <w:szCs w:val="16"/>
                <w:b w:val="1"/>
                <w:bCs w:val="1"/>
                <w:color w:val="auto"/>
              </w:rPr>
              <w:t>Equity securities</w:t>
            </w:r>
          </w:p>
        </w:tc>
        <w:tc>
          <w:tcPr>
            <w:tcW w:w="260" w:type="dxa"/>
            <w:vAlign w:val="bottom"/>
          </w:tcPr>
          <w:p>
            <w:pPr>
              <w:spacing w:after="0"/>
              <w:rPr>
                <w:sz w:val="23"/>
                <w:szCs w:val="23"/>
                <w:color w:val="auto"/>
              </w:rPr>
            </w:pPr>
          </w:p>
        </w:tc>
        <w:tc>
          <w:tcPr>
            <w:tcW w:w="104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04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94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6280" w:type="dxa"/>
            <w:vAlign w:val="bottom"/>
          </w:tcPr>
          <w:p>
            <w:pPr>
              <w:ind w:left="280"/>
              <w:spacing w:after="0"/>
              <w:rPr>
                <w:sz w:val="20"/>
                <w:szCs w:val="20"/>
                <w:color w:val="auto"/>
              </w:rPr>
            </w:pPr>
            <w:r>
              <w:rPr>
                <w:rFonts w:ascii="Arial" w:cs="Arial" w:eastAsia="Arial" w:hAnsi="Arial"/>
                <w:sz w:val="16"/>
                <w:szCs w:val="16"/>
                <w:b w:val="1"/>
                <w:bCs w:val="1"/>
                <w:color w:val="auto"/>
              </w:rPr>
              <w:t>U.S. equities</w:t>
            </w:r>
          </w:p>
        </w:tc>
        <w:tc>
          <w:tcPr>
            <w:tcW w:w="260" w:type="dxa"/>
            <w:vAlign w:val="bottom"/>
          </w:tcPr>
          <w:p>
            <w:pPr>
              <w:spacing w:after="0"/>
              <w:rPr>
                <w:sz w:val="23"/>
                <w:szCs w:val="23"/>
                <w:color w:val="auto"/>
              </w:rPr>
            </w:pPr>
          </w:p>
        </w:tc>
        <w:tc>
          <w:tcPr>
            <w:tcW w:w="1040" w:type="dxa"/>
            <w:vAlign w:val="bottom"/>
          </w:tcPr>
          <w:p>
            <w:pPr>
              <w:jc w:val="right"/>
              <w:ind w:right="60"/>
              <w:spacing w:after="0"/>
              <w:rPr>
                <w:sz w:val="20"/>
                <w:szCs w:val="20"/>
                <w:color w:val="auto"/>
              </w:rPr>
            </w:pPr>
            <w:r>
              <w:rPr>
                <w:rFonts w:ascii="Arial" w:cs="Arial" w:eastAsia="Arial" w:hAnsi="Arial"/>
                <w:sz w:val="16"/>
                <w:szCs w:val="16"/>
                <w:b w:val="1"/>
                <w:bCs w:val="1"/>
                <w:color w:val="auto"/>
              </w:rPr>
              <w:t>1,242,139</w:t>
            </w:r>
          </w:p>
        </w:tc>
        <w:tc>
          <w:tcPr>
            <w:tcW w:w="320" w:type="dxa"/>
            <w:vAlign w:val="bottom"/>
          </w:tcPr>
          <w:p>
            <w:pPr>
              <w:spacing w:after="0"/>
              <w:rPr>
                <w:sz w:val="23"/>
                <w:szCs w:val="23"/>
                <w:color w:val="auto"/>
              </w:rPr>
            </w:pPr>
          </w:p>
        </w:tc>
        <w:tc>
          <w:tcPr>
            <w:tcW w:w="1040" w:type="dxa"/>
            <w:vAlign w:val="bottom"/>
          </w:tcPr>
          <w:p>
            <w:pPr>
              <w:jc w:val="right"/>
              <w:ind w:right="42"/>
              <w:spacing w:after="0"/>
              <w:rPr>
                <w:sz w:val="20"/>
                <w:szCs w:val="20"/>
                <w:color w:val="auto"/>
              </w:rPr>
            </w:pPr>
            <w:r>
              <w:rPr>
                <w:rFonts w:ascii="Arial" w:cs="Arial" w:eastAsia="Arial" w:hAnsi="Arial"/>
                <w:sz w:val="16"/>
                <w:szCs w:val="16"/>
                <w:b w:val="1"/>
                <w:bCs w:val="1"/>
                <w:color w:val="auto"/>
              </w:rPr>
              <w:t>—</w:t>
            </w:r>
          </w:p>
        </w:tc>
        <w:tc>
          <w:tcPr>
            <w:tcW w:w="280" w:type="dxa"/>
            <w:vAlign w:val="bottom"/>
          </w:tcPr>
          <w:p>
            <w:pPr>
              <w:spacing w:after="0"/>
              <w:rPr>
                <w:sz w:val="23"/>
                <w:szCs w:val="23"/>
                <w:color w:val="auto"/>
              </w:rPr>
            </w:pPr>
          </w:p>
        </w:tc>
        <w:tc>
          <w:tcPr>
            <w:tcW w:w="940" w:type="dxa"/>
            <w:vAlign w:val="bottom"/>
          </w:tcPr>
          <w:p>
            <w:pPr>
              <w:jc w:val="right"/>
              <w:ind w:right="140"/>
              <w:spacing w:after="0"/>
              <w:rPr>
                <w:sz w:val="20"/>
                <w:szCs w:val="20"/>
                <w:color w:val="auto"/>
              </w:rPr>
            </w:pPr>
            <w:r>
              <w:rPr>
                <w:rFonts w:ascii="Arial" w:cs="Arial" w:eastAsia="Arial" w:hAnsi="Arial"/>
                <w:sz w:val="16"/>
                <w:szCs w:val="16"/>
                <w:b w:val="1"/>
                <w:bCs w:val="1"/>
                <w:color w:val="auto"/>
              </w:rPr>
              <w:t>—</w:t>
            </w:r>
          </w:p>
        </w:tc>
        <w:tc>
          <w:tcPr>
            <w:tcW w:w="280" w:type="dxa"/>
            <w:vAlign w:val="bottom"/>
          </w:tcPr>
          <w:p>
            <w:pPr>
              <w:spacing w:after="0"/>
              <w:rPr>
                <w:sz w:val="23"/>
                <w:szCs w:val="23"/>
                <w:color w:val="auto"/>
              </w:rPr>
            </w:pPr>
          </w:p>
        </w:tc>
        <w:tc>
          <w:tcPr>
            <w:tcW w:w="980" w:type="dxa"/>
            <w:vAlign w:val="bottom"/>
          </w:tcPr>
          <w:p>
            <w:pPr>
              <w:jc w:val="right"/>
              <w:ind w:right="20"/>
              <w:spacing w:after="0"/>
              <w:rPr>
                <w:sz w:val="20"/>
                <w:szCs w:val="20"/>
                <w:color w:val="auto"/>
              </w:rPr>
            </w:pPr>
            <w:r>
              <w:rPr>
                <w:rFonts w:ascii="Arial" w:cs="Arial" w:eastAsia="Arial" w:hAnsi="Arial"/>
                <w:sz w:val="16"/>
                <w:szCs w:val="16"/>
                <w:b w:val="1"/>
                <w:bCs w:val="1"/>
                <w:color w:val="auto"/>
              </w:rPr>
              <w:t>1,242,139</w:t>
            </w:r>
          </w:p>
        </w:tc>
        <w:tc>
          <w:tcPr>
            <w:tcW w:w="0" w:type="dxa"/>
            <w:vAlign w:val="bottom"/>
          </w:tcPr>
          <w:p>
            <w:pPr>
              <w:spacing w:after="0"/>
              <w:rPr>
                <w:sz w:val="1"/>
                <w:szCs w:val="1"/>
                <w:color w:val="auto"/>
              </w:rPr>
            </w:pPr>
          </w:p>
        </w:tc>
      </w:tr>
      <w:tr>
        <w:trPr>
          <w:trHeight w:val="270"/>
        </w:trPr>
        <w:tc>
          <w:tcPr>
            <w:tcW w:w="6280" w:type="dxa"/>
            <w:vAlign w:val="bottom"/>
          </w:tcPr>
          <w:p>
            <w:pPr>
              <w:ind w:left="280"/>
              <w:spacing w:after="0"/>
              <w:rPr>
                <w:sz w:val="20"/>
                <w:szCs w:val="20"/>
                <w:color w:val="auto"/>
              </w:rPr>
            </w:pPr>
            <w:r>
              <w:rPr>
                <w:rFonts w:ascii="Arial" w:cs="Arial" w:eastAsia="Arial" w:hAnsi="Arial"/>
                <w:sz w:val="16"/>
                <w:szCs w:val="16"/>
                <w:b w:val="1"/>
                <w:bCs w:val="1"/>
                <w:color w:val="auto"/>
              </w:rPr>
              <w:t>International equities</w:t>
            </w:r>
          </w:p>
        </w:tc>
        <w:tc>
          <w:tcPr>
            <w:tcW w:w="260" w:type="dxa"/>
            <w:vAlign w:val="bottom"/>
          </w:tcPr>
          <w:p>
            <w:pPr>
              <w:spacing w:after="0"/>
              <w:rPr>
                <w:sz w:val="23"/>
                <w:szCs w:val="23"/>
                <w:color w:val="auto"/>
              </w:rPr>
            </w:pPr>
          </w:p>
        </w:tc>
        <w:tc>
          <w:tcPr>
            <w:tcW w:w="1040" w:type="dxa"/>
            <w:vAlign w:val="bottom"/>
          </w:tcPr>
          <w:p>
            <w:pPr>
              <w:jc w:val="right"/>
              <w:ind w:right="60"/>
              <w:spacing w:after="0"/>
              <w:rPr>
                <w:sz w:val="20"/>
                <w:szCs w:val="20"/>
                <w:color w:val="auto"/>
              </w:rPr>
            </w:pPr>
            <w:r>
              <w:rPr>
                <w:rFonts w:ascii="Arial" w:cs="Arial" w:eastAsia="Arial" w:hAnsi="Arial"/>
                <w:sz w:val="16"/>
                <w:szCs w:val="16"/>
                <w:b w:val="1"/>
                <w:bCs w:val="1"/>
                <w:color w:val="auto"/>
              </w:rPr>
              <w:t>138,640</w:t>
            </w:r>
          </w:p>
        </w:tc>
        <w:tc>
          <w:tcPr>
            <w:tcW w:w="320" w:type="dxa"/>
            <w:vAlign w:val="bottom"/>
          </w:tcPr>
          <w:p>
            <w:pPr>
              <w:spacing w:after="0"/>
              <w:rPr>
                <w:sz w:val="23"/>
                <w:szCs w:val="23"/>
                <w:color w:val="auto"/>
              </w:rPr>
            </w:pPr>
          </w:p>
        </w:tc>
        <w:tc>
          <w:tcPr>
            <w:tcW w:w="1040" w:type="dxa"/>
            <w:vAlign w:val="bottom"/>
          </w:tcPr>
          <w:p>
            <w:pPr>
              <w:jc w:val="right"/>
              <w:ind w:right="42"/>
              <w:spacing w:after="0"/>
              <w:rPr>
                <w:sz w:val="20"/>
                <w:szCs w:val="20"/>
                <w:color w:val="auto"/>
              </w:rPr>
            </w:pPr>
            <w:r>
              <w:rPr>
                <w:rFonts w:ascii="Arial" w:cs="Arial" w:eastAsia="Arial" w:hAnsi="Arial"/>
                <w:sz w:val="16"/>
                <w:szCs w:val="16"/>
                <w:b w:val="1"/>
                <w:bCs w:val="1"/>
                <w:color w:val="auto"/>
              </w:rPr>
              <w:t>—</w:t>
            </w:r>
          </w:p>
        </w:tc>
        <w:tc>
          <w:tcPr>
            <w:tcW w:w="280" w:type="dxa"/>
            <w:vAlign w:val="bottom"/>
          </w:tcPr>
          <w:p>
            <w:pPr>
              <w:spacing w:after="0"/>
              <w:rPr>
                <w:sz w:val="23"/>
                <w:szCs w:val="23"/>
                <w:color w:val="auto"/>
              </w:rPr>
            </w:pPr>
          </w:p>
        </w:tc>
        <w:tc>
          <w:tcPr>
            <w:tcW w:w="940" w:type="dxa"/>
            <w:vAlign w:val="bottom"/>
          </w:tcPr>
          <w:p>
            <w:pPr>
              <w:jc w:val="right"/>
              <w:ind w:right="140"/>
              <w:spacing w:after="0"/>
              <w:rPr>
                <w:sz w:val="20"/>
                <w:szCs w:val="20"/>
                <w:color w:val="auto"/>
              </w:rPr>
            </w:pPr>
            <w:r>
              <w:rPr>
                <w:rFonts w:ascii="Arial" w:cs="Arial" w:eastAsia="Arial" w:hAnsi="Arial"/>
                <w:sz w:val="16"/>
                <w:szCs w:val="16"/>
                <w:b w:val="1"/>
                <w:bCs w:val="1"/>
                <w:color w:val="auto"/>
              </w:rPr>
              <w:t>—</w:t>
            </w:r>
          </w:p>
        </w:tc>
        <w:tc>
          <w:tcPr>
            <w:tcW w:w="280" w:type="dxa"/>
            <w:vAlign w:val="bottom"/>
          </w:tcPr>
          <w:p>
            <w:pPr>
              <w:spacing w:after="0"/>
              <w:rPr>
                <w:sz w:val="23"/>
                <w:szCs w:val="23"/>
                <w:color w:val="auto"/>
              </w:rPr>
            </w:pPr>
          </w:p>
        </w:tc>
        <w:tc>
          <w:tcPr>
            <w:tcW w:w="980" w:type="dxa"/>
            <w:vAlign w:val="bottom"/>
          </w:tcPr>
          <w:p>
            <w:pPr>
              <w:jc w:val="right"/>
              <w:ind w:right="20"/>
              <w:spacing w:after="0"/>
              <w:rPr>
                <w:sz w:val="20"/>
                <w:szCs w:val="20"/>
                <w:color w:val="auto"/>
              </w:rPr>
            </w:pPr>
            <w:r>
              <w:rPr>
                <w:rFonts w:ascii="Arial" w:cs="Arial" w:eastAsia="Arial" w:hAnsi="Arial"/>
                <w:sz w:val="16"/>
                <w:szCs w:val="16"/>
                <w:b w:val="1"/>
                <w:bCs w:val="1"/>
                <w:color w:val="auto"/>
              </w:rPr>
              <w:t>138,640</w:t>
            </w:r>
          </w:p>
        </w:tc>
        <w:tc>
          <w:tcPr>
            <w:tcW w:w="0" w:type="dxa"/>
            <w:vAlign w:val="bottom"/>
          </w:tcPr>
          <w:p>
            <w:pPr>
              <w:spacing w:after="0"/>
              <w:rPr>
                <w:sz w:val="1"/>
                <w:szCs w:val="1"/>
                <w:color w:val="auto"/>
              </w:rPr>
            </w:pPr>
          </w:p>
        </w:tc>
      </w:tr>
      <w:tr>
        <w:trPr>
          <w:trHeight w:val="283"/>
        </w:trPr>
        <w:tc>
          <w:tcPr>
            <w:tcW w:w="6280" w:type="dxa"/>
            <w:vAlign w:val="bottom"/>
          </w:tcPr>
          <w:p>
            <w:pPr>
              <w:ind w:left="40"/>
              <w:spacing w:after="0"/>
              <w:rPr>
                <w:sz w:val="20"/>
                <w:szCs w:val="20"/>
                <w:color w:val="auto"/>
              </w:rPr>
            </w:pPr>
            <w:r>
              <w:rPr>
                <w:rFonts w:ascii="Arial" w:cs="Arial" w:eastAsia="Arial" w:hAnsi="Arial"/>
                <w:sz w:val="16"/>
                <w:szCs w:val="16"/>
                <w:b w:val="1"/>
                <w:bCs w:val="1"/>
                <w:color w:val="auto"/>
              </w:rPr>
              <w:t>U.S. stock index fund</w:t>
            </w:r>
          </w:p>
        </w:tc>
        <w:tc>
          <w:tcPr>
            <w:tcW w:w="26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jc w:val="right"/>
              <w:ind w:right="60"/>
              <w:spacing w:after="0"/>
              <w:rPr>
                <w:sz w:val="20"/>
                <w:szCs w:val="20"/>
                <w:color w:val="auto"/>
              </w:rPr>
            </w:pPr>
            <w:r>
              <w:rPr>
                <w:rFonts w:ascii="Arial" w:cs="Arial" w:eastAsia="Arial" w:hAnsi="Arial"/>
                <w:sz w:val="16"/>
                <w:szCs w:val="16"/>
                <w:b w:val="1"/>
                <w:bCs w:val="1"/>
                <w:color w:val="auto"/>
              </w:rPr>
              <w:t>—</w:t>
            </w:r>
          </w:p>
        </w:tc>
        <w:tc>
          <w:tcPr>
            <w:tcW w:w="32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jc w:val="right"/>
              <w:ind w:right="42"/>
              <w:spacing w:after="0"/>
              <w:rPr>
                <w:sz w:val="20"/>
                <w:szCs w:val="20"/>
                <w:color w:val="auto"/>
              </w:rPr>
            </w:pPr>
            <w:r>
              <w:rPr>
                <w:rFonts w:ascii="Arial" w:cs="Arial" w:eastAsia="Arial" w:hAnsi="Arial"/>
                <w:sz w:val="16"/>
                <w:szCs w:val="16"/>
                <w:b w:val="1"/>
                <w:bCs w:val="1"/>
                <w:color w:val="auto"/>
              </w:rPr>
              <w:t>—</w:t>
            </w:r>
          </w:p>
        </w:tc>
        <w:tc>
          <w:tcPr>
            <w:tcW w:w="28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jc w:val="right"/>
              <w:ind w:right="140"/>
              <w:spacing w:after="0"/>
              <w:rPr>
                <w:sz w:val="20"/>
                <w:szCs w:val="20"/>
                <w:color w:val="auto"/>
              </w:rPr>
            </w:pPr>
            <w:r>
              <w:rPr>
                <w:rFonts w:ascii="Arial" w:cs="Arial" w:eastAsia="Arial" w:hAnsi="Arial"/>
                <w:sz w:val="16"/>
                <w:szCs w:val="16"/>
                <w:b w:val="1"/>
                <w:bCs w:val="1"/>
                <w:color w:val="auto"/>
              </w:rPr>
              <w:t>706,202</w:t>
            </w:r>
          </w:p>
        </w:tc>
        <w:tc>
          <w:tcPr>
            <w:tcW w:w="28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b w:val="1"/>
                <w:bCs w:val="1"/>
                <w:color w:val="auto"/>
              </w:rPr>
              <w:t>706,202</w:t>
            </w:r>
          </w:p>
        </w:tc>
        <w:tc>
          <w:tcPr>
            <w:tcW w:w="0" w:type="dxa"/>
            <w:vAlign w:val="bottom"/>
          </w:tcPr>
          <w:p>
            <w:pPr>
              <w:spacing w:after="0"/>
              <w:rPr>
                <w:sz w:val="1"/>
                <w:szCs w:val="1"/>
                <w:color w:val="auto"/>
              </w:rPr>
            </w:pPr>
          </w:p>
        </w:tc>
      </w:tr>
      <w:tr>
        <w:trPr>
          <w:trHeight w:val="264"/>
        </w:trPr>
        <w:tc>
          <w:tcPr>
            <w:tcW w:w="6280" w:type="dxa"/>
            <w:vAlign w:val="bottom"/>
          </w:tcPr>
          <w:p>
            <w:pPr>
              <w:ind w:left="40"/>
              <w:spacing w:after="0"/>
              <w:rPr>
                <w:sz w:val="20"/>
                <w:szCs w:val="20"/>
                <w:color w:val="auto"/>
              </w:rPr>
            </w:pPr>
            <w:r>
              <w:rPr>
                <w:rFonts w:ascii="Arial" w:cs="Arial" w:eastAsia="Arial" w:hAnsi="Arial"/>
                <w:sz w:val="16"/>
                <w:szCs w:val="16"/>
                <w:b w:val="1"/>
                <w:bCs w:val="1"/>
                <w:color w:val="auto"/>
              </w:rPr>
              <w:t>Total Investments</w:t>
            </w:r>
          </w:p>
        </w:tc>
        <w:tc>
          <w:tcPr>
            <w:tcW w:w="26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b w:val="1"/>
                <w:bCs w:val="1"/>
                <w:color w:val="auto"/>
              </w:rPr>
              <w:t>$</w:t>
            </w:r>
          </w:p>
        </w:tc>
        <w:tc>
          <w:tcPr>
            <w:tcW w:w="1040" w:type="dxa"/>
            <w:vAlign w:val="bottom"/>
            <w:tcBorders>
              <w:bottom w:val="single" w:sz="8" w:color="auto"/>
            </w:tcBorders>
          </w:tcPr>
          <w:p>
            <w:pPr>
              <w:jc w:val="right"/>
              <w:ind w:right="60"/>
              <w:spacing w:after="0"/>
              <w:rPr>
                <w:sz w:val="20"/>
                <w:szCs w:val="20"/>
                <w:color w:val="auto"/>
              </w:rPr>
            </w:pPr>
            <w:r>
              <w:rPr>
                <w:rFonts w:ascii="Arial" w:cs="Arial" w:eastAsia="Arial" w:hAnsi="Arial"/>
                <w:sz w:val="16"/>
                <w:szCs w:val="16"/>
                <w:b w:val="1"/>
                <w:bCs w:val="1"/>
                <w:color w:val="auto"/>
              </w:rPr>
              <w:t>1,454,656</w:t>
            </w:r>
          </w:p>
        </w:tc>
        <w:tc>
          <w:tcPr>
            <w:tcW w:w="32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b w:val="1"/>
                <w:bCs w:val="1"/>
                <w:color w:val="auto"/>
              </w:rPr>
              <w:t>$</w:t>
            </w:r>
          </w:p>
        </w:tc>
        <w:tc>
          <w:tcPr>
            <w:tcW w:w="1040" w:type="dxa"/>
            <w:vAlign w:val="bottom"/>
            <w:tcBorders>
              <w:bottom w:val="single" w:sz="8" w:color="auto"/>
            </w:tcBorders>
          </w:tcPr>
          <w:p>
            <w:pPr>
              <w:jc w:val="right"/>
              <w:ind w:right="42"/>
              <w:spacing w:after="0"/>
              <w:rPr>
                <w:sz w:val="20"/>
                <w:szCs w:val="20"/>
                <w:color w:val="auto"/>
              </w:rPr>
            </w:pPr>
            <w:r>
              <w:rPr>
                <w:rFonts w:ascii="Arial" w:cs="Arial" w:eastAsia="Arial" w:hAnsi="Arial"/>
                <w:sz w:val="16"/>
                <w:szCs w:val="16"/>
                <w:b w:val="1"/>
                <w:bCs w:val="1"/>
                <w:color w:val="auto"/>
              </w:rPr>
              <w:t>181,638</w:t>
            </w:r>
          </w:p>
        </w:tc>
        <w:tc>
          <w:tcPr>
            <w:tcW w:w="28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w:t>
            </w:r>
          </w:p>
        </w:tc>
        <w:tc>
          <w:tcPr>
            <w:tcW w:w="940" w:type="dxa"/>
            <w:vAlign w:val="bottom"/>
            <w:tcBorders>
              <w:bottom w:val="single" w:sz="8" w:color="auto"/>
            </w:tcBorders>
          </w:tcPr>
          <w:p>
            <w:pPr>
              <w:jc w:val="right"/>
              <w:ind w:right="140"/>
              <w:spacing w:after="0"/>
              <w:rPr>
                <w:sz w:val="20"/>
                <w:szCs w:val="20"/>
                <w:color w:val="auto"/>
              </w:rPr>
            </w:pPr>
            <w:r>
              <w:rPr>
                <w:rFonts w:ascii="Arial" w:cs="Arial" w:eastAsia="Arial" w:hAnsi="Arial"/>
                <w:sz w:val="16"/>
                <w:szCs w:val="16"/>
                <w:b w:val="1"/>
                <w:bCs w:val="1"/>
                <w:color w:val="auto"/>
              </w:rPr>
              <w:t>706,202</w:t>
            </w:r>
          </w:p>
        </w:tc>
        <w:tc>
          <w:tcPr>
            <w:tcW w:w="28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b w:val="1"/>
                <w:bCs w:val="1"/>
                <w:color w:val="auto"/>
              </w:rPr>
              <w:t>$</w:t>
            </w:r>
          </w:p>
        </w:tc>
        <w:tc>
          <w:tcPr>
            <w:tcW w:w="98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b w:val="1"/>
                <w:bCs w:val="1"/>
                <w:color w:val="auto"/>
              </w:rPr>
              <w:t>2,342,496</w:t>
            </w:r>
          </w:p>
        </w:tc>
        <w:tc>
          <w:tcPr>
            <w:tcW w:w="0" w:type="dxa"/>
            <w:vAlign w:val="bottom"/>
          </w:tcPr>
          <w:p>
            <w:pPr>
              <w:spacing w:after="0"/>
              <w:rPr>
                <w:sz w:val="1"/>
                <w:szCs w:val="1"/>
                <w:color w:val="auto"/>
              </w:rPr>
            </w:pPr>
          </w:p>
        </w:tc>
      </w:tr>
      <w:tr>
        <w:trPr>
          <w:trHeight w:val="264"/>
        </w:trPr>
        <w:tc>
          <w:tcPr>
            <w:tcW w:w="6280" w:type="dxa"/>
            <w:vAlign w:val="bottom"/>
          </w:tcPr>
          <w:p>
            <w:pPr>
              <w:ind w:left="40"/>
              <w:spacing w:after="0"/>
              <w:rPr>
                <w:sz w:val="20"/>
                <w:szCs w:val="20"/>
                <w:color w:val="auto"/>
              </w:rPr>
            </w:pPr>
            <w:r>
              <w:rPr>
                <w:rFonts w:ascii="Arial" w:cs="Arial" w:eastAsia="Arial" w:hAnsi="Arial"/>
                <w:sz w:val="16"/>
                <w:szCs w:val="16"/>
                <w:b w:val="1"/>
                <w:bCs w:val="1"/>
                <w:color w:val="auto"/>
              </w:rPr>
              <w:t>Receivables</w:t>
            </w:r>
          </w:p>
        </w:tc>
        <w:tc>
          <w:tcPr>
            <w:tcW w:w="26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b w:val="1"/>
                <w:bCs w:val="1"/>
                <w:color w:val="auto"/>
              </w:rPr>
              <w:t>975</w:t>
            </w:r>
          </w:p>
        </w:tc>
        <w:tc>
          <w:tcPr>
            <w:tcW w:w="0" w:type="dxa"/>
            <w:vAlign w:val="bottom"/>
          </w:tcPr>
          <w:p>
            <w:pPr>
              <w:spacing w:after="0"/>
              <w:rPr>
                <w:sz w:val="1"/>
                <w:szCs w:val="1"/>
                <w:color w:val="auto"/>
              </w:rPr>
            </w:pPr>
          </w:p>
        </w:tc>
      </w:tr>
      <w:tr>
        <w:trPr>
          <w:trHeight w:val="237"/>
        </w:trPr>
        <w:tc>
          <w:tcPr>
            <w:tcW w:w="6280" w:type="dxa"/>
            <w:vAlign w:val="bottom"/>
          </w:tcPr>
          <w:p>
            <w:pPr>
              <w:ind w:left="40"/>
              <w:spacing w:after="0"/>
              <w:rPr>
                <w:sz w:val="20"/>
                <w:szCs w:val="20"/>
                <w:color w:val="auto"/>
              </w:rPr>
            </w:pPr>
            <w:r>
              <w:rPr>
                <w:rFonts w:ascii="Arial" w:cs="Arial" w:eastAsia="Arial" w:hAnsi="Arial"/>
                <w:sz w:val="16"/>
                <w:szCs w:val="16"/>
                <w:b w:val="1"/>
                <w:bCs w:val="1"/>
                <w:color w:val="auto"/>
              </w:rPr>
              <w:t>Total</w:t>
            </w:r>
          </w:p>
        </w:tc>
        <w:tc>
          <w:tcPr>
            <w:tcW w:w="26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28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b w:val="1"/>
                <w:bCs w:val="1"/>
                <w:color w:val="auto"/>
              </w:rPr>
              <w:t>$</w:t>
            </w:r>
          </w:p>
        </w:tc>
        <w:tc>
          <w:tcPr>
            <w:tcW w:w="98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b w:val="1"/>
                <w:bCs w:val="1"/>
                <w:color w:val="auto"/>
              </w:rPr>
              <w:t>2,343,471</w:t>
            </w:r>
          </w:p>
        </w:tc>
        <w:tc>
          <w:tcPr>
            <w:tcW w:w="0" w:type="dxa"/>
            <w:vAlign w:val="bottom"/>
          </w:tcPr>
          <w:p>
            <w:pPr>
              <w:spacing w:after="0"/>
              <w:rPr>
                <w:sz w:val="1"/>
                <w:szCs w:val="1"/>
                <w:color w:val="auto"/>
              </w:rPr>
            </w:pPr>
          </w:p>
        </w:tc>
      </w:tr>
      <w:tr>
        <w:trPr>
          <w:trHeight w:val="20"/>
        </w:trPr>
        <w:tc>
          <w:tcPr>
            <w:tcW w:w="62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260" w:type="dxa"/>
            <w:vAlign w:val="bottom"/>
            <w:gridSpan w:val="3"/>
            <w:vMerge w:val="restart"/>
          </w:tcPr>
          <w:p>
            <w:pPr>
              <w:ind w:left="160"/>
              <w:spacing w:after="0"/>
              <w:rPr>
                <w:sz w:val="20"/>
                <w:szCs w:val="20"/>
                <w:color w:val="auto"/>
              </w:rPr>
            </w:pPr>
            <w:r>
              <w:rPr>
                <w:rFonts w:ascii="Arial" w:cs="Arial" w:eastAsia="Arial" w:hAnsi="Arial"/>
                <w:sz w:val="14"/>
                <w:szCs w:val="14"/>
                <w:color w:val="auto"/>
              </w:rPr>
              <w:t>As of December 31, 2016</w:t>
            </w: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6"/>
        </w:trPr>
        <w:tc>
          <w:tcPr>
            <w:tcW w:w="6280" w:type="dxa"/>
            <w:vAlign w:val="bottom"/>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2260" w:type="dxa"/>
            <w:vAlign w:val="bottom"/>
            <w:tcBorders>
              <w:bottom w:val="single" w:sz="8" w:color="auto"/>
            </w:tcBorders>
            <w:gridSpan w:val="3"/>
            <w:vMerge w:val="continue"/>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64"/>
        </w:trPr>
        <w:tc>
          <w:tcPr>
            <w:tcW w:w="628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(in thousands)</w:t>
            </w:r>
          </w:p>
        </w:tc>
        <w:tc>
          <w:tcPr>
            <w:tcW w:w="26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ind w:right="340"/>
              <w:spacing w:after="0"/>
              <w:rPr>
                <w:sz w:val="20"/>
                <w:szCs w:val="20"/>
                <w:color w:val="auto"/>
              </w:rPr>
            </w:pPr>
            <w:r>
              <w:rPr>
                <w:rFonts w:ascii="Arial" w:cs="Arial" w:eastAsia="Arial" w:hAnsi="Arial"/>
                <w:sz w:val="14"/>
                <w:szCs w:val="14"/>
                <w:color w:val="auto"/>
              </w:rPr>
              <w:t>Level 1</w:t>
            </w:r>
          </w:p>
        </w:tc>
        <w:tc>
          <w:tcPr>
            <w:tcW w:w="32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ind w:left="160"/>
              <w:spacing w:after="0"/>
              <w:rPr>
                <w:sz w:val="20"/>
                <w:szCs w:val="20"/>
                <w:color w:val="auto"/>
              </w:rPr>
            </w:pPr>
            <w:r>
              <w:rPr>
                <w:rFonts w:ascii="Arial" w:cs="Arial" w:eastAsia="Arial" w:hAnsi="Arial"/>
                <w:sz w:val="14"/>
                <w:szCs w:val="14"/>
                <w:color w:val="auto"/>
              </w:rPr>
              <w:t>Level 2</w:t>
            </w:r>
          </w:p>
        </w:tc>
        <w:tc>
          <w:tcPr>
            <w:tcW w:w="28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right"/>
              <w:ind w:right="300"/>
              <w:spacing w:after="0"/>
              <w:rPr>
                <w:sz w:val="20"/>
                <w:szCs w:val="20"/>
                <w:color w:val="auto"/>
              </w:rPr>
            </w:pPr>
            <w:r>
              <w:rPr>
                <w:rFonts w:ascii="Arial" w:cs="Arial" w:eastAsia="Arial" w:hAnsi="Arial"/>
                <w:sz w:val="14"/>
                <w:szCs w:val="14"/>
                <w:color w:val="auto"/>
              </w:rPr>
              <w:t>Level 3</w:t>
            </w:r>
          </w:p>
        </w:tc>
        <w:tc>
          <w:tcPr>
            <w:tcW w:w="28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ind w:right="400"/>
              <w:spacing w:after="0"/>
              <w:rPr>
                <w:sz w:val="20"/>
                <w:szCs w:val="20"/>
                <w:color w:val="auto"/>
              </w:rPr>
            </w:pPr>
            <w:r>
              <w:rPr>
                <w:rFonts w:ascii="Arial" w:cs="Arial" w:eastAsia="Arial" w:hAnsi="Arial"/>
                <w:sz w:val="14"/>
                <w:szCs w:val="14"/>
                <w:color w:val="auto"/>
              </w:rPr>
              <w:t>Total</w:t>
            </w:r>
          </w:p>
        </w:tc>
        <w:tc>
          <w:tcPr>
            <w:tcW w:w="0" w:type="dxa"/>
            <w:vAlign w:val="bottom"/>
          </w:tcPr>
          <w:p>
            <w:pPr>
              <w:spacing w:after="0"/>
              <w:rPr>
                <w:sz w:val="1"/>
                <w:szCs w:val="1"/>
                <w:color w:val="auto"/>
              </w:rPr>
            </w:pPr>
          </w:p>
        </w:tc>
      </w:tr>
      <w:tr>
        <w:trPr>
          <w:trHeight w:val="250"/>
        </w:trPr>
        <w:tc>
          <w:tcPr>
            <w:tcW w:w="6280" w:type="dxa"/>
            <w:vAlign w:val="bottom"/>
          </w:tcPr>
          <w:p>
            <w:pPr>
              <w:ind w:left="40"/>
              <w:spacing w:after="0"/>
              <w:rPr>
                <w:sz w:val="20"/>
                <w:szCs w:val="20"/>
                <w:color w:val="auto"/>
              </w:rPr>
            </w:pPr>
            <w:r>
              <w:rPr>
                <w:rFonts w:ascii="Arial" w:cs="Arial" w:eastAsia="Arial" w:hAnsi="Arial"/>
                <w:sz w:val="16"/>
                <w:szCs w:val="16"/>
                <w:color w:val="auto"/>
              </w:rPr>
              <w:t>Cash equivalents and other short-term investments</w:t>
            </w:r>
          </w:p>
        </w:tc>
        <w:tc>
          <w:tcPr>
            <w:tcW w:w="26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1040" w:type="dxa"/>
            <w:vAlign w:val="bottom"/>
          </w:tcPr>
          <w:p>
            <w:pPr>
              <w:jc w:val="right"/>
              <w:ind w:right="60"/>
              <w:spacing w:after="0"/>
              <w:rPr>
                <w:sz w:val="20"/>
                <w:szCs w:val="20"/>
                <w:color w:val="auto"/>
              </w:rPr>
            </w:pPr>
            <w:r>
              <w:rPr>
                <w:rFonts w:ascii="Arial" w:cs="Arial" w:eastAsia="Arial" w:hAnsi="Arial"/>
                <w:sz w:val="16"/>
                <w:szCs w:val="16"/>
                <w:color w:val="auto"/>
              </w:rPr>
              <w:t>61,438</w:t>
            </w:r>
          </w:p>
        </w:tc>
        <w:tc>
          <w:tcPr>
            <w:tcW w:w="32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1040" w:type="dxa"/>
            <w:vAlign w:val="bottom"/>
          </w:tcPr>
          <w:p>
            <w:pPr>
              <w:jc w:val="right"/>
              <w:ind w:right="42"/>
              <w:spacing w:after="0"/>
              <w:rPr>
                <w:sz w:val="20"/>
                <w:szCs w:val="20"/>
                <w:color w:val="auto"/>
              </w:rPr>
            </w:pPr>
            <w:r>
              <w:rPr>
                <w:rFonts w:ascii="Arial" w:cs="Arial" w:eastAsia="Arial" w:hAnsi="Arial"/>
                <w:sz w:val="16"/>
                <w:szCs w:val="16"/>
                <w:color w:val="auto"/>
              </w:rPr>
              <w:t>162,010</w:t>
            </w:r>
          </w:p>
        </w:tc>
        <w:tc>
          <w:tcPr>
            <w:tcW w:w="280" w:type="dxa"/>
            <w:vAlign w:val="bottom"/>
          </w:tcPr>
          <w:p>
            <w:pPr>
              <w:jc w:val="right"/>
              <w:spacing w:after="0"/>
              <w:rPr>
                <w:sz w:val="20"/>
                <w:szCs w:val="20"/>
                <w:color w:val="auto"/>
              </w:rPr>
            </w:pPr>
            <w:r>
              <w:rPr>
                <w:rFonts w:ascii="Arial" w:cs="Arial" w:eastAsia="Arial" w:hAnsi="Arial"/>
                <w:sz w:val="16"/>
                <w:szCs w:val="16"/>
                <w:color w:val="auto"/>
              </w:rPr>
              <w:t>$</w:t>
            </w:r>
          </w:p>
        </w:tc>
        <w:tc>
          <w:tcPr>
            <w:tcW w:w="940" w:type="dxa"/>
            <w:vAlign w:val="bottom"/>
          </w:tcPr>
          <w:p>
            <w:pPr>
              <w:jc w:val="right"/>
              <w:ind w:right="140"/>
              <w:spacing w:after="0"/>
              <w:rPr>
                <w:sz w:val="20"/>
                <w:szCs w:val="20"/>
                <w:color w:val="auto"/>
              </w:rPr>
            </w:pPr>
            <w:r>
              <w:rPr>
                <w:rFonts w:ascii="Arial" w:cs="Arial" w:eastAsia="Arial" w:hAnsi="Arial"/>
                <w:sz w:val="16"/>
                <w:szCs w:val="16"/>
                <w:color w:val="auto"/>
              </w:rPr>
              <w:t>—</w:t>
            </w:r>
          </w:p>
        </w:tc>
        <w:tc>
          <w:tcPr>
            <w:tcW w:w="28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980" w:type="dxa"/>
            <w:vAlign w:val="bottom"/>
          </w:tcPr>
          <w:p>
            <w:pPr>
              <w:jc w:val="right"/>
              <w:ind w:right="20"/>
              <w:spacing w:after="0"/>
              <w:rPr>
                <w:sz w:val="20"/>
                <w:szCs w:val="20"/>
                <w:color w:val="auto"/>
              </w:rPr>
            </w:pPr>
            <w:r>
              <w:rPr>
                <w:rFonts w:ascii="Arial" w:cs="Arial" w:eastAsia="Arial" w:hAnsi="Arial"/>
                <w:sz w:val="16"/>
                <w:szCs w:val="16"/>
                <w:color w:val="auto"/>
              </w:rPr>
              <w:t>223,448</w:t>
            </w:r>
          </w:p>
        </w:tc>
        <w:tc>
          <w:tcPr>
            <w:tcW w:w="0" w:type="dxa"/>
            <w:vAlign w:val="bottom"/>
          </w:tcPr>
          <w:p>
            <w:pPr>
              <w:spacing w:after="0"/>
              <w:rPr>
                <w:sz w:val="1"/>
                <w:szCs w:val="1"/>
                <w:color w:val="auto"/>
              </w:rPr>
            </w:pPr>
          </w:p>
        </w:tc>
      </w:tr>
      <w:tr>
        <w:trPr>
          <w:trHeight w:val="270"/>
        </w:trPr>
        <w:tc>
          <w:tcPr>
            <w:tcW w:w="6280" w:type="dxa"/>
            <w:vAlign w:val="bottom"/>
          </w:tcPr>
          <w:p>
            <w:pPr>
              <w:ind w:left="40"/>
              <w:spacing w:after="0"/>
              <w:rPr>
                <w:sz w:val="20"/>
                <w:szCs w:val="20"/>
                <w:color w:val="auto"/>
              </w:rPr>
            </w:pPr>
            <w:r>
              <w:rPr>
                <w:rFonts w:ascii="Arial" w:cs="Arial" w:eastAsia="Arial" w:hAnsi="Arial"/>
                <w:sz w:val="16"/>
                <w:szCs w:val="16"/>
                <w:color w:val="auto"/>
              </w:rPr>
              <w:t>Equity securities</w:t>
            </w:r>
          </w:p>
        </w:tc>
        <w:tc>
          <w:tcPr>
            <w:tcW w:w="260" w:type="dxa"/>
            <w:vAlign w:val="bottom"/>
          </w:tcPr>
          <w:p>
            <w:pPr>
              <w:spacing w:after="0"/>
              <w:rPr>
                <w:sz w:val="23"/>
                <w:szCs w:val="23"/>
                <w:color w:val="auto"/>
              </w:rPr>
            </w:pPr>
          </w:p>
        </w:tc>
        <w:tc>
          <w:tcPr>
            <w:tcW w:w="104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04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94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6280" w:type="dxa"/>
            <w:vAlign w:val="bottom"/>
          </w:tcPr>
          <w:p>
            <w:pPr>
              <w:ind w:left="280"/>
              <w:spacing w:after="0"/>
              <w:rPr>
                <w:sz w:val="20"/>
                <w:szCs w:val="20"/>
                <w:color w:val="auto"/>
              </w:rPr>
            </w:pPr>
            <w:r>
              <w:rPr>
                <w:rFonts w:ascii="Arial" w:cs="Arial" w:eastAsia="Arial" w:hAnsi="Arial"/>
                <w:sz w:val="16"/>
                <w:szCs w:val="16"/>
                <w:color w:val="auto"/>
              </w:rPr>
              <w:t>U.S. equities</w:t>
            </w:r>
          </w:p>
        </w:tc>
        <w:tc>
          <w:tcPr>
            <w:tcW w:w="260" w:type="dxa"/>
            <w:vAlign w:val="bottom"/>
          </w:tcPr>
          <w:p>
            <w:pPr>
              <w:spacing w:after="0"/>
              <w:rPr>
                <w:sz w:val="23"/>
                <w:szCs w:val="23"/>
                <w:color w:val="auto"/>
              </w:rPr>
            </w:pPr>
          </w:p>
        </w:tc>
        <w:tc>
          <w:tcPr>
            <w:tcW w:w="1040" w:type="dxa"/>
            <w:vAlign w:val="bottom"/>
          </w:tcPr>
          <w:p>
            <w:pPr>
              <w:jc w:val="right"/>
              <w:ind w:right="60"/>
              <w:spacing w:after="0"/>
              <w:rPr>
                <w:sz w:val="20"/>
                <w:szCs w:val="20"/>
                <w:color w:val="auto"/>
              </w:rPr>
            </w:pPr>
            <w:r>
              <w:rPr>
                <w:rFonts w:ascii="Arial" w:cs="Arial" w:eastAsia="Arial" w:hAnsi="Arial"/>
                <w:sz w:val="16"/>
                <w:szCs w:val="16"/>
                <w:color w:val="auto"/>
              </w:rPr>
              <w:t>1,074,528</w:t>
            </w:r>
          </w:p>
        </w:tc>
        <w:tc>
          <w:tcPr>
            <w:tcW w:w="320" w:type="dxa"/>
            <w:vAlign w:val="bottom"/>
          </w:tcPr>
          <w:p>
            <w:pPr>
              <w:spacing w:after="0"/>
              <w:rPr>
                <w:sz w:val="23"/>
                <w:szCs w:val="23"/>
                <w:color w:val="auto"/>
              </w:rPr>
            </w:pPr>
          </w:p>
        </w:tc>
        <w:tc>
          <w:tcPr>
            <w:tcW w:w="1040" w:type="dxa"/>
            <w:vAlign w:val="bottom"/>
          </w:tcPr>
          <w:p>
            <w:pPr>
              <w:jc w:val="right"/>
              <w:ind w:right="42"/>
              <w:spacing w:after="0"/>
              <w:rPr>
                <w:sz w:val="20"/>
                <w:szCs w:val="20"/>
                <w:color w:val="auto"/>
              </w:rPr>
            </w:pPr>
            <w:r>
              <w:rPr>
                <w:rFonts w:ascii="Arial" w:cs="Arial" w:eastAsia="Arial" w:hAnsi="Arial"/>
                <w:sz w:val="16"/>
                <w:szCs w:val="16"/>
                <w:color w:val="auto"/>
              </w:rPr>
              <w:t>—</w:t>
            </w:r>
          </w:p>
        </w:tc>
        <w:tc>
          <w:tcPr>
            <w:tcW w:w="280" w:type="dxa"/>
            <w:vAlign w:val="bottom"/>
          </w:tcPr>
          <w:p>
            <w:pPr>
              <w:spacing w:after="0"/>
              <w:rPr>
                <w:sz w:val="23"/>
                <w:szCs w:val="23"/>
                <w:color w:val="auto"/>
              </w:rPr>
            </w:pPr>
          </w:p>
        </w:tc>
        <w:tc>
          <w:tcPr>
            <w:tcW w:w="940" w:type="dxa"/>
            <w:vAlign w:val="bottom"/>
          </w:tcPr>
          <w:p>
            <w:pPr>
              <w:jc w:val="right"/>
              <w:ind w:right="140"/>
              <w:spacing w:after="0"/>
              <w:rPr>
                <w:sz w:val="20"/>
                <w:szCs w:val="20"/>
                <w:color w:val="auto"/>
              </w:rPr>
            </w:pPr>
            <w:r>
              <w:rPr>
                <w:rFonts w:ascii="Arial" w:cs="Arial" w:eastAsia="Arial" w:hAnsi="Arial"/>
                <w:sz w:val="16"/>
                <w:szCs w:val="16"/>
                <w:color w:val="auto"/>
              </w:rPr>
              <w:t>—</w:t>
            </w:r>
          </w:p>
        </w:tc>
        <w:tc>
          <w:tcPr>
            <w:tcW w:w="280" w:type="dxa"/>
            <w:vAlign w:val="bottom"/>
          </w:tcPr>
          <w:p>
            <w:pPr>
              <w:spacing w:after="0"/>
              <w:rPr>
                <w:sz w:val="23"/>
                <w:szCs w:val="23"/>
                <w:color w:val="auto"/>
              </w:rPr>
            </w:pPr>
          </w:p>
        </w:tc>
        <w:tc>
          <w:tcPr>
            <w:tcW w:w="980" w:type="dxa"/>
            <w:vAlign w:val="bottom"/>
          </w:tcPr>
          <w:p>
            <w:pPr>
              <w:jc w:val="right"/>
              <w:ind w:right="20"/>
              <w:spacing w:after="0"/>
              <w:rPr>
                <w:sz w:val="20"/>
                <w:szCs w:val="20"/>
                <w:color w:val="auto"/>
              </w:rPr>
            </w:pPr>
            <w:r>
              <w:rPr>
                <w:rFonts w:ascii="Arial" w:cs="Arial" w:eastAsia="Arial" w:hAnsi="Arial"/>
                <w:sz w:val="16"/>
                <w:szCs w:val="16"/>
                <w:color w:val="auto"/>
              </w:rPr>
              <w:t>1,074,528</w:t>
            </w:r>
          </w:p>
        </w:tc>
        <w:tc>
          <w:tcPr>
            <w:tcW w:w="0" w:type="dxa"/>
            <w:vAlign w:val="bottom"/>
          </w:tcPr>
          <w:p>
            <w:pPr>
              <w:spacing w:after="0"/>
              <w:rPr>
                <w:sz w:val="1"/>
                <w:szCs w:val="1"/>
                <w:color w:val="auto"/>
              </w:rPr>
            </w:pPr>
          </w:p>
        </w:tc>
      </w:tr>
      <w:tr>
        <w:trPr>
          <w:trHeight w:val="270"/>
        </w:trPr>
        <w:tc>
          <w:tcPr>
            <w:tcW w:w="6280" w:type="dxa"/>
            <w:vAlign w:val="bottom"/>
          </w:tcPr>
          <w:p>
            <w:pPr>
              <w:ind w:left="280"/>
              <w:spacing w:after="0"/>
              <w:rPr>
                <w:sz w:val="20"/>
                <w:szCs w:val="20"/>
                <w:color w:val="auto"/>
              </w:rPr>
            </w:pPr>
            <w:r>
              <w:rPr>
                <w:rFonts w:ascii="Arial" w:cs="Arial" w:eastAsia="Arial" w:hAnsi="Arial"/>
                <w:sz w:val="16"/>
                <w:szCs w:val="16"/>
                <w:color w:val="auto"/>
              </w:rPr>
              <w:t>International equities</w:t>
            </w:r>
          </w:p>
        </w:tc>
        <w:tc>
          <w:tcPr>
            <w:tcW w:w="260" w:type="dxa"/>
            <w:vAlign w:val="bottom"/>
          </w:tcPr>
          <w:p>
            <w:pPr>
              <w:spacing w:after="0"/>
              <w:rPr>
                <w:sz w:val="23"/>
                <w:szCs w:val="23"/>
                <w:color w:val="auto"/>
              </w:rPr>
            </w:pPr>
          </w:p>
        </w:tc>
        <w:tc>
          <w:tcPr>
            <w:tcW w:w="1040" w:type="dxa"/>
            <w:vAlign w:val="bottom"/>
          </w:tcPr>
          <w:p>
            <w:pPr>
              <w:jc w:val="right"/>
              <w:ind w:right="60"/>
              <w:spacing w:after="0"/>
              <w:rPr>
                <w:sz w:val="20"/>
                <w:szCs w:val="20"/>
                <w:color w:val="auto"/>
              </w:rPr>
            </w:pPr>
            <w:r>
              <w:rPr>
                <w:rFonts w:ascii="Arial" w:cs="Arial" w:eastAsia="Arial" w:hAnsi="Arial"/>
                <w:sz w:val="16"/>
                <w:szCs w:val="16"/>
                <w:color w:val="auto"/>
              </w:rPr>
              <w:t>120,735</w:t>
            </w:r>
          </w:p>
        </w:tc>
        <w:tc>
          <w:tcPr>
            <w:tcW w:w="320" w:type="dxa"/>
            <w:vAlign w:val="bottom"/>
          </w:tcPr>
          <w:p>
            <w:pPr>
              <w:spacing w:after="0"/>
              <w:rPr>
                <w:sz w:val="23"/>
                <w:szCs w:val="23"/>
                <w:color w:val="auto"/>
              </w:rPr>
            </w:pPr>
          </w:p>
        </w:tc>
        <w:tc>
          <w:tcPr>
            <w:tcW w:w="1040" w:type="dxa"/>
            <w:vAlign w:val="bottom"/>
          </w:tcPr>
          <w:p>
            <w:pPr>
              <w:jc w:val="right"/>
              <w:ind w:right="42"/>
              <w:spacing w:after="0"/>
              <w:rPr>
                <w:sz w:val="20"/>
                <w:szCs w:val="20"/>
                <w:color w:val="auto"/>
              </w:rPr>
            </w:pPr>
            <w:r>
              <w:rPr>
                <w:rFonts w:ascii="Arial" w:cs="Arial" w:eastAsia="Arial" w:hAnsi="Arial"/>
                <w:sz w:val="16"/>
                <w:szCs w:val="16"/>
                <w:color w:val="auto"/>
              </w:rPr>
              <w:t>—</w:t>
            </w:r>
          </w:p>
        </w:tc>
        <w:tc>
          <w:tcPr>
            <w:tcW w:w="280" w:type="dxa"/>
            <w:vAlign w:val="bottom"/>
          </w:tcPr>
          <w:p>
            <w:pPr>
              <w:spacing w:after="0"/>
              <w:rPr>
                <w:sz w:val="23"/>
                <w:szCs w:val="23"/>
                <w:color w:val="auto"/>
              </w:rPr>
            </w:pPr>
          </w:p>
        </w:tc>
        <w:tc>
          <w:tcPr>
            <w:tcW w:w="940" w:type="dxa"/>
            <w:vAlign w:val="bottom"/>
          </w:tcPr>
          <w:p>
            <w:pPr>
              <w:jc w:val="right"/>
              <w:ind w:right="140"/>
              <w:spacing w:after="0"/>
              <w:rPr>
                <w:sz w:val="20"/>
                <w:szCs w:val="20"/>
                <w:color w:val="auto"/>
              </w:rPr>
            </w:pPr>
            <w:r>
              <w:rPr>
                <w:rFonts w:ascii="Arial" w:cs="Arial" w:eastAsia="Arial" w:hAnsi="Arial"/>
                <w:sz w:val="16"/>
                <w:szCs w:val="16"/>
                <w:color w:val="auto"/>
              </w:rPr>
              <w:t>—</w:t>
            </w:r>
          </w:p>
        </w:tc>
        <w:tc>
          <w:tcPr>
            <w:tcW w:w="280" w:type="dxa"/>
            <w:vAlign w:val="bottom"/>
          </w:tcPr>
          <w:p>
            <w:pPr>
              <w:spacing w:after="0"/>
              <w:rPr>
                <w:sz w:val="23"/>
                <w:szCs w:val="23"/>
                <w:color w:val="auto"/>
              </w:rPr>
            </w:pPr>
          </w:p>
        </w:tc>
        <w:tc>
          <w:tcPr>
            <w:tcW w:w="980" w:type="dxa"/>
            <w:vAlign w:val="bottom"/>
          </w:tcPr>
          <w:p>
            <w:pPr>
              <w:jc w:val="right"/>
              <w:ind w:right="20"/>
              <w:spacing w:after="0"/>
              <w:rPr>
                <w:sz w:val="20"/>
                <w:szCs w:val="20"/>
                <w:color w:val="auto"/>
              </w:rPr>
            </w:pPr>
            <w:r>
              <w:rPr>
                <w:rFonts w:ascii="Arial" w:cs="Arial" w:eastAsia="Arial" w:hAnsi="Arial"/>
                <w:sz w:val="16"/>
                <w:szCs w:val="16"/>
                <w:color w:val="auto"/>
              </w:rPr>
              <w:t>120,735</w:t>
            </w:r>
          </w:p>
        </w:tc>
        <w:tc>
          <w:tcPr>
            <w:tcW w:w="0" w:type="dxa"/>
            <w:vAlign w:val="bottom"/>
          </w:tcPr>
          <w:p>
            <w:pPr>
              <w:spacing w:after="0"/>
              <w:rPr>
                <w:sz w:val="1"/>
                <w:szCs w:val="1"/>
                <w:color w:val="auto"/>
              </w:rPr>
            </w:pPr>
          </w:p>
        </w:tc>
      </w:tr>
      <w:tr>
        <w:trPr>
          <w:trHeight w:val="283"/>
        </w:trPr>
        <w:tc>
          <w:tcPr>
            <w:tcW w:w="6280" w:type="dxa"/>
            <w:vAlign w:val="bottom"/>
          </w:tcPr>
          <w:p>
            <w:pPr>
              <w:ind w:left="40"/>
              <w:spacing w:after="0"/>
              <w:rPr>
                <w:sz w:val="20"/>
                <w:szCs w:val="20"/>
                <w:color w:val="auto"/>
              </w:rPr>
            </w:pPr>
            <w:r>
              <w:rPr>
                <w:rFonts w:ascii="Arial" w:cs="Arial" w:eastAsia="Arial" w:hAnsi="Arial"/>
                <w:sz w:val="16"/>
                <w:szCs w:val="16"/>
                <w:color w:val="auto"/>
              </w:rPr>
              <w:t>U.S. stock index fund</w:t>
            </w:r>
          </w:p>
        </w:tc>
        <w:tc>
          <w:tcPr>
            <w:tcW w:w="26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jc w:val="right"/>
              <w:ind w:right="60"/>
              <w:spacing w:after="0"/>
              <w:rPr>
                <w:sz w:val="20"/>
                <w:szCs w:val="20"/>
                <w:color w:val="auto"/>
              </w:rPr>
            </w:pPr>
            <w:r>
              <w:rPr>
                <w:rFonts w:ascii="Arial" w:cs="Arial" w:eastAsia="Arial" w:hAnsi="Arial"/>
                <w:sz w:val="16"/>
                <w:szCs w:val="16"/>
                <w:color w:val="auto"/>
              </w:rPr>
              <w:t>—</w:t>
            </w:r>
          </w:p>
        </w:tc>
        <w:tc>
          <w:tcPr>
            <w:tcW w:w="32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jc w:val="right"/>
              <w:ind w:right="42"/>
              <w:spacing w:after="0"/>
              <w:rPr>
                <w:sz w:val="20"/>
                <w:szCs w:val="20"/>
                <w:color w:val="auto"/>
              </w:rPr>
            </w:pPr>
            <w:r>
              <w:rPr>
                <w:rFonts w:ascii="Arial" w:cs="Arial" w:eastAsia="Arial" w:hAnsi="Arial"/>
                <w:sz w:val="16"/>
                <w:szCs w:val="16"/>
                <w:color w:val="auto"/>
              </w:rPr>
              <w:t>—</w:t>
            </w:r>
          </w:p>
        </w:tc>
        <w:tc>
          <w:tcPr>
            <w:tcW w:w="28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jc w:val="right"/>
              <w:ind w:right="140"/>
              <w:spacing w:after="0"/>
              <w:rPr>
                <w:sz w:val="20"/>
                <w:szCs w:val="20"/>
                <w:color w:val="auto"/>
              </w:rPr>
            </w:pPr>
            <w:r>
              <w:rPr>
                <w:rFonts w:ascii="Arial" w:cs="Arial" w:eastAsia="Arial" w:hAnsi="Arial"/>
                <w:sz w:val="16"/>
                <w:szCs w:val="16"/>
                <w:color w:val="auto"/>
              </w:rPr>
              <w:t>622,865</w:t>
            </w:r>
          </w:p>
        </w:tc>
        <w:tc>
          <w:tcPr>
            <w:tcW w:w="28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622,865</w:t>
            </w:r>
          </w:p>
        </w:tc>
        <w:tc>
          <w:tcPr>
            <w:tcW w:w="0" w:type="dxa"/>
            <w:vAlign w:val="bottom"/>
          </w:tcPr>
          <w:p>
            <w:pPr>
              <w:spacing w:after="0"/>
              <w:rPr>
                <w:sz w:val="1"/>
                <w:szCs w:val="1"/>
                <w:color w:val="auto"/>
              </w:rPr>
            </w:pPr>
          </w:p>
        </w:tc>
      </w:tr>
      <w:tr>
        <w:trPr>
          <w:trHeight w:val="264"/>
        </w:trPr>
        <w:tc>
          <w:tcPr>
            <w:tcW w:w="6280" w:type="dxa"/>
            <w:vAlign w:val="bottom"/>
          </w:tcPr>
          <w:p>
            <w:pPr>
              <w:ind w:left="40"/>
              <w:spacing w:after="0"/>
              <w:rPr>
                <w:sz w:val="20"/>
                <w:szCs w:val="20"/>
                <w:color w:val="auto"/>
              </w:rPr>
            </w:pPr>
            <w:r>
              <w:rPr>
                <w:rFonts w:ascii="Arial" w:cs="Arial" w:eastAsia="Arial" w:hAnsi="Arial"/>
                <w:sz w:val="16"/>
                <w:szCs w:val="16"/>
                <w:b w:val="1"/>
                <w:bCs w:val="1"/>
                <w:color w:val="auto"/>
              </w:rPr>
              <w:t>Total Investments</w:t>
            </w:r>
          </w:p>
        </w:tc>
        <w:tc>
          <w:tcPr>
            <w:tcW w:w="26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w:t>
            </w:r>
          </w:p>
        </w:tc>
        <w:tc>
          <w:tcPr>
            <w:tcW w:w="1040" w:type="dxa"/>
            <w:vAlign w:val="bottom"/>
            <w:tcBorders>
              <w:bottom w:val="single" w:sz="8" w:color="auto"/>
            </w:tcBorders>
          </w:tcPr>
          <w:p>
            <w:pPr>
              <w:jc w:val="right"/>
              <w:ind w:right="60"/>
              <w:spacing w:after="0"/>
              <w:rPr>
                <w:sz w:val="20"/>
                <w:szCs w:val="20"/>
                <w:color w:val="auto"/>
              </w:rPr>
            </w:pPr>
            <w:r>
              <w:rPr>
                <w:rFonts w:ascii="Arial" w:cs="Arial" w:eastAsia="Arial" w:hAnsi="Arial"/>
                <w:sz w:val="16"/>
                <w:szCs w:val="16"/>
                <w:color w:val="auto"/>
              </w:rPr>
              <w:t>1,256,701</w:t>
            </w:r>
          </w:p>
        </w:tc>
        <w:tc>
          <w:tcPr>
            <w:tcW w:w="32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1040" w:type="dxa"/>
            <w:vAlign w:val="bottom"/>
            <w:tcBorders>
              <w:bottom w:val="single" w:sz="8" w:color="auto"/>
            </w:tcBorders>
          </w:tcPr>
          <w:p>
            <w:pPr>
              <w:jc w:val="right"/>
              <w:ind w:right="42"/>
              <w:spacing w:after="0"/>
              <w:rPr>
                <w:sz w:val="20"/>
                <w:szCs w:val="20"/>
                <w:color w:val="auto"/>
              </w:rPr>
            </w:pPr>
            <w:r>
              <w:rPr>
                <w:rFonts w:ascii="Arial" w:cs="Arial" w:eastAsia="Arial" w:hAnsi="Arial"/>
                <w:sz w:val="16"/>
                <w:szCs w:val="16"/>
                <w:color w:val="auto"/>
              </w:rPr>
              <w:t>162,010</w:t>
            </w:r>
          </w:p>
        </w:tc>
        <w:tc>
          <w:tcPr>
            <w:tcW w:w="2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940" w:type="dxa"/>
            <w:vAlign w:val="bottom"/>
            <w:tcBorders>
              <w:bottom w:val="single" w:sz="8" w:color="auto"/>
            </w:tcBorders>
          </w:tcPr>
          <w:p>
            <w:pPr>
              <w:jc w:val="right"/>
              <w:ind w:right="140"/>
              <w:spacing w:after="0"/>
              <w:rPr>
                <w:sz w:val="20"/>
                <w:szCs w:val="20"/>
                <w:color w:val="auto"/>
              </w:rPr>
            </w:pPr>
            <w:r>
              <w:rPr>
                <w:rFonts w:ascii="Arial" w:cs="Arial" w:eastAsia="Arial" w:hAnsi="Arial"/>
                <w:sz w:val="16"/>
                <w:szCs w:val="16"/>
                <w:color w:val="auto"/>
              </w:rPr>
              <w:t>622,865</w:t>
            </w:r>
          </w:p>
        </w:tc>
        <w:tc>
          <w:tcPr>
            <w:tcW w:w="28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w:t>
            </w:r>
          </w:p>
        </w:tc>
        <w:tc>
          <w:tcPr>
            <w:tcW w:w="98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2,041,576</w:t>
            </w:r>
          </w:p>
        </w:tc>
        <w:tc>
          <w:tcPr>
            <w:tcW w:w="0" w:type="dxa"/>
            <w:vAlign w:val="bottom"/>
          </w:tcPr>
          <w:p>
            <w:pPr>
              <w:spacing w:after="0"/>
              <w:rPr>
                <w:sz w:val="1"/>
                <w:szCs w:val="1"/>
                <w:color w:val="auto"/>
              </w:rPr>
            </w:pPr>
          </w:p>
        </w:tc>
      </w:tr>
      <w:tr>
        <w:trPr>
          <w:trHeight w:val="264"/>
        </w:trPr>
        <w:tc>
          <w:tcPr>
            <w:tcW w:w="6280" w:type="dxa"/>
            <w:vAlign w:val="bottom"/>
          </w:tcPr>
          <w:p>
            <w:pPr>
              <w:ind w:left="40"/>
              <w:spacing w:after="0"/>
              <w:rPr>
                <w:sz w:val="20"/>
                <w:szCs w:val="20"/>
                <w:color w:val="auto"/>
              </w:rPr>
            </w:pPr>
            <w:r>
              <w:rPr>
                <w:rFonts w:ascii="Arial" w:cs="Arial" w:eastAsia="Arial" w:hAnsi="Arial"/>
                <w:sz w:val="16"/>
                <w:szCs w:val="16"/>
                <w:color w:val="auto"/>
              </w:rPr>
              <w:t>Receivables</w:t>
            </w:r>
          </w:p>
        </w:tc>
        <w:tc>
          <w:tcPr>
            <w:tcW w:w="26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914</w:t>
            </w:r>
          </w:p>
        </w:tc>
        <w:tc>
          <w:tcPr>
            <w:tcW w:w="0" w:type="dxa"/>
            <w:vAlign w:val="bottom"/>
          </w:tcPr>
          <w:p>
            <w:pPr>
              <w:spacing w:after="0"/>
              <w:rPr>
                <w:sz w:val="1"/>
                <w:szCs w:val="1"/>
                <w:color w:val="auto"/>
              </w:rPr>
            </w:pPr>
          </w:p>
        </w:tc>
      </w:tr>
      <w:tr>
        <w:trPr>
          <w:trHeight w:val="240"/>
        </w:trPr>
        <w:tc>
          <w:tcPr>
            <w:tcW w:w="6280" w:type="dxa"/>
            <w:vAlign w:val="bottom"/>
          </w:tcPr>
          <w:p>
            <w:pPr>
              <w:ind w:left="40"/>
              <w:spacing w:after="0"/>
              <w:rPr>
                <w:sz w:val="20"/>
                <w:szCs w:val="20"/>
                <w:color w:val="auto"/>
              </w:rPr>
            </w:pPr>
            <w:r>
              <w:rPr>
                <w:rFonts w:ascii="Arial" w:cs="Arial" w:eastAsia="Arial" w:hAnsi="Arial"/>
                <w:sz w:val="16"/>
                <w:szCs w:val="16"/>
                <w:b w:val="1"/>
                <w:bCs w:val="1"/>
                <w:color w:val="auto"/>
              </w:rPr>
              <w:t>Total</w:t>
            </w:r>
          </w:p>
        </w:tc>
        <w:tc>
          <w:tcPr>
            <w:tcW w:w="26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28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w:t>
            </w:r>
          </w:p>
        </w:tc>
        <w:tc>
          <w:tcPr>
            <w:tcW w:w="98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2,042,490</w:t>
            </w:r>
          </w:p>
        </w:tc>
        <w:tc>
          <w:tcPr>
            <w:tcW w:w="0" w:type="dxa"/>
            <w:vAlign w:val="bottom"/>
          </w:tcPr>
          <w:p>
            <w:pPr>
              <w:spacing w:after="0"/>
              <w:rPr>
                <w:sz w:val="1"/>
                <w:szCs w:val="1"/>
                <w:color w:val="auto"/>
              </w:rPr>
            </w:pPr>
          </w:p>
        </w:tc>
      </w:tr>
      <w:tr>
        <w:trPr>
          <w:trHeight w:val="20"/>
        </w:trPr>
        <w:tc>
          <w:tcPr>
            <w:tcW w:w="62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30" w:lineRule="exact"/>
        <w:rPr>
          <w:sz w:val="20"/>
          <w:szCs w:val="20"/>
          <w:color w:val="auto"/>
        </w:rPr>
      </w:pPr>
    </w:p>
    <w:p>
      <w:pPr>
        <w:ind w:right="140"/>
        <w:spacing w:after="0" w:line="236" w:lineRule="auto"/>
        <w:rPr>
          <w:sz w:val="20"/>
          <w:szCs w:val="20"/>
          <w:color w:val="auto"/>
        </w:rPr>
      </w:pPr>
      <w:r>
        <w:rPr>
          <w:rFonts w:ascii="Arial" w:cs="Arial" w:eastAsia="Arial" w:hAnsi="Arial"/>
          <w:sz w:val="18"/>
          <w:szCs w:val="18"/>
          <w:i w:val="1"/>
          <w:iCs w:val="1"/>
          <w:color w:val="auto"/>
        </w:rPr>
        <w:t xml:space="preserve">Cash equivalents and other short-term investments. </w:t>
      </w:r>
      <w:r>
        <w:rPr>
          <w:rFonts w:ascii="Arial" w:cs="Arial" w:eastAsia="Arial" w:hAnsi="Arial"/>
          <w:sz w:val="18"/>
          <w:szCs w:val="18"/>
          <w:color w:val="auto"/>
        </w:rPr>
        <w:t>These investments are primarily held in U.S. Treasury securities and registered money</w:t>
      </w:r>
      <w:r>
        <w:rPr>
          <w:rFonts w:ascii="Arial" w:cs="Arial" w:eastAsia="Arial" w:hAnsi="Arial"/>
          <w:sz w:val="18"/>
          <w:szCs w:val="18"/>
          <w:i w:val="1"/>
          <w:iCs w:val="1"/>
          <w:color w:val="auto"/>
        </w:rPr>
        <w:t xml:space="preserve"> </w:t>
      </w:r>
      <w:r>
        <w:rPr>
          <w:rFonts w:ascii="Arial" w:cs="Arial" w:eastAsia="Arial" w:hAnsi="Arial"/>
          <w:sz w:val="18"/>
          <w:szCs w:val="18"/>
          <w:color w:val="auto"/>
        </w:rPr>
        <w:t>market funds. These investments are valued using a market approach based on the quoted market prices of the security or inputs that include quoted market prices for similar instruments and are classified as either Level 1 or Level 2 in the valuation hierarchy.</w:t>
      </w:r>
    </w:p>
    <w:p>
      <w:pPr>
        <w:spacing w:after="0" w:line="119" w:lineRule="exact"/>
        <w:rPr>
          <w:sz w:val="20"/>
          <w:szCs w:val="20"/>
          <w:color w:val="auto"/>
        </w:rPr>
      </w:pPr>
    </w:p>
    <w:p>
      <w:pPr>
        <w:ind w:right="140"/>
        <w:spacing w:after="0" w:line="236" w:lineRule="auto"/>
        <w:rPr>
          <w:sz w:val="20"/>
          <w:szCs w:val="20"/>
          <w:color w:val="auto"/>
        </w:rPr>
      </w:pPr>
      <w:r>
        <w:rPr>
          <w:rFonts w:ascii="Arial" w:cs="Arial" w:eastAsia="Arial" w:hAnsi="Arial"/>
          <w:sz w:val="18"/>
          <w:szCs w:val="18"/>
          <w:i w:val="1"/>
          <w:iCs w:val="1"/>
          <w:color w:val="auto"/>
        </w:rPr>
        <w:t xml:space="preserve">U.S. equities. </w:t>
      </w:r>
      <w:r>
        <w:rPr>
          <w:rFonts w:ascii="Arial" w:cs="Arial" w:eastAsia="Arial" w:hAnsi="Arial"/>
          <w:sz w:val="18"/>
          <w:szCs w:val="18"/>
          <w:color w:val="auto"/>
        </w:rPr>
        <w:t>These investments are held in common and preferred stock of U.S. corporations and American Depositary Receipts (ADRs)</w:t>
      </w:r>
      <w:r>
        <w:rPr>
          <w:rFonts w:ascii="Arial" w:cs="Arial" w:eastAsia="Arial" w:hAnsi="Arial"/>
          <w:sz w:val="18"/>
          <w:szCs w:val="18"/>
          <w:i w:val="1"/>
          <w:iCs w:val="1"/>
          <w:color w:val="auto"/>
        </w:rPr>
        <w:t xml:space="preserve"> </w:t>
      </w:r>
      <w:r>
        <w:rPr>
          <w:rFonts w:ascii="Arial" w:cs="Arial" w:eastAsia="Arial" w:hAnsi="Arial"/>
          <w:sz w:val="18"/>
          <w:szCs w:val="18"/>
          <w:color w:val="auto"/>
        </w:rPr>
        <w:t>traded on U.S. exchanges. Common and preferred shares and ADRs are traded actively on exchanges, and price quotes for these shares are readily available. These investments are classified as Level 1 in the valuation hierarchy.</w:t>
      </w:r>
    </w:p>
    <w:p>
      <w:pPr>
        <w:spacing w:after="0" w:line="119" w:lineRule="exact"/>
        <w:rPr>
          <w:sz w:val="20"/>
          <w:szCs w:val="20"/>
          <w:color w:val="auto"/>
        </w:rPr>
      </w:pPr>
    </w:p>
    <w:p>
      <w:pPr>
        <w:ind w:right="180"/>
        <w:spacing w:after="0" w:line="236" w:lineRule="auto"/>
        <w:rPr>
          <w:sz w:val="20"/>
          <w:szCs w:val="20"/>
          <w:color w:val="auto"/>
        </w:rPr>
      </w:pPr>
      <w:r>
        <w:rPr>
          <w:rFonts w:ascii="Arial" w:cs="Arial" w:eastAsia="Arial" w:hAnsi="Arial"/>
          <w:sz w:val="18"/>
          <w:szCs w:val="18"/>
          <w:i w:val="1"/>
          <w:iCs w:val="1"/>
          <w:color w:val="auto"/>
        </w:rPr>
        <w:t xml:space="preserve">International equities. </w:t>
      </w:r>
      <w:r>
        <w:rPr>
          <w:rFonts w:ascii="Arial" w:cs="Arial" w:eastAsia="Arial" w:hAnsi="Arial"/>
          <w:sz w:val="18"/>
          <w:szCs w:val="18"/>
          <w:color w:val="auto"/>
        </w:rPr>
        <w:t>These investments are held in common and preferred stock issued by non-U.S. corporations. Common and preferred</w:t>
      </w:r>
      <w:r>
        <w:rPr>
          <w:rFonts w:ascii="Arial" w:cs="Arial" w:eastAsia="Arial" w:hAnsi="Arial"/>
          <w:sz w:val="18"/>
          <w:szCs w:val="18"/>
          <w:i w:val="1"/>
          <w:iCs w:val="1"/>
          <w:color w:val="auto"/>
        </w:rPr>
        <w:t xml:space="preserve"> </w:t>
      </w:r>
      <w:r>
        <w:rPr>
          <w:rFonts w:ascii="Arial" w:cs="Arial" w:eastAsia="Arial" w:hAnsi="Arial"/>
          <w:sz w:val="18"/>
          <w:szCs w:val="18"/>
          <w:color w:val="auto"/>
        </w:rPr>
        <w:t>shares are traded actively on exchanges, and price quotes for these shares are readily available. These investments are classified as Level 1 in the valuation hierarchy.</w:t>
      </w:r>
    </w:p>
    <w:p>
      <w:pPr>
        <w:spacing w:after="0" w:line="119" w:lineRule="exact"/>
        <w:rPr>
          <w:sz w:val="20"/>
          <w:szCs w:val="20"/>
          <w:color w:val="auto"/>
        </w:rPr>
      </w:pPr>
    </w:p>
    <w:p>
      <w:pPr>
        <w:spacing w:after="0" w:line="229" w:lineRule="auto"/>
        <w:rPr>
          <w:sz w:val="20"/>
          <w:szCs w:val="20"/>
          <w:color w:val="auto"/>
        </w:rPr>
      </w:pPr>
      <w:r>
        <w:rPr>
          <w:rFonts w:ascii="Arial" w:cs="Arial" w:eastAsia="Arial" w:hAnsi="Arial"/>
          <w:sz w:val="18"/>
          <w:szCs w:val="18"/>
          <w:i w:val="1"/>
          <w:iCs w:val="1"/>
          <w:color w:val="auto"/>
        </w:rPr>
        <w:t xml:space="preserve">U.S. stock index fund. </w:t>
      </w:r>
      <w:r>
        <w:rPr>
          <w:rFonts w:ascii="Arial" w:cs="Arial" w:eastAsia="Arial" w:hAnsi="Arial"/>
          <w:sz w:val="18"/>
          <w:szCs w:val="18"/>
          <w:color w:val="auto"/>
        </w:rPr>
        <w:t>This fund consists of investments held in a diversified mix of securities (U.S. and international stocks, and fixed-income</w:t>
      </w:r>
      <w:r>
        <w:rPr>
          <w:rFonts w:ascii="Arial" w:cs="Arial" w:eastAsia="Arial" w:hAnsi="Arial"/>
          <w:sz w:val="18"/>
          <w:szCs w:val="18"/>
          <w:i w:val="1"/>
          <w:iCs w:val="1"/>
          <w:color w:val="auto"/>
        </w:rPr>
        <w:t xml:space="preserve"> </w:t>
      </w:r>
      <w:r>
        <w:rPr>
          <w:rFonts w:ascii="Arial" w:cs="Arial" w:eastAsia="Arial" w:hAnsi="Arial"/>
          <w:sz w:val="18"/>
          <w:szCs w:val="18"/>
          <w:color w:val="auto"/>
        </w:rPr>
        <w:t>securities) and a combination of other collective funds that together are designed to track the performance of the S&amp;P 500 Index. The fund is valued using the net asset value (NAV) provided by the administrator of the fund and reviewed by the Company. The NAV is based on the value of the underlying assets owned by the fund, minus liabilities and divided by the number of units outstanding. The investment in this fund may be redeemed daily, subjected to the restrictions of the fund. This investment is classified as Level 3 in the valuation hierarchy.</w:t>
      </w:r>
    </w:p>
    <w:p>
      <w:pPr>
        <w:spacing w:after="0" w:line="200" w:lineRule="exact"/>
        <w:rPr>
          <w:sz w:val="20"/>
          <w:szCs w:val="20"/>
          <w:color w:val="auto"/>
        </w:rPr>
      </w:pPr>
    </w:p>
    <w:p>
      <w:pPr>
        <w:spacing w:after="0" w:line="3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107</w:t>
      </w:r>
    </w:p>
    <w:p>
      <w:pPr>
        <w:sectPr>
          <w:pgSz w:w="11900" w:h="16838" w:orient="portrait"/>
          <w:cols w:equalWidth="0" w:num="1">
            <w:col w:w="11420"/>
          </w:cols>
          <w:pgMar w:left="240" w:top="746" w:right="239" w:bottom="1440" w:gutter="0" w:footer="0" w:header="0"/>
        </w:sectPr>
      </w:pPr>
    </w:p>
    <w:bookmarkStart w:id="111" w:name="page112"/>
    <w:bookmarkEnd w:id="111"/>
    <w:p>
      <w:pPr>
        <w:spacing w:after="0"/>
        <w:rPr>
          <w:sz w:val="20"/>
          <w:szCs w:val="20"/>
          <w:color w:val="auto"/>
        </w:rPr>
      </w:pPr>
      <w:r>
        <w:rPr>
          <w:rFonts w:ascii="Arial" w:cs="Arial" w:eastAsia="Arial" w:hAnsi="Arial"/>
          <w:sz w:val="18"/>
          <w:szCs w:val="18"/>
          <w:color w:val="auto"/>
        </w:rPr>
        <w:t>The following table provides a reconciliation of changes in pension assets measured at fair value on a recurring basis, using Level 3 inputs:</w:t>
      </w:r>
    </w:p>
    <w:p>
      <w:pPr>
        <w:spacing w:after="0" w:line="199"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8800" w:type="dxa"/>
            <w:vAlign w:val="bottom"/>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2340" w:type="dxa"/>
            <w:vAlign w:val="bottom"/>
            <w:tcBorders>
              <w:bottom w:val="single" w:sz="8" w:color="auto"/>
            </w:tcBorders>
            <w:gridSpan w:val="3"/>
          </w:tcPr>
          <w:p>
            <w:pPr>
              <w:jc w:val="right"/>
              <w:ind w:right="459"/>
              <w:spacing w:after="0"/>
              <w:rPr>
                <w:sz w:val="20"/>
                <w:szCs w:val="20"/>
                <w:color w:val="auto"/>
              </w:rPr>
            </w:pPr>
            <w:r>
              <w:rPr>
                <w:rFonts w:ascii="Arial" w:cs="Arial" w:eastAsia="Arial" w:hAnsi="Arial"/>
                <w:sz w:val="14"/>
                <w:szCs w:val="14"/>
                <w:b w:val="1"/>
                <w:bCs w:val="1"/>
                <w:color w:val="auto"/>
              </w:rPr>
              <w:t>U.S. Stock Index Fund</w:t>
            </w:r>
          </w:p>
        </w:tc>
      </w:tr>
      <w:tr>
        <w:trPr>
          <w:trHeight w:val="250"/>
        </w:trPr>
        <w:tc>
          <w:tcPr>
            <w:tcW w:w="8800" w:type="dxa"/>
            <w:vAlign w:val="bottom"/>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2340" w:type="dxa"/>
            <w:vAlign w:val="bottom"/>
            <w:tcBorders>
              <w:bottom w:val="single" w:sz="8" w:color="auto"/>
            </w:tcBorders>
            <w:gridSpan w:val="3"/>
          </w:tcPr>
          <w:p>
            <w:pPr>
              <w:jc w:val="right"/>
              <w:ind w:right="359"/>
              <w:spacing w:after="0"/>
              <w:rPr>
                <w:sz w:val="20"/>
                <w:szCs w:val="20"/>
                <w:color w:val="auto"/>
              </w:rPr>
            </w:pPr>
            <w:r>
              <w:rPr>
                <w:rFonts w:ascii="Arial" w:cs="Arial" w:eastAsia="Arial" w:hAnsi="Arial"/>
                <w:sz w:val="14"/>
                <w:szCs w:val="14"/>
                <w:b w:val="1"/>
                <w:bCs w:val="1"/>
                <w:color w:val="auto"/>
              </w:rPr>
              <w:t>Year Ended December 31</w:t>
            </w:r>
          </w:p>
        </w:tc>
      </w:tr>
      <w:tr>
        <w:trPr>
          <w:trHeight w:val="263"/>
        </w:trPr>
        <w:tc>
          <w:tcPr>
            <w:tcW w:w="8800" w:type="dxa"/>
            <w:vAlign w:val="bottom"/>
            <w:tcBorders>
              <w:bottom w:val="single" w:sz="8" w:color="auto"/>
            </w:tcBorders>
          </w:tcPr>
          <w:p>
            <w:pPr>
              <w:ind w:left="40"/>
              <w:spacing w:after="0"/>
              <w:rPr>
                <w:sz w:val="20"/>
                <w:szCs w:val="20"/>
                <w:color w:val="auto"/>
              </w:rPr>
            </w:pPr>
            <w:r>
              <w:rPr>
                <w:rFonts w:ascii="Arial" w:cs="Arial" w:eastAsia="Arial" w:hAnsi="Arial"/>
                <w:sz w:val="16"/>
                <w:szCs w:val="16"/>
                <w:color w:val="auto"/>
              </w:rPr>
              <w:t>(in thousands)</w:t>
            </w:r>
          </w:p>
        </w:tc>
        <w:tc>
          <w:tcPr>
            <w:tcW w:w="28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ind w:right="421"/>
              <w:spacing w:after="0"/>
              <w:rPr>
                <w:sz w:val="20"/>
                <w:szCs w:val="20"/>
                <w:color w:val="auto"/>
              </w:rPr>
            </w:pPr>
            <w:r>
              <w:rPr>
                <w:rFonts w:ascii="Arial" w:cs="Arial" w:eastAsia="Arial" w:hAnsi="Arial"/>
                <w:sz w:val="16"/>
                <w:szCs w:val="16"/>
                <w:b w:val="1"/>
                <w:bCs w:val="1"/>
                <w:color w:val="auto"/>
              </w:rPr>
              <w:t>2017</w:t>
            </w:r>
          </w:p>
        </w:tc>
        <w:tc>
          <w:tcPr>
            <w:tcW w:w="34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ind w:right="359"/>
              <w:spacing w:after="0"/>
              <w:rPr>
                <w:sz w:val="20"/>
                <w:szCs w:val="20"/>
                <w:color w:val="auto"/>
              </w:rPr>
            </w:pPr>
            <w:r>
              <w:rPr>
                <w:rFonts w:ascii="Arial" w:cs="Arial" w:eastAsia="Arial" w:hAnsi="Arial"/>
                <w:sz w:val="16"/>
                <w:szCs w:val="16"/>
                <w:b w:val="1"/>
                <w:bCs w:val="1"/>
                <w:color w:val="auto"/>
              </w:rPr>
              <w:t>2016</w:t>
            </w:r>
          </w:p>
        </w:tc>
      </w:tr>
      <w:tr>
        <w:trPr>
          <w:trHeight w:val="251"/>
        </w:trPr>
        <w:tc>
          <w:tcPr>
            <w:tcW w:w="8800" w:type="dxa"/>
            <w:vAlign w:val="bottom"/>
          </w:tcPr>
          <w:p>
            <w:pPr>
              <w:ind w:left="40"/>
              <w:spacing w:after="0"/>
              <w:rPr>
                <w:sz w:val="20"/>
                <w:szCs w:val="20"/>
                <w:color w:val="auto"/>
              </w:rPr>
            </w:pPr>
            <w:r>
              <w:rPr>
                <w:rFonts w:ascii="Arial" w:cs="Arial" w:eastAsia="Arial" w:hAnsi="Arial"/>
                <w:sz w:val="16"/>
                <w:szCs w:val="16"/>
                <w:b w:val="1"/>
                <w:bCs w:val="1"/>
                <w:color w:val="auto"/>
              </w:rPr>
              <w:t>Balance at Beginning of Year</w:t>
            </w:r>
          </w:p>
        </w:tc>
        <w:tc>
          <w:tcPr>
            <w:tcW w:w="280" w:type="dxa"/>
            <w:vAlign w:val="bottom"/>
          </w:tcPr>
          <w:p>
            <w:pPr>
              <w:jc w:val="right"/>
              <w:ind w:right="79"/>
              <w:spacing w:after="0"/>
              <w:rPr>
                <w:sz w:val="20"/>
                <w:szCs w:val="20"/>
                <w:color w:val="auto"/>
              </w:rPr>
            </w:pPr>
            <w:r>
              <w:rPr>
                <w:rFonts w:ascii="Arial" w:cs="Arial" w:eastAsia="Arial" w:hAnsi="Arial"/>
                <w:sz w:val="16"/>
                <w:szCs w:val="16"/>
                <w:b w:val="1"/>
                <w:bCs w:val="1"/>
                <w:color w:val="auto"/>
              </w:rPr>
              <w:t>$</w:t>
            </w:r>
          </w:p>
        </w:tc>
        <w:tc>
          <w:tcPr>
            <w:tcW w:w="1020" w:type="dxa"/>
            <w:vAlign w:val="bottom"/>
          </w:tcPr>
          <w:p>
            <w:pPr>
              <w:jc w:val="right"/>
              <w:ind w:right="81"/>
              <w:spacing w:after="0"/>
              <w:rPr>
                <w:sz w:val="20"/>
                <w:szCs w:val="20"/>
                <w:color w:val="auto"/>
              </w:rPr>
            </w:pPr>
            <w:r>
              <w:rPr>
                <w:rFonts w:ascii="Arial" w:cs="Arial" w:eastAsia="Arial" w:hAnsi="Arial"/>
                <w:sz w:val="16"/>
                <w:szCs w:val="16"/>
                <w:b w:val="1"/>
                <w:bCs w:val="1"/>
                <w:color w:val="auto"/>
              </w:rPr>
              <w:t>622,865</w:t>
            </w:r>
          </w:p>
        </w:tc>
        <w:tc>
          <w:tcPr>
            <w:tcW w:w="340" w:type="dxa"/>
            <w:vAlign w:val="bottom"/>
          </w:tcPr>
          <w:p>
            <w:pPr>
              <w:jc w:val="right"/>
              <w:ind w:right="79"/>
              <w:spacing w:after="0"/>
              <w:rPr>
                <w:sz w:val="20"/>
                <w:szCs w:val="20"/>
                <w:color w:val="auto"/>
              </w:rPr>
            </w:pPr>
            <w:r>
              <w:rPr>
                <w:rFonts w:ascii="Arial" w:cs="Arial" w:eastAsia="Arial" w:hAnsi="Arial"/>
                <w:sz w:val="16"/>
                <w:szCs w:val="16"/>
                <w:b w:val="1"/>
                <w:bCs w:val="1"/>
                <w:color w:val="auto"/>
              </w:rPr>
              <w:t>$</w:t>
            </w:r>
          </w:p>
        </w:tc>
        <w:tc>
          <w:tcPr>
            <w:tcW w:w="980" w:type="dxa"/>
            <w:vAlign w:val="bottom"/>
          </w:tcPr>
          <w:p>
            <w:pPr>
              <w:jc w:val="right"/>
              <w:ind w:right="19"/>
              <w:spacing w:after="0"/>
              <w:rPr>
                <w:sz w:val="20"/>
                <w:szCs w:val="20"/>
                <w:color w:val="auto"/>
              </w:rPr>
            </w:pPr>
            <w:r>
              <w:rPr>
                <w:rFonts w:ascii="Arial" w:cs="Arial" w:eastAsia="Arial" w:hAnsi="Arial"/>
                <w:sz w:val="16"/>
                <w:szCs w:val="16"/>
                <w:b w:val="1"/>
                <w:bCs w:val="1"/>
                <w:color w:val="auto"/>
              </w:rPr>
              <w:t>—</w:t>
            </w:r>
          </w:p>
        </w:tc>
      </w:tr>
      <w:tr>
        <w:trPr>
          <w:trHeight w:val="270"/>
        </w:trPr>
        <w:tc>
          <w:tcPr>
            <w:tcW w:w="8800" w:type="dxa"/>
            <w:vAlign w:val="bottom"/>
          </w:tcPr>
          <w:p>
            <w:pPr>
              <w:ind w:left="40"/>
              <w:spacing w:after="0"/>
              <w:rPr>
                <w:sz w:val="20"/>
                <w:szCs w:val="20"/>
                <w:color w:val="auto"/>
              </w:rPr>
            </w:pPr>
            <w:r>
              <w:rPr>
                <w:rFonts w:ascii="Arial" w:cs="Arial" w:eastAsia="Arial" w:hAnsi="Arial"/>
                <w:sz w:val="16"/>
                <w:szCs w:val="16"/>
                <w:color w:val="auto"/>
              </w:rPr>
              <w:t>Purchases, sales, and settlements, net</w:t>
            </w:r>
          </w:p>
        </w:tc>
        <w:tc>
          <w:tcPr>
            <w:tcW w:w="280" w:type="dxa"/>
            <w:vAlign w:val="bottom"/>
          </w:tcPr>
          <w:p>
            <w:pPr>
              <w:spacing w:after="0"/>
              <w:rPr>
                <w:sz w:val="23"/>
                <w:szCs w:val="23"/>
                <w:color w:val="auto"/>
              </w:rPr>
            </w:pPr>
          </w:p>
        </w:tc>
        <w:tc>
          <w:tcPr>
            <w:tcW w:w="1020" w:type="dxa"/>
            <w:vAlign w:val="bottom"/>
          </w:tcPr>
          <w:p>
            <w:pPr>
              <w:jc w:val="right"/>
              <w:ind w:right="21"/>
              <w:spacing w:after="0"/>
              <w:rPr>
                <w:sz w:val="20"/>
                <w:szCs w:val="20"/>
                <w:color w:val="auto"/>
              </w:rPr>
            </w:pPr>
            <w:r>
              <w:rPr>
                <w:rFonts w:ascii="Arial" w:cs="Arial" w:eastAsia="Arial" w:hAnsi="Arial"/>
                <w:sz w:val="16"/>
                <w:szCs w:val="16"/>
                <w:color w:val="auto"/>
              </w:rPr>
              <w:t>(50,000)</w:t>
            </w:r>
          </w:p>
        </w:tc>
        <w:tc>
          <w:tcPr>
            <w:tcW w:w="340" w:type="dxa"/>
            <w:vAlign w:val="bottom"/>
          </w:tcPr>
          <w:p>
            <w:pPr>
              <w:spacing w:after="0"/>
              <w:rPr>
                <w:sz w:val="23"/>
                <w:szCs w:val="23"/>
                <w:color w:val="auto"/>
              </w:rPr>
            </w:pPr>
          </w:p>
        </w:tc>
        <w:tc>
          <w:tcPr>
            <w:tcW w:w="980" w:type="dxa"/>
            <w:vAlign w:val="bottom"/>
          </w:tcPr>
          <w:p>
            <w:pPr>
              <w:jc w:val="right"/>
              <w:ind w:right="19"/>
              <w:spacing w:after="0"/>
              <w:rPr>
                <w:sz w:val="20"/>
                <w:szCs w:val="20"/>
                <w:color w:val="auto"/>
              </w:rPr>
            </w:pPr>
            <w:r>
              <w:rPr>
                <w:rFonts w:ascii="Arial" w:cs="Arial" w:eastAsia="Arial" w:hAnsi="Arial"/>
                <w:sz w:val="16"/>
                <w:szCs w:val="16"/>
                <w:color w:val="auto"/>
              </w:rPr>
              <w:t>574,000</w:t>
            </w:r>
          </w:p>
        </w:tc>
      </w:tr>
      <w:tr>
        <w:trPr>
          <w:trHeight w:val="270"/>
        </w:trPr>
        <w:tc>
          <w:tcPr>
            <w:tcW w:w="8800" w:type="dxa"/>
            <w:vAlign w:val="bottom"/>
          </w:tcPr>
          <w:p>
            <w:pPr>
              <w:ind w:left="40"/>
              <w:spacing w:after="0"/>
              <w:rPr>
                <w:sz w:val="20"/>
                <w:szCs w:val="20"/>
                <w:color w:val="auto"/>
              </w:rPr>
            </w:pPr>
            <w:r>
              <w:rPr>
                <w:rFonts w:ascii="Arial" w:cs="Arial" w:eastAsia="Arial" w:hAnsi="Arial"/>
                <w:sz w:val="16"/>
                <w:szCs w:val="16"/>
                <w:color w:val="auto"/>
              </w:rPr>
              <w:t>Actual return on plan assets:</w:t>
            </w:r>
          </w:p>
        </w:tc>
        <w:tc>
          <w:tcPr>
            <w:tcW w:w="280" w:type="dxa"/>
            <w:vAlign w:val="bottom"/>
          </w:tcPr>
          <w:p>
            <w:pPr>
              <w:spacing w:after="0"/>
              <w:rPr>
                <w:sz w:val="23"/>
                <w:szCs w:val="23"/>
                <w:color w:val="auto"/>
              </w:rPr>
            </w:pPr>
          </w:p>
        </w:tc>
        <w:tc>
          <w:tcPr>
            <w:tcW w:w="102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980" w:type="dxa"/>
            <w:vAlign w:val="bottom"/>
          </w:tcPr>
          <w:p>
            <w:pPr>
              <w:spacing w:after="0"/>
              <w:rPr>
                <w:sz w:val="23"/>
                <w:szCs w:val="23"/>
                <w:color w:val="auto"/>
              </w:rPr>
            </w:pPr>
          </w:p>
        </w:tc>
      </w:tr>
      <w:tr>
        <w:trPr>
          <w:trHeight w:val="270"/>
        </w:trPr>
        <w:tc>
          <w:tcPr>
            <w:tcW w:w="8800" w:type="dxa"/>
            <w:vAlign w:val="bottom"/>
          </w:tcPr>
          <w:p>
            <w:pPr>
              <w:ind w:left="280"/>
              <w:spacing w:after="0"/>
              <w:rPr>
                <w:sz w:val="20"/>
                <w:szCs w:val="20"/>
                <w:color w:val="auto"/>
              </w:rPr>
            </w:pPr>
            <w:r>
              <w:rPr>
                <w:rFonts w:ascii="Arial" w:cs="Arial" w:eastAsia="Arial" w:hAnsi="Arial"/>
                <w:sz w:val="16"/>
                <w:szCs w:val="16"/>
                <w:color w:val="auto"/>
              </w:rPr>
              <w:t>Gains relating to assets sold</w:t>
            </w:r>
          </w:p>
        </w:tc>
        <w:tc>
          <w:tcPr>
            <w:tcW w:w="280" w:type="dxa"/>
            <w:vAlign w:val="bottom"/>
          </w:tcPr>
          <w:p>
            <w:pPr>
              <w:spacing w:after="0"/>
              <w:rPr>
                <w:sz w:val="23"/>
                <w:szCs w:val="23"/>
                <w:color w:val="auto"/>
              </w:rPr>
            </w:pPr>
          </w:p>
        </w:tc>
        <w:tc>
          <w:tcPr>
            <w:tcW w:w="1020" w:type="dxa"/>
            <w:vAlign w:val="bottom"/>
          </w:tcPr>
          <w:p>
            <w:pPr>
              <w:jc w:val="right"/>
              <w:ind w:right="81"/>
              <w:spacing w:after="0"/>
              <w:rPr>
                <w:sz w:val="20"/>
                <w:szCs w:val="20"/>
                <w:color w:val="auto"/>
              </w:rPr>
            </w:pPr>
            <w:r>
              <w:rPr>
                <w:rFonts w:ascii="Arial" w:cs="Arial" w:eastAsia="Arial" w:hAnsi="Arial"/>
                <w:sz w:val="16"/>
                <w:szCs w:val="16"/>
                <w:color w:val="auto"/>
              </w:rPr>
              <w:t>6,796</w:t>
            </w:r>
          </w:p>
        </w:tc>
        <w:tc>
          <w:tcPr>
            <w:tcW w:w="340" w:type="dxa"/>
            <w:vAlign w:val="bottom"/>
          </w:tcPr>
          <w:p>
            <w:pPr>
              <w:spacing w:after="0"/>
              <w:rPr>
                <w:sz w:val="23"/>
                <w:szCs w:val="23"/>
                <w:color w:val="auto"/>
              </w:rPr>
            </w:pPr>
          </w:p>
        </w:tc>
        <w:tc>
          <w:tcPr>
            <w:tcW w:w="980" w:type="dxa"/>
            <w:vAlign w:val="bottom"/>
          </w:tcPr>
          <w:p>
            <w:pPr>
              <w:jc w:val="right"/>
              <w:ind w:right="19"/>
              <w:spacing w:after="0"/>
              <w:rPr>
                <w:sz w:val="20"/>
                <w:szCs w:val="20"/>
                <w:color w:val="auto"/>
              </w:rPr>
            </w:pPr>
            <w:r>
              <w:rPr>
                <w:rFonts w:ascii="Arial" w:cs="Arial" w:eastAsia="Arial" w:hAnsi="Arial"/>
                <w:sz w:val="16"/>
                <w:szCs w:val="16"/>
                <w:color w:val="auto"/>
              </w:rPr>
              <w:t>—</w:t>
            </w:r>
          </w:p>
        </w:tc>
      </w:tr>
      <w:tr>
        <w:trPr>
          <w:trHeight w:val="283"/>
        </w:trPr>
        <w:tc>
          <w:tcPr>
            <w:tcW w:w="8800" w:type="dxa"/>
            <w:vAlign w:val="bottom"/>
          </w:tcPr>
          <w:p>
            <w:pPr>
              <w:ind w:left="280"/>
              <w:spacing w:after="0"/>
              <w:rPr>
                <w:sz w:val="20"/>
                <w:szCs w:val="20"/>
                <w:color w:val="auto"/>
              </w:rPr>
            </w:pPr>
            <w:r>
              <w:rPr>
                <w:rFonts w:ascii="Arial" w:cs="Arial" w:eastAsia="Arial" w:hAnsi="Arial"/>
                <w:sz w:val="16"/>
                <w:szCs w:val="16"/>
                <w:color w:val="auto"/>
              </w:rPr>
              <w:t>Gains relating to assets still held at year-end</w:t>
            </w:r>
          </w:p>
        </w:tc>
        <w:tc>
          <w:tcPr>
            <w:tcW w:w="28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jc w:val="right"/>
              <w:ind w:right="81"/>
              <w:spacing w:after="0"/>
              <w:rPr>
                <w:sz w:val="20"/>
                <w:szCs w:val="20"/>
                <w:color w:val="auto"/>
              </w:rPr>
            </w:pPr>
            <w:r>
              <w:rPr>
                <w:rFonts w:ascii="Arial" w:cs="Arial" w:eastAsia="Arial" w:hAnsi="Arial"/>
                <w:sz w:val="16"/>
                <w:szCs w:val="16"/>
                <w:color w:val="auto"/>
              </w:rPr>
              <w:t>126,541</w:t>
            </w:r>
          </w:p>
        </w:tc>
        <w:tc>
          <w:tcPr>
            <w:tcW w:w="34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48,865</w:t>
            </w:r>
          </w:p>
        </w:tc>
      </w:tr>
      <w:tr>
        <w:trPr>
          <w:trHeight w:val="267"/>
        </w:trPr>
        <w:tc>
          <w:tcPr>
            <w:tcW w:w="8800" w:type="dxa"/>
            <w:vAlign w:val="bottom"/>
          </w:tcPr>
          <w:p>
            <w:pPr>
              <w:ind w:left="40"/>
              <w:spacing w:after="0"/>
              <w:rPr>
                <w:sz w:val="20"/>
                <w:szCs w:val="20"/>
                <w:color w:val="auto"/>
              </w:rPr>
            </w:pPr>
            <w:r>
              <w:rPr>
                <w:rFonts w:ascii="Arial" w:cs="Arial" w:eastAsia="Arial" w:hAnsi="Arial"/>
                <w:sz w:val="16"/>
                <w:szCs w:val="16"/>
                <w:b w:val="1"/>
                <w:bCs w:val="1"/>
                <w:color w:val="auto"/>
              </w:rPr>
              <w:t>Balance at End of Year</w:t>
            </w:r>
          </w:p>
        </w:tc>
        <w:tc>
          <w:tcPr>
            <w:tcW w:w="28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b w:val="1"/>
                <w:bCs w:val="1"/>
                <w:color w:val="auto"/>
              </w:rPr>
              <w:t>$</w:t>
            </w:r>
          </w:p>
        </w:tc>
        <w:tc>
          <w:tcPr>
            <w:tcW w:w="1020" w:type="dxa"/>
            <w:vAlign w:val="bottom"/>
            <w:tcBorders>
              <w:bottom w:val="single" w:sz="8" w:color="auto"/>
            </w:tcBorders>
          </w:tcPr>
          <w:p>
            <w:pPr>
              <w:jc w:val="right"/>
              <w:ind w:right="81"/>
              <w:spacing w:after="0"/>
              <w:rPr>
                <w:sz w:val="20"/>
                <w:szCs w:val="20"/>
                <w:color w:val="auto"/>
              </w:rPr>
            </w:pPr>
            <w:r>
              <w:rPr>
                <w:rFonts w:ascii="Arial" w:cs="Arial" w:eastAsia="Arial" w:hAnsi="Arial"/>
                <w:sz w:val="16"/>
                <w:szCs w:val="16"/>
                <w:b w:val="1"/>
                <w:bCs w:val="1"/>
                <w:color w:val="auto"/>
              </w:rPr>
              <w:t>706,202</w:t>
            </w:r>
          </w:p>
        </w:tc>
        <w:tc>
          <w:tcPr>
            <w:tcW w:w="34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b w:val="1"/>
                <w:bCs w:val="1"/>
                <w:color w:val="auto"/>
              </w:rPr>
              <w:t>$</w:t>
            </w:r>
          </w:p>
        </w:tc>
        <w:tc>
          <w:tcPr>
            <w:tcW w:w="98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b w:val="1"/>
                <w:bCs w:val="1"/>
                <w:color w:val="auto"/>
              </w:rPr>
              <w:t>622,865</w:t>
            </w:r>
          </w:p>
        </w:tc>
      </w:tr>
      <w:tr>
        <w:trPr>
          <w:trHeight w:val="20"/>
        </w:trPr>
        <w:tc>
          <w:tcPr>
            <w:tcW w:w="88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r>
    </w:tbl>
    <w:p>
      <w:pPr>
        <w:spacing w:after="0" w:line="126" w:lineRule="exact"/>
        <w:rPr>
          <w:sz w:val="20"/>
          <w:szCs w:val="20"/>
          <w:color w:val="auto"/>
        </w:rPr>
      </w:pPr>
    </w:p>
    <w:p>
      <w:pPr>
        <w:ind w:right="200"/>
        <w:spacing w:after="0" w:line="256" w:lineRule="auto"/>
        <w:rPr>
          <w:sz w:val="20"/>
          <w:szCs w:val="20"/>
          <w:color w:val="auto"/>
        </w:rPr>
      </w:pPr>
      <w:r>
        <w:rPr>
          <w:rFonts w:ascii="Arial" w:cs="Arial" w:eastAsia="Arial" w:hAnsi="Arial"/>
          <w:sz w:val="18"/>
          <w:szCs w:val="18"/>
          <w:b w:val="1"/>
          <w:bCs w:val="1"/>
          <w:color w:val="auto"/>
        </w:rPr>
        <w:t xml:space="preserve">Other Postretirement Plans. </w:t>
      </w:r>
      <w:r>
        <w:rPr>
          <w:rFonts w:ascii="Arial" w:cs="Arial" w:eastAsia="Arial" w:hAnsi="Arial"/>
          <w:sz w:val="18"/>
          <w:szCs w:val="18"/>
          <w:color w:val="auto"/>
        </w:rPr>
        <w:t>The following table sets forth obligation, asset and funding information for the Company’s other postretirement</w:t>
      </w:r>
      <w:r>
        <w:rPr>
          <w:rFonts w:ascii="Arial" w:cs="Arial" w:eastAsia="Arial" w:hAnsi="Arial"/>
          <w:sz w:val="18"/>
          <w:szCs w:val="18"/>
          <w:b w:val="1"/>
          <w:bCs w:val="1"/>
          <w:color w:val="auto"/>
        </w:rPr>
        <w:t xml:space="preserve"> </w:t>
      </w:r>
      <w:r>
        <w:rPr>
          <w:rFonts w:ascii="Arial" w:cs="Arial" w:eastAsia="Arial" w:hAnsi="Arial"/>
          <w:sz w:val="18"/>
          <w:szCs w:val="18"/>
          <w:color w:val="auto"/>
        </w:rPr>
        <w:t>plans:</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926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920" w:type="dxa"/>
            <w:vAlign w:val="bottom"/>
            <w:tcBorders>
              <w:bottom w:val="single" w:sz="8" w:color="auto"/>
            </w:tcBorders>
            <w:gridSpan w:val="3"/>
          </w:tcPr>
          <w:p>
            <w:pPr>
              <w:jc w:val="right"/>
              <w:ind w:right="260"/>
              <w:spacing w:after="0"/>
              <w:rPr>
                <w:sz w:val="20"/>
                <w:szCs w:val="20"/>
                <w:color w:val="auto"/>
              </w:rPr>
            </w:pPr>
            <w:r>
              <w:rPr>
                <w:rFonts w:ascii="Arial" w:cs="Arial" w:eastAsia="Arial" w:hAnsi="Arial"/>
                <w:sz w:val="14"/>
                <w:szCs w:val="14"/>
                <w:b w:val="1"/>
                <w:bCs w:val="1"/>
                <w:color w:val="auto"/>
              </w:rPr>
              <w:t>Postretirement Plans</w:t>
            </w:r>
          </w:p>
        </w:tc>
      </w:tr>
      <w:tr>
        <w:trPr>
          <w:trHeight w:val="250"/>
        </w:trPr>
        <w:tc>
          <w:tcPr>
            <w:tcW w:w="9260" w:type="dxa"/>
            <w:vAlign w:val="bottom"/>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1920" w:type="dxa"/>
            <w:vAlign w:val="bottom"/>
            <w:tcBorders>
              <w:bottom w:val="single" w:sz="8" w:color="auto"/>
            </w:tcBorders>
            <w:gridSpan w:val="3"/>
          </w:tcPr>
          <w:p>
            <w:pPr>
              <w:jc w:val="right"/>
              <w:ind w:right="340"/>
              <w:spacing w:after="0"/>
              <w:rPr>
                <w:sz w:val="20"/>
                <w:szCs w:val="20"/>
                <w:color w:val="auto"/>
              </w:rPr>
            </w:pPr>
            <w:r>
              <w:rPr>
                <w:rFonts w:ascii="Arial" w:cs="Arial" w:eastAsia="Arial" w:hAnsi="Arial"/>
                <w:sz w:val="14"/>
                <w:szCs w:val="14"/>
                <w:b w:val="1"/>
                <w:bCs w:val="1"/>
                <w:color w:val="auto"/>
              </w:rPr>
              <w:t>As of December 31</w:t>
            </w:r>
          </w:p>
        </w:tc>
      </w:tr>
      <w:tr>
        <w:trPr>
          <w:trHeight w:val="264"/>
        </w:trPr>
        <w:tc>
          <w:tcPr>
            <w:tcW w:w="926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(in thousands)</w:t>
            </w:r>
          </w:p>
        </w:tc>
        <w:tc>
          <w:tcPr>
            <w:tcW w:w="240" w:type="dxa"/>
            <w:vAlign w:val="bottom"/>
            <w:tcBorders>
              <w:bottom w:val="single" w:sz="8" w:color="auto"/>
            </w:tcBorders>
          </w:tcPr>
          <w:p>
            <w:pPr>
              <w:spacing w:after="0"/>
              <w:rPr>
                <w:sz w:val="22"/>
                <w:szCs w:val="22"/>
                <w:color w:val="auto"/>
              </w:rPr>
            </w:pPr>
          </w:p>
        </w:tc>
        <w:tc>
          <w:tcPr>
            <w:tcW w:w="820" w:type="dxa"/>
            <w:vAlign w:val="bottom"/>
            <w:tcBorders>
              <w:bottom w:val="single" w:sz="8" w:color="auto"/>
            </w:tcBorders>
          </w:tcPr>
          <w:p>
            <w:pPr>
              <w:jc w:val="right"/>
              <w:ind w:right="301"/>
              <w:spacing w:after="0"/>
              <w:rPr>
                <w:sz w:val="20"/>
                <w:szCs w:val="20"/>
                <w:color w:val="auto"/>
              </w:rPr>
            </w:pPr>
            <w:r>
              <w:rPr>
                <w:rFonts w:ascii="Arial" w:cs="Arial" w:eastAsia="Arial" w:hAnsi="Arial"/>
                <w:sz w:val="14"/>
                <w:szCs w:val="14"/>
                <w:b w:val="1"/>
                <w:bCs w:val="1"/>
                <w:color w:val="auto"/>
              </w:rPr>
              <w:t>2017</w:t>
            </w:r>
          </w:p>
        </w:tc>
        <w:tc>
          <w:tcPr>
            <w:tcW w:w="300" w:type="dxa"/>
            <w:vAlign w:val="bottom"/>
            <w:tcBorders>
              <w:bottom w:val="single" w:sz="8" w:color="auto"/>
            </w:tcBorders>
          </w:tcPr>
          <w:p>
            <w:pPr>
              <w:spacing w:after="0"/>
              <w:rPr>
                <w:sz w:val="22"/>
                <w:szCs w:val="22"/>
                <w:color w:val="auto"/>
              </w:rPr>
            </w:pPr>
          </w:p>
        </w:tc>
        <w:tc>
          <w:tcPr>
            <w:tcW w:w="800" w:type="dxa"/>
            <w:vAlign w:val="bottom"/>
            <w:tcBorders>
              <w:bottom w:val="single" w:sz="8" w:color="auto"/>
            </w:tcBorders>
          </w:tcPr>
          <w:p>
            <w:pPr>
              <w:jc w:val="right"/>
              <w:ind w:right="280"/>
              <w:spacing w:after="0"/>
              <w:rPr>
                <w:sz w:val="20"/>
                <w:szCs w:val="20"/>
                <w:color w:val="auto"/>
              </w:rPr>
            </w:pPr>
            <w:r>
              <w:rPr>
                <w:rFonts w:ascii="Arial" w:cs="Arial" w:eastAsia="Arial" w:hAnsi="Arial"/>
                <w:sz w:val="14"/>
                <w:szCs w:val="14"/>
                <w:color w:val="auto"/>
              </w:rPr>
              <w:t>2016</w:t>
            </w:r>
          </w:p>
        </w:tc>
      </w:tr>
      <w:tr>
        <w:trPr>
          <w:trHeight w:val="250"/>
        </w:trPr>
        <w:tc>
          <w:tcPr>
            <w:tcW w:w="9260" w:type="dxa"/>
            <w:vAlign w:val="bottom"/>
          </w:tcPr>
          <w:p>
            <w:pPr>
              <w:ind w:left="40"/>
              <w:spacing w:after="0"/>
              <w:rPr>
                <w:sz w:val="20"/>
                <w:szCs w:val="20"/>
                <w:color w:val="auto"/>
              </w:rPr>
            </w:pPr>
            <w:r>
              <w:rPr>
                <w:rFonts w:ascii="Arial" w:cs="Arial" w:eastAsia="Arial" w:hAnsi="Arial"/>
                <w:sz w:val="16"/>
                <w:szCs w:val="16"/>
                <w:b w:val="1"/>
                <w:bCs w:val="1"/>
                <w:color w:val="auto"/>
              </w:rPr>
              <w:t>Change in Benefit Obligation</w:t>
            </w:r>
          </w:p>
        </w:tc>
        <w:tc>
          <w:tcPr>
            <w:tcW w:w="24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800" w:type="dxa"/>
            <w:vAlign w:val="bottom"/>
          </w:tcPr>
          <w:p>
            <w:pPr>
              <w:spacing w:after="0"/>
              <w:rPr>
                <w:sz w:val="21"/>
                <w:szCs w:val="21"/>
                <w:color w:val="auto"/>
              </w:rPr>
            </w:pPr>
          </w:p>
        </w:tc>
      </w:tr>
      <w:tr>
        <w:trPr>
          <w:trHeight w:val="270"/>
        </w:trPr>
        <w:tc>
          <w:tcPr>
            <w:tcW w:w="9260" w:type="dxa"/>
            <w:vAlign w:val="bottom"/>
          </w:tcPr>
          <w:p>
            <w:pPr>
              <w:ind w:left="40"/>
              <w:spacing w:after="0"/>
              <w:rPr>
                <w:sz w:val="20"/>
                <w:szCs w:val="20"/>
                <w:color w:val="auto"/>
              </w:rPr>
            </w:pPr>
            <w:r>
              <w:rPr>
                <w:rFonts w:ascii="Arial" w:cs="Arial" w:eastAsia="Arial" w:hAnsi="Arial"/>
                <w:sz w:val="16"/>
                <w:szCs w:val="16"/>
                <w:color w:val="auto"/>
              </w:rPr>
              <w:t>Benefit obligation at beginning of year</w:t>
            </w:r>
          </w:p>
        </w:tc>
        <w:tc>
          <w:tcPr>
            <w:tcW w:w="240" w:type="dxa"/>
            <w:vAlign w:val="bottom"/>
          </w:tcPr>
          <w:p>
            <w:pPr>
              <w:jc w:val="right"/>
              <w:ind w:right="39"/>
              <w:spacing w:after="0"/>
              <w:rPr>
                <w:sz w:val="20"/>
                <w:szCs w:val="20"/>
                <w:color w:val="auto"/>
              </w:rPr>
            </w:pPr>
            <w:r>
              <w:rPr>
                <w:rFonts w:ascii="Arial" w:cs="Arial" w:eastAsia="Arial" w:hAnsi="Arial"/>
                <w:sz w:val="16"/>
                <w:szCs w:val="16"/>
                <w:b w:val="1"/>
                <w:bCs w:val="1"/>
                <w:color w:val="auto"/>
              </w:rPr>
              <w:t>$</w:t>
            </w:r>
          </w:p>
        </w:tc>
        <w:tc>
          <w:tcPr>
            <w:tcW w:w="820" w:type="dxa"/>
            <w:vAlign w:val="bottom"/>
          </w:tcPr>
          <w:p>
            <w:pPr>
              <w:jc w:val="right"/>
              <w:ind w:right="61"/>
              <w:spacing w:after="0"/>
              <w:rPr>
                <w:sz w:val="20"/>
                <w:szCs w:val="20"/>
                <w:color w:val="auto"/>
              </w:rPr>
            </w:pPr>
            <w:r>
              <w:rPr>
                <w:rFonts w:ascii="Arial" w:cs="Arial" w:eastAsia="Arial" w:hAnsi="Arial"/>
                <w:sz w:val="16"/>
                <w:szCs w:val="16"/>
                <w:b w:val="1"/>
                <w:bCs w:val="1"/>
                <w:color w:val="auto"/>
              </w:rPr>
              <w:t>24,171</w:t>
            </w:r>
          </w:p>
        </w:tc>
        <w:tc>
          <w:tcPr>
            <w:tcW w:w="30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800" w:type="dxa"/>
            <w:vAlign w:val="bottom"/>
          </w:tcPr>
          <w:p>
            <w:pPr>
              <w:jc w:val="right"/>
              <w:ind w:right="20"/>
              <w:spacing w:after="0"/>
              <w:rPr>
                <w:sz w:val="20"/>
                <w:szCs w:val="20"/>
                <w:color w:val="auto"/>
              </w:rPr>
            </w:pPr>
            <w:r>
              <w:rPr>
                <w:rFonts w:ascii="Arial" w:cs="Arial" w:eastAsia="Arial" w:hAnsi="Arial"/>
                <w:sz w:val="16"/>
                <w:szCs w:val="16"/>
                <w:color w:val="auto"/>
              </w:rPr>
              <w:t>37,391</w:t>
            </w:r>
          </w:p>
        </w:tc>
      </w:tr>
      <w:tr>
        <w:trPr>
          <w:trHeight w:val="270"/>
        </w:trPr>
        <w:tc>
          <w:tcPr>
            <w:tcW w:w="9260" w:type="dxa"/>
            <w:vAlign w:val="bottom"/>
          </w:tcPr>
          <w:p>
            <w:pPr>
              <w:ind w:left="40"/>
              <w:spacing w:after="0"/>
              <w:rPr>
                <w:sz w:val="20"/>
                <w:szCs w:val="20"/>
                <w:color w:val="auto"/>
              </w:rPr>
            </w:pPr>
            <w:r>
              <w:rPr>
                <w:rFonts w:ascii="Arial" w:cs="Arial" w:eastAsia="Arial" w:hAnsi="Arial"/>
                <w:sz w:val="16"/>
                <w:szCs w:val="16"/>
                <w:color w:val="auto"/>
              </w:rPr>
              <w:t>Service cost</w:t>
            </w:r>
          </w:p>
        </w:tc>
        <w:tc>
          <w:tcPr>
            <w:tcW w:w="240" w:type="dxa"/>
            <w:vAlign w:val="bottom"/>
          </w:tcPr>
          <w:p>
            <w:pPr>
              <w:spacing w:after="0"/>
              <w:rPr>
                <w:sz w:val="23"/>
                <w:szCs w:val="23"/>
                <w:color w:val="auto"/>
              </w:rPr>
            </w:pPr>
          </w:p>
        </w:tc>
        <w:tc>
          <w:tcPr>
            <w:tcW w:w="820" w:type="dxa"/>
            <w:vAlign w:val="bottom"/>
          </w:tcPr>
          <w:p>
            <w:pPr>
              <w:jc w:val="right"/>
              <w:ind w:right="61"/>
              <w:spacing w:after="0"/>
              <w:rPr>
                <w:sz w:val="20"/>
                <w:szCs w:val="20"/>
                <w:color w:val="auto"/>
              </w:rPr>
            </w:pPr>
            <w:r>
              <w:rPr>
                <w:rFonts w:ascii="Arial" w:cs="Arial" w:eastAsia="Arial" w:hAnsi="Arial"/>
                <w:sz w:val="16"/>
                <w:szCs w:val="16"/>
                <w:b w:val="1"/>
                <w:bCs w:val="1"/>
                <w:color w:val="auto"/>
              </w:rPr>
              <w:t>1,028</w:t>
            </w:r>
          </w:p>
        </w:tc>
        <w:tc>
          <w:tcPr>
            <w:tcW w:w="300" w:type="dxa"/>
            <w:vAlign w:val="bottom"/>
          </w:tcPr>
          <w:p>
            <w:pPr>
              <w:spacing w:after="0"/>
              <w:rPr>
                <w:sz w:val="23"/>
                <w:szCs w:val="23"/>
                <w:color w:val="auto"/>
              </w:rPr>
            </w:pPr>
          </w:p>
        </w:tc>
        <w:tc>
          <w:tcPr>
            <w:tcW w:w="800" w:type="dxa"/>
            <w:vAlign w:val="bottom"/>
          </w:tcPr>
          <w:p>
            <w:pPr>
              <w:jc w:val="right"/>
              <w:ind w:right="20"/>
              <w:spacing w:after="0"/>
              <w:rPr>
                <w:sz w:val="20"/>
                <w:szCs w:val="20"/>
                <w:color w:val="auto"/>
              </w:rPr>
            </w:pPr>
            <w:r>
              <w:rPr>
                <w:rFonts w:ascii="Arial" w:cs="Arial" w:eastAsia="Arial" w:hAnsi="Arial"/>
                <w:sz w:val="16"/>
                <w:szCs w:val="16"/>
                <w:color w:val="auto"/>
              </w:rPr>
              <w:t>1,386</w:t>
            </w:r>
          </w:p>
        </w:tc>
      </w:tr>
      <w:tr>
        <w:trPr>
          <w:trHeight w:val="270"/>
        </w:trPr>
        <w:tc>
          <w:tcPr>
            <w:tcW w:w="9260" w:type="dxa"/>
            <w:vAlign w:val="bottom"/>
          </w:tcPr>
          <w:p>
            <w:pPr>
              <w:ind w:left="40"/>
              <w:spacing w:after="0"/>
              <w:rPr>
                <w:sz w:val="20"/>
                <w:szCs w:val="20"/>
                <w:color w:val="auto"/>
              </w:rPr>
            </w:pPr>
            <w:r>
              <w:rPr>
                <w:rFonts w:ascii="Arial" w:cs="Arial" w:eastAsia="Arial" w:hAnsi="Arial"/>
                <w:sz w:val="16"/>
                <w:szCs w:val="16"/>
                <w:color w:val="auto"/>
              </w:rPr>
              <w:t>Interest cost</w:t>
            </w:r>
          </w:p>
        </w:tc>
        <w:tc>
          <w:tcPr>
            <w:tcW w:w="240" w:type="dxa"/>
            <w:vAlign w:val="bottom"/>
          </w:tcPr>
          <w:p>
            <w:pPr>
              <w:spacing w:after="0"/>
              <w:rPr>
                <w:sz w:val="23"/>
                <w:szCs w:val="23"/>
                <w:color w:val="auto"/>
              </w:rPr>
            </w:pPr>
          </w:p>
        </w:tc>
        <w:tc>
          <w:tcPr>
            <w:tcW w:w="820" w:type="dxa"/>
            <w:vAlign w:val="bottom"/>
          </w:tcPr>
          <w:p>
            <w:pPr>
              <w:jc w:val="right"/>
              <w:ind w:right="61"/>
              <w:spacing w:after="0"/>
              <w:rPr>
                <w:sz w:val="20"/>
                <w:szCs w:val="20"/>
                <w:color w:val="auto"/>
              </w:rPr>
            </w:pPr>
            <w:r>
              <w:rPr>
                <w:rFonts w:ascii="Arial" w:cs="Arial" w:eastAsia="Arial" w:hAnsi="Arial"/>
                <w:sz w:val="16"/>
                <w:szCs w:val="16"/>
                <w:b w:val="1"/>
                <w:bCs w:val="1"/>
                <w:color w:val="auto"/>
              </w:rPr>
              <w:t>779</w:t>
            </w:r>
          </w:p>
        </w:tc>
        <w:tc>
          <w:tcPr>
            <w:tcW w:w="300" w:type="dxa"/>
            <w:vAlign w:val="bottom"/>
          </w:tcPr>
          <w:p>
            <w:pPr>
              <w:spacing w:after="0"/>
              <w:rPr>
                <w:sz w:val="23"/>
                <w:szCs w:val="23"/>
                <w:color w:val="auto"/>
              </w:rPr>
            </w:pPr>
          </w:p>
        </w:tc>
        <w:tc>
          <w:tcPr>
            <w:tcW w:w="800" w:type="dxa"/>
            <w:vAlign w:val="bottom"/>
          </w:tcPr>
          <w:p>
            <w:pPr>
              <w:jc w:val="right"/>
              <w:ind w:right="20"/>
              <w:spacing w:after="0"/>
              <w:rPr>
                <w:sz w:val="20"/>
                <w:szCs w:val="20"/>
                <w:color w:val="auto"/>
              </w:rPr>
            </w:pPr>
            <w:r>
              <w:rPr>
                <w:rFonts w:ascii="Arial" w:cs="Arial" w:eastAsia="Arial" w:hAnsi="Arial"/>
                <w:sz w:val="16"/>
                <w:szCs w:val="16"/>
                <w:color w:val="auto"/>
              </w:rPr>
              <w:t>1,230</w:t>
            </w:r>
          </w:p>
        </w:tc>
      </w:tr>
      <w:tr>
        <w:trPr>
          <w:trHeight w:val="270"/>
        </w:trPr>
        <w:tc>
          <w:tcPr>
            <w:tcW w:w="9260" w:type="dxa"/>
            <w:vAlign w:val="bottom"/>
          </w:tcPr>
          <w:p>
            <w:pPr>
              <w:ind w:left="40"/>
              <w:spacing w:after="0"/>
              <w:rPr>
                <w:sz w:val="20"/>
                <w:szCs w:val="20"/>
                <w:color w:val="auto"/>
              </w:rPr>
            </w:pPr>
            <w:r>
              <w:rPr>
                <w:rFonts w:ascii="Arial" w:cs="Arial" w:eastAsia="Arial" w:hAnsi="Arial"/>
                <w:sz w:val="16"/>
                <w:szCs w:val="16"/>
                <w:color w:val="auto"/>
              </w:rPr>
              <w:t>Actuarial gain</w:t>
            </w:r>
          </w:p>
        </w:tc>
        <w:tc>
          <w:tcPr>
            <w:tcW w:w="240" w:type="dxa"/>
            <w:vAlign w:val="bottom"/>
          </w:tcPr>
          <w:p>
            <w:pPr>
              <w:spacing w:after="0"/>
              <w:rPr>
                <w:sz w:val="23"/>
                <w:szCs w:val="23"/>
                <w:color w:val="auto"/>
              </w:rPr>
            </w:pPr>
          </w:p>
        </w:tc>
        <w:tc>
          <w:tcPr>
            <w:tcW w:w="820" w:type="dxa"/>
            <w:vAlign w:val="bottom"/>
          </w:tcPr>
          <w:p>
            <w:pPr>
              <w:jc w:val="right"/>
              <w:ind w:right="1"/>
              <w:spacing w:after="0"/>
              <w:rPr>
                <w:sz w:val="20"/>
                <w:szCs w:val="20"/>
                <w:color w:val="auto"/>
              </w:rPr>
            </w:pPr>
            <w:r>
              <w:rPr>
                <w:rFonts w:ascii="Arial" w:cs="Arial" w:eastAsia="Arial" w:hAnsi="Arial"/>
                <w:sz w:val="16"/>
                <w:szCs w:val="16"/>
                <w:b w:val="1"/>
                <w:bCs w:val="1"/>
                <w:color w:val="auto"/>
              </w:rPr>
              <w:t>(2,830)</w:t>
            </w:r>
          </w:p>
        </w:tc>
        <w:tc>
          <w:tcPr>
            <w:tcW w:w="300" w:type="dxa"/>
            <w:vAlign w:val="bottom"/>
          </w:tcPr>
          <w:p>
            <w:pPr>
              <w:spacing w:after="0"/>
              <w:rPr>
                <w:sz w:val="23"/>
                <w:szCs w:val="23"/>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(14,984)</w:t>
            </w:r>
          </w:p>
        </w:tc>
      </w:tr>
      <w:tr>
        <w:trPr>
          <w:trHeight w:val="270"/>
        </w:trPr>
        <w:tc>
          <w:tcPr>
            <w:tcW w:w="9260" w:type="dxa"/>
            <w:vAlign w:val="bottom"/>
          </w:tcPr>
          <w:p>
            <w:pPr>
              <w:ind w:left="40"/>
              <w:spacing w:after="0"/>
              <w:rPr>
                <w:sz w:val="20"/>
                <w:szCs w:val="20"/>
                <w:color w:val="auto"/>
              </w:rPr>
            </w:pPr>
            <w:r>
              <w:rPr>
                <w:rFonts w:ascii="Arial" w:cs="Arial" w:eastAsia="Arial" w:hAnsi="Arial"/>
                <w:sz w:val="16"/>
                <w:szCs w:val="16"/>
                <w:color w:val="auto"/>
              </w:rPr>
              <w:t>Acquisitions</w:t>
            </w:r>
          </w:p>
        </w:tc>
        <w:tc>
          <w:tcPr>
            <w:tcW w:w="240" w:type="dxa"/>
            <w:vAlign w:val="bottom"/>
          </w:tcPr>
          <w:p>
            <w:pPr>
              <w:spacing w:after="0"/>
              <w:rPr>
                <w:sz w:val="23"/>
                <w:szCs w:val="23"/>
                <w:color w:val="auto"/>
              </w:rPr>
            </w:pPr>
          </w:p>
        </w:tc>
        <w:tc>
          <w:tcPr>
            <w:tcW w:w="820" w:type="dxa"/>
            <w:vAlign w:val="bottom"/>
          </w:tcPr>
          <w:p>
            <w:pPr>
              <w:jc w:val="right"/>
              <w:ind w:right="61"/>
              <w:spacing w:after="0"/>
              <w:rPr>
                <w:sz w:val="20"/>
                <w:szCs w:val="20"/>
                <w:color w:val="auto"/>
              </w:rPr>
            </w:pPr>
            <w:r>
              <w:rPr>
                <w:rFonts w:ascii="Arial" w:cs="Arial" w:eastAsia="Arial" w:hAnsi="Arial"/>
                <w:sz w:val="16"/>
                <w:szCs w:val="16"/>
                <w:b w:val="1"/>
                <w:bCs w:val="1"/>
                <w:color w:val="auto"/>
              </w:rPr>
              <w:t>516</w:t>
            </w:r>
          </w:p>
        </w:tc>
        <w:tc>
          <w:tcPr>
            <w:tcW w:w="300" w:type="dxa"/>
            <w:vAlign w:val="bottom"/>
          </w:tcPr>
          <w:p>
            <w:pPr>
              <w:spacing w:after="0"/>
              <w:rPr>
                <w:sz w:val="23"/>
                <w:szCs w:val="23"/>
                <w:color w:val="auto"/>
              </w:rPr>
            </w:pPr>
          </w:p>
        </w:tc>
        <w:tc>
          <w:tcPr>
            <w:tcW w:w="800" w:type="dxa"/>
            <w:vAlign w:val="bottom"/>
          </w:tcPr>
          <w:p>
            <w:pPr>
              <w:jc w:val="right"/>
              <w:ind w:right="20"/>
              <w:spacing w:after="0"/>
              <w:rPr>
                <w:sz w:val="20"/>
                <w:szCs w:val="20"/>
                <w:color w:val="auto"/>
              </w:rPr>
            </w:pPr>
            <w:r>
              <w:rPr>
                <w:rFonts w:ascii="Arial" w:cs="Arial" w:eastAsia="Arial" w:hAnsi="Arial"/>
                <w:sz w:val="16"/>
                <w:szCs w:val="16"/>
                <w:color w:val="auto"/>
              </w:rPr>
              <w:t>—</w:t>
            </w:r>
          </w:p>
        </w:tc>
      </w:tr>
      <w:tr>
        <w:trPr>
          <w:trHeight w:val="283"/>
        </w:trPr>
        <w:tc>
          <w:tcPr>
            <w:tcW w:w="9260" w:type="dxa"/>
            <w:vAlign w:val="bottom"/>
          </w:tcPr>
          <w:p>
            <w:pPr>
              <w:ind w:left="40"/>
              <w:spacing w:after="0"/>
              <w:rPr>
                <w:sz w:val="20"/>
                <w:szCs w:val="20"/>
                <w:color w:val="auto"/>
              </w:rPr>
            </w:pPr>
            <w:r>
              <w:rPr>
                <w:rFonts w:ascii="Arial" w:cs="Arial" w:eastAsia="Arial" w:hAnsi="Arial"/>
                <w:sz w:val="16"/>
                <w:szCs w:val="16"/>
                <w:color w:val="auto"/>
              </w:rPr>
              <w:t>Benefits paid, net of Medicare subsidy</w:t>
            </w:r>
          </w:p>
        </w:tc>
        <w:tc>
          <w:tcPr>
            <w:tcW w:w="24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b w:val="1"/>
                <w:bCs w:val="1"/>
                <w:color w:val="auto"/>
              </w:rPr>
              <w:t>(879)</w:t>
            </w:r>
          </w:p>
        </w:tc>
        <w:tc>
          <w:tcPr>
            <w:tcW w:w="30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(852)</w:t>
            </w:r>
          </w:p>
        </w:tc>
      </w:tr>
      <w:tr>
        <w:trPr>
          <w:trHeight w:val="264"/>
        </w:trPr>
        <w:tc>
          <w:tcPr>
            <w:tcW w:w="9260" w:type="dxa"/>
            <w:vAlign w:val="bottom"/>
          </w:tcPr>
          <w:p>
            <w:pPr>
              <w:ind w:left="40"/>
              <w:spacing w:after="0"/>
              <w:rPr>
                <w:sz w:val="20"/>
                <w:szCs w:val="20"/>
                <w:color w:val="auto"/>
              </w:rPr>
            </w:pPr>
            <w:r>
              <w:rPr>
                <w:rFonts w:ascii="Arial" w:cs="Arial" w:eastAsia="Arial" w:hAnsi="Arial"/>
                <w:sz w:val="16"/>
                <w:szCs w:val="16"/>
                <w:b w:val="1"/>
                <w:bCs w:val="1"/>
                <w:color w:val="auto"/>
              </w:rPr>
              <w:t>Benefit Obligation at End of Year</w:t>
            </w:r>
          </w:p>
        </w:tc>
        <w:tc>
          <w:tcPr>
            <w:tcW w:w="24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b w:val="1"/>
                <w:bCs w:val="1"/>
                <w:color w:val="auto"/>
              </w:rPr>
              <w:t>$</w:t>
            </w:r>
          </w:p>
        </w:tc>
        <w:tc>
          <w:tcPr>
            <w:tcW w:w="820" w:type="dxa"/>
            <w:vAlign w:val="bottom"/>
            <w:tcBorders>
              <w:bottom w:val="single" w:sz="8" w:color="auto"/>
            </w:tcBorders>
          </w:tcPr>
          <w:p>
            <w:pPr>
              <w:jc w:val="right"/>
              <w:ind w:right="61"/>
              <w:spacing w:after="0"/>
              <w:rPr>
                <w:sz w:val="20"/>
                <w:szCs w:val="20"/>
                <w:color w:val="auto"/>
              </w:rPr>
            </w:pPr>
            <w:r>
              <w:rPr>
                <w:rFonts w:ascii="Arial" w:cs="Arial" w:eastAsia="Arial" w:hAnsi="Arial"/>
                <w:sz w:val="16"/>
                <w:szCs w:val="16"/>
                <w:b w:val="1"/>
                <w:bCs w:val="1"/>
                <w:color w:val="auto"/>
              </w:rPr>
              <w:t>22,785</w:t>
            </w:r>
          </w:p>
        </w:tc>
        <w:tc>
          <w:tcPr>
            <w:tcW w:w="3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w:t>
            </w:r>
          </w:p>
        </w:tc>
        <w:tc>
          <w:tcPr>
            <w:tcW w:w="80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24,171</w:t>
            </w:r>
          </w:p>
        </w:tc>
      </w:tr>
      <w:tr>
        <w:trPr>
          <w:trHeight w:val="251"/>
        </w:trPr>
        <w:tc>
          <w:tcPr>
            <w:tcW w:w="9260" w:type="dxa"/>
            <w:vAlign w:val="bottom"/>
          </w:tcPr>
          <w:p>
            <w:pPr>
              <w:ind w:left="40"/>
              <w:spacing w:after="0"/>
              <w:rPr>
                <w:sz w:val="20"/>
                <w:szCs w:val="20"/>
                <w:color w:val="auto"/>
              </w:rPr>
            </w:pPr>
            <w:r>
              <w:rPr>
                <w:rFonts w:ascii="Arial" w:cs="Arial" w:eastAsia="Arial" w:hAnsi="Arial"/>
                <w:sz w:val="16"/>
                <w:szCs w:val="16"/>
                <w:b w:val="1"/>
                <w:bCs w:val="1"/>
                <w:color w:val="auto"/>
              </w:rPr>
              <w:t>Change in Plan Assets</w:t>
            </w:r>
          </w:p>
        </w:tc>
        <w:tc>
          <w:tcPr>
            <w:tcW w:w="24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800" w:type="dxa"/>
            <w:vAlign w:val="bottom"/>
          </w:tcPr>
          <w:p>
            <w:pPr>
              <w:spacing w:after="0"/>
              <w:rPr>
                <w:sz w:val="21"/>
                <w:szCs w:val="21"/>
                <w:color w:val="auto"/>
              </w:rPr>
            </w:pPr>
          </w:p>
        </w:tc>
      </w:tr>
      <w:tr>
        <w:trPr>
          <w:trHeight w:val="270"/>
        </w:trPr>
        <w:tc>
          <w:tcPr>
            <w:tcW w:w="9260" w:type="dxa"/>
            <w:vAlign w:val="bottom"/>
          </w:tcPr>
          <w:p>
            <w:pPr>
              <w:ind w:left="40"/>
              <w:spacing w:after="0"/>
              <w:rPr>
                <w:sz w:val="20"/>
                <w:szCs w:val="20"/>
                <w:color w:val="auto"/>
              </w:rPr>
            </w:pPr>
            <w:r>
              <w:rPr>
                <w:rFonts w:ascii="Arial" w:cs="Arial" w:eastAsia="Arial" w:hAnsi="Arial"/>
                <w:sz w:val="16"/>
                <w:szCs w:val="16"/>
                <w:color w:val="auto"/>
              </w:rPr>
              <w:t>Fair value of assets at beginning of year</w:t>
            </w:r>
          </w:p>
        </w:tc>
        <w:tc>
          <w:tcPr>
            <w:tcW w:w="240" w:type="dxa"/>
            <w:vAlign w:val="bottom"/>
          </w:tcPr>
          <w:p>
            <w:pPr>
              <w:jc w:val="right"/>
              <w:ind w:right="39"/>
              <w:spacing w:after="0"/>
              <w:rPr>
                <w:sz w:val="20"/>
                <w:szCs w:val="20"/>
                <w:color w:val="auto"/>
              </w:rPr>
            </w:pPr>
            <w:r>
              <w:rPr>
                <w:rFonts w:ascii="Arial" w:cs="Arial" w:eastAsia="Arial" w:hAnsi="Arial"/>
                <w:sz w:val="16"/>
                <w:szCs w:val="16"/>
                <w:b w:val="1"/>
                <w:bCs w:val="1"/>
                <w:color w:val="auto"/>
              </w:rPr>
              <w:t>$</w:t>
            </w:r>
          </w:p>
        </w:tc>
        <w:tc>
          <w:tcPr>
            <w:tcW w:w="820" w:type="dxa"/>
            <w:vAlign w:val="bottom"/>
          </w:tcPr>
          <w:p>
            <w:pPr>
              <w:jc w:val="right"/>
              <w:ind w:right="61"/>
              <w:spacing w:after="0"/>
              <w:rPr>
                <w:sz w:val="20"/>
                <w:szCs w:val="20"/>
                <w:color w:val="auto"/>
              </w:rPr>
            </w:pPr>
            <w:r>
              <w:rPr>
                <w:rFonts w:ascii="Arial" w:cs="Arial" w:eastAsia="Arial" w:hAnsi="Arial"/>
                <w:sz w:val="16"/>
                <w:szCs w:val="16"/>
                <w:b w:val="1"/>
                <w:bCs w:val="1"/>
                <w:color w:val="auto"/>
              </w:rPr>
              <w:t>—</w:t>
            </w:r>
          </w:p>
        </w:tc>
        <w:tc>
          <w:tcPr>
            <w:tcW w:w="300" w:type="dxa"/>
            <w:vAlign w:val="bottom"/>
          </w:tcPr>
          <w:p>
            <w:pPr>
              <w:jc w:val="right"/>
              <w:ind w:right="19"/>
              <w:spacing w:after="0"/>
              <w:rPr>
                <w:sz w:val="20"/>
                <w:szCs w:val="20"/>
                <w:color w:val="auto"/>
              </w:rPr>
            </w:pPr>
            <w:r>
              <w:rPr>
                <w:rFonts w:ascii="Arial" w:cs="Arial" w:eastAsia="Arial" w:hAnsi="Arial"/>
                <w:sz w:val="16"/>
                <w:szCs w:val="16"/>
                <w:b w:val="1"/>
                <w:bCs w:val="1"/>
                <w:color w:val="auto"/>
              </w:rPr>
              <w:t>$</w:t>
            </w:r>
          </w:p>
        </w:tc>
        <w:tc>
          <w:tcPr>
            <w:tcW w:w="800" w:type="dxa"/>
            <w:vAlign w:val="bottom"/>
          </w:tcPr>
          <w:p>
            <w:pPr>
              <w:jc w:val="right"/>
              <w:ind w:right="20"/>
              <w:spacing w:after="0"/>
              <w:rPr>
                <w:sz w:val="20"/>
                <w:szCs w:val="20"/>
                <w:color w:val="auto"/>
              </w:rPr>
            </w:pPr>
            <w:r>
              <w:rPr>
                <w:rFonts w:ascii="Arial" w:cs="Arial" w:eastAsia="Arial" w:hAnsi="Arial"/>
                <w:sz w:val="16"/>
                <w:szCs w:val="16"/>
                <w:b w:val="1"/>
                <w:bCs w:val="1"/>
                <w:color w:val="auto"/>
              </w:rPr>
              <w:t>—</w:t>
            </w:r>
          </w:p>
        </w:tc>
      </w:tr>
      <w:tr>
        <w:trPr>
          <w:trHeight w:val="270"/>
        </w:trPr>
        <w:tc>
          <w:tcPr>
            <w:tcW w:w="9260" w:type="dxa"/>
            <w:vAlign w:val="bottom"/>
          </w:tcPr>
          <w:p>
            <w:pPr>
              <w:ind w:left="40"/>
              <w:spacing w:after="0"/>
              <w:rPr>
                <w:sz w:val="20"/>
                <w:szCs w:val="20"/>
                <w:color w:val="auto"/>
              </w:rPr>
            </w:pPr>
            <w:r>
              <w:rPr>
                <w:rFonts w:ascii="Arial" w:cs="Arial" w:eastAsia="Arial" w:hAnsi="Arial"/>
                <w:sz w:val="16"/>
                <w:szCs w:val="16"/>
                <w:color w:val="auto"/>
              </w:rPr>
              <w:t>Employer contributions</w:t>
            </w:r>
          </w:p>
        </w:tc>
        <w:tc>
          <w:tcPr>
            <w:tcW w:w="240" w:type="dxa"/>
            <w:vAlign w:val="bottom"/>
          </w:tcPr>
          <w:p>
            <w:pPr>
              <w:spacing w:after="0"/>
              <w:rPr>
                <w:sz w:val="23"/>
                <w:szCs w:val="23"/>
                <w:color w:val="auto"/>
              </w:rPr>
            </w:pPr>
          </w:p>
        </w:tc>
        <w:tc>
          <w:tcPr>
            <w:tcW w:w="820" w:type="dxa"/>
            <w:vAlign w:val="bottom"/>
          </w:tcPr>
          <w:p>
            <w:pPr>
              <w:jc w:val="right"/>
              <w:ind w:right="61"/>
              <w:spacing w:after="0"/>
              <w:rPr>
                <w:sz w:val="20"/>
                <w:szCs w:val="20"/>
                <w:color w:val="auto"/>
              </w:rPr>
            </w:pPr>
            <w:r>
              <w:rPr>
                <w:rFonts w:ascii="Arial" w:cs="Arial" w:eastAsia="Arial" w:hAnsi="Arial"/>
                <w:sz w:val="16"/>
                <w:szCs w:val="16"/>
                <w:b w:val="1"/>
                <w:bCs w:val="1"/>
                <w:color w:val="auto"/>
              </w:rPr>
              <w:t>879</w:t>
            </w:r>
          </w:p>
        </w:tc>
        <w:tc>
          <w:tcPr>
            <w:tcW w:w="300" w:type="dxa"/>
            <w:vAlign w:val="bottom"/>
          </w:tcPr>
          <w:p>
            <w:pPr>
              <w:spacing w:after="0"/>
              <w:rPr>
                <w:sz w:val="23"/>
                <w:szCs w:val="23"/>
                <w:color w:val="auto"/>
              </w:rPr>
            </w:pPr>
          </w:p>
        </w:tc>
        <w:tc>
          <w:tcPr>
            <w:tcW w:w="800" w:type="dxa"/>
            <w:vAlign w:val="bottom"/>
          </w:tcPr>
          <w:p>
            <w:pPr>
              <w:jc w:val="right"/>
              <w:ind w:right="20"/>
              <w:spacing w:after="0"/>
              <w:rPr>
                <w:sz w:val="20"/>
                <w:szCs w:val="20"/>
                <w:color w:val="auto"/>
              </w:rPr>
            </w:pPr>
            <w:r>
              <w:rPr>
                <w:rFonts w:ascii="Arial" w:cs="Arial" w:eastAsia="Arial" w:hAnsi="Arial"/>
                <w:sz w:val="16"/>
                <w:szCs w:val="16"/>
                <w:color w:val="auto"/>
              </w:rPr>
              <w:t>852</w:t>
            </w:r>
          </w:p>
        </w:tc>
      </w:tr>
      <w:tr>
        <w:trPr>
          <w:trHeight w:val="283"/>
        </w:trPr>
        <w:tc>
          <w:tcPr>
            <w:tcW w:w="9260" w:type="dxa"/>
            <w:vAlign w:val="bottom"/>
          </w:tcPr>
          <w:p>
            <w:pPr>
              <w:ind w:left="40"/>
              <w:spacing w:after="0"/>
              <w:rPr>
                <w:sz w:val="20"/>
                <w:szCs w:val="20"/>
                <w:color w:val="auto"/>
              </w:rPr>
            </w:pPr>
            <w:r>
              <w:rPr>
                <w:rFonts w:ascii="Arial" w:cs="Arial" w:eastAsia="Arial" w:hAnsi="Arial"/>
                <w:sz w:val="16"/>
                <w:szCs w:val="16"/>
                <w:color w:val="auto"/>
              </w:rPr>
              <w:t>Benefits paid, net of Medicare subsidy</w:t>
            </w:r>
          </w:p>
        </w:tc>
        <w:tc>
          <w:tcPr>
            <w:tcW w:w="24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b w:val="1"/>
                <w:bCs w:val="1"/>
                <w:color w:val="auto"/>
              </w:rPr>
              <w:t>(879)</w:t>
            </w:r>
          </w:p>
        </w:tc>
        <w:tc>
          <w:tcPr>
            <w:tcW w:w="30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(852)</w:t>
            </w:r>
          </w:p>
        </w:tc>
      </w:tr>
      <w:tr>
        <w:trPr>
          <w:trHeight w:val="264"/>
        </w:trPr>
        <w:tc>
          <w:tcPr>
            <w:tcW w:w="9260" w:type="dxa"/>
            <w:vAlign w:val="bottom"/>
          </w:tcPr>
          <w:p>
            <w:pPr>
              <w:ind w:left="40"/>
              <w:spacing w:after="0"/>
              <w:rPr>
                <w:sz w:val="20"/>
                <w:szCs w:val="20"/>
                <w:color w:val="auto"/>
              </w:rPr>
            </w:pPr>
            <w:r>
              <w:rPr>
                <w:rFonts w:ascii="Arial" w:cs="Arial" w:eastAsia="Arial" w:hAnsi="Arial"/>
                <w:sz w:val="16"/>
                <w:szCs w:val="16"/>
                <w:b w:val="1"/>
                <w:bCs w:val="1"/>
                <w:color w:val="auto"/>
              </w:rPr>
              <w:t>Fair Value of Assets at End of Year</w:t>
            </w:r>
          </w:p>
        </w:tc>
        <w:tc>
          <w:tcPr>
            <w:tcW w:w="24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b w:val="1"/>
                <w:bCs w:val="1"/>
                <w:color w:val="auto"/>
              </w:rPr>
              <w:t>$</w:t>
            </w:r>
          </w:p>
        </w:tc>
        <w:tc>
          <w:tcPr>
            <w:tcW w:w="820" w:type="dxa"/>
            <w:vAlign w:val="bottom"/>
            <w:tcBorders>
              <w:bottom w:val="single" w:sz="8" w:color="auto"/>
            </w:tcBorders>
          </w:tcPr>
          <w:p>
            <w:pPr>
              <w:jc w:val="right"/>
              <w:ind w:right="61"/>
              <w:spacing w:after="0"/>
              <w:rPr>
                <w:sz w:val="20"/>
                <w:szCs w:val="20"/>
                <w:color w:val="auto"/>
              </w:rPr>
            </w:pPr>
            <w:r>
              <w:rPr>
                <w:rFonts w:ascii="Arial" w:cs="Arial" w:eastAsia="Arial" w:hAnsi="Arial"/>
                <w:sz w:val="16"/>
                <w:szCs w:val="16"/>
                <w:b w:val="1"/>
                <w:bCs w:val="1"/>
                <w:color w:val="auto"/>
              </w:rPr>
              <w:t>—</w:t>
            </w:r>
          </w:p>
        </w:tc>
        <w:tc>
          <w:tcPr>
            <w:tcW w:w="3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b w:val="1"/>
                <w:bCs w:val="1"/>
                <w:color w:val="auto"/>
              </w:rPr>
              <w:t>$</w:t>
            </w:r>
          </w:p>
        </w:tc>
        <w:tc>
          <w:tcPr>
            <w:tcW w:w="80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b w:val="1"/>
                <w:bCs w:val="1"/>
                <w:color w:val="auto"/>
              </w:rPr>
              <w:t>—</w:t>
            </w:r>
          </w:p>
        </w:tc>
      </w:tr>
      <w:tr>
        <w:trPr>
          <w:trHeight w:val="267"/>
        </w:trPr>
        <w:tc>
          <w:tcPr>
            <w:tcW w:w="9260" w:type="dxa"/>
            <w:vAlign w:val="bottom"/>
          </w:tcPr>
          <w:p>
            <w:pPr>
              <w:ind w:left="40"/>
              <w:spacing w:after="0"/>
              <w:rPr>
                <w:sz w:val="20"/>
                <w:szCs w:val="20"/>
                <w:color w:val="auto"/>
              </w:rPr>
            </w:pPr>
            <w:r>
              <w:rPr>
                <w:rFonts w:ascii="Arial" w:cs="Arial" w:eastAsia="Arial" w:hAnsi="Arial"/>
                <w:sz w:val="16"/>
                <w:szCs w:val="16"/>
                <w:b w:val="1"/>
                <w:bCs w:val="1"/>
                <w:color w:val="auto"/>
              </w:rPr>
              <w:t>Funded Status</w:t>
            </w:r>
          </w:p>
        </w:tc>
        <w:tc>
          <w:tcPr>
            <w:tcW w:w="24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b w:val="1"/>
                <w:bCs w:val="1"/>
                <w:color w:val="auto"/>
              </w:rPr>
              <w:t>$</w:t>
            </w:r>
          </w:p>
        </w:tc>
        <w:tc>
          <w:tcPr>
            <w:tcW w:w="82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b w:val="1"/>
                <w:bCs w:val="1"/>
                <w:color w:val="auto"/>
              </w:rPr>
              <w:t>(22,785)</w:t>
            </w:r>
          </w:p>
        </w:tc>
        <w:tc>
          <w:tcPr>
            <w:tcW w:w="3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(24,171)</w:t>
            </w:r>
          </w:p>
        </w:tc>
      </w:tr>
      <w:tr>
        <w:trPr>
          <w:trHeight w:val="20"/>
        </w:trPr>
        <w:tc>
          <w:tcPr>
            <w:tcW w:w="92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spacing w:after="0"/>
        <w:rPr>
          <w:sz w:val="20"/>
          <w:szCs w:val="20"/>
          <w:color w:val="auto"/>
        </w:rPr>
      </w:pPr>
      <w:r>
        <w:rPr>
          <w:rFonts w:ascii="Arial" w:cs="Arial" w:eastAsia="Arial" w:hAnsi="Arial"/>
          <w:sz w:val="18"/>
          <w:szCs w:val="18"/>
          <w:color w:val="auto"/>
        </w:rPr>
        <w:t>The amounts recognized in the Company’s Consolidated Balance Sheets for its other postretirement plans are as follows:</w:t>
      </w:r>
    </w:p>
    <w:p>
      <w:pPr>
        <w:sectPr>
          <w:pgSz w:w="11900" w:h="16838" w:orient="portrait"/>
          <w:cols w:equalWidth="0" w:num="1">
            <w:col w:w="11420"/>
          </w:cols>
          <w:pgMar w:left="240" w:top="746"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71" w:lineRule="exact"/>
        <w:rPr>
          <w:sz w:val="20"/>
          <w:szCs w:val="20"/>
          <w:color w:val="auto"/>
        </w:rPr>
      </w:pPr>
    </w:p>
    <w:p>
      <w:pPr>
        <w:ind w:left="40"/>
        <w:spacing w:after="0"/>
        <w:rPr>
          <w:sz w:val="20"/>
          <w:szCs w:val="20"/>
          <w:color w:val="auto"/>
        </w:rPr>
      </w:pPr>
      <w:r>
        <w:rPr>
          <w:rFonts w:ascii="Arial" w:cs="Arial" w:eastAsia="Arial" w:hAnsi="Arial"/>
          <w:sz w:val="14"/>
          <w:szCs w:val="14"/>
          <w:color w:val="auto"/>
        </w:rPr>
        <w:t>(in thousands)</w:t>
      </w:r>
    </w:p>
    <w:p>
      <w:pPr>
        <w:spacing w:after="0" w:line="93" w:lineRule="exact"/>
        <w:rPr>
          <w:sz w:val="20"/>
          <w:szCs w:val="20"/>
          <w:color w:val="auto"/>
        </w:rPr>
      </w:pPr>
    </w:p>
    <w:p>
      <w:pPr>
        <w:ind w:left="40"/>
        <w:spacing w:after="0"/>
        <w:rPr>
          <w:sz w:val="20"/>
          <w:szCs w:val="20"/>
          <w:color w:val="auto"/>
        </w:rPr>
      </w:pPr>
      <w:r>
        <w:rPr>
          <w:rFonts w:ascii="Arial" w:cs="Arial" w:eastAsia="Arial" w:hAnsi="Arial"/>
          <w:sz w:val="16"/>
          <w:szCs w:val="16"/>
          <w:color w:val="auto"/>
        </w:rPr>
        <w:t>Current liability</w:t>
      </w:r>
    </w:p>
    <w:p>
      <w:pPr>
        <w:spacing w:after="0" w:line="86" w:lineRule="exact"/>
        <w:rPr>
          <w:sz w:val="20"/>
          <w:szCs w:val="20"/>
          <w:color w:val="auto"/>
        </w:rPr>
      </w:pPr>
    </w:p>
    <w:p>
      <w:pPr>
        <w:ind w:left="40"/>
        <w:spacing w:after="0"/>
        <w:rPr>
          <w:sz w:val="20"/>
          <w:szCs w:val="20"/>
          <w:color w:val="auto"/>
        </w:rPr>
      </w:pPr>
      <w:r>
        <w:rPr>
          <w:rFonts w:ascii="Arial" w:cs="Arial" w:eastAsia="Arial" w:hAnsi="Arial"/>
          <w:sz w:val="16"/>
          <w:szCs w:val="16"/>
          <w:color w:val="auto"/>
        </w:rPr>
        <w:t>Noncurrent liability</w:t>
      </w:r>
    </w:p>
    <w:p>
      <w:pPr>
        <w:spacing w:after="0" w:line="93" w:lineRule="exact"/>
        <w:rPr>
          <w:sz w:val="20"/>
          <w:szCs w:val="20"/>
          <w:color w:val="auto"/>
        </w:rPr>
      </w:pPr>
    </w:p>
    <w:p>
      <w:pPr>
        <w:ind w:left="40"/>
        <w:spacing w:after="0"/>
        <w:rPr>
          <w:sz w:val="20"/>
          <w:szCs w:val="20"/>
          <w:color w:val="auto"/>
        </w:rPr>
      </w:pPr>
      <w:r>
        <w:rPr>
          <w:rFonts w:ascii="Arial" w:cs="Arial" w:eastAsia="Arial" w:hAnsi="Arial"/>
          <w:sz w:val="16"/>
          <w:szCs w:val="16"/>
          <w:b w:val="1"/>
          <w:bCs w:val="1"/>
          <w:color w:val="auto"/>
        </w:rPr>
        <w:t>Recognized Liability</w:t>
      </w:r>
    </w:p>
    <w:p>
      <w:pPr>
        <w:spacing w:after="0" w:line="20" w:lineRule="exact"/>
        <w:rPr>
          <w:sz w:val="20"/>
          <w:szCs w:val="20"/>
          <w:color w:val="auto"/>
        </w:rPr>
      </w:pPr>
      <w:r>
        <w:rPr>
          <w:sz w:val="20"/>
          <w:szCs w:val="20"/>
          <w:color w:val="auto"/>
        </w:rPr>
        <w:br w:type="column"/>
      </w:r>
    </w:p>
    <w:p>
      <w:pPr>
        <w:spacing w:after="0" w:line="179"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Postretirement Plans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-12700</wp:posOffset>
            </wp:positionH>
            <wp:positionV relativeFrom="paragraph">
              <wp:posOffset>26035</wp:posOffset>
            </wp:positionV>
            <wp:extent cx="1372235"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48">
                      <a:extLst>
                        <a:ext uri="{28A0092B-C50C-407E-A947-70E740481C1C}"/>
                      </a:extLst>
                    </a:blip>
                    <a:srcRect/>
                    <a:stretch>
                      <a:fillRect/>
                    </a:stretch>
                  </pic:blipFill>
                  <pic:spPr bwMode="auto">
                    <a:xfrm>
                      <a:off x="0" y="0"/>
                      <a:ext cx="1372235" cy="8890"/>
                    </a:xfrm>
                    <a:prstGeom prst="rect">
                      <a:avLst/>
                    </a:prstGeom>
                    <a:noFill/>
                  </pic:spPr>
                </pic:pic>
              </a:graphicData>
            </a:graphic>
          </wp:anchor>
        </w:drawing>
      </w:r>
    </w:p>
    <w:p>
      <w:pPr>
        <w:spacing w:after="0" w:line="89"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As of 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-12700</wp:posOffset>
            </wp:positionH>
            <wp:positionV relativeFrom="paragraph">
              <wp:posOffset>26035</wp:posOffset>
            </wp:positionV>
            <wp:extent cx="1372235"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49">
                      <a:extLst>
                        <a:ext uri="{28A0092B-C50C-407E-A947-70E740481C1C}"/>
                      </a:extLst>
                    </a:blip>
                    <a:srcRect/>
                    <a:stretch>
                      <a:fillRect/>
                    </a:stretch>
                  </pic:blipFill>
                  <pic:spPr bwMode="auto">
                    <a:xfrm>
                      <a:off x="0" y="0"/>
                      <a:ext cx="1372235" cy="8890"/>
                    </a:xfrm>
                    <a:prstGeom prst="rect">
                      <a:avLst/>
                    </a:prstGeom>
                    <a:noFill/>
                  </pic:spPr>
                </pic:pic>
              </a:graphicData>
            </a:graphic>
          </wp:anchor>
        </w:drawing>
      </w:r>
    </w:p>
    <w:p>
      <w:pPr>
        <w:spacing w:after="0" w:line="103" w:lineRule="exact"/>
        <w:rPr>
          <w:sz w:val="20"/>
          <w:szCs w:val="20"/>
          <w:color w:val="auto"/>
        </w:rPr>
      </w:pPr>
    </w:p>
    <w:p>
      <w:pPr>
        <w:ind w:left="340"/>
        <w:spacing w:after="0"/>
        <w:tabs>
          <w:tab w:leader="none" w:pos="1440" w:val="left"/>
        </w:tabs>
        <w:rPr>
          <w:sz w:val="20"/>
          <w:szCs w:val="20"/>
          <w:color w:val="auto"/>
        </w:rPr>
      </w:pPr>
      <w:r>
        <w:rPr>
          <w:rFonts w:ascii="Arial" w:cs="Arial" w:eastAsia="Arial" w:hAnsi="Arial"/>
          <w:sz w:val="14"/>
          <w:szCs w:val="14"/>
          <w:b w:val="1"/>
          <w:bCs w:val="1"/>
          <w:color w:val="auto"/>
        </w:rPr>
        <w:t>2017</w:t>
      </w:r>
      <w:r>
        <w:rPr>
          <w:sz w:val="20"/>
          <w:szCs w:val="20"/>
          <w:color w:val="auto"/>
        </w:rPr>
        <w:tab/>
      </w:r>
      <w:r>
        <w:rPr>
          <w:rFonts w:ascii="Arial" w:cs="Arial" w:eastAsia="Arial" w:hAnsi="Arial"/>
          <w:sz w:val="14"/>
          <w:szCs w:val="14"/>
          <w:color w:val="auto"/>
        </w:rPr>
        <w:t>2016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-5887085</wp:posOffset>
            </wp:positionH>
            <wp:positionV relativeFrom="paragraph">
              <wp:posOffset>26035</wp:posOffset>
            </wp:positionV>
            <wp:extent cx="7246620" cy="88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5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71" w:lineRule="exact"/>
        <w:rPr>
          <w:sz w:val="20"/>
          <w:szCs w:val="20"/>
          <w:color w:val="auto"/>
        </w:rPr>
      </w:pPr>
    </w:p>
    <w:p>
      <w:pPr>
        <w:ind w:left="440" w:hanging="434"/>
        <w:spacing w:after="0"/>
        <w:tabs>
          <w:tab w:leader="none" w:pos="440" w:val="left"/>
        </w:tabs>
        <w:numPr>
          <w:ilvl w:val="0"/>
          <w:numId w:val="79"/>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(1,920)  </w:t>
      </w:r>
      <w:r>
        <w:rPr>
          <w:rFonts w:ascii="Arial" w:cs="Arial" w:eastAsia="Arial" w:hAnsi="Arial"/>
          <w:sz w:val="16"/>
          <w:szCs w:val="16"/>
          <w:color w:val="auto"/>
        </w:rPr>
        <w:t>$</w:t>
      </w:r>
      <w:r>
        <w:rPr>
          <w:rFonts w:ascii="Arial" w:cs="Arial" w:eastAsia="Arial" w:hAnsi="Arial"/>
          <w:sz w:val="15"/>
          <w:szCs w:val="15"/>
          <w:color w:val="auto"/>
        </w:rPr>
        <w:t>(2,312)</w:t>
      </w:r>
    </w:p>
    <w:p>
      <w:pPr>
        <w:spacing w:after="0" w:line="86" w:lineRule="exact"/>
        <w:rPr>
          <w:rFonts w:ascii="Arial" w:cs="Arial" w:eastAsia="Arial" w:hAnsi="Arial"/>
          <w:sz w:val="16"/>
          <w:szCs w:val="16"/>
          <w:b w:val="1"/>
          <w:bCs w:val="1"/>
          <w:color w:val="auto"/>
        </w:rPr>
      </w:pPr>
    </w:p>
    <w:p>
      <w:pPr>
        <w:ind w:left="340"/>
        <w:spacing w:after="0"/>
        <w:rPr>
          <w:rFonts w:ascii="Arial" w:cs="Arial" w:eastAsia="Arial" w:hAnsi="Arial"/>
          <w:sz w:val="16"/>
          <w:szCs w:val="16"/>
          <w:b w:val="1"/>
          <w:bCs w:val="1"/>
          <w:color w:val="auto"/>
        </w:rPr>
      </w:pPr>
      <w:r>
        <w:rPr>
          <w:rFonts w:ascii="Arial" w:cs="Arial" w:eastAsia="Arial" w:hAnsi="Arial"/>
          <w:sz w:val="16"/>
          <w:szCs w:val="16"/>
          <w:b w:val="1"/>
          <w:bCs w:val="1"/>
          <w:color w:val="auto"/>
        </w:rPr>
        <w:t>(20,865)</w:t>
      </w:r>
      <w:r>
        <w:rPr>
          <w:rFonts w:ascii="Arial" w:cs="Arial" w:eastAsia="Arial" w:hAnsi="Arial"/>
          <w:sz w:val="16"/>
          <w:szCs w:val="16"/>
          <w:color w:val="auto"/>
        </w:rPr>
        <w:t>(21,859)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-12700</wp:posOffset>
            </wp:positionH>
            <wp:positionV relativeFrom="paragraph">
              <wp:posOffset>31750</wp:posOffset>
            </wp:positionV>
            <wp:extent cx="1372235" cy="88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51">
                      <a:extLst>
                        <a:ext uri="{28A0092B-C50C-407E-A947-70E740481C1C}"/>
                      </a:extLst>
                    </a:blip>
                    <a:srcRect/>
                    <a:stretch>
                      <a:fillRect/>
                    </a:stretch>
                  </pic:blipFill>
                  <pic:spPr bwMode="auto">
                    <a:xfrm>
                      <a:off x="0" y="0"/>
                      <a:ext cx="1372235" cy="8890"/>
                    </a:xfrm>
                    <a:prstGeom prst="rect">
                      <a:avLst/>
                    </a:prstGeom>
                    <a:noFill/>
                  </pic:spPr>
                </pic:pic>
              </a:graphicData>
            </a:graphic>
          </wp:anchor>
        </w:drawing>
      </w:r>
    </w:p>
    <w:p>
      <w:pPr>
        <w:spacing w:after="0" w:line="80" w:lineRule="exact"/>
        <w:rPr>
          <w:sz w:val="20"/>
          <w:szCs w:val="20"/>
          <w:color w:val="auto"/>
        </w:rPr>
      </w:pPr>
    </w:p>
    <w:p>
      <w:pPr>
        <w:spacing w:after="0"/>
        <w:tabs>
          <w:tab w:leader="none" w:pos="320" w:val="left"/>
          <w:tab w:leader="none" w:pos="1120" w:val="left"/>
          <w:tab w:leader="none" w:pos="1460" w:val="left"/>
        </w:tabs>
        <w:rPr>
          <w:sz w:val="20"/>
          <w:szCs w:val="20"/>
          <w:color w:val="auto"/>
        </w:rPr>
      </w:pPr>
      <w:r>
        <w:rPr>
          <w:rFonts w:ascii="Arial" w:cs="Arial" w:eastAsia="Arial" w:hAnsi="Arial"/>
          <w:sz w:val="16"/>
          <w:szCs w:val="16"/>
          <w:b w:val="1"/>
          <w:bCs w:val="1"/>
          <w:color w:val="auto"/>
        </w:rPr>
        <w:t>$</w:t>
        <w:tab/>
        <w:t>(22,785)</w:t>
      </w:r>
      <w:r>
        <w:rPr>
          <w:sz w:val="20"/>
          <w:szCs w:val="20"/>
          <w:color w:val="auto"/>
        </w:rPr>
        <w:tab/>
      </w:r>
      <w:r>
        <w:rPr>
          <w:rFonts w:ascii="Arial" w:cs="Arial" w:eastAsia="Arial" w:hAnsi="Arial"/>
          <w:sz w:val="16"/>
          <w:szCs w:val="16"/>
          <w:color w:val="auto"/>
        </w:rPr>
        <w:t>$</w:t>
        <w:tab/>
        <w:t>(24,171)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-12700</wp:posOffset>
            </wp:positionH>
            <wp:positionV relativeFrom="paragraph">
              <wp:posOffset>31750</wp:posOffset>
            </wp:positionV>
            <wp:extent cx="1372235" cy="88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52">
                      <a:extLst>
                        <a:ext uri="{28A0092B-C50C-407E-A947-70E740481C1C}"/>
                      </a:extLst>
                    </a:blip>
                    <a:srcRect/>
                    <a:stretch>
                      <a:fillRect/>
                    </a:stretch>
                  </pic:blipFill>
                  <pic:spPr bwMode="auto">
                    <a:xfrm>
                      <a:off x="0" y="0"/>
                      <a:ext cx="1372235" cy="8890"/>
                    </a:xfrm>
                    <a:prstGeom prst="rect">
                      <a:avLst/>
                    </a:prstGeom>
                    <a:noFill/>
                  </pic:spPr>
                </pic:pic>
              </a:graphicData>
            </a:graphic>
          </wp:anchor>
        </w:drawing>
        <w:drawing>
          <wp:anchor simplePos="0" relativeHeight="251657728" behindDoc="1" locked="0" layoutInCell="0" allowOverlap="1">
            <wp:simplePos x="0" y="0"/>
            <wp:positionH relativeFrom="column">
              <wp:posOffset>-12700</wp:posOffset>
            </wp:positionH>
            <wp:positionV relativeFrom="paragraph">
              <wp:posOffset>48895</wp:posOffset>
            </wp:positionV>
            <wp:extent cx="1372235" cy="88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53">
                      <a:extLst>
                        <a:ext uri="{28A0092B-C50C-407E-A947-70E740481C1C}"/>
                      </a:extLst>
                    </a:blip>
                    <a:srcRect/>
                    <a:stretch>
                      <a:fillRect/>
                    </a:stretch>
                  </pic:blipFill>
                  <pic:spPr bwMode="auto">
                    <a:xfrm>
                      <a:off x="0" y="0"/>
                      <a:ext cx="1372235" cy="8890"/>
                    </a:xfrm>
                    <a:prstGeom prst="rect">
                      <a:avLst/>
                    </a:prstGeom>
                    <a:noFill/>
                  </pic:spPr>
                </pic:pic>
              </a:graphicData>
            </a:graphic>
          </wp:anchor>
        </w:drawing>
      </w:r>
    </w:p>
    <w:p>
      <w:pPr>
        <w:spacing w:after="0" w:line="213" w:lineRule="exact"/>
        <w:rPr>
          <w:sz w:val="20"/>
          <w:szCs w:val="20"/>
          <w:color w:val="auto"/>
        </w:rPr>
      </w:pPr>
    </w:p>
    <w:p>
      <w:pPr>
        <w:sectPr>
          <w:pgSz w:w="11900" w:h="16838" w:orient="portrait"/>
          <w:cols w:equalWidth="0" w:num="2">
            <w:col w:w="8560" w:space="720"/>
            <w:col w:w="2140"/>
          </w:cols>
          <w:pgMar w:left="240" w:top="746" w:right="239" w:bottom="1440" w:gutter="0" w:footer="0" w:header="0"/>
          <w:type w:val="continuous"/>
        </w:sectPr>
      </w:pPr>
    </w:p>
    <w:p>
      <w:pPr>
        <w:spacing w:after="0" w:line="25" w:lineRule="exact"/>
        <w:rPr>
          <w:sz w:val="20"/>
          <w:szCs w:val="20"/>
          <w:color w:val="auto"/>
        </w:rPr>
      </w:pPr>
    </w:p>
    <w:p>
      <w:pPr>
        <w:ind w:right="80"/>
        <w:spacing w:after="0" w:line="227" w:lineRule="auto"/>
        <w:rPr>
          <w:sz w:val="20"/>
          <w:szCs w:val="20"/>
          <w:color w:val="auto"/>
        </w:rPr>
      </w:pPr>
      <w:r>
        <w:rPr>
          <w:rFonts w:ascii="Arial" w:cs="Arial" w:eastAsia="Arial" w:hAnsi="Arial"/>
          <w:sz w:val="18"/>
          <w:szCs w:val="18"/>
          <w:color w:val="auto"/>
        </w:rPr>
        <w:t>The discount rates utilized for determining the benefit obligation at December 31, 2017 and 2016, for the postretirement plans were 3.11% and 3.31%, respectively. The assumed healthcare cost trend rate used in measuring the postretirement benefit obligation at December 31, 2017, was 7.81% for pre-age 65, decreasing to 4.5% in the year 2026 and thereafter. The assumed healthcare cost trend rate used in measuring the postretirement benefit obligation at December 31, 2017, was 8.42% for post-age 65, decreasing to 4.5% in the year 2026 and thereafter.</w:t>
      </w:r>
    </w:p>
    <w:p>
      <w:pPr>
        <w:spacing w:after="0" w:line="135" w:lineRule="exact"/>
        <w:rPr>
          <w:sz w:val="20"/>
          <w:szCs w:val="20"/>
          <w:color w:val="auto"/>
        </w:rPr>
      </w:pPr>
    </w:p>
    <w:p>
      <w:pPr>
        <w:ind w:right="240"/>
        <w:spacing w:after="0" w:line="235" w:lineRule="auto"/>
        <w:rPr>
          <w:sz w:val="20"/>
          <w:szCs w:val="20"/>
          <w:color w:val="auto"/>
        </w:rPr>
      </w:pPr>
      <w:r>
        <w:rPr>
          <w:rFonts w:ascii="Arial" w:cs="Arial" w:eastAsia="Arial" w:hAnsi="Arial"/>
          <w:sz w:val="18"/>
          <w:szCs w:val="18"/>
          <w:color w:val="auto"/>
        </w:rPr>
        <w:t>Assumed healthcare cost trend rates have a significant effect on the amounts reported for the healthcare plans. A change of one percentage point in the assumed healthcare cost trend rates would have the following effects:</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5800" w:type="dxa"/>
            <w:vAlign w:val="bottom"/>
          </w:tcPr>
          <w:p>
            <w:pPr>
              <w:spacing w:after="0"/>
              <w:rPr>
                <w:sz w:val="16"/>
                <w:szCs w:val="16"/>
                <w:color w:val="auto"/>
              </w:rPr>
            </w:pPr>
          </w:p>
        </w:tc>
        <w:tc>
          <w:tcPr>
            <w:tcW w:w="3620" w:type="dxa"/>
            <w:vAlign w:val="bottom"/>
          </w:tcPr>
          <w:p>
            <w:pPr>
              <w:spacing w:after="0"/>
              <w:rPr>
                <w:sz w:val="16"/>
                <w:szCs w:val="16"/>
                <w:color w:val="auto"/>
              </w:rPr>
            </w:pPr>
          </w:p>
        </w:tc>
        <w:tc>
          <w:tcPr>
            <w:tcW w:w="880" w:type="dxa"/>
            <w:vAlign w:val="bottom"/>
          </w:tcPr>
          <w:p>
            <w:pPr>
              <w:jc w:val="right"/>
              <w:ind w:right="343"/>
              <w:spacing w:after="0"/>
              <w:rPr>
                <w:sz w:val="20"/>
                <w:szCs w:val="20"/>
                <w:color w:val="auto"/>
              </w:rPr>
            </w:pPr>
            <w:r>
              <w:rPr>
                <w:rFonts w:ascii="Arial" w:cs="Arial" w:eastAsia="Arial" w:hAnsi="Arial"/>
                <w:sz w:val="14"/>
                <w:szCs w:val="14"/>
                <w:b w:val="1"/>
                <w:bCs w:val="1"/>
                <w:color w:val="auto"/>
              </w:rPr>
              <w:t>1%</w:t>
            </w:r>
          </w:p>
        </w:tc>
        <w:tc>
          <w:tcPr>
            <w:tcW w:w="240" w:type="dxa"/>
            <w:vAlign w:val="bottom"/>
          </w:tcPr>
          <w:p>
            <w:pPr>
              <w:spacing w:after="0"/>
              <w:rPr>
                <w:sz w:val="16"/>
                <w:szCs w:val="16"/>
                <w:color w:val="auto"/>
              </w:rPr>
            </w:pPr>
          </w:p>
        </w:tc>
        <w:tc>
          <w:tcPr>
            <w:tcW w:w="880" w:type="dxa"/>
            <w:vAlign w:val="bottom"/>
          </w:tcPr>
          <w:p>
            <w:pPr>
              <w:jc w:val="right"/>
              <w:ind w:right="323"/>
              <w:spacing w:after="0"/>
              <w:rPr>
                <w:sz w:val="20"/>
                <w:szCs w:val="20"/>
                <w:color w:val="auto"/>
              </w:rPr>
            </w:pPr>
            <w:r>
              <w:rPr>
                <w:rFonts w:ascii="Arial" w:cs="Arial" w:eastAsia="Arial" w:hAnsi="Arial"/>
                <w:sz w:val="14"/>
                <w:szCs w:val="14"/>
                <w:b w:val="1"/>
                <w:bCs w:val="1"/>
                <w:color w:val="auto"/>
              </w:rPr>
              <w:t>1%</w:t>
            </w:r>
          </w:p>
        </w:tc>
      </w:tr>
      <w:tr>
        <w:trPr>
          <w:trHeight w:val="276"/>
        </w:trPr>
        <w:tc>
          <w:tcPr>
            <w:tcW w:w="580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(in thousands)</w:t>
            </w:r>
          </w:p>
        </w:tc>
        <w:tc>
          <w:tcPr>
            <w:tcW w:w="362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jc w:val="right"/>
              <w:ind w:right="163"/>
              <w:spacing w:after="0"/>
              <w:rPr>
                <w:sz w:val="20"/>
                <w:szCs w:val="20"/>
                <w:color w:val="auto"/>
              </w:rPr>
            </w:pPr>
            <w:r>
              <w:rPr>
                <w:rFonts w:ascii="Arial" w:cs="Arial" w:eastAsia="Arial" w:hAnsi="Arial"/>
                <w:sz w:val="14"/>
                <w:szCs w:val="14"/>
                <w:b w:val="1"/>
                <w:bCs w:val="1"/>
                <w:color w:val="auto"/>
              </w:rPr>
              <w:t>Increase</w:t>
            </w:r>
          </w:p>
        </w:tc>
        <w:tc>
          <w:tcPr>
            <w:tcW w:w="24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jc w:val="right"/>
              <w:ind w:right="123"/>
              <w:spacing w:after="0"/>
              <w:rPr>
                <w:sz w:val="20"/>
                <w:szCs w:val="20"/>
                <w:color w:val="auto"/>
              </w:rPr>
            </w:pPr>
            <w:r>
              <w:rPr>
                <w:rFonts w:ascii="Arial" w:cs="Arial" w:eastAsia="Arial" w:hAnsi="Arial"/>
                <w:sz w:val="14"/>
                <w:szCs w:val="14"/>
                <w:b w:val="1"/>
                <w:bCs w:val="1"/>
                <w:color w:val="auto"/>
              </w:rPr>
              <w:t>Decrease</w:t>
            </w:r>
          </w:p>
        </w:tc>
      </w:tr>
      <w:tr>
        <w:trPr>
          <w:trHeight w:val="250"/>
        </w:trPr>
        <w:tc>
          <w:tcPr>
            <w:tcW w:w="5800" w:type="dxa"/>
            <w:vAlign w:val="bottom"/>
          </w:tcPr>
          <w:p>
            <w:pPr>
              <w:ind w:left="40"/>
              <w:spacing w:after="0"/>
              <w:rPr>
                <w:sz w:val="20"/>
                <w:szCs w:val="20"/>
                <w:color w:val="auto"/>
              </w:rPr>
            </w:pPr>
            <w:r>
              <w:rPr>
                <w:rFonts w:ascii="Arial" w:cs="Arial" w:eastAsia="Arial" w:hAnsi="Arial"/>
                <w:sz w:val="16"/>
                <w:szCs w:val="16"/>
                <w:color w:val="auto"/>
              </w:rPr>
              <w:t>Benefit obligation at end of year</w:t>
            </w:r>
          </w:p>
        </w:tc>
        <w:tc>
          <w:tcPr>
            <w:tcW w:w="3620" w:type="dxa"/>
            <w:vAlign w:val="bottom"/>
          </w:tcPr>
          <w:p>
            <w:pPr>
              <w:jc w:val="right"/>
              <w:spacing w:after="0"/>
              <w:rPr>
                <w:sz w:val="20"/>
                <w:szCs w:val="20"/>
                <w:color w:val="auto"/>
              </w:rPr>
            </w:pPr>
            <w:r>
              <w:rPr>
                <w:rFonts w:ascii="Arial" w:cs="Arial" w:eastAsia="Arial" w:hAnsi="Arial"/>
                <w:sz w:val="16"/>
                <w:szCs w:val="16"/>
                <w:color w:val="auto"/>
              </w:rPr>
              <w:t>$</w:t>
            </w:r>
          </w:p>
        </w:tc>
        <w:tc>
          <w:tcPr>
            <w:tcW w:w="880" w:type="dxa"/>
            <w:vAlign w:val="bottom"/>
          </w:tcPr>
          <w:p>
            <w:pPr>
              <w:jc w:val="right"/>
              <w:ind w:right="43"/>
              <w:spacing w:after="0"/>
              <w:rPr>
                <w:sz w:val="20"/>
                <w:szCs w:val="20"/>
                <w:color w:val="auto"/>
              </w:rPr>
            </w:pPr>
            <w:r>
              <w:rPr>
                <w:rFonts w:ascii="Arial" w:cs="Arial" w:eastAsia="Arial" w:hAnsi="Arial"/>
                <w:sz w:val="16"/>
                <w:szCs w:val="16"/>
                <w:color w:val="auto"/>
              </w:rPr>
              <w:t>1,304</w:t>
            </w:r>
          </w:p>
        </w:tc>
        <w:tc>
          <w:tcPr>
            <w:tcW w:w="240" w:type="dxa"/>
            <w:vAlign w:val="bottom"/>
          </w:tcPr>
          <w:p>
            <w:pPr>
              <w:jc w:val="right"/>
              <w:spacing w:after="0"/>
              <w:rPr>
                <w:sz w:val="20"/>
                <w:szCs w:val="20"/>
                <w:color w:val="auto"/>
              </w:rPr>
            </w:pPr>
            <w:r>
              <w:rPr>
                <w:rFonts w:ascii="Arial" w:cs="Arial" w:eastAsia="Arial" w:hAnsi="Arial"/>
                <w:sz w:val="16"/>
                <w:szCs w:val="16"/>
                <w:color w:val="auto"/>
              </w:rPr>
              <w:t>$</w:t>
            </w:r>
          </w:p>
        </w:tc>
        <w:tc>
          <w:tcPr>
            <w:tcW w:w="880" w:type="dxa"/>
            <w:vAlign w:val="bottom"/>
          </w:tcPr>
          <w:p>
            <w:pPr>
              <w:jc w:val="right"/>
              <w:spacing w:after="0"/>
              <w:rPr>
                <w:sz w:val="20"/>
                <w:szCs w:val="20"/>
                <w:color w:val="auto"/>
              </w:rPr>
            </w:pPr>
            <w:r>
              <w:rPr>
                <w:rFonts w:ascii="Arial" w:cs="Arial" w:eastAsia="Arial" w:hAnsi="Arial"/>
                <w:sz w:val="16"/>
                <w:szCs w:val="16"/>
                <w:color w:val="auto"/>
              </w:rPr>
              <w:t>(1,194)</w:t>
            </w:r>
          </w:p>
        </w:tc>
      </w:tr>
      <w:tr>
        <w:trPr>
          <w:trHeight w:val="270"/>
        </w:trPr>
        <w:tc>
          <w:tcPr>
            <w:tcW w:w="5800" w:type="dxa"/>
            <w:vAlign w:val="bottom"/>
          </w:tcPr>
          <w:p>
            <w:pPr>
              <w:ind w:left="40"/>
              <w:spacing w:after="0"/>
              <w:rPr>
                <w:sz w:val="20"/>
                <w:szCs w:val="20"/>
                <w:color w:val="auto"/>
              </w:rPr>
            </w:pPr>
            <w:r>
              <w:rPr>
                <w:rFonts w:ascii="Arial" w:cs="Arial" w:eastAsia="Arial" w:hAnsi="Arial"/>
                <w:sz w:val="16"/>
                <w:szCs w:val="16"/>
                <w:color w:val="auto"/>
              </w:rPr>
              <w:t>Service cost plus interest cost</w:t>
            </w:r>
          </w:p>
        </w:tc>
        <w:tc>
          <w:tcPr>
            <w:tcW w:w="3620" w:type="dxa"/>
            <w:vAlign w:val="bottom"/>
          </w:tcPr>
          <w:p>
            <w:pPr>
              <w:jc w:val="right"/>
              <w:spacing w:after="0"/>
              <w:rPr>
                <w:sz w:val="20"/>
                <w:szCs w:val="20"/>
                <w:color w:val="auto"/>
              </w:rPr>
            </w:pPr>
            <w:r>
              <w:rPr>
                <w:rFonts w:ascii="Arial" w:cs="Arial" w:eastAsia="Arial" w:hAnsi="Arial"/>
                <w:sz w:val="16"/>
                <w:szCs w:val="16"/>
                <w:color w:val="auto"/>
              </w:rPr>
              <w:t>$</w:t>
            </w:r>
          </w:p>
        </w:tc>
        <w:tc>
          <w:tcPr>
            <w:tcW w:w="880" w:type="dxa"/>
            <w:vAlign w:val="bottom"/>
          </w:tcPr>
          <w:p>
            <w:pPr>
              <w:jc w:val="right"/>
              <w:ind w:right="43"/>
              <w:spacing w:after="0"/>
              <w:rPr>
                <w:sz w:val="20"/>
                <w:szCs w:val="20"/>
                <w:color w:val="auto"/>
              </w:rPr>
            </w:pPr>
            <w:r>
              <w:rPr>
                <w:rFonts w:ascii="Arial" w:cs="Arial" w:eastAsia="Arial" w:hAnsi="Arial"/>
                <w:sz w:val="16"/>
                <w:szCs w:val="16"/>
                <w:color w:val="auto"/>
              </w:rPr>
              <w:t>177</w:t>
            </w:r>
          </w:p>
        </w:tc>
        <w:tc>
          <w:tcPr>
            <w:tcW w:w="240" w:type="dxa"/>
            <w:vAlign w:val="bottom"/>
          </w:tcPr>
          <w:p>
            <w:pPr>
              <w:jc w:val="right"/>
              <w:spacing w:after="0"/>
              <w:rPr>
                <w:sz w:val="20"/>
                <w:szCs w:val="20"/>
                <w:color w:val="auto"/>
              </w:rPr>
            </w:pPr>
            <w:r>
              <w:rPr>
                <w:rFonts w:ascii="Arial" w:cs="Arial" w:eastAsia="Arial" w:hAnsi="Arial"/>
                <w:sz w:val="16"/>
                <w:szCs w:val="16"/>
                <w:color w:val="auto"/>
              </w:rPr>
              <w:t>$</w:t>
            </w:r>
          </w:p>
        </w:tc>
        <w:tc>
          <w:tcPr>
            <w:tcW w:w="880" w:type="dxa"/>
            <w:vAlign w:val="bottom"/>
          </w:tcPr>
          <w:p>
            <w:pPr>
              <w:jc w:val="right"/>
              <w:spacing w:after="0"/>
              <w:rPr>
                <w:sz w:val="20"/>
                <w:szCs w:val="20"/>
                <w:color w:val="auto"/>
              </w:rPr>
            </w:pPr>
            <w:r>
              <w:rPr>
                <w:rFonts w:ascii="Arial" w:cs="Arial" w:eastAsia="Arial" w:hAnsi="Arial"/>
                <w:sz w:val="16"/>
                <w:szCs w:val="16"/>
                <w:color w:val="auto"/>
              </w:rPr>
              <w:t>(158)</w:t>
            </w:r>
          </w:p>
        </w:tc>
      </w:tr>
    </w:tbl>
    <w:p>
      <w:pPr>
        <w:spacing w:after="0" w:line="149" w:lineRule="exact"/>
        <w:rPr>
          <w:sz w:val="20"/>
          <w:szCs w:val="20"/>
          <w:color w:val="auto"/>
        </w:rPr>
      </w:pPr>
    </w:p>
    <w:p>
      <w:pPr>
        <w:spacing w:after="0"/>
        <w:rPr>
          <w:sz w:val="20"/>
          <w:szCs w:val="20"/>
          <w:color w:val="auto"/>
        </w:rPr>
      </w:pPr>
      <w:r>
        <w:rPr>
          <w:rFonts w:ascii="Arial" w:cs="Arial" w:eastAsia="Arial" w:hAnsi="Arial"/>
          <w:sz w:val="18"/>
          <w:szCs w:val="18"/>
          <w:color w:val="auto"/>
        </w:rPr>
        <w:t>The Company made contributions to its postretirement benefit plans of $0.9 million for each of the years ended December 31, 2017 and 2016.</w:t>
      </w:r>
    </w:p>
    <w:p>
      <w:pPr>
        <w:spacing w:after="0"/>
        <w:rPr>
          <w:sz w:val="20"/>
          <w:szCs w:val="20"/>
          <w:color w:val="auto"/>
        </w:rPr>
      </w:pPr>
      <w:r>
        <w:rPr>
          <w:rFonts w:ascii="Arial" w:cs="Arial" w:eastAsia="Arial" w:hAnsi="Arial"/>
          <w:sz w:val="18"/>
          <w:szCs w:val="18"/>
          <w:color w:val="auto"/>
        </w:rPr>
        <w:t>As the plans are unfunded, the Company makes contributions to its postretirement plans based on actual benefit payments.</w:t>
      </w:r>
    </w:p>
    <w:p>
      <w:pPr>
        <w:sectPr>
          <w:pgSz w:w="11900" w:h="16838" w:orient="portrait"/>
          <w:cols w:equalWidth="0" w:num="1">
            <w:col w:w="11420"/>
          </w:cols>
          <w:pgMar w:left="240" w:top="746" w:right="239" w:bottom="1440" w:gutter="0" w:footer="0" w:header="0"/>
          <w:type w:val="continuous"/>
        </w:sectPr>
      </w:pPr>
    </w:p>
    <w:p>
      <w:pPr>
        <w:spacing w:after="0" w:line="200" w:lineRule="exact"/>
        <w:rPr>
          <w:sz w:val="20"/>
          <w:szCs w:val="20"/>
          <w:color w:val="auto"/>
        </w:rPr>
      </w:pPr>
    </w:p>
    <w:p>
      <w:pPr>
        <w:spacing w:after="0" w:line="30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108</w:t>
      </w:r>
    </w:p>
    <w:p>
      <w:pPr>
        <w:sectPr>
          <w:pgSz w:w="11900" w:h="16838" w:orient="portrait"/>
          <w:cols w:equalWidth="0" w:num="1">
            <w:col w:w="11420"/>
          </w:cols>
          <w:pgMar w:left="240" w:top="746" w:right="239" w:bottom="1440" w:gutter="0" w:footer="0" w:header="0"/>
          <w:type w:val="continuous"/>
        </w:sectPr>
      </w:pPr>
    </w:p>
    <w:bookmarkStart w:id="112" w:name="page113"/>
    <w:bookmarkEnd w:id="112"/>
    <w:p>
      <w:pPr>
        <w:spacing w:after="0"/>
        <w:rPr>
          <w:sz w:val="20"/>
          <w:szCs w:val="20"/>
          <w:color w:val="auto"/>
        </w:rPr>
      </w:pPr>
      <w:r>
        <w:rPr>
          <w:rFonts w:ascii="Arial" w:cs="Arial" w:eastAsia="Arial" w:hAnsi="Arial"/>
          <w:sz w:val="18"/>
          <w:szCs w:val="18"/>
          <w:color w:val="auto"/>
        </w:rPr>
        <w:t>At December 31, 2017, future estimated benefit payments are as follows:</w:t>
      </w:r>
    </w:p>
    <w:p>
      <w:pPr>
        <w:spacing w:after="0" w:line="145"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8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180" w:type="dxa"/>
            <w:vAlign w:val="bottom"/>
            <w:gridSpan w:val="2"/>
          </w:tcPr>
          <w:p>
            <w:pPr>
              <w:jc w:val="right"/>
              <w:ind w:right="100"/>
              <w:spacing w:after="0"/>
              <w:rPr>
                <w:sz w:val="20"/>
                <w:szCs w:val="20"/>
                <w:color w:val="auto"/>
              </w:rPr>
            </w:pPr>
            <w:r>
              <w:rPr>
                <w:rFonts w:ascii="Arial" w:cs="Arial" w:eastAsia="Arial" w:hAnsi="Arial"/>
                <w:sz w:val="14"/>
                <w:szCs w:val="14"/>
                <w:b w:val="1"/>
                <w:bCs w:val="1"/>
                <w:color w:val="auto"/>
                <w:w w:val="99"/>
              </w:rPr>
              <w:t>Postretirement</w:t>
            </w:r>
          </w:p>
        </w:tc>
      </w:tr>
      <w:tr>
        <w:trPr>
          <w:trHeight w:val="196"/>
        </w:trPr>
        <w:tc>
          <w:tcPr>
            <w:tcW w:w="812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(in thousands)</w:t>
            </w:r>
          </w:p>
        </w:tc>
        <w:tc>
          <w:tcPr>
            <w:tcW w:w="22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ind w:right="420"/>
              <w:spacing w:after="0"/>
              <w:rPr>
                <w:sz w:val="20"/>
                <w:szCs w:val="20"/>
                <w:color w:val="auto"/>
              </w:rPr>
            </w:pPr>
            <w:r>
              <w:rPr>
                <w:rFonts w:ascii="Arial" w:cs="Arial" w:eastAsia="Arial" w:hAnsi="Arial"/>
                <w:sz w:val="14"/>
                <w:szCs w:val="14"/>
                <w:b w:val="1"/>
                <w:bCs w:val="1"/>
                <w:color w:val="auto"/>
              </w:rPr>
              <w:t>Plans</w:t>
            </w:r>
          </w:p>
        </w:tc>
      </w:tr>
      <w:tr>
        <w:trPr>
          <w:trHeight w:val="223"/>
        </w:trPr>
        <w:tc>
          <w:tcPr>
            <w:tcW w:w="8120" w:type="dxa"/>
            <w:vAlign w:val="bottom"/>
          </w:tcPr>
          <w:p>
            <w:pPr>
              <w:ind w:left="40"/>
              <w:spacing w:after="0"/>
              <w:rPr>
                <w:sz w:val="20"/>
                <w:szCs w:val="20"/>
                <w:color w:val="auto"/>
              </w:rPr>
            </w:pPr>
            <w:r>
              <w:rPr>
                <w:rFonts w:ascii="Arial" w:cs="Arial" w:eastAsia="Arial" w:hAnsi="Arial"/>
                <w:sz w:val="16"/>
                <w:szCs w:val="16"/>
                <w:color w:val="auto"/>
              </w:rPr>
              <w:t>2018</w:t>
            </w:r>
          </w:p>
        </w:tc>
        <w:tc>
          <w:tcPr>
            <w:tcW w:w="2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w:t>
            </w:r>
          </w:p>
        </w:tc>
        <w:tc>
          <w:tcPr>
            <w:tcW w:w="280" w:type="dxa"/>
            <w:vAlign w:val="bottom"/>
          </w:tcPr>
          <w:p>
            <w:pPr>
              <w:spacing w:after="0"/>
              <w:rPr>
                <w:sz w:val="19"/>
                <w:szCs w:val="19"/>
                <w:color w:val="auto"/>
              </w:rPr>
            </w:pPr>
          </w:p>
        </w:tc>
        <w:tc>
          <w:tcPr>
            <w:tcW w:w="900" w:type="dxa"/>
            <w:vAlign w:val="bottom"/>
          </w:tcPr>
          <w:p>
            <w:pPr>
              <w:jc w:val="right"/>
              <w:ind w:right="20"/>
              <w:spacing w:after="0"/>
              <w:rPr>
                <w:sz w:val="20"/>
                <w:szCs w:val="20"/>
                <w:color w:val="auto"/>
              </w:rPr>
            </w:pPr>
            <w:r>
              <w:rPr>
                <w:rFonts w:ascii="Arial" w:cs="Arial" w:eastAsia="Arial" w:hAnsi="Arial"/>
                <w:sz w:val="16"/>
                <w:szCs w:val="16"/>
                <w:color w:val="auto"/>
              </w:rPr>
              <w:t>1,920</w:t>
            </w:r>
          </w:p>
        </w:tc>
      </w:tr>
      <w:tr>
        <w:trPr>
          <w:trHeight w:val="243"/>
        </w:trPr>
        <w:tc>
          <w:tcPr>
            <w:tcW w:w="8120" w:type="dxa"/>
            <w:vAlign w:val="bottom"/>
          </w:tcPr>
          <w:p>
            <w:pPr>
              <w:ind w:left="40"/>
              <w:spacing w:after="0"/>
              <w:rPr>
                <w:sz w:val="20"/>
                <w:szCs w:val="20"/>
                <w:color w:val="auto"/>
              </w:rPr>
            </w:pPr>
            <w:r>
              <w:rPr>
                <w:rFonts w:ascii="Arial" w:cs="Arial" w:eastAsia="Arial" w:hAnsi="Arial"/>
                <w:sz w:val="16"/>
                <w:szCs w:val="16"/>
                <w:color w:val="auto"/>
              </w:rPr>
              <w:t>2019</w:t>
            </w:r>
          </w:p>
        </w:tc>
        <w:tc>
          <w:tcPr>
            <w:tcW w:w="22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w:t>
            </w:r>
          </w:p>
        </w:tc>
        <w:tc>
          <w:tcPr>
            <w:tcW w:w="280" w:type="dxa"/>
            <w:vAlign w:val="bottom"/>
          </w:tcPr>
          <w:p>
            <w:pPr>
              <w:spacing w:after="0"/>
              <w:rPr>
                <w:sz w:val="21"/>
                <w:szCs w:val="21"/>
                <w:color w:val="auto"/>
              </w:rPr>
            </w:pPr>
          </w:p>
        </w:tc>
        <w:tc>
          <w:tcPr>
            <w:tcW w:w="900" w:type="dxa"/>
            <w:vAlign w:val="bottom"/>
          </w:tcPr>
          <w:p>
            <w:pPr>
              <w:jc w:val="right"/>
              <w:ind w:right="20"/>
              <w:spacing w:after="0"/>
              <w:rPr>
                <w:sz w:val="20"/>
                <w:szCs w:val="20"/>
                <w:color w:val="auto"/>
              </w:rPr>
            </w:pPr>
            <w:r>
              <w:rPr>
                <w:rFonts w:ascii="Arial" w:cs="Arial" w:eastAsia="Arial" w:hAnsi="Arial"/>
                <w:sz w:val="16"/>
                <w:szCs w:val="16"/>
                <w:color w:val="auto"/>
              </w:rPr>
              <w:t>1,885</w:t>
            </w:r>
          </w:p>
        </w:tc>
      </w:tr>
      <w:tr>
        <w:trPr>
          <w:trHeight w:val="243"/>
        </w:trPr>
        <w:tc>
          <w:tcPr>
            <w:tcW w:w="8120" w:type="dxa"/>
            <w:vAlign w:val="bottom"/>
          </w:tcPr>
          <w:p>
            <w:pPr>
              <w:ind w:left="40"/>
              <w:spacing w:after="0"/>
              <w:rPr>
                <w:sz w:val="20"/>
                <w:szCs w:val="20"/>
                <w:color w:val="auto"/>
              </w:rPr>
            </w:pPr>
            <w:r>
              <w:rPr>
                <w:rFonts w:ascii="Arial" w:cs="Arial" w:eastAsia="Arial" w:hAnsi="Arial"/>
                <w:sz w:val="16"/>
                <w:szCs w:val="16"/>
                <w:color w:val="auto"/>
              </w:rPr>
              <w:t>2020</w:t>
            </w:r>
          </w:p>
        </w:tc>
        <w:tc>
          <w:tcPr>
            <w:tcW w:w="22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w:t>
            </w:r>
          </w:p>
        </w:tc>
        <w:tc>
          <w:tcPr>
            <w:tcW w:w="280" w:type="dxa"/>
            <w:vAlign w:val="bottom"/>
          </w:tcPr>
          <w:p>
            <w:pPr>
              <w:spacing w:after="0"/>
              <w:rPr>
                <w:sz w:val="21"/>
                <w:szCs w:val="21"/>
                <w:color w:val="auto"/>
              </w:rPr>
            </w:pPr>
          </w:p>
        </w:tc>
        <w:tc>
          <w:tcPr>
            <w:tcW w:w="900" w:type="dxa"/>
            <w:vAlign w:val="bottom"/>
          </w:tcPr>
          <w:p>
            <w:pPr>
              <w:jc w:val="right"/>
              <w:ind w:right="20"/>
              <w:spacing w:after="0"/>
              <w:rPr>
                <w:sz w:val="20"/>
                <w:szCs w:val="20"/>
                <w:color w:val="auto"/>
              </w:rPr>
            </w:pPr>
            <w:r>
              <w:rPr>
                <w:rFonts w:ascii="Arial" w:cs="Arial" w:eastAsia="Arial" w:hAnsi="Arial"/>
                <w:sz w:val="16"/>
                <w:szCs w:val="16"/>
                <w:color w:val="auto"/>
              </w:rPr>
              <w:t>2,054</w:t>
            </w:r>
          </w:p>
        </w:tc>
      </w:tr>
      <w:tr>
        <w:trPr>
          <w:trHeight w:val="243"/>
        </w:trPr>
        <w:tc>
          <w:tcPr>
            <w:tcW w:w="8120" w:type="dxa"/>
            <w:vAlign w:val="bottom"/>
          </w:tcPr>
          <w:p>
            <w:pPr>
              <w:ind w:left="40"/>
              <w:spacing w:after="0"/>
              <w:rPr>
                <w:sz w:val="20"/>
                <w:szCs w:val="20"/>
                <w:color w:val="auto"/>
              </w:rPr>
            </w:pPr>
            <w:r>
              <w:rPr>
                <w:rFonts w:ascii="Arial" w:cs="Arial" w:eastAsia="Arial" w:hAnsi="Arial"/>
                <w:sz w:val="16"/>
                <w:szCs w:val="16"/>
                <w:color w:val="auto"/>
              </w:rPr>
              <w:t>2021</w:t>
            </w:r>
          </w:p>
        </w:tc>
        <w:tc>
          <w:tcPr>
            <w:tcW w:w="22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w:t>
            </w:r>
          </w:p>
        </w:tc>
        <w:tc>
          <w:tcPr>
            <w:tcW w:w="280" w:type="dxa"/>
            <w:vAlign w:val="bottom"/>
          </w:tcPr>
          <w:p>
            <w:pPr>
              <w:spacing w:after="0"/>
              <w:rPr>
                <w:sz w:val="21"/>
                <w:szCs w:val="21"/>
                <w:color w:val="auto"/>
              </w:rPr>
            </w:pPr>
          </w:p>
        </w:tc>
        <w:tc>
          <w:tcPr>
            <w:tcW w:w="900" w:type="dxa"/>
            <w:vAlign w:val="bottom"/>
          </w:tcPr>
          <w:p>
            <w:pPr>
              <w:jc w:val="right"/>
              <w:ind w:right="20"/>
              <w:spacing w:after="0"/>
              <w:rPr>
                <w:sz w:val="20"/>
                <w:szCs w:val="20"/>
                <w:color w:val="auto"/>
              </w:rPr>
            </w:pPr>
            <w:r>
              <w:rPr>
                <w:rFonts w:ascii="Arial" w:cs="Arial" w:eastAsia="Arial" w:hAnsi="Arial"/>
                <w:sz w:val="16"/>
                <w:szCs w:val="16"/>
                <w:color w:val="auto"/>
              </w:rPr>
              <w:t>2,086</w:t>
            </w:r>
          </w:p>
        </w:tc>
      </w:tr>
      <w:tr>
        <w:trPr>
          <w:trHeight w:val="243"/>
        </w:trPr>
        <w:tc>
          <w:tcPr>
            <w:tcW w:w="8120" w:type="dxa"/>
            <w:vAlign w:val="bottom"/>
          </w:tcPr>
          <w:p>
            <w:pPr>
              <w:ind w:left="40"/>
              <w:spacing w:after="0"/>
              <w:rPr>
                <w:sz w:val="20"/>
                <w:szCs w:val="20"/>
                <w:color w:val="auto"/>
              </w:rPr>
            </w:pPr>
            <w:r>
              <w:rPr>
                <w:rFonts w:ascii="Arial" w:cs="Arial" w:eastAsia="Arial" w:hAnsi="Arial"/>
                <w:sz w:val="16"/>
                <w:szCs w:val="16"/>
                <w:color w:val="auto"/>
              </w:rPr>
              <w:t>2022</w:t>
            </w:r>
          </w:p>
        </w:tc>
        <w:tc>
          <w:tcPr>
            <w:tcW w:w="22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w:t>
            </w:r>
          </w:p>
        </w:tc>
        <w:tc>
          <w:tcPr>
            <w:tcW w:w="280" w:type="dxa"/>
            <w:vAlign w:val="bottom"/>
          </w:tcPr>
          <w:p>
            <w:pPr>
              <w:spacing w:after="0"/>
              <w:rPr>
                <w:sz w:val="21"/>
                <w:szCs w:val="21"/>
                <w:color w:val="auto"/>
              </w:rPr>
            </w:pPr>
          </w:p>
        </w:tc>
        <w:tc>
          <w:tcPr>
            <w:tcW w:w="900" w:type="dxa"/>
            <w:vAlign w:val="bottom"/>
          </w:tcPr>
          <w:p>
            <w:pPr>
              <w:jc w:val="right"/>
              <w:ind w:right="20"/>
              <w:spacing w:after="0"/>
              <w:rPr>
                <w:sz w:val="20"/>
                <w:szCs w:val="20"/>
                <w:color w:val="auto"/>
              </w:rPr>
            </w:pPr>
            <w:r>
              <w:rPr>
                <w:rFonts w:ascii="Arial" w:cs="Arial" w:eastAsia="Arial" w:hAnsi="Arial"/>
                <w:sz w:val="16"/>
                <w:szCs w:val="16"/>
                <w:color w:val="auto"/>
              </w:rPr>
              <w:t>2,153</w:t>
            </w:r>
          </w:p>
        </w:tc>
      </w:tr>
      <w:tr>
        <w:trPr>
          <w:trHeight w:val="243"/>
        </w:trPr>
        <w:tc>
          <w:tcPr>
            <w:tcW w:w="8120" w:type="dxa"/>
            <w:vAlign w:val="bottom"/>
          </w:tcPr>
          <w:p>
            <w:pPr>
              <w:ind w:left="40"/>
              <w:spacing w:after="0"/>
              <w:rPr>
                <w:sz w:val="20"/>
                <w:szCs w:val="20"/>
                <w:color w:val="auto"/>
              </w:rPr>
            </w:pPr>
            <w:r>
              <w:rPr>
                <w:rFonts w:ascii="Arial" w:cs="Arial" w:eastAsia="Arial" w:hAnsi="Arial"/>
                <w:sz w:val="16"/>
                <w:szCs w:val="16"/>
                <w:color w:val="auto"/>
              </w:rPr>
              <w:t>2023–2027</w:t>
            </w:r>
          </w:p>
        </w:tc>
        <w:tc>
          <w:tcPr>
            <w:tcW w:w="22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w:t>
            </w:r>
          </w:p>
        </w:tc>
        <w:tc>
          <w:tcPr>
            <w:tcW w:w="280" w:type="dxa"/>
            <w:vAlign w:val="bottom"/>
          </w:tcPr>
          <w:p>
            <w:pPr>
              <w:spacing w:after="0"/>
              <w:rPr>
                <w:sz w:val="21"/>
                <w:szCs w:val="21"/>
                <w:color w:val="auto"/>
              </w:rPr>
            </w:pPr>
          </w:p>
        </w:tc>
        <w:tc>
          <w:tcPr>
            <w:tcW w:w="900" w:type="dxa"/>
            <w:vAlign w:val="bottom"/>
          </w:tcPr>
          <w:p>
            <w:pPr>
              <w:jc w:val="right"/>
              <w:ind w:right="20"/>
              <w:spacing w:after="0"/>
              <w:rPr>
                <w:sz w:val="20"/>
                <w:szCs w:val="20"/>
                <w:color w:val="auto"/>
              </w:rPr>
            </w:pPr>
            <w:r>
              <w:rPr>
                <w:rFonts w:ascii="Arial" w:cs="Arial" w:eastAsia="Arial" w:hAnsi="Arial"/>
                <w:sz w:val="16"/>
                <w:szCs w:val="16"/>
                <w:color w:val="auto"/>
              </w:rPr>
              <w:t>10,178</w:t>
            </w:r>
          </w:p>
        </w:tc>
      </w:tr>
      <w:tr>
        <w:trPr>
          <w:trHeight w:val="384"/>
        </w:trPr>
        <w:tc>
          <w:tcPr>
            <w:tcW w:w="9240" w:type="dxa"/>
            <w:vAlign w:val="bottom"/>
            <w:gridSpan w:val="3"/>
          </w:tcPr>
          <w:p>
            <w:pPr>
              <w:spacing w:after="0"/>
              <w:rPr>
                <w:sz w:val="20"/>
                <w:szCs w:val="20"/>
                <w:color w:val="auto"/>
              </w:rPr>
            </w:pPr>
            <w:r>
              <w:rPr>
                <w:rFonts w:ascii="Arial" w:cs="Arial" w:eastAsia="Arial" w:hAnsi="Arial"/>
                <w:sz w:val="18"/>
                <w:szCs w:val="18"/>
                <w:color w:val="auto"/>
              </w:rPr>
              <w:t>The total (benefit) cost arising from the Company’s other postretirement plans consists of the following components:</w:t>
            </w:r>
          </w:p>
        </w:tc>
        <w:tc>
          <w:tcPr>
            <w:tcW w:w="2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00" w:type="dxa"/>
            <w:vAlign w:val="bottom"/>
          </w:tcPr>
          <w:p>
            <w:pPr>
              <w:spacing w:after="0"/>
              <w:rPr>
                <w:sz w:val="24"/>
                <w:szCs w:val="24"/>
                <w:color w:val="auto"/>
              </w:rPr>
            </w:pPr>
          </w:p>
        </w:tc>
      </w:tr>
      <w:tr>
        <w:trPr>
          <w:trHeight w:val="386"/>
        </w:trPr>
        <w:tc>
          <w:tcPr>
            <w:tcW w:w="812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180" w:type="dxa"/>
            <w:vAlign w:val="bottom"/>
            <w:tcBorders>
              <w:bottom w:val="single" w:sz="8" w:color="auto"/>
            </w:tcBorders>
            <w:gridSpan w:val="4"/>
          </w:tcPr>
          <w:p>
            <w:pPr>
              <w:jc w:val="center"/>
              <w:ind w:left="622"/>
              <w:spacing w:after="0"/>
              <w:rPr>
                <w:sz w:val="20"/>
                <w:szCs w:val="20"/>
                <w:color w:val="auto"/>
              </w:rPr>
            </w:pPr>
            <w:r>
              <w:rPr>
                <w:rFonts w:ascii="Arial" w:cs="Arial" w:eastAsia="Arial" w:hAnsi="Arial"/>
                <w:sz w:val="14"/>
                <w:szCs w:val="14"/>
                <w:b w:val="1"/>
                <w:bCs w:val="1"/>
                <w:color w:val="auto"/>
              </w:rPr>
              <w:t>Postretirement Plans</w:t>
            </w:r>
          </w:p>
        </w:tc>
        <w:tc>
          <w:tcPr>
            <w:tcW w:w="900" w:type="dxa"/>
            <w:vAlign w:val="bottom"/>
            <w:tcBorders>
              <w:bottom w:val="single" w:sz="8" w:color="auto"/>
            </w:tcBorders>
          </w:tcPr>
          <w:p>
            <w:pPr>
              <w:spacing w:after="0"/>
              <w:rPr>
                <w:sz w:val="24"/>
                <w:szCs w:val="24"/>
                <w:color w:val="auto"/>
              </w:rPr>
            </w:pPr>
          </w:p>
        </w:tc>
      </w:tr>
      <w:tr>
        <w:trPr>
          <w:trHeight w:val="250"/>
        </w:trPr>
        <w:tc>
          <w:tcPr>
            <w:tcW w:w="8120" w:type="dxa"/>
            <w:vAlign w:val="bottom"/>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3080" w:type="dxa"/>
            <w:vAlign w:val="bottom"/>
            <w:tcBorders>
              <w:bottom w:val="single" w:sz="8" w:color="auto"/>
            </w:tcBorders>
            <w:gridSpan w:val="5"/>
          </w:tcPr>
          <w:p>
            <w:pPr>
              <w:jc w:val="center"/>
              <w:ind w:right="120"/>
              <w:spacing w:after="0"/>
              <w:rPr>
                <w:sz w:val="20"/>
                <w:szCs w:val="20"/>
                <w:color w:val="auto"/>
              </w:rPr>
            </w:pPr>
            <w:r>
              <w:rPr>
                <w:rFonts w:ascii="Arial" w:cs="Arial" w:eastAsia="Arial" w:hAnsi="Arial"/>
                <w:sz w:val="14"/>
                <w:szCs w:val="14"/>
                <w:b w:val="1"/>
                <w:bCs w:val="1"/>
                <w:color w:val="auto"/>
              </w:rPr>
              <w:t>Year Ended December 31</w:t>
            </w:r>
          </w:p>
        </w:tc>
      </w:tr>
      <w:tr>
        <w:trPr>
          <w:trHeight w:val="264"/>
        </w:trPr>
        <w:tc>
          <w:tcPr>
            <w:tcW w:w="812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(in thousands)</w:t>
            </w:r>
          </w:p>
        </w:tc>
        <w:tc>
          <w:tcPr>
            <w:tcW w:w="22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ind w:right="362"/>
              <w:spacing w:after="0"/>
              <w:rPr>
                <w:sz w:val="20"/>
                <w:szCs w:val="20"/>
                <w:color w:val="auto"/>
              </w:rPr>
            </w:pPr>
            <w:r>
              <w:rPr>
                <w:rFonts w:ascii="Arial" w:cs="Arial" w:eastAsia="Arial" w:hAnsi="Arial"/>
                <w:sz w:val="14"/>
                <w:szCs w:val="14"/>
                <w:b w:val="1"/>
                <w:bCs w:val="1"/>
                <w:color w:val="auto"/>
              </w:rPr>
              <w:t>2017</w:t>
            </w:r>
          </w:p>
        </w:tc>
        <w:tc>
          <w:tcPr>
            <w:tcW w:w="260" w:type="dxa"/>
            <w:vAlign w:val="bottom"/>
            <w:tcBorders>
              <w:bottom w:val="single" w:sz="8" w:color="auto"/>
            </w:tcBorders>
          </w:tcPr>
          <w:p>
            <w:pPr>
              <w:spacing w:after="0"/>
              <w:rPr>
                <w:sz w:val="22"/>
                <w:szCs w:val="22"/>
                <w:color w:val="auto"/>
              </w:rPr>
            </w:pPr>
          </w:p>
        </w:tc>
        <w:tc>
          <w:tcPr>
            <w:tcW w:w="740" w:type="dxa"/>
            <w:vAlign w:val="bottom"/>
            <w:tcBorders>
              <w:bottom w:val="single" w:sz="8" w:color="auto"/>
            </w:tcBorders>
          </w:tcPr>
          <w:p>
            <w:pPr>
              <w:jc w:val="center"/>
              <w:ind w:right="100"/>
              <w:spacing w:after="0"/>
              <w:rPr>
                <w:sz w:val="20"/>
                <w:szCs w:val="20"/>
                <w:color w:val="auto"/>
              </w:rPr>
            </w:pPr>
            <w:r>
              <w:rPr>
                <w:rFonts w:ascii="Arial" w:cs="Arial" w:eastAsia="Arial" w:hAnsi="Arial"/>
                <w:sz w:val="14"/>
                <w:szCs w:val="14"/>
                <w:color w:val="auto"/>
              </w:rPr>
              <w:t>2016</w:t>
            </w:r>
          </w:p>
        </w:tc>
        <w:tc>
          <w:tcPr>
            <w:tcW w:w="28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ind w:right="280"/>
              <w:spacing w:after="0"/>
              <w:rPr>
                <w:sz w:val="20"/>
                <w:szCs w:val="20"/>
                <w:color w:val="auto"/>
              </w:rPr>
            </w:pPr>
            <w:r>
              <w:rPr>
                <w:rFonts w:ascii="Arial" w:cs="Arial" w:eastAsia="Arial" w:hAnsi="Arial"/>
                <w:sz w:val="14"/>
                <w:szCs w:val="14"/>
                <w:color w:val="auto"/>
              </w:rPr>
              <w:t>2015</w:t>
            </w:r>
          </w:p>
        </w:tc>
      </w:tr>
      <w:tr>
        <w:trPr>
          <w:trHeight w:val="250"/>
        </w:trPr>
        <w:tc>
          <w:tcPr>
            <w:tcW w:w="8120" w:type="dxa"/>
            <w:vAlign w:val="bottom"/>
          </w:tcPr>
          <w:p>
            <w:pPr>
              <w:ind w:left="40"/>
              <w:spacing w:after="0"/>
              <w:rPr>
                <w:sz w:val="20"/>
                <w:szCs w:val="20"/>
                <w:color w:val="auto"/>
              </w:rPr>
            </w:pPr>
            <w:r>
              <w:rPr>
                <w:rFonts w:ascii="Arial" w:cs="Arial" w:eastAsia="Arial" w:hAnsi="Arial"/>
                <w:sz w:val="16"/>
                <w:szCs w:val="16"/>
                <w:color w:val="auto"/>
              </w:rPr>
              <w:t>Service cost</w:t>
            </w:r>
          </w:p>
        </w:tc>
        <w:tc>
          <w:tcPr>
            <w:tcW w:w="220" w:type="dxa"/>
            <w:vAlign w:val="bottom"/>
          </w:tcPr>
          <w:p>
            <w:pPr>
              <w:jc w:val="right"/>
              <w:ind w:right="39"/>
              <w:spacing w:after="0"/>
              <w:rPr>
                <w:sz w:val="20"/>
                <w:szCs w:val="20"/>
                <w:color w:val="auto"/>
              </w:rPr>
            </w:pPr>
            <w:r>
              <w:rPr>
                <w:rFonts w:ascii="Arial" w:cs="Arial" w:eastAsia="Arial" w:hAnsi="Arial"/>
                <w:sz w:val="16"/>
                <w:szCs w:val="16"/>
                <w:b w:val="1"/>
                <w:bCs w:val="1"/>
                <w:color w:val="auto"/>
                <w:w w:val="89"/>
              </w:rPr>
              <w:t>$</w:t>
            </w:r>
          </w:p>
        </w:tc>
        <w:tc>
          <w:tcPr>
            <w:tcW w:w="900" w:type="dxa"/>
            <w:vAlign w:val="bottom"/>
          </w:tcPr>
          <w:p>
            <w:pPr>
              <w:jc w:val="right"/>
              <w:ind w:right="122"/>
              <w:spacing w:after="0"/>
              <w:rPr>
                <w:sz w:val="20"/>
                <w:szCs w:val="20"/>
                <w:color w:val="auto"/>
              </w:rPr>
            </w:pPr>
            <w:r>
              <w:rPr>
                <w:rFonts w:ascii="Arial" w:cs="Arial" w:eastAsia="Arial" w:hAnsi="Arial"/>
                <w:sz w:val="16"/>
                <w:szCs w:val="16"/>
                <w:b w:val="1"/>
                <w:bCs w:val="1"/>
                <w:color w:val="auto"/>
              </w:rPr>
              <w:t>1,028</w:t>
            </w:r>
          </w:p>
        </w:tc>
        <w:tc>
          <w:tcPr>
            <w:tcW w:w="26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740" w:type="dxa"/>
            <w:vAlign w:val="bottom"/>
          </w:tcPr>
          <w:p>
            <w:pPr>
              <w:jc w:val="right"/>
              <w:spacing w:after="0"/>
              <w:rPr>
                <w:sz w:val="20"/>
                <w:szCs w:val="20"/>
                <w:color w:val="auto"/>
              </w:rPr>
            </w:pPr>
            <w:r>
              <w:rPr>
                <w:rFonts w:ascii="Arial" w:cs="Arial" w:eastAsia="Arial" w:hAnsi="Arial"/>
                <w:sz w:val="16"/>
                <w:szCs w:val="16"/>
                <w:color w:val="auto"/>
              </w:rPr>
              <w:t>1,386</w:t>
            </w:r>
          </w:p>
        </w:tc>
        <w:tc>
          <w:tcPr>
            <w:tcW w:w="280" w:type="dxa"/>
            <w:vAlign w:val="bottom"/>
          </w:tcPr>
          <w:p>
            <w:pPr>
              <w:jc w:val="right"/>
              <w:spacing w:after="0"/>
              <w:rPr>
                <w:sz w:val="20"/>
                <w:szCs w:val="20"/>
                <w:color w:val="auto"/>
              </w:rPr>
            </w:pPr>
            <w:r>
              <w:rPr>
                <w:rFonts w:ascii="Arial" w:cs="Arial" w:eastAsia="Arial" w:hAnsi="Arial"/>
                <w:sz w:val="16"/>
                <w:szCs w:val="16"/>
                <w:color w:val="auto"/>
              </w:rPr>
              <w:t>$</w:t>
            </w:r>
          </w:p>
        </w:tc>
        <w:tc>
          <w:tcPr>
            <w:tcW w:w="900" w:type="dxa"/>
            <w:vAlign w:val="bottom"/>
          </w:tcPr>
          <w:p>
            <w:pPr>
              <w:jc w:val="right"/>
              <w:ind w:right="20"/>
              <w:spacing w:after="0"/>
              <w:rPr>
                <w:sz w:val="20"/>
                <w:szCs w:val="20"/>
                <w:color w:val="auto"/>
              </w:rPr>
            </w:pPr>
            <w:r>
              <w:rPr>
                <w:rFonts w:ascii="Arial" w:cs="Arial" w:eastAsia="Arial" w:hAnsi="Arial"/>
                <w:sz w:val="16"/>
                <w:szCs w:val="16"/>
                <w:color w:val="auto"/>
              </w:rPr>
              <w:t>1,331</w:t>
            </w:r>
          </w:p>
        </w:tc>
      </w:tr>
      <w:tr>
        <w:trPr>
          <w:trHeight w:val="270"/>
        </w:trPr>
        <w:tc>
          <w:tcPr>
            <w:tcW w:w="8120" w:type="dxa"/>
            <w:vAlign w:val="bottom"/>
          </w:tcPr>
          <w:p>
            <w:pPr>
              <w:ind w:left="40"/>
              <w:spacing w:after="0"/>
              <w:rPr>
                <w:sz w:val="20"/>
                <w:szCs w:val="20"/>
                <w:color w:val="auto"/>
              </w:rPr>
            </w:pPr>
            <w:r>
              <w:rPr>
                <w:rFonts w:ascii="Arial" w:cs="Arial" w:eastAsia="Arial" w:hAnsi="Arial"/>
                <w:sz w:val="16"/>
                <w:szCs w:val="16"/>
                <w:color w:val="auto"/>
              </w:rPr>
              <w:t>Interest cost</w:t>
            </w:r>
          </w:p>
        </w:tc>
        <w:tc>
          <w:tcPr>
            <w:tcW w:w="220" w:type="dxa"/>
            <w:vAlign w:val="bottom"/>
          </w:tcPr>
          <w:p>
            <w:pPr>
              <w:spacing w:after="0"/>
              <w:rPr>
                <w:sz w:val="23"/>
                <w:szCs w:val="23"/>
                <w:color w:val="auto"/>
              </w:rPr>
            </w:pPr>
          </w:p>
        </w:tc>
        <w:tc>
          <w:tcPr>
            <w:tcW w:w="900" w:type="dxa"/>
            <w:vAlign w:val="bottom"/>
          </w:tcPr>
          <w:p>
            <w:pPr>
              <w:jc w:val="right"/>
              <w:ind w:right="122"/>
              <w:spacing w:after="0"/>
              <w:rPr>
                <w:sz w:val="20"/>
                <w:szCs w:val="20"/>
                <w:color w:val="auto"/>
              </w:rPr>
            </w:pPr>
            <w:r>
              <w:rPr>
                <w:rFonts w:ascii="Arial" w:cs="Arial" w:eastAsia="Arial" w:hAnsi="Arial"/>
                <w:sz w:val="16"/>
                <w:szCs w:val="16"/>
                <w:b w:val="1"/>
                <w:bCs w:val="1"/>
                <w:color w:val="auto"/>
              </w:rPr>
              <w:t>779</w:t>
            </w:r>
          </w:p>
        </w:tc>
        <w:tc>
          <w:tcPr>
            <w:tcW w:w="260" w:type="dxa"/>
            <w:vAlign w:val="bottom"/>
          </w:tcPr>
          <w:p>
            <w:pPr>
              <w:spacing w:after="0"/>
              <w:rPr>
                <w:sz w:val="23"/>
                <w:szCs w:val="23"/>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1,230</w:t>
            </w:r>
          </w:p>
        </w:tc>
        <w:tc>
          <w:tcPr>
            <w:tcW w:w="280" w:type="dxa"/>
            <w:vAlign w:val="bottom"/>
          </w:tcPr>
          <w:p>
            <w:pPr>
              <w:spacing w:after="0"/>
              <w:rPr>
                <w:sz w:val="23"/>
                <w:szCs w:val="23"/>
                <w:color w:val="auto"/>
              </w:rPr>
            </w:pPr>
          </w:p>
        </w:tc>
        <w:tc>
          <w:tcPr>
            <w:tcW w:w="900" w:type="dxa"/>
            <w:vAlign w:val="bottom"/>
          </w:tcPr>
          <w:p>
            <w:pPr>
              <w:jc w:val="right"/>
              <w:ind w:right="20"/>
              <w:spacing w:after="0"/>
              <w:rPr>
                <w:sz w:val="20"/>
                <w:szCs w:val="20"/>
                <w:color w:val="auto"/>
              </w:rPr>
            </w:pPr>
            <w:r>
              <w:rPr>
                <w:rFonts w:ascii="Arial" w:cs="Arial" w:eastAsia="Arial" w:hAnsi="Arial"/>
                <w:sz w:val="16"/>
                <w:szCs w:val="16"/>
                <w:color w:val="auto"/>
              </w:rPr>
              <w:t>1,299</w:t>
            </w:r>
          </w:p>
        </w:tc>
      </w:tr>
      <w:tr>
        <w:trPr>
          <w:trHeight w:val="270"/>
        </w:trPr>
        <w:tc>
          <w:tcPr>
            <w:tcW w:w="8120" w:type="dxa"/>
            <w:vAlign w:val="bottom"/>
          </w:tcPr>
          <w:p>
            <w:pPr>
              <w:ind w:left="40"/>
              <w:spacing w:after="0"/>
              <w:rPr>
                <w:sz w:val="20"/>
                <w:szCs w:val="20"/>
                <w:color w:val="auto"/>
              </w:rPr>
            </w:pPr>
            <w:r>
              <w:rPr>
                <w:rFonts w:ascii="Arial" w:cs="Arial" w:eastAsia="Arial" w:hAnsi="Arial"/>
                <w:sz w:val="16"/>
                <w:szCs w:val="16"/>
                <w:color w:val="auto"/>
              </w:rPr>
              <w:t>Amortization of prior service credit</w:t>
            </w:r>
          </w:p>
        </w:tc>
        <w:tc>
          <w:tcPr>
            <w:tcW w:w="220" w:type="dxa"/>
            <w:vAlign w:val="bottom"/>
          </w:tcPr>
          <w:p>
            <w:pPr>
              <w:spacing w:after="0"/>
              <w:rPr>
                <w:sz w:val="23"/>
                <w:szCs w:val="23"/>
                <w:color w:val="auto"/>
              </w:rPr>
            </w:pPr>
          </w:p>
        </w:tc>
        <w:tc>
          <w:tcPr>
            <w:tcW w:w="900" w:type="dxa"/>
            <w:vAlign w:val="bottom"/>
          </w:tcPr>
          <w:p>
            <w:pPr>
              <w:jc w:val="right"/>
              <w:ind w:right="62"/>
              <w:spacing w:after="0"/>
              <w:rPr>
                <w:sz w:val="20"/>
                <w:szCs w:val="20"/>
                <w:color w:val="auto"/>
              </w:rPr>
            </w:pPr>
            <w:r>
              <w:rPr>
                <w:rFonts w:ascii="Arial" w:cs="Arial" w:eastAsia="Arial" w:hAnsi="Arial"/>
                <w:sz w:val="16"/>
                <w:szCs w:val="16"/>
                <w:b w:val="1"/>
                <w:bCs w:val="1"/>
                <w:color w:val="auto"/>
              </w:rPr>
              <w:t>(148)</w:t>
            </w:r>
          </w:p>
        </w:tc>
        <w:tc>
          <w:tcPr>
            <w:tcW w:w="260" w:type="dxa"/>
            <w:vAlign w:val="bottom"/>
          </w:tcPr>
          <w:p>
            <w:pPr>
              <w:spacing w:after="0"/>
              <w:rPr>
                <w:sz w:val="23"/>
                <w:szCs w:val="23"/>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(335)</w:t>
            </w:r>
          </w:p>
        </w:tc>
        <w:tc>
          <w:tcPr>
            <w:tcW w:w="280" w:type="dxa"/>
            <w:vAlign w:val="bottom"/>
          </w:tcPr>
          <w:p>
            <w:pPr>
              <w:spacing w:after="0"/>
              <w:rPr>
                <w:sz w:val="23"/>
                <w:szCs w:val="23"/>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(502)</w:t>
            </w:r>
          </w:p>
        </w:tc>
      </w:tr>
      <w:tr>
        <w:trPr>
          <w:trHeight w:val="283"/>
        </w:trPr>
        <w:tc>
          <w:tcPr>
            <w:tcW w:w="8120" w:type="dxa"/>
            <w:vAlign w:val="bottom"/>
          </w:tcPr>
          <w:p>
            <w:pPr>
              <w:ind w:left="40"/>
              <w:spacing w:after="0"/>
              <w:rPr>
                <w:sz w:val="20"/>
                <w:szCs w:val="20"/>
                <w:color w:val="auto"/>
              </w:rPr>
            </w:pPr>
            <w:r>
              <w:rPr>
                <w:rFonts w:ascii="Arial" w:cs="Arial" w:eastAsia="Arial" w:hAnsi="Arial"/>
                <w:sz w:val="16"/>
                <w:szCs w:val="16"/>
                <w:color w:val="auto"/>
              </w:rPr>
              <w:t>Recognized actuarial gain</w:t>
            </w:r>
          </w:p>
        </w:tc>
        <w:tc>
          <w:tcPr>
            <w:tcW w:w="22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jc w:val="right"/>
              <w:ind w:right="62"/>
              <w:spacing w:after="0"/>
              <w:rPr>
                <w:sz w:val="20"/>
                <w:szCs w:val="20"/>
                <w:color w:val="auto"/>
              </w:rPr>
            </w:pPr>
            <w:r>
              <w:rPr>
                <w:rFonts w:ascii="Arial" w:cs="Arial" w:eastAsia="Arial" w:hAnsi="Arial"/>
                <w:sz w:val="16"/>
                <w:szCs w:val="16"/>
                <w:b w:val="1"/>
                <w:bCs w:val="1"/>
                <w:color w:val="auto"/>
              </w:rPr>
              <w:t>(3,891)</w:t>
            </w:r>
          </w:p>
        </w:tc>
        <w:tc>
          <w:tcPr>
            <w:tcW w:w="26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(1,502)</w:t>
            </w:r>
          </w:p>
        </w:tc>
        <w:tc>
          <w:tcPr>
            <w:tcW w:w="28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(996)</w:t>
            </w:r>
          </w:p>
        </w:tc>
      </w:tr>
      <w:tr>
        <w:trPr>
          <w:trHeight w:val="264"/>
        </w:trPr>
        <w:tc>
          <w:tcPr>
            <w:tcW w:w="8120" w:type="dxa"/>
            <w:vAlign w:val="bottom"/>
          </w:tcPr>
          <w:p>
            <w:pPr>
              <w:ind w:left="40"/>
              <w:spacing w:after="0"/>
              <w:rPr>
                <w:sz w:val="20"/>
                <w:szCs w:val="20"/>
                <w:color w:val="auto"/>
              </w:rPr>
            </w:pPr>
            <w:r>
              <w:rPr>
                <w:rFonts w:ascii="Arial" w:cs="Arial" w:eastAsia="Arial" w:hAnsi="Arial"/>
                <w:sz w:val="16"/>
                <w:szCs w:val="16"/>
                <w:b w:val="1"/>
                <w:bCs w:val="1"/>
                <w:color w:val="auto"/>
              </w:rPr>
              <w:t>Total (Benefit) Cost for the Year</w:t>
            </w:r>
          </w:p>
        </w:tc>
        <w:tc>
          <w:tcPr>
            <w:tcW w:w="22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b w:val="1"/>
                <w:bCs w:val="1"/>
                <w:color w:val="auto"/>
                <w:w w:val="89"/>
              </w:rPr>
              <w:t>$</w:t>
            </w:r>
          </w:p>
        </w:tc>
        <w:tc>
          <w:tcPr>
            <w:tcW w:w="900" w:type="dxa"/>
            <w:vAlign w:val="bottom"/>
            <w:tcBorders>
              <w:bottom w:val="single" w:sz="8" w:color="auto"/>
            </w:tcBorders>
          </w:tcPr>
          <w:p>
            <w:pPr>
              <w:jc w:val="right"/>
              <w:ind w:right="62"/>
              <w:spacing w:after="0"/>
              <w:rPr>
                <w:sz w:val="20"/>
                <w:szCs w:val="20"/>
                <w:color w:val="auto"/>
              </w:rPr>
            </w:pPr>
            <w:r>
              <w:rPr>
                <w:rFonts w:ascii="Arial" w:cs="Arial" w:eastAsia="Arial" w:hAnsi="Arial"/>
                <w:sz w:val="16"/>
                <w:szCs w:val="16"/>
                <w:b w:val="1"/>
                <w:bCs w:val="1"/>
                <w:color w:val="auto"/>
              </w:rPr>
              <w:t>(2,232)</w:t>
            </w:r>
          </w:p>
        </w:tc>
        <w:tc>
          <w:tcPr>
            <w:tcW w:w="26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779</w:t>
            </w:r>
          </w:p>
        </w:tc>
        <w:tc>
          <w:tcPr>
            <w:tcW w:w="2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90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1,132</w:t>
            </w:r>
          </w:p>
        </w:tc>
      </w:tr>
      <w:tr>
        <w:trPr>
          <w:trHeight w:val="251"/>
        </w:trPr>
        <w:tc>
          <w:tcPr>
            <w:tcW w:w="8120" w:type="dxa"/>
            <w:vAlign w:val="bottom"/>
          </w:tcPr>
          <w:p>
            <w:pPr>
              <w:ind w:left="40"/>
              <w:spacing w:after="0"/>
              <w:rPr>
                <w:sz w:val="20"/>
                <w:szCs w:val="20"/>
                <w:color w:val="auto"/>
              </w:rPr>
            </w:pPr>
            <w:r>
              <w:rPr>
                <w:rFonts w:ascii="Arial" w:cs="Arial" w:eastAsia="Arial" w:hAnsi="Arial"/>
                <w:sz w:val="16"/>
                <w:szCs w:val="16"/>
                <w:b w:val="1"/>
                <w:bCs w:val="1"/>
                <w:color w:val="auto"/>
              </w:rPr>
              <w:t>Other Changes in Benefit Obligations Recognized in Other Comprehensive Income</w:t>
            </w:r>
          </w:p>
        </w:tc>
        <w:tc>
          <w:tcPr>
            <w:tcW w:w="22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00" w:type="dxa"/>
            <w:vAlign w:val="bottom"/>
          </w:tcPr>
          <w:p>
            <w:pPr>
              <w:spacing w:after="0"/>
              <w:rPr>
                <w:sz w:val="21"/>
                <w:szCs w:val="21"/>
                <w:color w:val="auto"/>
              </w:rPr>
            </w:pPr>
          </w:p>
        </w:tc>
      </w:tr>
    </w:tbl>
    <w:p>
      <w:pPr>
        <w:spacing w:after="0" w:line="55" w:lineRule="exact"/>
        <w:rPr>
          <w:sz w:val="20"/>
          <w:szCs w:val="20"/>
          <w:color w:val="auto"/>
        </w:rPr>
      </w:pPr>
    </w:p>
    <w:p>
      <w:pPr>
        <w:sectPr>
          <w:pgSz w:w="11900" w:h="16838" w:orient="portrait"/>
          <w:cols w:equalWidth="0" w:num="1">
            <w:col w:w="11420"/>
          </w:cols>
          <w:pgMar w:left="240" w:top="746" w:right="239" w:bottom="1440" w:gutter="0" w:footer="0" w:header="0"/>
        </w:sectPr>
      </w:pPr>
    </w:p>
    <w:p>
      <w:pPr>
        <w:spacing w:after="0" w:line="20" w:lineRule="exact"/>
        <w:rPr>
          <w:sz w:val="20"/>
          <w:szCs w:val="20"/>
          <w:color w:val="auto"/>
        </w:rPr>
      </w:pPr>
    </w:p>
    <w:p>
      <w:pPr>
        <w:ind w:left="40"/>
        <w:spacing w:after="0"/>
        <w:rPr>
          <w:sz w:val="20"/>
          <w:szCs w:val="20"/>
          <w:color w:val="auto"/>
        </w:rPr>
      </w:pPr>
      <w:r>
        <w:rPr>
          <w:rFonts w:ascii="Arial" w:cs="Arial" w:eastAsia="Arial" w:hAnsi="Arial"/>
          <w:sz w:val="16"/>
          <w:szCs w:val="16"/>
          <w:color w:val="auto"/>
        </w:rPr>
        <w:t>Current year actuarial gain</w:t>
      </w:r>
    </w:p>
    <w:p>
      <w:pPr>
        <w:spacing w:after="0" w:line="86" w:lineRule="exact"/>
        <w:rPr>
          <w:sz w:val="20"/>
          <w:szCs w:val="20"/>
          <w:color w:val="auto"/>
        </w:rPr>
      </w:pPr>
    </w:p>
    <w:p>
      <w:pPr>
        <w:ind w:left="40"/>
        <w:spacing w:after="0"/>
        <w:rPr>
          <w:sz w:val="20"/>
          <w:szCs w:val="20"/>
          <w:color w:val="auto"/>
        </w:rPr>
      </w:pPr>
      <w:r>
        <w:rPr>
          <w:rFonts w:ascii="Arial" w:cs="Arial" w:eastAsia="Arial" w:hAnsi="Arial"/>
          <w:sz w:val="16"/>
          <w:szCs w:val="16"/>
          <w:color w:val="auto"/>
        </w:rPr>
        <w:t>Amortization of prior service credit</w:t>
      </w:r>
    </w:p>
    <w:p>
      <w:pPr>
        <w:spacing w:after="0" w:line="86" w:lineRule="exact"/>
        <w:rPr>
          <w:sz w:val="20"/>
          <w:szCs w:val="20"/>
          <w:color w:val="auto"/>
        </w:rPr>
      </w:pPr>
    </w:p>
    <w:p>
      <w:pPr>
        <w:ind w:left="40"/>
        <w:spacing w:after="0"/>
        <w:rPr>
          <w:sz w:val="20"/>
          <w:szCs w:val="20"/>
          <w:color w:val="auto"/>
        </w:rPr>
      </w:pPr>
      <w:r>
        <w:rPr>
          <w:rFonts w:ascii="Arial" w:cs="Arial" w:eastAsia="Arial" w:hAnsi="Arial"/>
          <w:sz w:val="16"/>
          <w:szCs w:val="16"/>
          <w:color w:val="auto"/>
        </w:rPr>
        <w:t>Recognized actuarial gain</w:t>
      </w:r>
    </w:p>
    <w:p>
      <w:pPr>
        <w:spacing w:after="0" w:line="80" w:lineRule="exact"/>
        <w:rPr>
          <w:sz w:val="20"/>
          <w:szCs w:val="20"/>
          <w:color w:val="auto"/>
        </w:rPr>
      </w:pPr>
    </w:p>
    <w:p>
      <w:pPr>
        <w:ind w:left="40"/>
        <w:spacing w:after="0"/>
        <w:rPr>
          <w:sz w:val="20"/>
          <w:szCs w:val="20"/>
          <w:color w:val="auto"/>
        </w:rPr>
      </w:pPr>
      <w:r>
        <w:rPr>
          <w:rFonts w:ascii="Arial" w:cs="Arial" w:eastAsia="Arial" w:hAnsi="Arial"/>
          <w:sz w:val="16"/>
          <w:szCs w:val="16"/>
          <w:b w:val="1"/>
          <w:bCs w:val="1"/>
          <w:color w:val="auto"/>
        </w:rPr>
        <w:t>Total Recognized in Other Comprehensive Income (Before Tax Effects)</w:t>
      </w:r>
    </w:p>
    <w:p>
      <w:pPr>
        <w:spacing w:after="0" w:line="113" w:lineRule="exact"/>
        <w:rPr>
          <w:sz w:val="20"/>
          <w:szCs w:val="20"/>
          <w:color w:val="auto"/>
        </w:rPr>
      </w:pPr>
    </w:p>
    <w:p>
      <w:pPr>
        <w:ind w:left="40"/>
        <w:spacing w:after="0"/>
        <w:rPr>
          <w:sz w:val="20"/>
          <w:szCs w:val="20"/>
          <w:color w:val="auto"/>
        </w:rPr>
      </w:pPr>
      <w:r>
        <w:rPr>
          <w:rFonts w:ascii="Arial" w:cs="Arial" w:eastAsia="Arial" w:hAnsi="Arial"/>
          <w:sz w:val="16"/>
          <w:szCs w:val="16"/>
          <w:b w:val="1"/>
          <w:bCs w:val="1"/>
          <w:color w:val="auto"/>
        </w:rPr>
        <w:t>Total Recognized in (Benefit) Cost and Other Comprehensive Income (Before Tax Effects)</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5"/>
        </w:trPr>
        <w:tc>
          <w:tcPr>
            <w:tcW w:w="280" w:type="dxa"/>
            <w:vAlign w:val="bottom"/>
          </w:tcPr>
          <w:p>
            <w:pPr>
              <w:jc w:val="right"/>
              <w:ind w:right="99"/>
              <w:spacing w:after="0"/>
              <w:rPr>
                <w:sz w:val="20"/>
                <w:szCs w:val="20"/>
                <w:color w:val="auto"/>
              </w:rPr>
            </w:pPr>
            <w:r>
              <w:rPr>
                <w:rFonts w:ascii="Arial" w:cs="Arial" w:eastAsia="Arial" w:hAnsi="Arial"/>
                <w:sz w:val="16"/>
                <w:szCs w:val="16"/>
                <w:b w:val="1"/>
                <w:bCs w:val="1"/>
                <w:color w:val="auto"/>
                <w:w w:val="89"/>
              </w:rPr>
              <w:t>$</w:t>
            </w:r>
          </w:p>
        </w:tc>
        <w:tc>
          <w:tcPr>
            <w:tcW w:w="800" w:type="dxa"/>
            <w:vAlign w:val="bottom"/>
          </w:tcPr>
          <w:p>
            <w:pPr>
              <w:jc w:val="right"/>
              <w:ind w:right="19"/>
              <w:spacing w:after="0"/>
              <w:rPr>
                <w:sz w:val="20"/>
                <w:szCs w:val="20"/>
                <w:color w:val="auto"/>
              </w:rPr>
            </w:pPr>
            <w:r>
              <w:rPr>
                <w:rFonts w:ascii="Arial" w:cs="Arial" w:eastAsia="Arial" w:hAnsi="Arial"/>
                <w:sz w:val="16"/>
                <w:szCs w:val="16"/>
                <w:b w:val="1"/>
                <w:bCs w:val="1"/>
                <w:color w:val="auto"/>
              </w:rPr>
              <w:t>(2,830)</w:t>
            </w:r>
          </w:p>
        </w:tc>
        <w:tc>
          <w:tcPr>
            <w:tcW w:w="30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820" w:type="dxa"/>
            <w:vAlign w:val="bottom"/>
          </w:tcPr>
          <w:p>
            <w:pPr>
              <w:jc w:val="right"/>
              <w:spacing w:after="0"/>
              <w:rPr>
                <w:sz w:val="20"/>
                <w:szCs w:val="20"/>
                <w:color w:val="auto"/>
              </w:rPr>
            </w:pPr>
            <w:r>
              <w:rPr>
                <w:rFonts w:ascii="Arial" w:cs="Arial" w:eastAsia="Arial" w:hAnsi="Arial"/>
                <w:sz w:val="16"/>
                <w:szCs w:val="16"/>
                <w:color w:val="auto"/>
              </w:rPr>
              <w:t>(14,984)</w:t>
            </w:r>
          </w:p>
        </w:tc>
        <w:tc>
          <w:tcPr>
            <w:tcW w:w="36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740" w:type="dxa"/>
            <w:vAlign w:val="bottom"/>
          </w:tcPr>
          <w:p>
            <w:pPr>
              <w:jc w:val="right"/>
              <w:spacing w:after="0"/>
              <w:rPr>
                <w:sz w:val="20"/>
                <w:szCs w:val="20"/>
                <w:color w:val="auto"/>
              </w:rPr>
            </w:pPr>
            <w:r>
              <w:rPr>
                <w:rFonts w:ascii="Arial" w:cs="Arial" w:eastAsia="Arial" w:hAnsi="Arial"/>
                <w:sz w:val="16"/>
                <w:szCs w:val="16"/>
                <w:color w:val="auto"/>
              </w:rPr>
              <w:t>(5,296)</w:t>
            </w:r>
          </w:p>
        </w:tc>
      </w:tr>
      <w:tr>
        <w:trPr>
          <w:trHeight w:val="270"/>
        </w:trPr>
        <w:tc>
          <w:tcPr>
            <w:tcW w:w="280" w:type="dxa"/>
            <w:vAlign w:val="bottom"/>
          </w:tcPr>
          <w:p>
            <w:pPr>
              <w:spacing w:after="0"/>
              <w:rPr>
                <w:sz w:val="23"/>
                <w:szCs w:val="23"/>
                <w:color w:val="auto"/>
              </w:rPr>
            </w:pPr>
          </w:p>
        </w:tc>
        <w:tc>
          <w:tcPr>
            <w:tcW w:w="800" w:type="dxa"/>
            <w:vAlign w:val="bottom"/>
          </w:tcPr>
          <w:p>
            <w:pPr>
              <w:jc w:val="right"/>
              <w:ind w:right="79"/>
              <w:spacing w:after="0"/>
              <w:rPr>
                <w:sz w:val="20"/>
                <w:szCs w:val="20"/>
                <w:color w:val="auto"/>
              </w:rPr>
            </w:pPr>
            <w:r>
              <w:rPr>
                <w:rFonts w:ascii="Arial" w:cs="Arial" w:eastAsia="Arial" w:hAnsi="Arial"/>
                <w:sz w:val="16"/>
                <w:szCs w:val="16"/>
                <w:b w:val="1"/>
                <w:bCs w:val="1"/>
                <w:color w:val="auto"/>
              </w:rPr>
              <w:t>148</w:t>
            </w:r>
          </w:p>
        </w:tc>
        <w:tc>
          <w:tcPr>
            <w:tcW w:w="300" w:type="dxa"/>
            <w:vAlign w:val="bottom"/>
          </w:tcPr>
          <w:p>
            <w:pPr>
              <w:spacing w:after="0"/>
              <w:rPr>
                <w:sz w:val="23"/>
                <w:szCs w:val="23"/>
                <w:color w:val="auto"/>
              </w:rPr>
            </w:pPr>
          </w:p>
        </w:tc>
        <w:tc>
          <w:tcPr>
            <w:tcW w:w="820" w:type="dxa"/>
            <w:vAlign w:val="bottom"/>
          </w:tcPr>
          <w:p>
            <w:pPr>
              <w:jc w:val="right"/>
              <w:ind w:right="59"/>
              <w:spacing w:after="0"/>
              <w:rPr>
                <w:sz w:val="20"/>
                <w:szCs w:val="20"/>
                <w:color w:val="auto"/>
              </w:rPr>
            </w:pPr>
            <w:r>
              <w:rPr>
                <w:rFonts w:ascii="Arial" w:cs="Arial" w:eastAsia="Arial" w:hAnsi="Arial"/>
                <w:sz w:val="16"/>
                <w:szCs w:val="16"/>
                <w:color w:val="auto"/>
              </w:rPr>
              <w:t>335</w:t>
            </w:r>
          </w:p>
        </w:tc>
        <w:tc>
          <w:tcPr>
            <w:tcW w:w="360" w:type="dxa"/>
            <w:vAlign w:val="bottom"/>
          </w:tcPr>
          <w:p>
            <w:pPr>
              <w:spacing w:after="0"/>
              <w:rPr>
                <w:sz w:val="23"/>
                <w:szCs w:val="23"/>
                <w:color w:val="auto"/>
              </w:rPr>
            </w:pPr>
          </w:p>
        </w:tc>
        <w:tc>
          <w:tcPr>
            <w:tcW w:w="740" w:type="dxa"/>
            <w:vAlign w:val="bottom"/>
          </w:tcPr>
          <w:p>
            <w:pPr>
              <w:jc w:val="right"/>
              <w:ind w:right="19"/>
              <w:spacing w:after="0"/>
              <w:rPr>
                <w:sz w:val="20"/>
                <w:szCs w:val="20"/>
                <w:color w:val="auto"/>
              </w:rPr>
            </w:pPr>
            <w:r>
              <w:rPr>
                <w:rFonts w:ascii="Arial" w:cs="Arial" w:eastAsia="Arial" w:hAnsi="Arial"/>
                <w:sz w:val="16"/>
                <w:szCs w:val="16"/>
                <w:color w:val="auto"/>
              </w:rPr>
              <w:t>502</w:t>
            </w:r>
          </w:p>
        </w:tc>
      </w:tr>
      <w:tr>
        <w:trPr>
          <w:trHeight w:val="283"/>
        </w:trPr>
        <w:tc>
          <w:tcPr>
            <w:tcW w:w="28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b w:val="1"/>
                <w:bCs w:val="1"/>
                <w:color w:val="auto"/>
              </w:rPr>
              <w:t>3,891</w:t>
            </w:r>
          </w:p>
        </w:tc>
        <w:tc>
          <w:tcPr>
            <w:tcW w:w="30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1,502</w:t>
            </w:r>
          </w:p>
        </w:tc>
        <w:tc>
          <w:tcPr>
            <w:tcW w:w="36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996</w:t>
            </w:r>
          </w:p>
        </w:tc>
      </w:tr>
      <w:tr>
        <w:trPr>
          <w:trHeight w:val="264"/>
        </w:trPr>
        <w:tc>
          <w:tcPr>
            <w:tcW w:w="28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b w:val="1"/>
                <w:bCs w:val="1"/>
                <w:color w:val="auto"/>
                <w:w w:val="89"/>
              </w:rPr>
              <w:t>$</w:t>
            </w:r>
          </w:p>
        </w:tc>
        <w:tc>
          <w:tcPr>
            <w:tcW w:w="80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b w:val="1"/>
                <w:bCs w:val="1"/>
                <w:color w:val="auto"/>
              </w:rPr>
              <w:t>1,209</w:t>
            </w:r>
          </w:p>
        </w:tc>
        <w:tc>
          <w:tcPr>
            <w:tcW w:w="30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(13,147)</w:t>
            </w:r>
          </w:p>
        </w:tc>
        <w:tc>
          <w:tcPr>
            <w:tcW w:w="36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(3,798)</w:t>
            </w:r>
          </w:p>
        </w:tc>
      </w:tr>
      <w:tr>
        <w:trPr>
          <w:trHeight w:val="264"/>
        </w:trPr>
        <w:tc>
          <w:tcPr>
            <w:tcW w:w="28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b w:val="1"/>
                <w:bCs w:val="1"/>
                <w:color w:val="auto"/>
                <w:w w:val="89"/>
              </w:rPr>
              <w:t>$</w:t>
            </w:r>
          </w:p>
        </w:tc>
        <w:tc>
          <w:tcPr>
            <w:tcW w:w="8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b w:val="1"/>
                <w:bCs w:val="1"/>
                <w:color w:val="auto"/>
              </w:rPr>
              <w:t>(1,023)</w:t>
            </w:r>
          </w:p>
        </w:tc>
        <w:tc>
          <w:tcPr>
            <w:tcW w:w="30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(12,368)</w:t>
            </w:r>
          </w:p>
        </w:tc>
        <w:tc>
          <w:tcPr>
            <w:tcW w:w="36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(2,666)</w:t>
            </w:r>
          </w:p>
        </w:tc>
      </w:tr>
      <w:tr>
        <w:trPr>
          <w:trHeight w:val="20"/>
        </w:trPr>
        <w:tc>
          <w:tcPr>
            <w:tcW w:w="28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sectPr>
          <w:pgSz w:w="11900" w:h="16838" w:orient="portrait"/>
          <w:cols w:equalWidth="0" w:num="2">
            <w:col w:w="7400" w:space="720"/>
            <w:col w:w="3300"/>
          </w:cols>
          <w:pgMar w:left="240" w:top="746" w:right="239" w:bottom="1440" w:gutter="0" w:footer="0" w:header="0"/>
          <w:type w:val="continuous"/>
        </w:sectPr>
      </w:pPr>
    </w:p>
    <w:p>
      <w:pPr>
        <w:ind w:right="340"/>
        <w:spacing w:after="0" w:line="229" w:lineRule="auto"/>
        <w:rPr>
          <w:sz w:val="20"/>
          <w:szCs w:val="20"/>
          <w:color w:val="auto"/>
        </w:rPr>
      </w:pPr>
      <w:r>
        <w:rPr>
          <w:rFonts w:ascii="Arial" w:cs="Arial" w:eastAsia="Arial" w:hAnsi="Arial"/>
          <w:sz w:val="18"/>
          <w:szCs w:val="18"/>
          <w:color w:val="auto"/>
        </w:rPr>
        <w:t>The costs for the Company’s postretirement plans are actuarially determined. The discount rates utilized to determine periodic cost for the years ended December 31, 2017, 2016 and 2015, were 3.31%, 3.45% and 3.25%, respectively. AOCI included the following components of unrecognized net periodic benefit for the postretirement plans:</w:t>
      </w:r>
    </w:p>
    <w:p>
      <w:pPr>
        <w:spacing w:after="0" w:line="192"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926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920" w:type="dxa"/>
            <w:vAlign w:val="bottom"/>
            <w:tcBorders>
              <w:bottom w:val="single" w:sz="8" w:color="auto"/>
            </w:tcBorders>
            <w:gridSpan w:val="3"/>
          </w:tcPr>
          <w:p>
            <w:pPr>
              <w:jc w:val="right"/>
              <w:ind w:right="340"/>
              <w:spacing w:after="0"/>
              <w:rPr>
                <w:sz w:val="20"/>
                <w:szCs w:val="20"/>
                <w:color w:val="auto"/>
              </w:rPr>
            </w:pPr>
            <w:r>
              <w:rPr>
                <w:rFonts w:ascii="Arial" w:cs="Arial" w:eastAsia="Arial" w:hAnsi="Arial"/>
                <w:sz w:val="14"/>
                <w:szCs w:val="14"/>
                <w:b w:val="1"/>
                <w:bCs w:val="1"/>
                <w:color w:val="auto"/>
              </w:rPr>
              <w:t>As of December 31</w:t>
            </w:r>
          </w:p>
        </w:tc>
      </w:tr>
      <w:tr>
        <w:trPr>
          <w:trHeight w:val="264"/>
        </w:trPr>
        <w:tc>
          <w:tcPr>
            <w:tcW w:w="926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(in thousands)</w:t>
            </w:r>
          </w:p>
        </w:tc>
        <w:tc>
          <w:tcPr>
            <w:tcW w:w="240" w:type="dxa"/>
            <w:vAlign w:val="bottom"/>
            <w:tcBorders>
              <w:bottom w:val="single" w:sz="8" w:color="auto"/>
            </w:tcBorders>
          </w:tcPr>
          <w:p>
            <w:pPr>
              <w:spacing w:after="0"/>
              <w:rPr>
                <w:sz w:val="22"/>
                <w:szCs w:val="22"/>
                <w:color w:val="auto"/>
              </w:rPr>
            </w:pPr>
          </w:p>
        </w:tc>
        <w:tc>
          <w:tcPr>
            <w:tcW w:w="820" w:type="dxa"/>
            <w:vAlign w:val="bottom"/>
            <w:tcBorders>
              <w:bottom w:val="single" w:sz="8" w:color="auto"/>
            </w:tcBorders>
          </w:tcPr>
          <w:p>
            <w:pPr>
              <w:jc w:val="right"/>
              <w:ind w:right="302"/>
              <w:spacing w:after="0"/>
              <w:rPr>
                <w:sz w:val="20"/>
                <w:szCs w:val="20"/>
                <w:color w:val="auto"/>
              </w:rPr>
            </w:pPr>
            <w:r>
              <w:rPr>
                <w:rFonts w:ascii="Arial" w:cs="Arial" w:eastAsia="Arial" w:hAnsi="Arial"/>
                <w:sz w:val="14"/>
                <w:szCs w:val="14"/>
                <w:b w:val="1"/>
                <w:bCs w:val="1"/>
                <w:color w:val="auto"/>
              </w:rPr>
              <w:t>2017</w:t>
            </w:r>
          </w:p>
        </w:tc>
        <w:tc>
          <w:tcPr>
            <w:tcW w:w="300" w:type="dxa"/>
            <w:vAlign w:val="bottom"/>
            <w:tcBorders>
              <w:bottom w:val="single" w:sz="8" w:color="auto"/>
            </w:tcBorders>
          </w:tcPr>
          <w:p>
            <w:pPr>
              <w:spacing w:after="0"/>
              <w:rPr>
                <w:sz w:val="22"/>
                <w:szCs w:val="22"/>
                <w:color w:val="auto"/>
              </w:rPr>
            </w:pPr>
          </w:p>
        </w:tc>
        <w:tc>
          <w:tcPr>
            <w:tcW w:w="800" w:type="dxa"/>
            <w:vAlign w:val="bottom"/>
            <w:tcBorders>
              <w:bottom w:val="single" w:sz="8" w:color="auto"/>
            </w:tcBorders>
          </w:tcPr>
          <w:p>
            <w:pPr>
              <w:jc w:val="right"/>
              <w:ind w:right="280"/>
              <w:spacing w:after="0"/>
              <w:rPr>
                <w:sz w:val="20"/>
                <w:szCs w:val="20"/>
                <w:color w:val="auto"/>
              </w:rPr>
            </w:pPr>
            <w:r>
              <w:rPr>
                <w:rFonts w:ascii="Arial" w:cs="Arial" w:eastAsia="Arial" w:hAnsi="Arial"/>
                <w:sz w:val="14"/>
                <w:szCs w:val="14"/>
                <w:color w:val="auto"/>
              </w:rPr>
              <w:t>2016</w:t>
            </w:r>
          </w:p>
        </w:tc>
      </w:tr>
      <w:tr>
        <w:trPr>
          <w:trHeight w:val="250"/>
        </w:trPr>
        <w:tc>
          <w:tcPr>
            <w:tcW w:w="9260" w:type="dxa"/>
            <w:vAlign w:val="bottom"/>
          </w:tcPr>
          <w:p>
            <w:pPr>
              <w:ind w:left="40"/>
              <w:spacing w:after="0"/>
              <w:rPr>
                <w:sz w:val="20"/>
                <w:szCs w:val="20"/>
                <w:color w:val="auto"/>
              </w:rPr>
            </w:pPr>
            <w:r>
              <w:rPr>
                <w:rFonts w:ascii="Arial" w:cs="Arial" w:eastAsia="Arial" w:hAnsi="Arial"/>
                <w:sz w:val="16"/>
                <w:szCs w:val="16"/>
                <w:color w:val="auto"/>
              </w:rPr>
              <w:t>Unrecognized actuarial gain</w:t>
            </w:r>
          </w:p>
        </w:tc>
        <w:tc>
          <w:tcPr>
            <w:tcW w:w="240" w:type="dxa"/>
            <w:vAlign w:val="bottom"/>
          </w:tcPr>
          <w:p>
            <w:pPr>
              <w:jc w:val="right"/>
              <w:ind w:right="39"/>
              <w:spacing w:after="0"/>
              <w:rPr>
                <w:sz w:val="20"/>
                <w:szCs w:val="20"/>
                <w:color w:val="auto"/>
              </w:rPr>
            </w:pPr>
            <w:r>
              <w:rPr>
                <w:rFonts w:ascii="Arial" w:cs="Arial" w:eastAsia="Arial" w:hAnsi="Arial"/>
                <w:sz w:val="16"/>
                <w:szCs w:val="16"/>
                <w:b w:val="1"/>
                <w:bCs w:val="1"/>
                <w:color w:val="auto"/>
              </w:rPr>
              <w:t>$</w:t>
            </w:r>
          </w:p>
        </w:tc>
        <w:tc>
          <w:tcPr>
            <w:tcW w:w="820" w:type="dxa"/>
            <w:vAlign w:val="bottom"/>
          </w:tcPr>
          <w:p>
            <w:pPr>
              <w:jc w:val="right"/>
              <w:ind w:right="2"/>
              <w:spacing w:after="0"/>
              <w:rPr>
                <w:sz w:val="20"/>
                <w:szCs w:val="20"/>
                <w:color w:val="auto"/>
              </w:rPr>
            </w:pPr>
            <w:r>
              <w:rPr>
                <w:rFonts w:ascii="Arial" w:cs="Arial" w:eastAsia="Arial" w:hAnsi="Arial"/>
                <w:sz w:val="16"/>
                <w:szCs w:val="16"/>
                <w:b w:val="1"/>
                <w:bCs w:val="1"/>
                <w:color w:val="auto"/>
              </w:rPr>
              <w:t>(24,125)</w:t>
            </w:r>
          </w:p>
        </w:tc>
        <w:tc>
          <w:tcPr>
            <w:tcW w:w="30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800" w:type="dxa"/>
            <w:vAlign w:val="bottom"/>
          </w:tcPr>
          <w:p>
            <w:pPr>
              <w:jc w:val="right"/>
              <w:spacing w:after="0"/>
              <w:rPr>
                <w:sz w:val="20"/>
                <w:szCs w:val="20"/>
                <w:color w:val="auto"/>
              </w:rPr>
            </w:pPr>
            <w:r>
              <w:rPr>
                <w:rFonts w:ascii="Arial" w:cs="Arial" w:eastAsia="Arial" w:hAnsi="Arial"/>
                <w:sz w:val="16"/>
                <w:szCs w:val="16"/>
                <w:color w:val="auto"/>
              </w:rPr>
              <w:t>(25,186)</w:t>
            </w:r>
          </w:p>
        </w:tc>
      </w:tr>
      <w:tr>
        <w:trPr>
          <w:trHeight w:val="283"/>
        </w:trPr>
        <w:tc>
          <w:tcPr>
            <w:tcW w:w="9260" w:type="dxa"/>
            <w:vAlign w:val="bottom"/>
          </w:tcPr>
          <w:p>
            <w:pPr>
              <w:ind w:left="40"/>
              <w:spacing w:after="0"/>
              <w:rPr>
                <w:sz w:val="20"/>
                <w:szCs w:val="20"/>
                <w:color w:val="auto"/>
              </w:rPr>
            </w:pPr>
            <w:r>
              <w:rPr>
                <w:rFonts w:ascii="Arial" w:cs="Arial" w:eastAsia="Arial" w:hAnsi="Arial"/>
                <w:sz w:val="16"/>
                <w:szCs w:val="16"/>
                <w:color w:val="auto"/>
              </w:rPr>
              <w:t>Unrecognized prior service credit</w:t>
            </w:r>
          </w:p>
        </w:tc>
        <w:tc>
          <w:tcPr>
            <w:tcW w:w="24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jc w:val="right"/>
              <w:ind w:right="2"/>
              <w:spacing w:after="0"/>
              <w:rPr>
                <w:sz w:val="20"/>
                <w:szCs w:val="20"/>
                <w:color w:val="auto"/>
              </w:rPr>
            </w:pPr>
            <w:r>
              <w:rPr>
                <w:rFonts w:ascii="Arial" w:cs="Arial" w:eastAsia="Arial" w:hAnsi="Arial"/>
                <w:sz w:val="16"/>
                <w:szCs w:val="16"/>
                <w:b w:val="1"/>
                <w:bCs w:val="1"/>
                <w:color w:val="auto"/>
              </w:rPr>
              <w:t>(178)</w:t>
            </w:r>
          </w:p>
        </w:tc>
        <w:tc>
          <w:tcPr>
            <w:tcW w:w="30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(326)</w:t>
            </w:r>
          </w:p>
        </w:tc>
      </w:tr>
      <w:tr>
        <w:trPr>
          <w:trHeight w:val="251"/>
        </w:trPr>
        <w:tc>
          <w:tcPr>
            <w:tcW w:w="9260" w:type="dxa"/>
            <w:vAlign w:val="bottom"/>
          </w:tcPr>
          <w:p>
            <w:pPr>
              <w:ind w:left="40"/>
              <w:spacing w:after="0"/>
              <w:rPr>
                <w:sz w:val="20"/>
                <w:szCs w:val="20"/>
                <w:color w:val="auto"/>
              </w:rPr>
            </w:pPr>
            <w:r>
              <w:rPr>
                <w:rFonts w:ascii="Arial" w:cs="Arial" w:eastAsia="Arial" w:hAnsi="Arial"/>
                <w:sz w:val="16"/>
                <w:szCs w:val="16"/>
                <w:b w:val="1"/>
                <w:bCs w:val="1"/>
                <w:color w:val="auto"/>
              </w:rPr>
              <w:t>Gross Amount</w:t>
            </w:r>
          </w:p>
        </w:tc>
        <w:tc>
          <w:tcPr>
            <w:tcW w:w="240" w:type="dxa"/>
            <w:vAlign w:val="bottom"/>
          </w:tcPr>
          <w:p>
            <w:pPr>
              <w:spacing w:after="0"/>
              <w:rPr>
                <w:sz w:val="21"/>
                <w:szCs w:val="21"/>
                <w:color w:val="auto"/>
              </w:rPr>
            </w:pPr>
          </w:p>
        </w:tc>
        <w:tc>
          <w:tcPr>
            <w:tcW w:w="820" w:type="dxa"/>
            <w:vAlign w:val="bottom"/>
          </w:tcPr>
          <w:p>
            <w:pPr>
              <w:jc w:val="right"/>
              <w:ind w:right="2"/>
              <w:spacing w:after="0"/>
              <w:rPr>
                <w:sz w:val="20"/>
                <w:szCs w:val="20"/>
                <w:color w:val="auto"/>
              </w:rPr>
            </w:pPr>
            <w:r>
              <w:rPr>
                <w:rFonts w:ascii="Arial" w:cs="Arial" w:eastAsia="Arial" w:hAnsi="Arial"/>
                <w:sz w:val="16"/>
                <w:szCs w:val="16"/>
                <w:b w:val="1"/>
                <w:bCs w:val="1"/>
                <w:color w:val="auto"/>
              </w:rPr>
              <w:t>(24,303)</w:t>
            </w:r>
          </w:p>
        </w:tc>
        <w:tc>
          <w:tcPr>
            <w:tcW w:w="30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(25,512)</w:t>
            </w:r>
          </w:p>
        </w:tc>
      </w:tr>
      <w:tr>
        <w:trPr>
          <w:trHeight w:val="283"/>
        </w:trPr>
        <w:tc>
          <w:tcPr>
            <w:tcW w:w="9260" w:type="dxa"/>
            <w:vAlign w:val="bottom"/>
          </w:tcPr>
          <w:p>
            <w:pPr>
              <w:ind w:left="40"/>
              <w:spacing w:after="0"/>
              <w:rPr>
                <w:sz w:val="20"/>
                <w:szCs w:val="20"/>
                <w:color w:val="auto"/>
              </w:rPr>
            </w:pPr>
            <w:r>
              <w:rPr>
                <w:rFonts w:ascii="Arial" w:cs="Arial" w:eastAsia="Arial" w:hAnsi="Arial"/>
                <w:sz w:val="16"/>
                <w:szCs w:val="16"/>
                <w:color w:val="auto"/>
              </w:rPr>
              <w:t>Deferred tax liability</w:t>
            </w:r>
          </w:p>
        </w:tc>
        <w:tc>
          <w:tcPr>
            <w:tcW w:w="24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jc w:val="right"/>
              <w:ind w:right="62"/>
              <w:spacing w:after="0"/>
              <w:rPr>
                <w:sz w:val="20"/>
                <w:szCs w:val="20"/>
                <w:color w:val="auto"/>
              </w:rPr>
            </w:pPr>
            <w:r>
              <w:rPr>
                <w:rFonts w:ascii="Arial" w:cs="Arial" w:eastAsia="Arial" w:hAnsi="Arial"/>
                <w:sz w:val="16"/>
                <w:szCs w:val="16"/>
                <w:b w:val="1"/>
                <w:bCs w:val="1"/>
                <w:color w:val="auto"/>
              </w:rPr>
              <w:t>6,561</w:t>
            </w:r>
          </w:p>
        </w:tc>
        <w:tc>
          <w:tcPr>
            <w:tcW w:w="30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10,205</w:t>
            </w:r>
          </w:p>
        </w:tc>
      </w:tr>
      <w:tr>
        <w:trPr>
          <w:trHeight w:val="267"/>
        </w:trPr>
        <w:tc>
          <w:tcPr>
            <w:tcW w:w="9260" w:type="dxa"/>
            <w:vAlign w:val="bottom"/>
          </w:tcPr>
          <w:p>
            <w:pPr>
              <w:ind w:left="40"/>
              <w:spacing w:after="0"/>
              <w:rPr>
                <w:sz w:val="20"/>
                <w:szCs w:val="20"/>
                <w:color w:val="auto"/>
              </w:rPr>
            </w:pPr>
            <w:r>
              <w:rPr>
                <w:rFonts w:ascii="Arial" w:cs="Arial" w:eastAsia="Arial" w:hAnsi="Arial"/>
                <w:sz w:val="16"/>
                <w:szCs w:val="16"/>
                <w:b w:val="1"/>
                <w:bCs w:val="1"/>
                <w:color w:val="auto"/>
              </w:rPr>
              <w:t>Net Amount</w:t>
            </w:r>
          </w:p>
        </w:tc>
        <w:tc>
          <w:tcPr>
            <w:tcW w:w="24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b w:val="1"/>
                <w:bCs w:val="1"/>
                <w:color w:val="auto"/>
              </w:rPr>
              <w:t>$</w:t>
            </w:r>
          </w:p>
        </w:tc>
        <w:tc>
          <w:tcPr>
            <w:tcW w:w="820" w:type="dxa"/>
            <w:vAlign w:val="bottom"/>
            <w:tcBorders>
              <w:bottom w:val="single" w:sz="8" w:color="auto"/>
            </w:tcBorders>
          </w:tcPr>
          <w:p>
            <w:pPr>
              <w:jc w:val="right"/>
              <w:ind w:right="2"/>
              <w:spacing w:after="0"/>
              <w:rPr>
                <w:sz w:val="20"/>
                <w:szCs w:val="20"/>
                <w:color w:val="auto"/>
              </w:rPr>
            </w:pPr>
            <w:r>
              <w:rPr>
                <w:rFonts w:ascii="Arial" w:cs="Arial" w:eastAsia="Arial" w:hAnsi="Arial"/>
                <w:sz w:val="16"/>
                <w:szCs w:val="16"/>
                <w:b w:val="1"/>
                <w:bCs w:val="1"/>
                <w:color w:val="auto"/>
              </w:rPr>
              <w:t>(17,742)</w:t>
            </w:r>
          </w:p>
        </w:tc>
        <w:tc>
          <w:tcPr>
            <w:tcW w:w="3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(15,307)</w:t>
            </w:r>
          </w:p>
        </w:tc>
      </w:tr>
      <w:tr>
        <w:trPr>
          <w:trHeight w:val="20"/>
        </w:trPr>
        <w:tc>
          <w:tcPr>
            <w:tcW w:w="92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spacing w:after="0"/>
        <w:rPr>
          <w:sz w:val="20"/>
          <w:szCs w:val="20"/>
          <w:color w:val="auto"/>
        </w:rPr>
      </w:pPr>
      <w:r>
        <w:rPr>
          <w:rFonts w:ascii="Arial" w:cs="Arial" w:eastAsia="Arial" w:hAnsi="Arial"/>
          <w:sz w:val="18"/>
          <w:szCs w:val="18"/>
          <w:color w:val="auto"/>
        </w:rPr>
        <w:t>During 2018, the Company expects to recognize the following amortization components of net periodic cost for the other postretirement plans:</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638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(in thousands)</w:t>
            </w:r>
          </w:p>
        </w:tc>
        <w:tc>
          <w:tcPr>
            <w:tcW w:w="434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jc w:val="right"/>
              <w:ind w:right="222"/>
              <w:spacing w:after="0"/>
              <w:rPr>
                <w:sz w:val="20"/>
                <w:szCs w:val="20"/>
                <w:color w:val="auto"/>
              </w:rPr>
            </w:pPr>
            <w:r>
              <w:rPr>
                <w:rFonts w:ascii="Arial" w:cs="Arial" w:eastAsia="Arial" w:hAnsi="Arial"/>
                <w:sz w:val="14"/>
                <w:szCs w:val="14"/>
                <w:color w:val="auto"/>
              </w:rPr>
              <w:t>2018</w:t>
            </w:r>
          </w:p>
        </w:tc>
      </w:tr>
      <w:tr>
        <w:trPr>
          <w:trHeight w:val="223"/>
        </w:trPr>
        <w:tc>
          <w:tcPr>
            <w:tcW w:w="6380" w:type="dxa"/>
            <w:vAlign w:val="bottom"/>
          </w:tcPr>
          <w:p>
            <w:pPr>
              <w:ind w:left="40"/>
              <w:spacing w:after="0"/>
              <w:rPr>
                <w:sz w:val="20"/>
                <w:szCs w:val="20"/>
                <w:color w:val="auto"/>
              </w:rPr>
            </w:pPr>
            <w:r>
              <w:rPr>
                <w:rFonts w:ascii="Arial" w:cs="Arial" w:eastAsia="Arial" w:hAnsi="Arial"/>
                <w:sz w:val="16"/>
                <w:szCs w:val="16"/>
                <w:color w:val="auto"/>
              </w:rPr>
              <w:t>Actuarial gain recognition</w:t>
            </w:r>
          </w:p>
        </w:tc>
        <w:tc>
          <w:tcPr>
            <w:tcW w:w="4340" w:type="dxa"/>
            <w:vAlign w:val="bottom"/>
          </w:tcPr>
          <w:p>
            <w:pPr>
              <w:jc w:val="right"/>
              <w:spacing w:after="0"/>
              <w:rPr>
                <w:sz w:val="20"/>
                <w:szCs w:val="20"/>
                <w:color w:val="auto"/>
              </w:rPr>
            </w:pPr>
            <w:r>
              <w:rPr>
                <w:rFonts w:ascii="Arial" w:cs="Arial" w:eastAsia="Arial" w:hAnsi="Arial"/>
                <w:sz w:val="16"/>
                <w:szCs w:val="16"/>
                <w:color w:val="auto"/>
              </w:rPr>
              <w:t>$</w:t>
            </w:r>
          </w:p>
        </w:tc>
        <w:tc>
          <w:tcPr>
            <w:tcW w:w="700" w:type="dxa"/>
            <w:vAlign w:val="bottom"/>
          </w:tcPr>
          <w:p>
            <w:pPr>
              <w:jc w:val="right"/>
              <w:spacing w:after="0"/>
              <w:rPr>
                <w:sz w:val="20"/>
                <w:szCs w:val="20"/>
                <w:color w:val="auto"/>
              </w:rPr>
            </w:pPr>
            <w:r>
              <w:rPr>
                <w:rFonts w:ascii="Arial" w:cs="Arial" w:eastAsia="Arial" w:hAnsi="Arial"/>
                <w:sz w:val="16"/>
                <w:szCs w:val="16"/>
                <w:color w:val="auto"/>
              </w:rPr>
              <w:t>(3,686)</w:t>
            </w:r>
          </w:p>
        </w:tc>
      </w:tr>
      <w:tr>
        <w:trPr>
          <w:trHeight w:val="243"/>
        </w:trPr>
        <w:tc>
          <w:tcPr>
            <w:tcW w:w="6380" w:type="dxa"/>
            <w:vAlign w:val="bottom"/>
          </w:tcPr>
          <w:p>
            <w:pPr>
              <w:ind w:left="40"/>
              <w:spacing w:after="0"/>
              <w:rPr>
                <w:sz w:val="20"/>
                <w:szCs w:val="20"/>
                <w:color w:val="auto"/>
              </w:rPr>
            </w:pPr>
            <w:r>
              <w:rPr>
                <w:rFonts w:ascii="Arial" w:cs="Arial" w:eastAsia="Arial" w:hAnsi="Arial"/>
                <w:sz w:val="16"/>
                <w:szCs w:val="16"/>
                <w:color w:val="auto"/>
              </w:rPr>
              <w:t>Prior service credit recognition</w:t>
            </w:r>
          </w:p>
        </w:tc>
        <w:tc>
          <w:tcPr>
            <w:tcW w:w="4340" w:type="dxa"/>
            <w:vAlign w:val="bottom"/>
          </w:tcPr>
          <w:p>
            <w:pPr>
              <w:jc w:val="right"/>
              <w:spacing w:after="0"/>
              <w:rPr>
                <w:sz w:val="20"/>
                <w:szCs w:val="20"/>
                <w:color w:val="auto"/>
              </w:rPr>
            </w:pPr>
            <w:r>
              <w:rPr>
                <w:rFonts w:ascii="Arial" w:cs="Arial" w:eastAsia="Arial" w:hAnsi="Arial"/>
                <w:sz w:val="16"/>
                <w:szCs w:val="16"/>
                <w:color w:val="auto"/>
              </w:rPr>
              <w:t>$</w:t>
            </w:r>
          </w:p>
        </w:tc>
        <w:tc>
          <w:tcPr>
            <w:tcW w:w="700" w:type="dxa"/>
            <w:vAlign w:val="bottom"/>
          </w:tcPr>
          <w:p>
            <w:pPr>
              <w:jc w:val="right"/>
              <w:spacing w:after="0"/>
              <w:rPr>
                <w:sz w:val="20"/>
                <w:szCs w:val="20"/>
                <w:color w:val="auto"/>
              </w:rPr>
            </w:pPr>
            <w:r>
              <w:rPr>
                <w:rFonts w:ascii="Arial" w:cs="Arial" w:eastAsia="Arial" w:hAnsi="Arial"/>
                <w:sz w:val="16"/>
                <w:szCs w:val="16"/>
                <w:color w:val="auto"/>
              </w:rPr>
              <w:t>(175)</w:t>
            </w:r>
          </w:p>
        </w:tc>
      </w:tr>
    </w:tbl>
    <w:p>
      <w:pPr>
        <w:spacing w:after="0" w:line="145" w:lineRule="exact"/>
        <w:rPr>
          <w:sz w:val="20"/>
          <w:szCs w:val="20"/>
          <w:color w:val="auto"/>
        </w:rPr>
      </w:pPr>
    </w:p>
    <w:p>
      <w:pPr>
        <w:ind w:right="220"/>
        <w:spacing w:after="0" w:line="238" w:lineRule="auto"/>
        <w:rPr>
          <w:sz w:val="20"/>
          <w:szCs w:val="20"/>
          <w:color w:val="auto"/>
        </w:rPr>
      </w:pPr>
      <w:r>
        <w:rPr>
          <w:rFonts w:ascii="Arial" w:cs="Arial" w:eastAsia="Arial" w:hAnsi="Arial"/>
          <w:sz w:val="18"/>
          <w:szCs w:val="18"/>
          <w:b w:val="1"/>
          <w:bCs w:val="1"/>
          <w:color w:val="auto"/>
        </w:rPr>
        <w:t>Multiemployer Pension Plans</w:t>
      </w:r>
      <w:r>
        <w:rPr>
          <w:rFonts w:ascii="Arial" w:cs="Arial" w:eastAsia="Arial" w:hAnsi="Arial"/>
          <w:sz w:val="18"/>
          <w:szCs w:val="18"/>
          <w:color w:val="auto"/>
        </w:rPr>
        <w:t>. In 2017, 2016 and 2015, the Company contributed to one multiemployer defined benefit pension plan under</w:t>
      </w:r>
      <w:r>
        <w:rPr>
          <w:rFonts w:ascii="Arial" w:cs="Arial" w:eastAsia="Arial" w:hAnsi="Arial"/>
          <w:sz w:val="18"/>
          <w:szCs w:val="18"/>
          <w:b w:val="1"/>
          <w:bCs w:val="1"/>
          <w:color w:val="auto"/>
        </w:rPr>
        <w:t xml:space="preserve"> </w:t>
      </w:r>
      <w:r>
        <w:rPr>
          <w:rFonts w:ascii="Arial" w:cs="Arial" w:eastAsia="Arial" w:hAnsi="Arial"/>
          <w:sz w:val="18"/>
          <w:szCs w:val="18"/>
          <w:color w:val="auto"/>
        </w:rPr>
        <w:t>the terms of a collective-bargaining agreement that covered certain union-represented employees. The Company’s total contributions to the multiemployer pension plan amounted to $0.1 million in each year for 2017, 2016 and 2015.</w:t>
      </w:r>
    </w:p>
    <w:p>
      <w:pPr>
        <w:spacing w:after="0" w:line="114" w:lineRule="exact"/>
        <w:rPr>
          <w:sz w:val="20"/>
          <w:szCs w:val="20"/>
          <w:color w:val="auto"/>
        </w:rPr>
      </w:pPr>
    </w:p>
    <w:p>
      <w:pPr>
        <w:ind w:right="100"/>
        <w:spacing w:after="0" w:line="256" w:lineRule="auto"/>
        <w:rPr>
          <w:sz w:val="20"/>
          <w:szCs w:val="20"/>
          <w:color w:val="auto"/>
        </w:rPr>
      </w:pPr>
      <w:r>
        <w:rPr>
          <w:rFonts w:ascii="Arial" w:cs="Arial" w:eastAsia="Arial" w:hAnsi="Arial"/>
          <w:sz w:val="18"/>
          <w:szCs w:val="18"/>
          <w:b w:val="1"/>
          <w:bCs w:val="1"/>
          <w:color w:val="auto"/>
        </w:rPr>
        <w:t xml:space="preserve">Savings Plans. </w:t>
      </w:r>
      <w:r>
        <w:rPr>
          <w:rFonts w:ascii="Arial" w:cs="Arial" w:eastAsia="Arial" w:hAnsi="Arial"/>
          <w:sz w:val="18"/>
          <w:szCs w:val="18"/>
          <w:color w:val="auto"/>
        </w:rPr>
        <w:t>The Company recorded expense associated with retirement benefits provided under incentive savings plans (primarily 401(k)</w:t>
      </w:r>
      <w:r>
        <w:rPr>
          <w:rFonts w:ascii="Arial" w:cs="Arial" w:eastAsia="Arial" w:hAnsi="Arial"/>
          <w:sz w:val="18"/>
          <w:szCs w:val="18"/>
          <w:b w:val="1"/>
          <w:bCs w:val="1"/>
          <w:color w:val="auto"/>
        </w:rPr>
        <w:t xml:space="preserve"> </w:t>
      </w:r>
      <w:r>
        <w:rPr>
          <w:rFonts w:ascii="Arial" w:cs="Arial" w:eastAsia="Arial" w:hAnsi="Arial"/>
          <w:sz w:val="18"/>
          <w:szCs w:val="18"/>
          <w:color w:val="auto"/>
        </w:rPr>
        <w:t>plans) of approximately $7.5 million in 2017 and 2016, and $7.6 million in 2015.</w:t>
      </w:r>
    </w:p>
    <w:p>
      <w:pPr>
        <w:spacing w:after="0" w:line="200" w:lineRule="exact"/>
        <w:rPr>
          <w:sz w:val="20"/>
          <w:szCs w:val="20"/>
          <w:color w:val="auto"/>
        </w:rPr>
      </w:pPr>
    </w:p>
    <w:p>
      <w:pPr>
        <w:spacing w:after="0" w:line="2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109</w:t>
      </w:r>
    </w:p>
    <w:p>
      <w:pPr>
        <w:sectPr>
          <w:pgSz w:w="11900" w:h="16838" w:orient="portrait"/>
          <w:cols w:equalWidth="0" w:num="1">
            <w:col w:w="11420"/>
          </w:cols>
          <w:pgMar w:left="240" w:top="746" w:right="239" w:bottom="1440" w:gutter="0" w:footer="0" w:header="0"/>
          <w:type w:val="continuous"/>
        </w:sectPr>
      </w:pPr>
    </w:p>
    <w:bookmarkStart w:id="113" w:name="page114"/>
    <w:bookmarkEnd w:id="113"/>
    <w:p>
      <w:pPr>
        <w:ind w:left="500" w:hanging="492"/>
        <w:spacing w:after="0"/>
        <w:tabs>
          <w:tab w:leader="none" w:pos="500" w:val="left"/>
        </w:tabs>
        <w:numPr>
          <w:ilvl w:val="0"/>
          <w:numId w:val="80"/>
        </w:numPr>
        <w:rPr>
          <w:rFonts w:ascii="Arial" w:cs="Arial" w:eastAsia="Arial" w:hAnsi="Arial"/>
          <w:sz w:val="18"/>
          <w:szCs w:val="18"/>
          <w:b w:val="1"/>
          <w:bCs w:val="1"/>
          <w:color w:val="auto"/>
        </w:rPr>
      </w:pPr>
      <w:r>
        <w:rPr>
          <w:rFonts w:ascii="Arial" w:cs="Arial" w:eastAsia="Arial" w:hAnsi="Arial"/>
          <w:sz w:val="18"/>
          <w:szCs w:val="18"/>
          <w:b w:val="1"/>
          <w:bCs w:val="1"/>
          <w:color w:val="auto"/>
        </w:rPr>
        <w:t>OTHER NON-OPERATING INCOME (EXPENSE)</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color w:val="auto"/>
        </w:rPr>
        <w:t>A summary of non-operating income (expense) is as follows:</w:t>
      </w:r>
    </w:p>
    <w:p>
      <w:pPr>
        <w:spacing w:after="0" w:line="199" w:lineRule="exact"/>
        <w:rPr>
          <w:sz w:val="20"/>
          <w:szCs w:val="20"/>
          <w:color w:val="auto"/>
        </w:rPr>
      </w:pPr>
    </w:p>
    <w:p>
      <w:pPr>
        <w:ind w:left="8760"/>
        <w:spacing w:after="0"/>
        <w:rPr>
          <w:sz w:val="20"/>
          <w:szCs w:val="20"/>
          <w:color w:val="auto"/>
        </w:rPr>
      </w:pPr>
      <w:r>
        <w:rPr>
          <w:rFonts w:ascii="Arial" w:cs="Arial" w:eastAsia="Arial" w:hAnsi="Arial"/>
          <w:sz w:val="14"/>
          <w:szCs w:val="14"/>
          <w:b w:val="1"/>
          <w:bCs w:val="1"/>
          <w:color w:val="auto"/>
        </w:rPr>
        <w:t>Year Ended 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4936490</wp:posOffset>
            </wp:positionH>
            <wp:positionV relativeFrom="paragraph">
              <wp:posOffset>26035</wp:posOffset>
            </wp:positionV>
            <wp:extent cx="2315210" cy="88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54">
                      <a:extLst>
                        <a:ext uri="{28A0092B-C50C-407E-A947-70E740481C1C}"/>
                      </a:extLst>
                    </a:blip>
                    <a:srcRect/>
                    <a:stretch>
                      <a:fillRect/>
                    </a:stretch>
                  </pic:blipFill>
                  <pic:spPr bwMode="auto">
                    <a:xfrm>
                      <a:off x="0" y="0"/>
                      <a:ext cx="2315210" cy="8890"/>
                    </a:xfrm>
                    <a:prstGeom prst="rect">
                      <a:avLst/>
                    </a:prstGeom>
                    <a:noFill/>
                  </pic:spPr>
                </pic:pic>
              </a:graphicData>
            </a:graphic>
          </wp:anchor>
        </w:drawing>
      </w:r>
    </w:p>
    <w:p>
      <w:pPr>
        <w:spacing w:after="0" w:line="103"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458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(in thousands)</w:t>
            </w:r>
          </w:p>
        </w:tc>
        <w:tc>
          <w:tcPr>
            <w:tcW w:w="4400" w:type="dxa"/>
            <w:vAlign w:val="bottom"/>
            <w:tcBorders>
              <w:bottom w:val="single" w:sz="8" w:color="auto"/>
            </w:tcBorders>
          </w:tcPr>
          <w:p>
            <w:pPr>
              <w:jc w:val="right"/>
              <w:ind w:right="388"/>
              <w:spacing w:after="0"/>
              <w:rPr>
                <w:sz w:val="20"/>
                <w:szCs w:val="20"/>
                <w:color w:val="auto"/>
              </w:rPr>
            </w:pPr>
            <w:r>
              <w:rPr>
                <w:rFonts w:ascii="Arial" w:cs="Arial" w:eastAsia="Arial" w:hAnsi="Arial"/>
                <w:sz w:val="14"/>
                <w:szCs w:val="14"/>
                <w:b w:val="1"/>
                <w:bCs w:val="1"/>
                <w:color w:val="auto"/>
              </w:rPr>
              <w:t>2017</w:t>
            </w:r>
          </w:p>
        </w:tc>
        <w:tc>
          <w:tcPr>
            <w:tcW w:w="1260" w:type="dxa"/>
            <w:vAlign w:val="bottom"/>
            <w:tcBorders>
              <w:bottom w:val="single" w:sz="8" w:color="auto"/>
            </w:tcBorders>
          </w:tcPr>
          <w:p>
            <w:pPr>
              <w:jc w:val="right"/>
              <w:ind w:right="388"/>
              <w:spacing w:after="0"/>
              <w:rPr>
                <w:sz w:val="20"/>
                <w:szCs w:val="20"/>
                <w:color w:val="auto"/>
              </w:rPr>
            </w:pPr>
            <w:r>
              <w:rPr>
                <w:rFonts w:ascii="Arial" w:cs="Arial" w:eastAsia="Arial" w:hAnsi="Arial"/>
                <w:sz w:val="14"/>
                <w:szCs w:val="14"/>
                <w:color w:val="auto"/>
              </w:rPr>
              <w:t>2016</w:t>
            </w:r>
          </w:p>
        </w:tc>
        <w:tc>
          <w:tcPr>
            <w:tcW w:w="1180" w:type="dxa"/>
            <w:vAlign w:val="bottom"/>
            <w:tcBorders>
              <w:bottom w:val="single" w:sz="8" w:color="auto"/>
            </w:tcBorders>
          </w:tcPr>
          <w:p>
            <w:pPr>
              <w:jc w:val="right"/>
              <w:ind w:right="328"/>
              <w:spacing w:after="0"/>
              <w:rPr>
                <w:sz w:val="20"/>
                <w:szCs w:val="20"/>
                <w:color w:val="auto"/>
              </w:rPr>
            </w:pPr>
            <w:r>
              <w:rPr>
                <w:rFonts w:ascii="Arial" w:cs="Arial" w:eastAsia="Arial" w:hAnsi="Arial"/>
                <w:sz w:val="14"/>
                <w:szCs w:val="14"/>
                <w:color w:val="auto"/>
              </w:rPr>
              <w:t>2015</w:t>
            </w:r>
          </w:p>
        </w:tc>
      </w:tr>
    </w:tbl>
    <w:p>
      <w:pPr>
        <w:spacing w:after="0" w:line="36" w:lineRule="exact"/>
        <w:rPr>
          <w:sz w:val="20"/>
          <w:szCs w:val="20"/>
          <w:color w:val="auto"/>
        </w:rPr>
      </w:pPr>
    </w:p>
    <w:p>
      <w:pPr>
        <w:sectPr>
          <w:pgSz w:w="11900" w:h="16838" w:orient="portrait"/>
          <w:cols w:equalWidth="0" w:num="1">
            <w:col w:w="11420"/>
          </w:cols>
          <w:pgMar w:left="240" w:top="724" w:right="239" w:bottom="1440" w:gutter="0" w:footer="0" w:header="0"/>
        </w:sectPr>
      </w:pPr>
    </w:p>
    <w:p>
      <w:pPr>
        <w:spacing w:after="0" w:line="20" w:lineRule="exact"/>
        <w:rPr>
          <w:sz w:val="20"/>
          <w:szCs w:val="20"/>
          <w:color w:val="auto"/>
        </w:rPr>
      </w:pPr>
    </w:p>
    <w:p>
      <w:pPr>
        <w:ind w:left="40"/>
        <w:spacing w:after="0"/>
        <w:rPr>
          <w:sz w:val="20"/>
          <w:szCs w:val="20"/>
          <w:color w:val="auto"/>
        </w:rPr>
      </w:pPr>
      <w:r>
        <w:rPr>
          <w:rFonts w:ascii="Arial" w:cs="Arial" w:eastAsia="Arial" w:hAnsi="Arial"/>
          <w:sz w:val="16"/>
          <w:szCs w:val="16"/>
          <w:color w:val="auto"/>
        </w:rPr>
        <w:t>Foreign currency gain (losses), net</w:t>
      </w:r>
    </w:p>
    <w:p>
      <w:pPr>
        <w:spacing w:after="0" w:line="86" w:lineRule="exact"/>
        <w:rPr>
          <w:sz w:val="20"/>
          <w:szCs w:val="20"/>
          <w:color w:val="auto"/>
        </w:rPr>
      </w:pPr>
    </w:p>
    <w:p>
      <w:pPr>
        <w:ind w:left="40"/>
        <w:spacing w:after="0"/>
        <w:rPr>
          <w:sz w:val="20"/>
          <w:szCs w:val="20"/>
          <w:color w:val="auto"/>
        </w:rPr>
      </w:pPr>
      <w:r>
        <w:rPr>
          <w:rFonts w:ascii="Arial" w:cs="Arial" w:eastAsia="Arial" w:hAnsi="Arial"/>
          <w:sz w:val="16"/>
          <w:szCs w:val="16"/>
          <w:color w:val="auto"/>
        </w:rPr>
        <w:t>Net (loss) gain on sales of businesses</w:t>
      </w:r>
    </w:p>
    <w:p>
      <w:pPr>
        <w:spacing w:after="0" w:line="86" w:lineRule="exact"/>
        <w:rPr>
          <w:sz w:val="20"/>
          <w:szCs w:val="20"/>
          <w:color w:val="auto"/>
        </w:rPr>
      </w:pPr>
    </w:p>
    <w:p>
      <w:pPr>
        <w:ind w:left="40"/>
        <w:spacing w:after="0"/>
        <w:rPr>
          <w:sz w:val="20"/>
          <w:szCs w:val="20"/>
          <w:color w:val="auto"/>
        </w:rPr>
      </w:pPr>
      <w:r>
        <w:rPr>
          <w:rFonts w:ascii="Arial" w:cs="Arial" w:eastAsia="Arial" w:hAnsi="Arial"/>
          <w:sz w:val="16"/>
          <w:szCs w:val="16"/>
          <w:color w:val="auto"/>
        </w:rPr>
        <w:t>Net losses on sales or write-downs of cost method investments</w:t>
      </w:r>
    </w:p>
    <w:p>
      <w:pPr>
        <w:spacing w:after="0" w:line="86" w:lineRule="exact"/>
        <w:rPr>
          <w:sz w:val="20"/>
          <w:szCs w:val="20"/>
          <w:color w:val="auto"/>
        </w:rPr>
      </w:pPr>
    </w:p>
    <w:p>
      <w:pPr>
        <w:ind w:left="40"/>
        <w:spacing w:after="0"/>
        <w:rPr>
          <w:sz w:val="20"/>
          <w:szCs w:val="20"/>
          <w:color w:val="auto"/>
        </w:rPr>
      </w:pPr>
      <w:r>
        <w:rPr>
          <w:rFonts w:ascii="Arial" w:cs="Arial" w:eastAsia="Arial" w:hAnsi="Arial"/>
          <w:sz w:val="16"/>
          <w:szCs w:val="16"/>
          <w:color w:val="auto"/>
        </w:rPr>
        <w:t>Gain on sale of property, plant and equipment</w:t>
      </w:r>
    </w:p>
    <w:p>
      <w:pPr>
        <w:spacing w:after="0" w:line="86" w:lineRule="exact"/>
        <w:rPr>
          <w:sz w:val="20"/>
          <w:szCs w:val="20"/>
          <w:color w:val="auto"/>
        </w:rPr>
      </w:pPr>
    </w:p>
    <w:p>
      <w:pPr>
        <w:ind w:left="40"/>
        <w:spacing w:after="0"/>
        <w:rPr>
          <w:sz w:val="20"/>
          <w:szCs w:val="20"/>
          <w:color w:val="auto"/>
        </w:rPr>
      </w:pPr>
      <w:r>
        <w:rPr>
          <w:rFonts w:ascii="Arial" w:cs="Arial" w:eastAsia="Arial" w:hAnsi="Arial"/>
          <w:sz w:val="16"/>
          <w:szCs w:val="16"/>
          <w:color w:val="auto"/>
        </w:rPr>
        <w:t>Gain on formation of a joint venture</w:t>
      </w:r>
    </w:p>
    <w:p>
      <w:pPr>
        <w:spacing w:after="0" w:line="86" w:lineRule="exact"/>
        <w:rPr>
          <w:sz w:val="20"/>
          <w:szCs w:val="20"/>
          <w:color w:val="auto"/>
        </w:rPr>
      </w:pPr>
    </w:p>
    <w:p>
      <w:pPr>
        <w:ind w:left="40"/>
        <w:spacing w:after="0"/>
        <w:rPr>
          <w:sz w:val="20"/>
          <w:szCs w:val="20"/>
          <w:color w:val="auto"/>
        </w:rPr>
      </w:pPr>
      <w:r>
        <w:rPr>
          <w:rFonts w:ascii="Arial" w:cs="Arial" w:eastAsia="Arial" w:hAnsi="Arial"/>
          <w:sz w:val="16"/>
          <w:szCs w:val="16"/>
          <w:color w:val="auto"/>
        </w:rPr>
        <w:t>Gain on sale of Classified Ventures</w:t>
      </w:r>
    </w:p>
    <w:p>
      <w:pPr>
        <w:spacing w:after="0" w:line="86" w:lineRule="exact"/>
        <w:rPr>
          <w:sz w:val="20"/>
          <w:szCs w:val="20"/>
          <w:color w:val="auto"/>
        </w:rPr>
      </w:pPr>
    </w:p>
    <w:p>
      <w:pPr>
        <w:ind w:left="40" w:right="2360"/>
        <w:spacing w:after="0" w:line="356" w:lineRule="auto"/>
        <w:rPr>
          <w:sz w:val="20"/>
          <w:szCs w:val="20"/>
          <w:color w:val="auto"/>
        </w:rPr>
      </w:pPr>
      <w:r>
        <w:rPr>
          <w:rFonts w:ascii="Arial" w:cs="Arial" w:eastAsia="Arial" w:hAnsi="Arial"/>
          <w:sz w:val="16"/>
          <w:szCs w:val="16"/>
          <w:color w:val="auto"/>
        </w:rPr>
        <w:t>Net losses on sales or write-down of marketable equity securities Other, net</w:t>
      </w:r>
    </w:p>
    <w:p>
      <w:pPr>
        <w:spacing w:after="0" w:line="1" w:lineRule="exact"/>
        <w:rPr>
          <w:sz w:val="20"/>
          <w:szCs w:val="20"/>
          <w:color w:val="auto"/>
        </w:rPr>
      </w:pPr>
    </w:p>
    <w:p>
      <w:pPr>
        <w:ind w:left="40"/>
        <w:spacing w:after="0"/>
        <w:rPr>
          <w:sz w:val="20"/>
          <w:szCs w:val="20"/>
          <w:color w:val="auto"/>
        </w:rPr>
      </w:pPr>
      <w:r>
        <w:rPr>
          <w:rFonts w:ascii="Arial" w:cs="Arial" w:eastAsia="Arial" w:hAnsi="Arial"/>
          <w:sz w:val="16"/>
          <w:szCs w:val="16"/>
          <w:b w:val="1"/>
          <w:bCs w:val="1"/>
          <w:color w:val="auto"/>
        </w:rPr>
        <w:t>Total Other Non-Operating Income (Expense)</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5"/>
        </w:trPr>
        <w:tc>
          <w:tcPr>
            <w:tcW w:w="380" w:type="dxa"/>
            <w:vAlign w:val="bottom"/>
          </w:tcPr>
          <w:p>
            <w:pPr>
              <w:jc w:val="right"/>
              <w:ind w:right="179"/>
              <w:spacing w:after="0"/>
              <w:rPr>
                <w:sz w:val="20"/>
                <w:szCs w:val="20"/>
                <w:color w:val="auto"/>
              </w:rPr>
            </w:pPr>
            <w:r>
              <w:rPr>
                <w:rFonts w:ascii="Arial" w:cs="Arial" w:eastAsia="Arial" w:hAnsi="Arial"/>
                <w:sz w:val="16"/>
                <w:szCs w:val="16"/>
                <w:b w:val="1"/>
                <w:bCs w:val="1"/>
                <w:color w:val="auto"/>
              </w:rPr>
              <w:t>$</w:t>
            </w:r>
          </w:p>
        </w:tc>
        <w:tc>
          <w:tcPr>
            <w:tcW w:w="820" w:type="dxa"/>
            <w:vAlign w:val="bottom"/>
          </w:tcPr>
          <w:p>
            <w:pPr>
              <w:jc w:val="right"/>
              <w:ind w:right="79"/>
              <w:spacing w:after="0"/>
              <w:rPr>
                <w:sz w:val="20"/>
                <w:szCs w:val="20"/>
                <w:color w:val="auto"/>
              </w:rPr>
            </w:pPr>
            <w:r>
              <w:rPr>
                <w:rFonts w:ascii="Arial" w:cs="Arial" w:eastAsia="Arial" w:hAnsi="Arial"/>
                <w:sz w:val="16"/>
                <w:szCs w:val="16"/>
                <w:b w:val="1"/>
                <w:bCs w:val="1"/>
                <w:color w:val="auto"/>
              </w:rPr>
              <w:t>3,310</w:t>
            </w:r>
          </w:p>
        </w:tc>
        <w:tc>
          <w:tcPr>
            <w:tcW w:w="360" w:type="dxa"/>
            <w:vAlign w:val="bottom"/>
          </w:tcPr>
          <w:p>
            <w:pPr>
              <w:jc w:val="right"/>
              <w:ind w:right="99"/>
              <w:spacing w:after="0"/>
              <w:rPr>
                <w:sz w:val="20"/>
                <w:szCs w:val="20"/>
                <w:color w:val="auto"/>
              </w:rPr>
            </w:pPr>
            <w:r>
              <w:rPr>
                <w:rFonts w:ascii="Arial" w:cs="Arial" w:eastAsia="Arial" w:hAnsi="Arial"/>
                <w:sz w:val="16"/>
                <w:szCs w:val="16"/>
                <w:color w:val="auto"/>
              </w:rPr>
              <w:t>$</w:t>
            </w:r>
          </w:p>
        </w:tc>
        <w:tc>
          <w:tcPr>
            <w:tcW w:w="880" w:type="dxa"/>
            <w:vAlign w:val="bottom"/>
          </w:tcPr>
          <w:p>
            <w:pPr>
              <w:jc w:val="right"/>
              <w:ind w:right="19"/>
              <w:spacing w:after="0"/>
              <w:rPr>
                <w:sz w:val="20"/>
                <w:szCs w:val="20"/>
                <w:color w:val="auto"/>
              </w:rPr>
            </w:pPr>
            <w:r>
              <w:rPr>
                <w:rFonts w:ascii="Arial" w:cs="Arial" w:eastAsia="Arial" w:hAnsi="Arial"/>
                <w:sz w:val="16"/>
                <w:szCs w:val="16"/>
                <w:color w:val="auto"/>
              </w:rPr>
              <w:t>(39,890)</w:t>
            </w:r>
          </w:p>
        </w:tc>
        <w:tc>
          <w:tcPr>
            <w:tcW w:w="360" w:type="dxa"/>
            <w:vAlign w:val="bottom"/>
          </w:tcPr>
          <w:p>
            <w:pPr>
              <w:jc w:val="right"/>
              <w:ind w:right="99"/>
              <w:spacing w:after="0"/>
              <w:rPr>
                <w:sz w:val="20"/>
                <w:szCs w:val="20"/>
                <w:color w:val="auto"/>
              </w:rPr>
            </w:pPr>
            <w:r>
              <w:rPr>
                <w:rFonts w:ascii="Arial" w:cs="Arial" w:eastAsia="Arial" w:hAnsi="Arial"/>
                <w:sz w:val="16"/>
                <w:szCs w:val="16"/>
                <w:color w:val="auto"/>
              </w:rPr>
              <w:t>$</w:t>
            </w:r>
          </w:p>
        </w:tc>
        <w:tc>
          <w:tcPr>
            <w:tcW w:w="840" w:type="dxa"/>
            <w:vAlign w:val="bottom"/>
          </w:tcPr>
          <w:p>
            <w:pPr>
              <w:jc w:val="right"/>
              <w:spacing w:after="0"/>
              <w:rPr>
                <w:sz w:val="20"/>
                <w:szCs w:val="20"/>
                <w:color w:val="auto"/>
              </w:rPr>
            </w:pPr>
            <w:r>
              <w:rPr>
                <w:rFonts w:ascii="Arial" w:cs="Arial" w:eastAsia="Arial" w:hAnsi="Arial"/>
                <w:sz w:val="16"/>
                <w:szCs w:val="16"/>
                <w:color w:val="auto"/>
              </w:rPr>
              <w:t>(15,564)</w:t>
            </w:r>
          </w:p>
        </w:tc>
      </w:tr>
      <w:tr>
        <w:trPr>
          <w:trHeight w:val="270"/>
        </w:trPr>
        <w:tc>
          <w:tcPr>
            <w:tcW w:w="380" w:type="dxa"/>
            <w:vAlign w:val="bottom"/>
          </w:tcPr>
          <w:p>
            <w:pPr>
              <w:spacing w:after="0"/>
              <w:rPr>
                <w:sz w:val="23"/>
                <w:szCs w:val="23"/>
                <w:color w:val="auto"/>
              </w:rPr>
            </w:pPr>
          </w:p>
        </w:tc>
        <w:tc>
          <w:tcPr>
            <w:tcW w:w="820" w:type="dxa"/>
            <w:vAlign w:val="bottom"/>
          </w:tcPr>
          <w:p>
            <w:pPr>
              <w:jc w:val="right"/>
              <w:ind w:right="19"/>
              <w:spacing w:after="0"/>
              <w:rPr>
                <w:sz w:val="20"/>
                <w:szCs w:val="20"/>
                <w:color w:val="auto"/>
              </w:rPr>
            </w:pPr>
            <w:r>
              <w:rPr>
                <w:rFonts w:ascii="Arial" w:cs="Arial" w:eastAsia="Arial" w:hAnsi="Arial"/>
                <w:sz w:val="16"/>
                <w:szCs w:val="16"/>
                <w:b w:val="1"/>
                <w:bCs w:val="1"/>
                <w:color w:val="auto"/>
              </w:rPr>
              <w:t>(569)</w:t>
            </w:r>
          </w:p>
        </w:tc>
        <w:tc>
          <w:tcPr>
            <w:tcW w:w="360" w:type="dxa"/>
            <w:vAlign w:val="bottom"/>
          </w:tcPr>
          <w:p>
            <w:pPr>
              <w:spacing w:after="0"/>
              <w:rPr>
                <w:sz w:val="23"/>
                <w:szCs w:val="23"/>
                <w:color w:val="auto"/>
              </w:rPr>
            </w:pPr>
          </w:p>
        </w:tc>
        <w:tc>
          <w:tcPr>
            <w:tcW w:w="880" w:type="dxa"/>
            <w:vAlign w:val="bottom"/>
          </w:tcPr>
          <w:p>
            <w:pPr>
              <w:jc w:val="right"/>
              <w:ind w:right="79"/>
              <w:spacing w:after="0"/>
              <w:rPr>
                <w:sz w:val="20"/>
                <w:szCs w:val="20"/>
                <w:color w:val="auto"/>
              </w:rPr>
            </w:pPr>
            <w:r>
              <w:rPr>
                <w:rFonts w:ascii="Arial" w:cs="Arial" w:eastAsia="Arial" w:hAnsi="Arial"/>
                <w:sz w:val="16"/>
                <w:szCs w:val="16"/>
                <w:color w:val="auto"/>
              </w:rPr>
              <w:t>18,931</w:t>
            </w:r>
          </w:p>
        </w:tc>
        <w:tc>
          <w:tcPr>
            <w:tcW w:w="360" w:type="dxa"/>
            <w:vAlign w:val="bottom"/>
          </w:tcPr>
          <w:p>
            <w:pPr>
              <w:spacing w:after="0"/>
              <w:rPr>
                <w:sz w:val="23"/>
                <w:szCs w:val="23"/>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(23,335)</w:t>
            </w:r>
          </w:p>
        </w:tc>
      </w:tr>
      <w:tr>
        <w:trPr>
          <w:trHeight w:val="270"/>
        </w:trPr>
        <w:tc>
          <w:tcPr>
            <w:tcW w:w="380" w:type="dxa"/>
            <w:vAlign w:val="bottom"/>
          </w:tcPr>
          <w:p>
            <w:pPr>
              <w:spacing w:after="0"/>
              <w:rPr>
                <w:sz w:val="23"/>
                <w:szCs w:val="23"/>
                <w:color w:val="auto"/>
              </w:rPr>
            </w:pPr>
          </w:p>
        </w:tc>
        <w:tc>
          <w:tcPr>
            <w:tcW w:w="820" w:type="dxa"/>
            <w:vAlign w:val="bottom"/>
          </w:tcPr>
          <w:p>
            <w:pPr>
              <w:jc w:val="right"/>
              <w:ind w:right="19"/>
              <w:spacing w:after="0"/>
              <w:rPr>
                <w:sz w:val="20"/>
                <w:szCs w:val="20"/>
                <w:color w:val="auto"/>
              </w:rPr>
            </w:pPr>
            <w:r>
              <w:rPr>
                <w:rFonts w:ascii="Arial" w:cs="Arial" w:eastAsia="Arial" w:hAnsi="Arial"/>
                <w:sz w:val="16"/>
                <w:szCs w:val="16"/>
                <w:b w:val="1"/>
                <w:bCs w:val="1"/>
                <w:color w:val="auto"/>
              </w:rPr>
              <w:t>(184)</w:t>
            </w:r>
          </w:p>
        </w:tc>
        <w:tc>
          <w:tcPr>
            <w:tcW w:w="360" w:type="dxa"/>
            <w:vAlign w:val="bottom"/>
          </w:tcPr>
          <w:p>
            <w:pPr>
              <w:spacing w:after="0"/>
              <w:rPr>
                <w:sz w:val="23"/>
                <w:szCs w:val="23"/>
                <w:color w:val="auto"/>
              </w:rPr>
            </w:pPr>
          </w:p>
        </w:tc>
        <w:tc>
          <w:tcPr>
            <w:tcW w:w="880" w:type="dxa"/>
            <w:vAlign w:val="bottom"/>
          </w:tcPr>
          <w:p>
            <w:pPr>
              <w:jc w:val="right"/>
              <w:ind w:right="19"/>
              <w:spacing w:after="0"/>
              <w:rPr>
                <w:sz w:val="20"/>
                <w:szCs w:val="20"/>
                <w:color w:val="auto"/>
              </w:rPr>
            </w:pPr>
            <w:r>
              <w:rPr>
                <w:rFonts w:ascii="Arial" w:cs="Arial" w:eastAsia="Arial" w:hAnsi="Arial"/>
                <w:sz w:val="16"/>
                <w:szCs w:val="16"/>
                <w:color w:val="auto"/>
              </w:rPr>
              <w:t>(28,571)</w:t>
            </w:r>
          </w:p>
        </w:tc>
        <w:tc>
          <w:tcPr>
            <w:tcW w:w="360" w:type="dxa"/>
            <w:vAlign w:val="bottom"/>
          </w:tcPr>
          <w:p>
            <w:pPr>
              <w:spacing w:after="0"/>
              <w:rPr>
                <w:sz w:val="23"/>
                <w:szCs w:val="23"/>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(1,124)</w:t>
            </w:r>
          </w:p>
        </w:tc>
      </w:tr>
      <w:tr>
        <w:trPr>
          <w:trHeight w:val="270"/>
        </w:trPr>
        <w:tc>
          <w:tcPr>
            <w:tcW w:w="380" w:type="dxa"/>
            <w:vAlign w:val="bottom"/>
          </w:tcPr>
          <w:p>
            <w:pPr>
              <w:spacing w:after="0"/>
              <w:rPr>
                <w:sz w:val="23"/>
                <w:szCs w:val="23"/>
                <w:color w:val="auto"/>
              </w:rPr>
            </w:pPr>
          </w:p>
        </w:tc>
        <w:tc>
          <w:tcPr>
            <w:tcW w:w="820" w:type="dxa"/>
            <w:vAlign w:val="bottom"/>
          </w:tcPr>
          <w:p>
            <w:pPr>
              <w:jc w:val="right"/>
              <w:ind w:right="79"/>
              <w:spacing w:after="0"/>
              <w:rPr>
                <w:sz w:val="20"/>
                <w:szCs w:val="20"/>
                <w:color w:val="auto"/>
              </w:rPr>
            </w:pPr>
            <w:r>
              <w:rPr>
                <w:rFonts w:ascii="Arial" w:cs="Arial" w:eastAsia="Arial" w:hAnsi="Arial"/>
                <w:sz w:val="16"/>
                <w:szCs w:val="16"/>
                <w:b w:val="1"/>
                <w:bCs w:val="1"/>
                <w:color w:val="auto"/>
              </w:rPr>
              <w:t>—</w:t>
            </w:r>
          </w:p>
        </w:tc>
        <w:tc>
          <w:tcPr>
            <w:tcW w:w="360" w:type="dxa"/>
            <w:vAlign w:val="bottom"/>
          </w:tcPr>
          <w:p>
            <w:pPr>
              <w:spacing w:after="0"/>
              <w:rPr>
                <w:sz w:val="23"/>
                <w:szCs w:val="23"/>
                <w:color w:val="auto"/>
              </w:rPr>
            </w:pPr>
          </w:p>
        </w:tc>
        <w:tc>
          <w:tcPr>
            <w:tcW w:w="880" w:type="dxa"/>
            <w:vAlign w:val="bottom"/>
          </w:tcPr>
          <w:p>
            <w:pPr>
              <w:jc w:val="right"/>
              <w:ind w:right="79"/>
              <w:spacing w:after="0"/>
              <w:rPr>
                <w:sz w:val="20"/>
                <w:szCs w:val="20"/>
                <w:color w:val="auto"/>
              </w:rPr>
            </w:pPr>
            <w:r>
              <w:rPr>
                <w:rFonts w:ascii="Arial" w:cs="Arial" w:eastAsia="Arial" w:hAnsi="Arial"/>
                <w:sz w:val="16"/>
                <w:szCs w:val="16"/>
                <w:color w:val="auto"/>
              </w:rPr>
              <w:t>34,072</w:t>
            </w:r>
          </w:p>
        </w:tc>
        <w:tc>
          <w:tcPr>
            <w:tcW w:w="360" w:type="dxa"/>
            <w:vAlign w:val="bottom"/>
          </w:tcPr>
          <w:p>
            <w:pPr>
              <w:spacing w:after="0"/>
              <w:rPr>
                <w:sz w:val="23"/>
                <w:szCs w:val="23"/>
                <w:color w:val="auto"/>
              </w:rPr>
            </w:pPr>
          </w:p>
        </w:tc>
        <w:tc>
          <w:tcPr>
            <w:tcW w:w="840" w:type="dxa"/>
            <w:vAlign w:val="bottom"/>
          </w:tcPr>
          <w:p>
            <w:pPr>
              <w:jc w:val="right"/>
              <w:ind w:right="19"/>
              <w:spacing w:after="0"/>
              <w:rPr>
                <w:sz w:val="20"/>
                <w:szCs w:val="20"/>
                <w:color w:val="auto"/>
              </w:rPr>
            </w:pPr>
            <w:r>
              <w:rPr>
                <w:rFonts w:ascii="Arial" w:cs="Arial" w:eastAsia="Arial" w:hAnsi="Arial"/>
                <w:sz w:val="16"/>
                <w:szCs w:val="16"/>
                <w:color w:val="auto"/>
              </w:rPr>
              <w:t>21,379</w:t>
            </w:r>
          </w:p>
        </w:tc>
      </w:tr>
      <w:tr>
        <w:trPr>
          <w:trHeight w:val="270"/>
        </w:trPr>
        <w:tc>
          <w:tcPr>
            <w:tcW w:w="380" w:type="dxa"/>
            <w:vAlign w:val="bottom"/>
          </w:tcPr>
          <w:p>
            <w:pPr>
              <w:spacing w:after="0"/>
              <w:rPr>
                <w:sz w:val="23"/>
                <w:szCs w:val="23"/>
                <w:color w:val="auto"/>
              </w:rPr>
            </w:pPr>
          </w:p>
        </w:tc>
        <w:tc>
          <w:tcPr>
            <w:tcW w:w="820" w:type="dxa"/>
            <w:vAlign w:val="bottom"/>
          </w:tcPr>
          <w:p>
            <w:pPr>
              <w:jc w:val="right"/>
              <w:ind w:right="79"/>
              <w:spacing w:after="0"/>
              <w:rPr>
                <w:sz w:val="20"/>
                <w:szCs w:val="20"/>
                <w:color w:val="auto"/>
              </w:rPr>
            </w:pPr>
            <w:r>
              <w:rPr>
                <w:rFonts w:ascii="Arial" w:cs="Arial" w:eastAsia="Arial" w:hAnsi="Arial"/>
                <w:sz w:val="16"/>
                <w:szCs w:val="16"/>
                <w:b w:val="1"/>
                <w:bCs w:val="1"/>
                <w:color w:val="auto"/>
              </w:rPr>
              <w:t>—</w:t>
            </w:r>
          </w:p>
        </w:tc>
        <w:tc>
          <w:tcPr>
            <w:tcW w:w="360" w:type="dxa"/>
            <w:vAlign w:val="bottom"/>
          </w:tcPr>
          <w:p>
            <w:pPr>
              <w:spacing w:after="0"/>
              <w:rPr>
                <w:sz w:val="23"/>
                <w:szCs w:val="23"/>
                <w:color w:val="auto"/>
              </w:rPr>
            </w:pPr>
          </w:p>
        </w:tc>
        <w:tc>
          <w:tcPr>
            <w:tcW w:w="880" w:type="dxa"/>
            <w:vAlign w:val="bottom"/>
          </w:tcPr>
          <w:p>
            <w:pPr>
              <w:jc w:val="right"/>
              <w:ind w:right="79"/>
              <w:spacing w:after="0"/>
              <w:rPr>
                <w:sz w:val="20"/>
                <w:szCs w:val="20"/>
                <w:color w:val="auto"/>
              </w:rPr>
            </w:pPr>
            <w:r>
              <w:rPr>
                <w:rFonts w:ascii="Arial" w:cs="Arial" w:eastAsia="Arial" w:hAnsi="Arial"/>
                <w:sz w:val="16"/>
                <w:szCs w:val="16"/>
                <w:color w:val="auto"/>
              </w:rPr>
              <w:t>3,232</w:t>
            </w:r>
          </w:p>
        </w:tc>
        <w:tc>
          <w:tcPr>
            <w:tcW w:w="360" w:type="dxa"/>
            <w:vAlign w:val="bottom"/>
          </w:tcPr>
          <w:p>
            <w:pPr>
              <w:spacing w:after="0"/>
              <w:rPr>
                <w:sz w:val="23"/>
                <w:szCs w:val="23"/>
                <w:color w:val="auto"/>
              </w:rPr>
            </w:pPr>
          </w:p>
        </w:tc>
        <w:tc>
          <w:tcPr>
            <w:tcW w:w="840" w:type="dxa"/>
            <w:vAlign w:val="bottom"/>
          </w:tcPr>
          <w:p>
            <w:pPr>
              <w:jc w:val="right"/>
              <w:ind w:right="19"/>
              <w:spacing w:after="0"/>
              <w:rPr>
                <w:sz w:val="20"/>
                <w:szCs w:val="20"/>
                <w:color w:val="auto"/>
              </w:rPr>
            </w:pPr>
            <w:r>
              <w:rPr>
                <w:rFonts w:ascii="Arial" w:cs="Arial" w:eastAsia="Arial" w:hAnsi="Arial"/>
                <w:sz w:val="16"/>
                <w:szCs w:val="16"/>
                <w:color w:val="auto"/>
              </w:rPr>
              <w:t>5,972</w:t>
            </w:r>
          </w:p>
        </w:tc>
      </w:tr>
      <w:tr>
        <w:trPr>
          <w:trHeight w:val="270"/>
        </w:trPr>
        <w:tc>
          <w:tcPr>
            <w:tcW w:w="380" w:type="dxa"/>
            <w:vAlign w:val="bottom"/>
          </w:tcPr>
          <w:p>
            <w:pPr>
              <w:spacing w:after="0"/>
              <w:rPr>
                <w:sz w:val="23"/>
                <w:szCs w:val="23"/>
                <w:color w:val="auto"/>
              </w:rPr>
            </w:pPr>
          </w:p>
        </w:tc>
        <w:tc>
          <w:tcPr>
            <w:tcW w:w="820" w:type="dxa"/>
            <w:vAlign w:val="bottom"/>
          </w:tcPr>
          <w:p>
            <w:pPr>
              <w:jc w:val="right"/>
              <w:ind w:right="79"/>
              <w:spacing w:after="0"/>
              <w:rPr>
                <w:sz w:val="20"/>
                <w:szCs w:val="20"/>
                <w:color w:val="auto"/>
              </w:rPr>
            </w:pPr>
            <w:r>
              <w:rPr>
                <w:rFonts w:ascii="Arial" w:cs="Arial" w:eastAsia="Arial" w:hAnsi="Arial"/>
                <w:sz w:val="16"/>
                <w:szCs w:val="16"/>
                <w:b w:val="1"/>
                <w:bCs w:val="1"/>
                <w:color w:val="auto"/>
              </w:rPr>
              <w:t>—</w:t>
            </w:r>
          </w:p>
        </w:tc>
        <w:tc>
          <w:tcPr>
            <w:tcW w:w="360" w:type="dxa"/>
            <w:vAlign w:val="bottom"/>
          </w:tcPr>
          <w:p>
            <w:pPr>
              <w:spacing w:after="0"/>
              <w:rPr>
                <w:sz w:val="23"/>
                <w:szCs w:val="23"/>
                <w:color w:val="auto"/>
              </w:rPr>
            </w:pPr>
          </w:p>
        </w:tc>
        <w:tc>
          <w:tcPr>
            <w:tcW w:w="88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360" w:type="dxa"/>
            <w:vAlign w:val="bottom"/>
          </w:tcPr>
          <w:p>
            <w:pPr>
              <w:spacing w:after="0"/>
              <w:rPr>
                <w:sz w:val="23"/>
                <w:szCs w:val="23"/>
                <w:color w:val="auto"/>
              </w:rPr>
            </w:pPr>
          </w:p>
        </w:tc>
        <w:tc>
          <w:tcPr>
            <w:tcW w:w="840" w:type="dxa"/>
            <w:vAlign w:val="bottom"/>
          </w:tcPr>
          <w:p>
            <w:pPr>
              <w:jc w:val="right"/>
              <w:ind w:right="19"/>
              <w:spacing w:after="0"/>
              <w:rPr>
                <w:sz w:val="20"/>
                <w:szCs w:val="20"/>
                <w:color w:val="auto"/>
              </w:rPr>
            </w:pPr>
            <w:r>
              <w:rPr>
                <w:rFonts w:ascii="Arial" w:cs="Arial" w:eastAsia="Arial" w:hAnsi="Arial"/>
                <w:sz w:val="16"/>
                <w:szCs w:val="16"/>
                <w:color w:val="auto"/>
              </w:rPr>
              <w:t>4,827</w:t>
            </w:r>
          </w:p>
        </w:tc>
      </w:tr>
      <w:tr>
        <w:trPr>
          <w:trHeight w:val="270"/>
        </w:trPr>
        <w:tc>
          <w:tcPr>
            <w:tcW w:w="380" w:type="dxa"/>
            <w:vAlign w:val="bottom"/>
          </w:tcPr>
          <w:p>
            <w:pPr>
              <w:spacing w:after="0"/>
              <w:rPr>
                <w:sz w:val="23"/>
                <w:szCs w:val="23"/>
                <w:color w:val="auto"/>
              </w:rPr>
            </w:pPr>
          </w:p>
        </w:tc>
        <w:tc>
          <w:tcPr>
            <w:tcW w:w="820" w:type="dxa"/>
            <w:vAlign w:val="bottom"/>
          </w:tcPr>
          <w:p>
            <w:pPr>
              <w:jc w:val="right"/>
              <w:ind w:right="79"/>
              <w:spacing w:after="0"/>
              <w:rPr>
                <w:sz w:val="20"/>
                <w:szCs w:val="20"/>
                <w:color w:val="auto"/>
              </w:rPr>
            </w:pPr>
            <w:r>
              <w:rPr>
                <w:rFonts w:ascii="Arial" w:cs="Arial" w:eastAsia="Arial" w:hAnsi="Arial"/>
                <w:sz w:val="16"/>
                <w:szCs w:val="16"/>
                <w:b w:val="1"/>
                <w:bCs w:val="1"/>
                <w:color w:val="auto"/>
              </w:rPr>
              <w:t>—</w:t>
            </w:r>
          </w:p>
        </w:tc>
        <w:tc>
          <w:tcPr>
            <w:tcW w:w="360" w:type="dxa"/>
            <w:vAlign w:val="bottom"/>
          </w:tcPr>
          <w:p>
            <w:pPr>
              <w:spacing w:after="0"/>
              <w:rPr>
                <w:sz w:val="23"/>
                <w:szCs w:val="23"/>
                <w:color w:val="auto"/>
              </w:rPr>
            </w:pPr>
          </w:p>
        </w:tc>
        <w:tc>
          <w:tcPr>
            <w:tcW w:w="880" w:type="dxa"/>
            <w:vAlign w:val="bottom"/>
          </w:tcPr>
          <w:p>
            <w:pPr>
              <w:jc w:val="right"/>
              <w:ind w:right="19"/>
              <w:spacing w:after="0"/>
              <w:rPr>
                <w:sz w:val="20"/>
                <w:szCs w:val="20"/>
                <w:color w:val="auto"/>
              </w:rPr>
            </w:pPr>
            <w:r>
              <w:rPr>
                <w:rFonts w:ascii="Arial" w:cs="Arial" w:eastAsia="Arial" w:hAnsi="Arial"/>
                <w:sz w:val="16"/>
                <w:szCs w:val="16"/>
                <w:color w:val="auto"/>
              </w:rPr>
              <w:t>(1,791)</w:t>
            </w:r>
          </w:p>
        </w:tc>
        <w:tc>
          <w:tcPr>
            <w:tcW w:w="360" w:type="dxa"/>
            <w:vAlign w:val="bottom"/>
          </w:tcPr>
          <w:p>
            <w:pPr>
              <w:spacing w:after="0"/>
              <w:rPr>
                <w:sz w:val="23"/>
                <w:szCs w:val="23"/>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(14)</w:t>
            </w:r>
          </w:p>
        </w:tc>
      </w:tr>
      <w:tr>
        <w:trPr>
          <w:trHeight w:val="283"/>
        </w:trPr>
        <w:tc>
          <w:tcPr>
            <w:tcW w:w="38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b w:val="1"/>
                <w:bCs w:val="1"/>
                <w:color w:val="auto"/>
              </w:rPr>
              <w:t>1,684</w:t>
            </w:r>
          </w:p>
        </w:tc>
        <w:tc>
          <w:tcPr>
            <w:tcW w:w="36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1,375</w:t>
            </w:r>
          </w:p>
        </w:tc>
        <w:tc>
          <w:tcPr>
            <w:tcW w:w="36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(764)</w:t>
            </w:r>
          </w:p>
        </w:tc>
      </w:tr>
      <w:tr>
        <w:trPr>
          <w:trHeight w:val="264"/>
        </w:trPr>
        <w:tc>
          <w:tcPr>
            <w:tcW w:w="380" w:type="dxa"/>
            <w:vAlign w:val="bottom"/>
            <w:tcBorders>
              <w:bottom w:val="single" w:sz="8" w:color="auto"/>
            </w:tcBorders>
          </w:tcPr>
          <w:p>
            <w:pPr>
              <w:jc w:val="right"/>
              <w:ind w:right="179"/>
              <w:spacing w:after="0"/>
              <w:rPr>
                <w:sz w:val="20"/>
                <w:szCs w:val="20"/>
                <w:color w:val="auto"/>
              </w:rPr>
            </w:pPr>
            <w:r>
              <w:rPr>
                <w:rFonts w:ascii="Arial" w:cs="Arial" w:eastAsia="Arial" w:hAnsi="Arial"/>
                <w:sz w:val="16"/>
                <w:szCs w:val="16"/>
                <w:b w:val="1"/>
                <w:bCs w:val="1"/>
                <w:color w:val="auto"/>
              </w:rPr>
              <w:t>$</w:t>
            </w:r>
          </w:p>
        </w:tc>
        <w:tc>
          <w:tcPr>
            <w:tcW w:w="82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b w:val="1"/>
                <w:bCs w:val="1"/>
                <w:color w:val="auto"/>
              </w:rPr>
              <w:t>4,241</w:t>
            </w:r>
          </w:p>
        </w:tc>
        <w:tc>
          <w:tcPr>
            <w:tcW w:w="36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rPr>
              <w:t>$</w:t>
            </w:r>
          </w:p>
        </w:tc>
        <w:tc>
          <w:tcPr>
            <w:tcW w:w="88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(12,642)</w:t>
            </w:r>
          </w:p>
        </w:tc>
        <w:tc>
          <w:tcPr>
            <w:tcW w:w="36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(8,623)</w:t>
            </w:r>
          </w:p>
        </w:tc>
      </w:tr>
      <w:tr>
        <w:trPr>
          <w:trHeight w:val="20"/>
        </w:trPr>
        <w:tc>
          <w:tcPr>
            <w:tcW w:w="3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sectPr>
          <w:pgSz w:w="11900" w:h="16838" w:orient="portrait"/>
          <w:cols w:equalWidth="0" w:num="2">
            <w:col w:w="7060" w:space="720"/>
            <w:col w:w="3640"/>
          </w:cols>
          <w:pgMar w:left="240" w:top="724" w:right="239" w:bottom="1440" w:gutter="0" w:footer="0" w:header="0"/>
          <w:type w:val="continuous"/>
        </w:sectPr>
      </w:pPr>
    </w:p>
    <w:p>
      <w:pPr>
        <w:ind w:right="680"/>
        <w:spacing w:after="0" w:line="235" w:lineRule="auto"/>
        <w:rPr>
          <w:sz w:val="20"/>
          <w:szCs w:val="20"/>
          <w:color w:val="auto"/>
        </w:rPr>
      </w:pPr>
      <w:r>
        <w:rPr>
          <w:rFonts w:ascii="Arial" w:cs="Arial" w:eastAsia="Arial" w:hAnsi="Arial"/>
          <w:sz w:val="18"/>
          <w:szCs w:val="18"/>
          <w:color w:val="auto"/>
        </w:rPr>
        <w:t>In the third quarter of 2016, the Company recorded an impairment of $15.0 million to the preferred equity interest in a vocational school company. In the fourth quarter of 2016, an additional $12.0 million impairment was recorded.</w:t>
      </w:r>
    </w:p>
    <w:p>
      <w:pPr>
        <w:spacing w:after="0" w:line="135" w:lineRule="exact"/>
        <w:rPr>
          <w:sz w:val="20"/>
          <w:szCs w:val="20"/>
          <w:color w:val="auto"/>
        </w:rPr>
      </w:pPr>
    </w:p>
    <w:p>
      <w:pPr>
        <w:ind w:right="540"/>
        <w:spacing w:after="0" w:line="235" w:lineRule="auto"/>
        <w:rPr>
          <w:sz w:val="20"/>
          <w:szCs w:val="20"/>
          <w:color w:val="auto"/>
        </w:rPr>
      </w:pPr>
      <w:r>
        <w:rPr>
          <w:rFonts w:ascii="Arial" w:cs="Arial" w:eastAsia="Arial" w:hAnsi="Arial"/>
          <w:sz w:val="18"/>
          <w:szCs w:val="18"/>
          <w:color w:val="auto"/>
        </w:rPr>
        <w:t>In the second quarter of 2016, the Company sold the remaining portion of the Robinson Terminal real estate retained from the sale of the Publishing Subsidiaries, for a gain of $34.1 million.</w:t>
      </w:r>
    </w:p>
    <w:p>
      <w:pPr>
        <w:spacing w:after="0" w:line="135" w:lineRule="exact"/>
        <w:rPr>
          <w:sz w:val="20"/>
          <w:szCs w:val="20"/>
          <w:color w:val="auto"/>
        </w:rPr>
      </w:pPr>
    </w:p>
    <w:p>
      <w:pPr>
        <w:ind w:right="60"/>
        <w:spacing w:after="0" w:line="227" w:lineRule="auto"/>
        <w:rPr>
          <w:sz w:val="20"/>
          <w:szCs w:val="20"/>
          <w:color w:val="auto"/>
        </w:rPr>
      </w:pPr>
      <w:r>
        <w:rPr>
          <w:rFonts w:ascii="Arial" w:cs="Arial" w:eastAsia="Arial" w:hAnsi="Arial"/>
          <w:sz w:val="18"/>
          <w:szCs w:val="18"/>
          <w:color w:val="auto"/>
        </w:rPr>
        <w:t>In June 2016, Residential contributed assets to a joint venture entered into with a Michigan hospital in exchange for a 40% equity interest and other assets, resulting in a $3.2 million gain (see Note 3). The Company used an income and market approach to value the equity interest. The measurement of the equity interest in the joint venture is classified as a Level 3 fair value assessment due to the significance of unobservable inputs developed in the determination of the fair value.</w:t>
      </w:r>
    </w:p>
    <w:p>
      <w:pPr>
        <w:spacing w:after="0" w:line="135" w:lineRule="exact"/>
        <w:rPr>
          <w:sz w:val="20"/>
          <w:szCs w:val="20"/>
          <w:color w:val="auto"/>
        </w:rPr>
      </w:pPr>
    </w:p>
    <w:p>
      <w:pPr>
        <w:spacing w:after="0"/>
        <w:rPr>
          <w:sz w:val="20"/>
          <w:szCs w:val="20"/>
          <w:color w:val="auto"/>
        </w:rPr>
      </w:pPr>
      <w:r>
        <w:rPr>
          <w:rFonts w:ascii="Arial" w:cs="Arial" w:eastAsia="Arial" w:hAnsi="Arial"/>
          <w:sz w:val="18"/>
          <w:szCs w:val="18"/>
          <w:color w:val="auto"/>
        </w:rPr>
        <w:t>In the first quarter of 2016, Kaplan sold Colloquy, which was part of Kaplan corporate and other, for a gain of $18.9 million.</w:t>
      </w:r>
    </w:p>
    <w:p>
      <w:pPr>
        <w:spacing w:after="0" w:line="144" w:lineRule="exact"/>
        <w:rPr>
          <w:sz w:val="20"/>
          <w:szCs w:val="20"/>
          <w:color w:val="auto"/>
        </w:rPr>
      </w:pPr>
    </w:p>
    <w:p>
      <w:pPr>
        <w:ind w:right="640"/>
        <w:spacing w:after="0" w:line="235" w:lineRule="auto"/>
        <w:rPr>
          <w:sz w:val="20"/>
          <w:szCs w:val="20"/>
          <w:color w:val="auto"/>
        </w:rPr>
      </w:pPr>
      <w:r>
        <w:rPr>
          <w:rFonts w:ascii="Arial" w:cs="Arial" w:eastAsia="Arial" w:hAnsi="Arial"/>
          <w:sz w:val="18"/>
          <w:szCs w:val="18"/>
          <w:color w:val="auto"/>
        </w:rPr>
        <w:t>In the fourth quarter of 2015, the Company sold a portion of the Robinson Terminal real estate remaining from the sale of the Publishing Subsidiaries, for a gain of $21.4 million.</w:t>
      </w:r>
    </w:p>
    <w:p>
      <w:pPr>
        <w:spacing w:after="0" w:line="135" w:lineRule="exact"/>
        <w:rPr>
          <w:sz w:val="20"/>
          <w:szCs w:val="20"/>
          <w:color w:val="auto"/>
        </w:rPr>
      </w:pPr>
    </w:p>
    <w:p>
      <w:pPr>
        <w:ind w:right="80"/>
        <w:spacing w:after="0" w:line="235" w:lineRule="auto"/>
        <w:rPr>
          <w:sz w:val="20"/>
          <w:szCs w:val="20"/>
          <w:color w:val="auto"/>
        </w:rPr>
      </w:pPr>
      <w:r>
        <w:rPr>
          <w:rFonts w:ascii="Arial" w:cs="Arial" w:eastAsia="Arial" w:hAnsi="Arial"/>
          <w:sz w:val="18"/>
          <w:szCs w:val="18"/>
          <w:color w:val="auto"/>
        </w:rPr>
        <w:t>In the third quarter of 2015, Kaplan sold the KHE Campuses business, and Franklyn Scholar, which was part of Kaplan International, for a total loss of $26.3 million.</w:t>
      </w:r>
    </w:p>
    <w:p>
      <w:pPr>
        <w:spacing w:after="0" w:line="135" w:lineRule="exact"/>
        <w:rPr>
          <w:sz w:val="20"/>
          <w:szCs w:val="20"/>
          <w:color w:val="auto"/>
        </w:rPr>
      </w:pPr>
    </w:p>
    <w:p>
      <w:pPr>
        <w:spacing w:after="0"/>
        <w:rPr>
          <w:sz w:val="20"/>
          <w:szCs w:val="20"/>
          <w:color w:val="auto"/>
        </w:rPr>
      </w:pPr>
      <w:r>
        <w:rPr>
          <w:rFonts w:ascii="Arial" w:cs="Arial" w:eastAsia="Arial" w:hAnsi="Arial"/>
          <w:sz w:val="18"/>
          <w:szCs w:val="18"/>
          <w:color w:val="auto"/>
        </w:rPr>
        <w:t>In the second quarter of 2015, the Company sold The Root and Kaplan sold two small businesses for a total gain of $2.9 million.</w:t>
      </w:r>
    </w:p>
    <w:p>
      <w:pPr>
        <w:spacing w:after="0" w:line="144" w:lineRule="exact"/>
        <w:rPr>
          <w:sz w:val="20"/>
          <w:szCs w:val="20"/>
          <w:color w:val="auto"/>
        </w:rPr>
      </w:pPr>
    </w:p>
    <w:p>
      <w:pPr>
        <w:ind w:right="200"/>
        <w:spacing w:after="0" w:line="227" w:lineRule="auto"/>
        <w:rPr>
          <w:sz w:val="20"/>
          <w:szCs w:val="20"/>
          <w:color w:val="auto"/>
        </w:rPr>
      </w:pPr>
      <w:r>
        <w:rPr>
          <w:rFonts w:ascii="Arial" w:cs="Arial" w:eastAsia="Arial" w:hAnsi="Arial"/>
          <w:sz w:val="18"/>
          <w:szCs w:val="18"/>
          <w:color w:val="auto"/>
        </w:rPr>
        <w:t>In the second quarter of 2015, the Company benefited from a favorable $4.8 million out of period adjustment to the gain on the sale of Classified Ventures related to the fourth quarter of 2014. With respect to this error, the Company has concluded that it was not material to the Company’s financial position or results of operations for 2015 and the related interim period, based on its consideration of quantitative and qualitative factors.</w:t>
      </w:r>
    </w:p>
    <w:p>
      <w:pPr>
        <w:spacing w:after="0" w:line="135" w:lineRule="exact"/>
        <w:rPr>
          <w:sz w:val="20"/>
          <w:szCs w:val="20"/>
          <w:color w:val="auto"/>
        </w:rPr>
      </w:pPr>
    </w:p>
    <w:p>
      <w:pPr>
        <w:ind w:right="160"/>
        <w:spacing w:after="0" w:line="227" w:lineRule="auto"/>
        <w:rPr>
          <w:sz w:val="20"/>
          <w:szCs w:val="20"/>
          <w:color w:val="auto"/>
        </w:rPr>
      </w:pPr>
      <w:r>
        <w:rPr>
          <w:rFonts w:ascii="Arial" w:cs="Arial" w:eastAsia="Arial" w:hAnsi="Arial"/>
          <w:sz w:val="18"/>
          <w:szCs w:val="18"/>
          <w:color w:val="auto"/>
        </w:rPr>
        <w:t>In January 2015, Celtic contributed assets to a joint venture entered into with AHN in exchange for a 40% equity interest, resulting in the Company recording a $6.0 million gain (see Note 3). The Company used an income and market approach to value the equity interest. The measurement of the equity interest in the joint venture is classified as a Level 3 fair value assessment due to the significance of unobservable inputs developed in the determination of the fair value.</w:t>
      </w:r>
    </w:p>
    <w:p>
      <w:pPr>
        <w:spacing w:after="0" w:line="200" w:lineRule="exact"/>
        <w:rPr>
          <w:sz w:val="20"/>
          <w:szCs w:val="20"/>
          <w:color w:val="auto"/>
        </w:rPr>
      </w:pPr>
    </w:p>
    <w:p>
      <w:pPr>
        <w:spacing w:after="0" w:line="3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110</w:t>
      </w:r>
    </w:p>
    <w:p>
      <w:pPr>
        <w:sectPr>
          <w:pgSz w:w="11900" w:h="16838" w:orient="portrait"/>
          <w:cols w:equalWidth="0" w:num="1">
            <w:col w:w="11420"/>
          </w:cols>
          <w:pgMar w:left="240" w:top="724" w:right="239" w:bottom="1440" w:gutter="0" w:footer="0" w:header="0"/>
          <w:type w:val="continuous"/>
        </w:sectPr>
      </w:pPr>
    </w:p>
    <w:bookmarkStart w:id="114" w:name="page115"/>
    <w:bookmarkEnd w:id="114"/>
    <w:p>
      <w:pPr>
        <w:ind w:left="500" w:hanging="492"/>
        <w:spacing w:after="0"/>
        <w:tabs>
          <w:tab w:leader="none" w:pos="500" w:val="left"/>
        </w:tabs>
        <w:numPr>
          <w:ilvl w:val="0"/>
          <w:numId w:val="81"/>
        </w:numPr>
        <w:rPr>
          <w:rFonts w:ascii="Arial" w:cs="Arial" w:eastAsia="Arial" w:hAnsi="Arial"/>
          <w:sz w:val="18"/>
          <w:szCs w:val="18"/>
          <w:b w:val="1"/>
          <w:bCs w:val="1"/>
          <w:color w:val="auto"/>
        </w:rPr>
      </w:pPr>
      <w:r>
        <w:rPr>
          <w:rFonts w:ascii="Arial" w:cs="Arial" w:eastAsia="Arial" w:hAnsi="Arial"/>
          <w:sz w:val="18"/>
          <w:szCs w:val="18"/>
          <w:b w:val="1"/>
          <w:bCs w:val="1"/>
          <w:color w:val="auto"/>
        </w:rPr>
        <w:t>ACCUMULATED OTHER COMPREHENSIVE INCOME (LOSS)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color w:val="auto"/>
        </w:rPr>
        <w:t>The other comprehensive income (loss) consists of the following components:</w:t>
      </w:r>
    </w:p>
    <w:p>
      <w:pPr>
        <w:spacing w:after="0" w:line="199"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7780" w:type="dxa"/>
            <w:vAlign w:val="bottom"/>
          </w:tcPr>
          <w:p>
            <w:pPr>
              <w:spacing w:after="0"/>
              <w:rPr>
                <w:sz w:val="17"/>
                <w:szCs w:val="17"/>
                <w:color w:val="auto"/>
              </w:rPr>
            </w:pPr>
          </w:p>
        </w:tc>
        <w:tc>
          <w:tcPr>
            <w:tcW w:w="3640" w:type="dxa"/>
            <w:vAlign w:val="bottom"/>
            <w:tcBorders>
              <w:bottom w:val="single" w:sz="8" w:color="auto"/>
            </w:tcBorders>
            <w:gridSpan w:val="3"/>
          </w:tcPr>
          <w:p>
            <w:pPr>
              <w:jc w:val="center"/>
              <w:spacing w:after="0"/>
              <w:rPr>
                <w:sz w:val="20"/>
                <w:szCs w:val="20"/>
                <w:color w:val="auto"/>
              </w:rPr>
            </w:pPr>
            <w:r>
              <w:rPr>
                <w:rFonts w:ascii="Arial" w:cs="Arial" w:eastAsia="Arial" w:hAnsi="Arial"/>
                <w:sz w:val="14"/>
                <w:szCs w:val="14"/>
                <w:b w:val="1"/>
                <w:bCs w:val="1"/>
                <w:color w:val="auto"/>
              </w:rPr>
              <w:t>Year Ended December 31, 2017</w:t>
            </w:r>
          </w:p>
        </w:tc>
        <w:tc>
          <w:tcPr>
            <w:tcW w:w="0" w:type="dxa"/>
            <w:vAlign w:val="bottom"/>
          </w:tcPr>
          <w:p>
            <w:pPr>
              <w:spacing w:after="0"/>
              <w:rPr>
                <w:sz w:val="1"/>
                <w:szCs w:val="1"/>
                <w:color w:val="auto"/>
              </w:rPr>
            </w:pPr>
          </w:p>
        </w:tc>
      </w:tr>
      <w:tr>
        <w:trPr>
          <w:trHeight w:val="258"/>
        </w:trPr>
        <w:tc>
          <w:tcPr>
            <w:tcW w:w="7780" w:type="dxa"/>
            <w:vAlign w:val="bottom"/>
          </w:tcPr>
          <w:p>
            <w:pPr>
              <w:spacing w:after="0"/>
              <w:rPr>
                <w:sz w:val="22"/>
                <w:szCs w:val="22"/>
                <w:color w:val="auto"/>
              </w:rPr>
            </w:pPr>
          </w:p>
        </w:tc>
        <w:tc>
          <w:tcPr>
            <w:tcW w:w="1260" w:type="dxa"/>
            <w:vAlign w:val="bottom"/>
          </w:tcPr>
          <w:p>
            <w:pPr>
              <w:jc w:val="center"/>
              <w:ind w:right="48"/>
              <w:spacing w:after="0"/>
              <w:rPr>
                <w:sz w:val="20"/>
                <w:szCs w:val="20"/>
                <w:color w:val="auto"/>
              </w:rPr>
            </w:pPr>
            <w:r>
              <w:rPr>
                <w:rFonts w:ascii="Arial" w:cs="Arial" w:eastAsia="Arial" w:hAnsi="Arial"/>
                <w:sz w:val="14"/>
                <w:szCs w:val="14"/>
                <w:b w:val="1"/>
                <w:bCs w:val="1"/>
                <w:color w:val="auto"/>
              </w:rPr>
              <w:t>Before-Tax</w:t>
            </w:r>
          </w:p>
        </w:tc>
        <w:tc>
          <w:tcPr>
            <w:tcW w:w="1160" w:type="dxa"/>
            <w:vAlign w:val="bottom"/>
          </w:tcPr>
          <w:p>
            <w:pPr>
              <w:jc w:val="center"/>
              <w:spacing w:after="0"/>
              <w:rPr>
                <w:sz w:val="20"/>
                <w:szCs w:val="20"/>
                <w:color w:val="auto"/>
              </w:rPr>
            </w:pPr>
            <w:r>
              <w:rPr>
                <w:rFonts w:ascii="Arial" w:cs="Arial" w:eastAsia="Arial" w:hAnsi="Arial"/>
                <w:sz w:val="14"/>
                <w:szCs w:val="14"/>
                <w:b w:val="1"/>
                <w:bCs w:val="1"/>
                <w:color w:val="auto"/>
              </w:rPr>
              <w:t>Income</w:t>
            </w:r>
          </w:p>
        </w:tc>
        <w:tc>
          <w:tcPr>
            <w:tcW w:w="1220" w:type="dxa"/>
            <w:vAlign w:val="bottom"/>
          </w:tcPr>
          <w:p>
            <w:pPr>
              <w:jc w:val="center"/>
              <w:ind w:left="8"/>
              <w:spacing w:after="0"/>
              <w:rPr>
                <w:sz w:val="20"/>
                <w:szCs w:val="20"/>
                <w:color w:val="auto"/>
              </w:rPr>
            </w:pPr>
            <w:r>
              <w:rPr>
                <w:rFonts w:ascii="Arial" w:cs="Arial" w:eastAsia="Arial" w:hAnsi="Arial"/>
                <w:sz w:val="14"/>
                <w:szCs w:val="14"/>
                <w:b w:val="1"/>
                <w:bCs w:val="1"/>
                <w:color w:val="auto"/>
              </w:rPr>
              <w:t>After-Tax</w:t>
            </w:r>
          </w:p>
        </w:tc>
        <w:tc>
          <w:tcPr>
            <w:tcW w:w="0" w:type="dxa"/>
            <w:vAlign w:val="bottom"/>
          </w:tcPr>
          <w:p>
            <w:pPr>
              <w:spacing w:after="0"/>
              <w:rPr>
                <w:sz w:val="1"/>
                <w:szCs w:val="1"/>
                <w:color w:val="auto"/>
              </w:rPr>
            </w:pPr>
          </w:p>
        </w:tc>
      </w:tr>
      <w:tr>
        <w:trPr>
          <w:trHeight w:val="216"/>
        </w:trPr>
        <w:tc>
          <w:tcPr>
            <w:tcW w:w="7780" w:type="dxa"/>
            <w:vAlign w:val="bottom"/>
            <w:vMerge w:val="restart"/>
          </w:tcPr>
          <w:p>
            <w:pPr>
              <w:ind w:left="40"/>
              <w:spacing w:after="0"/>
              <w:rPr>
                <w:sz w:val="20"/>
                <w:szCs w:val="20"/>
                <w:color w:val="auto"/>
              </w:rPr>
            </w:pPr>
            <w:r>
              <w:rPr>
                <w:rFonts w:ascii="Arial" w:cs="Arial" w:eastAsia="Arial" w:hAnsi="Arial"/>
                <w:sz w:val="14"/>
                <w:szCs w:val="14"/>
                <w:color w:val="auto"/>
              </w:rPr>
              <w:t>(in thousands)</w:t>
            </w:r>
          </w:p>
        </w:tc>
        <w:tc>
          <w:tcPr>
            <w:tcW w:w="1260" w:type="dxa"/>
            <w:vAlign w:val="bottom"/>
          </w:tcPr>
          <w:p>
            <w:pPr>
              <w:jc w:val="center"/>
              <w:ind w:right="48"/>
              <w:spacing w:after="0"/>
              <w:rPr>
                <w:sz w:val="20"/>
                <w:szCs w:val="20"/>
                <w:color w:val="auto"/>
              </w:rPr>
            </w:pPr>
            <w:r>
              <w:rPr>
                <w:rFonts w:ascii="Arial" w:cs="Arial" w:eastAsia="Arial" w:hAnsi="Arial"/>
                <w:sz w:val="14"/>
                <w:szCs w:val="14"/>
                <w:b w:val="1"/>
                <w:bCs w:val="1"/>
                <w:color w:val="auto"/>
              </w:rPr>
              <w:t>Amount</w:t>
            </w:r>
          </w:p>
        </w:tc>
        <w:tc>
          <w:tcPr>
            <w:tcW w:w="1160" w:type="dxa"/>
            <w:vAlign w:val="bottom"/>
          </w:tcPr>
          <w:p>
            <w:pPr>
              <w:jc w:val="center"/>
              <w:spacing w:after="0"/>
              <w:rPr>
                <w:sz w:val="20"/>
                <w:szCs w:val="20"/>
                <w:color w:val="auto"/>
              </w:rPr>
            </w:pPr>
            <w:r>
              <w:rPr>
                <w:rFonts w:ascii="Arial" w:cs="Arial" w:eastAsia="Arial" w:hAnsi="Arial"/>
                <w:sz w:val="14"/>
                <w:szCs w:val="14"/>
                <w:b w:val="1"/>
                <w:bCs w:val="1"/>
                <w:color w:val="auto"/>
                <w:w w:val="90"/>
              </w:rPr>
              <w:t>Tax</w:t>
            </w:r>
          </w:p>
        </w:tc>
        <w:tc>
          <w:tcPr>
            <w:tcW w:w="1220" w:type="dxa"/>
            <w:vAlign w:val="bottom"/>
          </w:tcPr>
          <w:p>
            <w:pPr>
              <w:jc w:val="center"/>
              <w:ind w:left="8"/>
              <w:spacing w:after="0"/>
              <w:rPr>
                <w:sz w:val="20"/>
                <w:szCs w:val="20"/>
                <w:color w:val="auto"/>
              </w:rPr>
            </w:pPr>
            <w:r>
              <w:rPr>
                <w:rFonts w:ascii="Arial" w:cs="Arial" w:eastAsia="Arial" w:hAnsi="Arial"/>
                <w:sz w:val="14"/>
                <w:szCs w:val="14"/>
                <w:b w:val="1"/>
                <w:bCs w:val="1"/>
                <w:color w:val="auto"/>
              </w:rPr>
              <w:t>Amount</w:t>
            </w:r>
          </w:p>
        </w:tc>
        <w:tc>
          <w:tcPr>
            <w:tcW w:w="0" w:type="dxa"/>
            <w:vAlign w:val="bottom"/>
          </w:tcPr>
          <w:p>
            <w:pPr>
              <w:spacing w:after="0"/>
              <w:rPr>
                <w:sz w:val="1"/>
                <w:szCs w:val="1"/>
                <w:color w:val="auto"/>
              </w:rPr>
            </w:pPr>
          </w:p>
        </w:tc>
      </w:tr>
      <w:tr>
        <w:trPr>
          <w:trHeight w:val="60"/>
        </w:trPr>
        <w:tc>
          <w:tcPr>
            <w:tcW w:w="7780" w:type="dxa"/>
            <w:vAlign w:val="bottom"/>
            <w:tcBorders>
              <w:bottom w:val="single" w:sz="8" w:color="auto"/>
            </w:tcBorders>
            <w:vMerge w:val="continue"/>
          </w:tcPr>
          <w:p>
            <w:pPr>
              <w:spacing w:after="0"/>
              <w:rPr>
                <w:sz w:val="5"/>
                <w:szCs w:val="5"/>
                <w:color w:val="auto"/>
              </w:rPr>
            </w:pPr>
          </w:p>
        </w:tc>
        <w:tc>
          <w:tcPr>
            <w:tcW w:w="1260" w:type="dxa"/>
            <w:vAlign w:val="bottom"/>
            <w:tcBorders>
              <w:bottom w:val="single" w:sz="8" w:color="auto"/>
            </w:tcBorders>
          </w:tcPr>
          <w:p>
            <w:pPr>
              <w:spacing w:after="0"/>
              <w:rPr>
                <w:sz w:val="5"/>
                <w:szCs w:val="5"/>
                <w:color w:val="auto"/>
              </w:rPr>
            </w:pPr>
          </w:p>
        </w:tc>
        <w:tc>
          <w:tcPr>
            <w:tcW w:w="1160" w:type="dxa"/>
            <w:vAlign w:val="bottom"/>
            <w:tcBorders>
              <w:bottom w:val="single" w:sz="8" w:color="auto"/>
            </w:tcBorders>
          </w:tcPr>
          <w:p>
            <w:pPr>
              <w:spacing w:after="0"/>
              <w:rPr>
                <w:sz w:val="5"/>
                <w:szCs w:val="5"/>
                <w:color w:val="auto"/>
              </w:rPr>
            </w:pPr>
          </w:p>
        </w:tc>
        <w:tc>
          <w:tcPr>
            <w:tcW w:w="122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bl>
    <w:p>
      <w:pPr>
        <w:spacing w:after="0" w:line="56" w:lineRule="exact"/>
        <w:rPr>
          <w:sz w:val="20"/>
          <w:szCs w:val="20"/>
          <w:color w:val="auto"/>
        </w:rPr>
      </w:pPr>
    </w:p>
    <w:p>
      <w:pPr>
        <w:sectPr>
          <w:pgSz w:w="11900" w:h="16838" w:orient="portrait"/>
          <w:cols w:equalWidth="0" w:num="1">
            <w:col w:w="11420"/>
          </w:cols>
          <w:pgMar w:left="240" w:top="724" w:right="239" w:bottom="1440" w:gutter="0" w:footer="0" w:header="0"/>
        </w:sectPr>
      </w:pPr>
    </w:p>
    <w:p>
      <w:pPr>
        <w:ind w:left="40"/>
        <w:spacing w:after="0"/>
        <w:rPr>
          <w:sz w:val="20"/>
          <w:szCs w:val="20"/>
          <w:color w:val="auto"/>
        </w:rPr>
      </w:pPr>
      <w:r>
        <w:rPr>
          <w:rFonts w:ascii="Arial" w:cs="Arial" w:eastAsia="Arial" w:hAnsi="Arial"/>
          <w:sz w:val="16"/>
          <w:szCs w:val="16"/>
          <w:color w:val="auto"/>
        </w:rPr>
        <w:t>Foreign currency translation adjustments:</w:t>
      </w:r>
    </w:p>
    <w:p>
      <w:pPr>
        <w:spacing w:after="0" w:line="86" w:lineRule="exact"/>
        <w:rPr>
          <w:sz w:val="20"/>
          <w:szCs w:val="20"/>
          <w:color w:val="auto"/>
        </w:rPr>
      </w:pPr>
    </w:p>
    <w:p>
      <w:pPr>
        <w:ind w:left="180"/>
        <w:spacing w:after="0"/>
        <w:rPr>
          <w:sz w:val="20"/>
          <w:szCs w:val="20"/>
          <w:color w:val="auto"/>
        </w:rPr>
      </w:pPr>
      <w:r>
        <w:rPr>
          <w:rFonts w:ascii="Arial" w:cs="Arial" w:eastAsia="Arial" w:hAnsi="Arial"/>
          <w:sz w:val="16"/>
          <w:szCs w:val="16"/>
          <w:color w:val="auto"/>
        </w:rPr>
        <w:t>Translation adjustments arising during the year</w:t>
      </w:r>
    </w:p>
    <w:p>
      <w:pPr>
        <w:spacing w:after="0" w:line="86" w:lineRule="exact"/>
        <w:rPr>
          <w:sz w:val="20"/>
          <w:szCs w:val="20"/>
          <w:color w:val="auto"/>
        </w:rPr>
      </w:pPr>
    </w:p>
    <w:p>
      <w:pPr>
        <w:ind w:left="180"/>
        <w:spacing w:after="0"/>
        <w:rPr>
          <w:sz w:val="20"/>
          <w:szCs w:val="20"/>
          <w:color w:val="auto"/>
        </w:rPr>
      </w:pPr>
      <w:r>
        <w:rPr>
          <w:rFonts w:ascii="Arial" w:cs="Arial" w:eastAsia="Arial" w:hAnsi="Arial"/>
          <w:sz w:val="16"/>
          <w:szCs w:val="16"/>
          <w:color w:val="auto"/>
        </w:rPr>
        <w:t>Adjustment for sale of a business with foreign operations</w:t>
      </w:r>
    </w:p>
    <w:p>
      <w:pPr>
        <w:spacing w:after="0" w:line="383" w:lineRule="exact"/>
        <w:rPr>
          <w:sz w:val="20"/>
          <w:szCs w:val="20"/>
          <w:color w:val="auto"/>
        </w:rPr>
      </w:pPr>
    </w:p>
    <w:p>
      <w:pPr>
        <w:ind w:left="40"/>
        <w:spacing w:after="0"/>
        <w:rPr>
          <w:sz w:val="20"/>
          <w:szCs w:val="20"/>
          <w:color w:val="auto"/>
        </w:rPr>
      </w:pPr>
      <w:r>
        <w:rPr>
          <w:rFonts w:ascii="Arial" w:cs="Arial" w:eastAsia="Arial" w:hAnsi="Arial"/>
          <w:sz w:val="16"/>
          <w:szCs w:val="16"/>
          <w:color w:val="auto"/>
        </w:rPr>
        <w:t>Unrealized gains on available-for-sale securities:</w:t>
      </w:r>
    </w:p>
    <w:p>
      <w:pPr>
        <w:spacing w:after="0" w:line="86" w:lineRule="exact"/>
        <w:rPr>
          <w:sz w:val="20"/>
          <w:szCs w:val="20"/>
          <w:color w:val="auto"/>
        </w:rPr>
      </w:pPr>
    </w:p>
    <w:p>
      <w:pPr>
        <w:ind w:left="180"/>
        <w:spacing w:after="0"/>
        <w:rPr>
          <w:sz w:val="20"/>
          <w:szCs w:val="20"/>
          <w:color w:val="auto"/>
        </w:rPr>
      </w:pPr>
      <w:r>
        <w:rPr>
          <w:rFonts w:ascii="Arial" w:cs="Arial" w:eastAsia="Arial" w:hAnsi="Arial"/>
          <w:sz w:val="16"/>
          <w:szCs w:val="16"/>
          <w:color w:val="auto"/>
        </w:rPr>
        <w:t>Unrealized gains for the year</w:t>
      </w:r>
    </w:p>
    <w:p>
      <w:pPr>
        <w:spacing w:after="0" w:line="86" w:lineRule="exact"/>
        <w:rPr>
          <w:sz w:val="20"/>
          <w:szCs w:val="20"/>
          <w:color w:val="auto"/>
        </w:rPr>
      </w:pPr>
    </w:p>
    <w:p>
      <w:pPr>
        <w:ind w:left="40"/>
        <w:spacing w:after="0"/>
        <w:rPr>
          <w:sz w:val="20"/>
          <w:szCs w:val="20"/>
          <w:color w:val="auto"/>
        </w:rPr>
      </w:pPr>
      <w:r>
        <w:rPr>
          <w:rFonts w:ascii="Arial" w:cs="Arial" w:eastAsia="Arial" w:hAnsi="Arial"/>
          <w:sz w:val="16"/>
          <w:szCs w:val="16"/>
          <w:color w:val="auto"/>
        </w:rPr>
        <w:t>Pension and other postretirement plans:</w:t>
      </w:r>
    </w:p>
    <w:p>
      <w:pPr>
        <w:spacing w:after="0" w:line="86" w:lineRule="exact"/>
        <w:rPr>
          <w:sz w:val="20"/>
          <w:szCs w:val="20"/>
          <w:color w:val="auto"/>
        </w:rPr>
      </w:pPr>
    </w:p>
    <w:p>
      <w:pPr>
        <w:ind w:left="180"/>
        <w:spacing w:after="0"/>
        <w:rPr>
          <w:sz w:val="20"/>
          <w:szCs w:val="20"/>
          <w:color w:val="auto"/>
        </w:rPr>
      </w:pPr>
      <w:r>
        <w:rPr>
          <w:rFonts w:ascii="Arial" w:cs="Arial" w:eastAsia="Arial" w:hAnsi="Arial"/>
          <w:sz w:val="16"/>
          <w:szCs w:val="16"/>
          <w:color w:val="auto"/>
        </w:rPr>
        <w:t>Actuarial gain</w:t>
      </w:r>
    </w:p>
    <w:p>
      <w:pPr>
        <w:spacing w:after="0" w:line="86" w:lineRule="exact"/>
        <w:rPr>
          <w:sz w:val="20"/>
          <w:szCs w:val="20"/>
          <w:color w:val="auto"/>
        </w:rPr>
      </w:pPr>
    </w:p>
    <w:p>
      <w:pPr>
        <w:ind w:left="180"/>
        <w:spacing w:after="0"/>
        <w:rPr>
          <w:sz w:val="20"/>
          <w:szCs w:val="20"/>
          <w:color w:val="auto"/>
        </w:rPr>
      </w:pPr>
      <w:r>
        <w:rPr>
          <w:rFonts w:ascii="Arial" w:cs="Arial" w:eastAsia="Arial" w:hAnsi="Arial"/>
          <w:sz w:val="16"/>
          <w:szCs w:val="16"/>
          <w:color w:val="auto"/>
        </w:rPr>
        <w:t>Prior service cost</w:t>
      </w:r>
    </w:p>
    <w:p>
      <w:pPr>
        <w:spacing w:after="0" w:line="86" w:lineRule="exact"/>
        <w:rPr>
          <w:sz w:val="20"/>
          <w:szCs w:val="20"/>
          <w:color w:val="auto"/>
        </w:rPr>
      </w:pPr>
    </w:p>
    <w:p>
      <w:pPr>
        <w:ind w:left="180" w:right="2620"/>
        <w:spacing w:after="0" w:line="366" w:lineRule="auto"/>
        <w:rPr>
          <w:sz w:val="20"/>
          <w:szCs w:val="20"/>
          <w:color w:val="auto"/>
        </w:rPr>
      </w:pPr>
      <w:r>
        <w:rPr>
          <w:rFonts w:ascii="Arial" w:cs="Arial" w:eastAsia="Arial" w:hAnsi="Arial"/>
          <w:sz w:val="16"/>
          <w:szCs w:val="16"/>
          <w:color w:val="auto"/>
        </w:rPr>
        <w:t>Amortization of net actuarial gain included in net income Amortization of net prior service cost included in net income</w:t>
      </w:r>
    </w:p>
    <w:p>
      <w:pPr>
        <w:spacing w:after="0" w:line="276" w:lineRule="exact"/>
        <w:rPr>
          <w:sz w:val="20"/>
          <w:szCs w:val="20"/>
          <w:color w:val="auto"/>
        </w:rPr>
      </w:pPr>
    </w:p>
    <w:p>
      <w:pPr>
        <w:ind w:left="40"/>
        <w:spacing w:after="0"/>
        <w:rPr>
          <w:sz w:val="20"/>
          <w:szCs w:val="20"/>
          <w:color w:val="auto"/>
        </w:rPr>
      </w:pPr>
      <w:r>
        <w:rPr>
          <w:rFonts w:ascii="Arial" w:cs="Arial" w:eastAsia="Arial" w:hAnsi="Arial"/>
          <w:sz w:val="16"/>
          <w:szCs w:val="16"/>
          <w:color w:val="auto"/>
        </w:rPr>
        <w:t>Cash flow hedge:</w:t>
      </w:r>
    </w:p>
    <w:p>
      <w:pPr>
        <w:spacing w:after="0" w:line="86" w:lineRule="exact"/>
        <w:rPr>
          <w:sz w:val="20"/>
          <w:szCs w:val="20"/>
          <w:color w:val="auto"/>
        </w:rPr>
      </w:pPr>
    </w:p>
    <w:p>
      <w:pPr>
        <w:ind w:left="180"/>
        <w:spacing w:after="0"/>
        <w:rPr>
          <w:sz w:val="20"/>
          <w:szCs w:val="20"/>
          <w:color w:val="auto"/>
        </w:rPr>
      </w:pPr>
      <w:r>
        <w:rPr>
          <w:rFonts w:ascii="Arial" w:cs="Arial" w:eastAsia="Arial" w:hAnsi="Arial"/>
          <w:sz w:val="16"/>
          <w:szCs w:val="16"/>
          <w:color w:val="auto"/>
        </w:rPr>
        <w:t>Gain for the year</w:t>
      </w:r>
    </w:p>
    <w:p>
      <w:pPr>
        <w:spacing w:after="0" w:line="93" w:lineRule="exact"/>
        <w:rPr>
          <w:sz w:val="20"/>
          <w:szCs w:val="20"/>
          <w:color w:val="auto"/>
        </w:rPr>
      </w:pPr>
    </w:p>
    <w:p>
      <w:pPr>
        <w:ind w:left="40"/>
        <w:spacing w:after="0"/>
        <w:rPr>
          <w:sz w:val="20"/>
          <w:szCs w:val="20"/>
          <w:color w:val="auto"/>
        </w:rPr>
      </w:pPr>
      <w:r>
        <w:rPr>
          <w:rFonts w:ascii="Arial" w:cs="Arial" w:eastAsia="Arial" w:hAnsi="Arial"/>
          <w:sz w:val="16"/>
          <w:szCs w:val="16"/>
          <w:b w:val="1"/>
          <w:bCs w:val="1"/>
          <w:color w:val="auto"/>
        </w:rPr>
        <w:t>Other Comprehensive Income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ind w:left="40"/>
        <w:spacing w:after="0"/>
        <w:rPr>
          <w:sz w:val="20"/>
          <w:szCs w:val="20"/>
          <w:color w:val="auto"/>
        </w:rPr>
      </w:pPr>
      <w:r>
        <w:rPr>
          <w:rFonts w:ascii="Arial" w:cs="Arial" w:eastAsia="Arial" w:hAnsi="Arial"/>
          <w:sz w:val="14"/>
          <w:szCs w:val="14"/>
          <w:color w:val="auto"/>
        </w:rPr>
        <w:t>(in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5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30"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5"/>
        </w:trPr>
        <w:tc>
          <w:tcPr>
            <w:tcW w:w="280" w:type="dxa"/>
            <w:vAlign w:val="bottom"/>
          </w:tcPr>
          <w:p>
            <w:pPr>
              <w:jc w:val="right"/>
              <w:ind w:right="79"/>
              <w:spacing w:after="0"/>
              <w:rPr>
                <w:sz w:val="20"/>
                <w:szCs w:val="20"/>
                <w:color w:val="auto"/>
              </w:rPr>
            </w:pPr>
            <w:r>
              <w:rPr>
                <w:rFonts w:ascii="Arial" w:cs="Arial" w:eastAsia="Arial" w:hAnsi="Arial"/>
                <w:sz w:val="16"/>
                <w:szCs w:val="16"/>
                <w:b w:val="1"/>
                <w:bCs w:val="1"/>
                <w:color w:val="auto"/>
              </w:rPr>
              <w:t>$</w:t>
            </w:r>
          </w:p>
        </w:tc>
        <w:tc>
          <w:tcPr>
            <w:tcW w:w="920" w:type="dxa"/>
            <w:vAlign w:val="bottom"/>
          </w:tcPr>
          <w:p>
            <w:pPr>
              <w:jc w:val="right"/>
              <w:ind w:right="79"/>
              <w:spacing w:after="0"/>
              <w:rPr>
                <w:sz w:val="20"/>
                <w:szCs w:val="20"/>
                <w:color w:val="auto"/>
              </w:rPr>
            </w:pPr>
            <w:r>
              <w:rPr>
                <w:rFonts w:ascii="Arial" w:cs="Arial" w:eastAsia="Arial" w:hAnsi="Arial"/>
                <w:sz w:val="16"/>
                <w:szCs w:val="16"/>
                <w:b w:val="1"/>
                <w:bCs w:val="1"/>
                <w:color w:val="auto"/>
              </w:rPr>
              <w:t>33,175</w:t>
            </w:r>
          </w:p>
        </w:tc>
        <w:tc>
          <w:tcPr>
            <w:tcW w:w="360" w:type="dxa"/>
            <w:vAlign w:val="bottom"/>
          </w:tcPr>
          <w:p>
            <w:pPr>
              <w:jc w:val="right"/>
              <w:ind w:right="99"/>
              <w:spacing w:after="0"/>
              <w:rPr>
                <w:sz w:val="20"/>
                <w:szCs w:val="20"/>
                <w:color w:val="auto"/>
              </w:rPr>
            </w:pPr>
            <w:r>
              <w:rPr>
                <w:rFonts w:ascii="Arial" w:cs="Arial" w:eastAsia="Arial" w:hAnsi="Arial"/>
                <w:sz w:val="16"/>
                <w:szCs w:val="16"/>
                <w:b w:val="1"/>
                <w:bCs w:val="1"/>
                <w:color w:val="auto"/>
              </w:rPr>
              <w:t>$</w:t>
            </w:r>
          </w:p>
        </w:tc>
        <w:tc>
          <w:tcPr>
            <w:tcW w:w="880" w:type="dxa"/>
            <w:vAlign w:val="bottom"/>
          </w:tcPr>
          <w:p>
            <w:pPr>
              <w:jc w:val="right"/>
              <w:ind w:right="79"/>
              <w:spacing w:after="0"/>
              <w:rPr>
                <w:sz w:val="20"/>
                <w:szCs w:val="20"/>
                <w:color w:val="auto"/>
              </w:rPr>
            </w:pPr>
            <w:r>
              <w:rPr>
                <w:rFonts w:ascii="Arial" w:cs="Arial" w:eastAsia="Arial" w:hAnsi="Arial"/>
                <w:sz w:val="16"/>
                <w:szCs w:val="16"/>
                <w:b w:val="1"/>
                <w:bCs w:val="1"/>
                <w:color w:val="auto"/>
              </w:rPr>
              <w:t>—</w:t>
            </w:r>
          </w:p>
        </w:tc>
        <w:tc>
          <w:tcPr>
            <w:tcW w:w="340" w:type="dxa"/>
            <w:vAlign w:val="bottom"/>
          </w:tcPr>
          <w:p>
            <w:pPr>
              <w:jc w:val="right"/>
              <w:ind w:right="79"/>
              <w:spacing w:after="0"/>
              <w:rPr>
                <w:sz w:val="20"/>
                <w:szCs w:val="20"/>
                <w:color w:val="auto"/>
              </w:rPr>
            </w:pPr>
            <w:r>
              <w:rPr>
                <w:rFonts w:ascii="Arial" w:cs="Arial" w:eastAsia="Arial" w:hAnsi="Arial"/>
                <w:sz w:val="16"/>
                <w:szCs w:val="16"/>
                <w:b w:val="1"/>
                <w:bCs w:val="1"/>
                <w:color w:val="auto"/>
              </w:rPr>
              <w:t>$</w:t>
            </w:r>
          </w:p>
        </w:tc>
        <w:tc>
          <w:tcPr>
            <w:tcW w:w="860" w:type="dxa"/>
            <w:vAlign w:val="bottom"/>
          </w:tcPr>
          <w:p>
            <w:pPr>
              <w:jc w:val="right"/>
              <w:ind w:right="19"/>
              <w:spacing w:after="0"/>
              <w:rPr>
                <w:sz w:val="20"/>
                <w:szCs w:val="20"/>
                <w:color w:val="auto"/>
              </w:rPr>
            </w:pPr>
            <w:r>
              <w:rPr>
                <w:rFonts w:ascii="Arial" w:cs="Arial" w:eastAsia="Arial" w:hAnsi="Arial"/>
                <w:sz w:val="16"/>
                <w:szCs w:val="16"/>
                <w:b w:val="1"/>
                <w:bCs w:val="1"/>
                <w:color w:val="auto"/>
              </w:rPr>
              <w:t>33,175</w:t>
            </w:r>
          </w:p>
        </w:tc>
      </w:tr>
      <w:tr>
        <w:trPr>
          <w:trHeight w:val="283"/>
        </w:trPr>
        <w:tc>
          <w:tcPr>
            <w:tcW w:w="28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b w:val="1"/>
                <w:bCs w:val="1"/>
                <w:color w:val="auto"/>
              </w:rPr>
              <w:t>137</w:t>
            </w:r>
          </w:p>
        </w:tc>
        <w:tc>
          <w:tcPr>
            <w:tcW w:w="36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b w:val="1"/>
                <w:bCs w:val="1"/>
                <w:color w:val="auto"/>
              </w:rPr>
              <w:t>—</w:t>
            </w:r>
          </w:p>
        </w:tc>
        <w:tc>
          <w:tcPr>
            <w:tcW w:w="34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b w:val="1"/>
                <w:bCs w:val="1"/>
                <w:color w:val="auto"/>
              </w:rPr>
              <w:t>137</w:t>
            </w:r>
          </w:p>
        </w:tc>
      </w:tr>
      <w:tr>
        <w:trPr>
          <w:trHeight w:val="264"/>
        </w:trPr>
        <w:tc>
          <w:tcPr>
            <w:tcW w:w="28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b w:val="1"/>
                <w:bCs w:val="1"/>
                <w:color w:val="auto"/>
              </w:rPr>
              <w:t>33,312</w:t>
            </w:r>
          </w:p>
        </w:tc>
        <w:tc>
          <w:tcPr>
            <w:tcW w:w="36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b w:val="1"/>
                <w:bCs w:val="1"/>
                <w:color w:val="auto"/>
              </w:rPr>
              <w:t>—</w:t>
            </w:r>
          </w:p>
        </w:tc>
        <w:tc>
          <w:tcPr>
            <w:tcW w:w="34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b w:val="1"/>
                <w:bCs w:val="1"/>
                <w:color w:val="auto"/>
              </w:rPr>
              <w:t>33,312</w:t>
            </w:r>
          </w:p>
        </w:tc>
      </w:tr>
      <w:tr>
        <w:trPr>
          <w:trHeight w:val="521"/>
        </w:trPr>
        <w:tc>
          <w:tcPr>
            <w:tcW w:w="280" w:type="dxa"/>
            <w:vAlign w:val="bottom"/>
          </w:tcPr>
          <w:p>
            <w:pPr>
              <w:spacing w:after="0"/>
              <w:rPr>
                <w:sz w:val="24"/>
                <w:szCs w:val="24"/>
                <w:color w:val="auto"/>
              </w:rPr>
            </w:pPr>
          </w:p>
        </w:tc>
        <w:tc>
          <w:tcPr>
            <w:tcW w:w="920" w:type="dxa"/>
            <w:vAlign w:val="bottom"/>
          </w:tcPr>
          <w:p>
            <w:pPr>
              <w:jc w:val="right"/>
              <w:ind w:right="79"/>
              <w:spacing w:after="0"/>
              <w:rPr>
                <w:sz w:val="20"/>
                <w:szCs w:val="20"/>
                <w:color w:val="auto"/>
              </w:rPr>
            </w:pPr>
            <w:r>
              <w:rPr>
                <w:rFonts w:ascii="Arial" w:cs="Arial" w:eastAsia="Arial" w:hAnsi="Arial"/>
                <w:sz w:val="16"/>
                <w:szCs w:val="16"/>
                <w:b w:val="1"/>
                <w:bCs w:val="1"/>
                <w:color w:val="auto"/>
              </w:rPr>
              <w:t>112,086</w:t>
            </w:r>
          </w:p>
        </w:tc>
        <w:tc>
          <w:tcPr>
            <w:tcW w:w="360" w:type="dxa"/>
            <w:vAlign w:val="bottom"/>
          </w:tcPr>
          <w:p>
            <w:pPr>
              <w:spacing w:after="0"/>
              <w:rPr>
                <w:sz w:val="24"/>
                <w:szCs w:val="24"/>
                <w:color w:val="auto"/>
              </w:rPr>
            </w:pPr>
          </w:p>
        </w:tc>
        <w:tc>
          <w:tcPr>
            <w:tcW w:w="880" w:type="dxa"/>
            <w:vAlign w:val="bottom"/>
          </w:tcPr>
          <w:p>
            <w:pPr>
              <w:jc w:val="right"/>
              <w:ind w:right="19"/>
              <w:spacing w:after="0"/>
              <w:rPr>
                <w:sz w:val="20"/>
                <w:szCs w:val="20"/>
                <w:color w:val="auto"/>
              </w:rPr>
            </w:pPr>
            <w:r>
              <w:rPr>
                <w:rFonts w:ascii="Arial" w:cs="Arial" w:eastAsia="Arial" w:hAnsi="Arial"/>
                <w:sz w:val="16"/>
                <w:szCs w:val="16"/>
                <w:b w:val="1"/>
                <w:bCs w:val="1"/>
                <w:color w:val="auto"/>
              </w:rPr>
              <w:t>(44,834)</w:t>
            </w:r>
          </w:p>
        </w:tc>
        <w:tc>
          <w:tcPr>
            <w:tcW w:w="340" w:type="dxa"/>
            <w:vAlign w:val="bottom"/>
          </w:tcPr>
          <w:p>
            <w:pPr>
              <w:spacing w:after="0"/>
              <w:rPr>
                <w:sz w:val="24"/>
                <w:szCs w:val="24"/>
                <w:color w:val="auto"/>
              </w:rPr>
            </w:pPr>
          </w:p>
        </w:tc>
        <w:tc>
          <w:tcPr>
            <w:tcW w:w="860" w:type="dxa"/>
            <w:vAlign w:val="bottom"/>
          </w:tcPr>
          <w:p>
            <w:pPr>
              <w:jc w:val="right"/>
              <w:ind w:right="19"/>
              <w:spacing w:after="0"/>
              <w:rPr>
                <w:sz w:val="20"/>
                <w:szCs w:val="20"/>
                <w:color w:val="auto"/>
              </w:rPr>
            </w:pPr>
            <w:r>
              <w:rPr>
                <w:rFonts w:ascii="Arial" w:cs="Arial" w:eastAsia="Arial" w:hAnsi="Arial"/>
                <w:sz w:val="16"/>
                <w:szCs w:val="16"/>
                <w:b w:val="1"/>
                <w:bCs w:val="1"/>
                <w:color w:val="auto"/>
              </w:rPr>
              <w:t>67,252</w:t>
            </w:r>
          </w:p>
        </w:tc>
      </w:tr>
      <w:tr>
        <w:trPr>
          <w:trHeight w:val="540"/>
        </w:trPr>
        <w:tc>
          <w:tcPr>
            <w:tcW w:w="280" w:type="dxa"/>
            <w:vAlign w:val="bottom"/>
          </w:tcPr>
          <w:p>
            <w:pPr>
              <w:spacing w:after="0"/>
              <w:rPr>
                <w:sz w:val="24"/>
                <w:szCs w:val="24"/>
                <w:color w:val="auto"/>
              </w:rPr>
            </w:pPr>
          </w:p>
        </w:tc>
        <w:tc>
          <w:tcPr>
            <w:tcW w:w="920" w:type="dxa"/>
            <w:vAlign w:val="bottom"/>
          </w:tcPr>
          <w:p>
            <w:pPr>
              <w:jc w:val="right"/>
              <w:ind w:right="79"/>
              <w:spacing w:after="0"/>
              <w:rPr>
                <w:sz w:val="20"/>
                <w:szCs w:val="20"/>
                <w:color w:val="auto"/>
              </w:rPr>
            </w:pPr>
            <w:r>
              <w:rPr>
                <w:rFonts w:ascii="Arial" w:cs="Arial" w:eastAsia="Arial" w:hAnsi="Arial"/>
                <w:sz w:val="16"/>
                <w:szCs w:val="16"/>
                <w:b w:val="1"/>
                <w:bCs w:val="1"/>
                <w:color w:val="auto"/>
              </w:rPr>
              <w:t>179,674</w:t>
            </w:r>
          </w:p>
        </w:tc>
        <w:tc>
          <w:tcPr>
            <w:tcW w:w="360" w:type="dxa"/>
            <w:vAlign w:val="bottom"/>
          </w:tcPr>
          <w:p>
            <w:pPr>
              <w:spacing w:after="0"/>
              <w:rPr>
                <w:sz w:val="24"/>
                <w:szCs w:val="24"/>
                <w:color w:val="auto"/>
              </w:rPr>
            </w:pPr>
          </w:p>
        </w:tc>
        <w:tc>
          <w:tcPr>
            <w:tcW w:w="880" w:type="dxa"/>
            <w:vAlign w:val="bottom"/>
          </w:tcPr>
          <w:p>
            <w:pPr>
              <w:jc w:val="right"/>
              <w:ind w:right="19"/>
              <w:spacing w:after="0"/>
              <w:rPr>
                <w:sz w:val="20"/>
                <w:szCs w:val="20"/>
                <w:color w:val="auto"/>
              </w:rPr>
            </w:pPr>
            <w:r>
              <w:rPr>
                <w:rFonts w:ascii="Arial" w:cs="Arial" w:eastAsia="Arial" w:hAnsi="Arial"/>
                <w:sz w:val="16"/>
                <w:szCs w:val="16"/>
                <w:b w:val="1"/>
                <w:bCs w:val="1"/>
                <w:color w:val="auto"/>
              </w:rPr>
              <w:t>(48,511)</w:t>
            </w:r>
          </w:p>
        </w:tc>
        <w:tc>
          <w:tcPr>
            <w:tcW w:w="340" w:type="dxa"/>
            <w:vAlign w:val="bottom"/>
          </w:tcPr>
          <w:p>
            <w:pPr>
              <w:spacing w:after="0"/>
              <w:rPr>
                <w:sz w:val="24"/>
                <w:szCs w:val="24"/>
                <w:color w:val="auto"/>
              </w:rPr>
            </w:pPr>
          </w:p>
        </w:tc>
        <w:tc>
          <w:tcPr>
            <w:tcW w:w="860" w:type="dxa"/>
            <w:vAlign w:val="bottom"/>
          </w:tcPr>
          <w:p>
            <w:pPr>
              <w:jc w:val="right"/>
              <w:ind w:right="19"/>
              <w:spacing w:after="0"/>
              <w:rPr>
                <w:sz w:val="20"/>
                <w:szCs w:val="20"/>
                <w:color w:val="auto"/>
              </w:rPr>
            </w:pPr>
            <w:r>
              <w:rPr>
                <w:rFonts w:ascii="Arial" w:cs="Arial" w:eastAsia="Arial" w:hAnsi="Arial"/>
                <w:sz w:val="16"/>
                <w:szCs w:val="16"/>
                <w:b w:val="1"/>
                <w:bCs w:val="1"/>
                <w:color w:val="auto"/>
              </w:rPr>
              <w:t>131,163</w:t>
            </w:r>
          </w:p>
        </w:tc>
      </w:tr>
      <w:tr>
        <w:trPr>
          <w:trHeight w:val="270"/>
        </w:trPr>
        <w:tc>
          <w:tcPr>
            <w:tcW w:w="280" w:type="dxa"/>
            <w:vAlign w:val="bottom"/>
          </w:tcPr>
          <w:p>
            <w:pPr>
              <w:spacing w:after="0"/>
              <w:rPr>
                <w:sz w:val="23"/>
                <w:szCs w:val="23"/>
                <w:color w:val="auto"/>
              </w:rPr>
            </w:pPr>
          </w:p>
        </w:tc>
        <w:tc>
          <w:tcPr>
            <w:tcW w:w="920" w:type="dxa"/>
            <w:vAlign w:val="bottom"/>
          </w:tcPr>
          <w:p>
            <w:pPr>
              <w:jc w:val="right"/>
              <w:ind w:right="19"/>
              <w:spacing w:after="0"/>
              <w:rPr>
                <w:sz w:val="20"/>
                <w:szCs w:val="20"/>
                <w:color w:val="auto"/>
              </w:rPr>
            </w:pPr>
            <w:r>
              <w:rPr>
                <w:rFonts w:ascii="Arial" w:cs="Arial" w:eastAsia="Arial" w:hAnsi="Arial"/>
                <w:sz w:val="16"/>
                <w:szCs w:val="16"/>
                <w:b w:val="1"/>
                <w:bCs w:val="1"/>
                <w:color w:val="auto"/>
              </w:rPr>
              <w:t>(75)</w:t>
            </w:r>
          </w:p>
        </w:tc>
        <w:tc>
          <w:tcPr>
            <w:tcW w:w="360" w:type="dxa"/>
            <w:vAlign w:val="bottom"/>
          </w:tcPr>
          <w:p>
            <w:pPr>
              <w:spacing w:after="0"/>
              <w:rPr>
                <w:sz w:val="23"/>
                <w:szCs w:val="23"/>
                <w:color w:val="auto"/>
              </w:rPr>
            </w:pPr>
          </w:p>
        </w:tc>
        <w:tc>
          <w:tcPr>
            <w:tcW w:w="880" w:type="dxa"/>
            <w:vAlign w:val="bottom"/>
          </w:tcPr>
          <w:p>
            <w:pPr>
              <w:jc w:val="right"/>
              <w:ind w:right="79"/>
              <w:spacing w:after="0"/>
              <w:rPr>
                <w:sz w:val="20"/>
                <w:szCs w:val="20"/>
                <w:color w:val="auto"/>
              </w:rPr>
            </w:pPr>
            <w:r>
              <w:rPr>
                <w:rFonts w:ascii="Arial" w:cs="Arial" w:eastAsia="Arial" w:hAnsi="Arial"/>
                <w:sz w:val="16"/>
                <w:szCs w:val="16"/>
                <w:b w:val="1"/>
                <w:bCs w:val="1"/>
                <w:color w:val="auto"/>
              </w:rPr>
              <w:t>20</w:t>
            </w:r>
          </w:p>
        </w:tc>
        <w:tc>
          <w:tcPr>
            <w:tcW w:w="340" w:type="dxa"/>
            <w:vAlign w:val="bottom"/>
          </w:tcPr>
          <w:p>
            <w:pPr>
              <w:spacing w:after="0"/>
              <w:rPr>
                <w:sz w:val="23"/>
                <w:szCs w:val="23"/>
                <w:color w:val="auto"/>
              </w:rPr>
            </w:pPr>
          </w:p>
        </w:tc>
        <w:tc>
          <w:tcPr>
            <w:tcW w:w="860" w:type="dxa"/>
            <w:vAlign w:val="bottom"/>
          </w:tcPr>
          <w:p>
            <w:pPr>
              <w:jc w:val="right"/>
              <w:spacing w:after="0"/>
              <w:rPr>
                <w:sz w:val="20"/>
                <w:szCs w:val="20"/>
                <w:color w:val="auto"/>
              </w:rPr>
            </w:pPr>
            <w:r>
              <w:rPr>
                <w:rFonts w:ascii="Arial" w:cs="Arial" w:eastAsia="Arial" w:hAnsi="Arial"/>
                <w:sz w:val="16"/>
                <w:szCs w:val="16"/>
                <w:b w:val="1"/>
                <w:bCs w:val="1"/>
                <w:color w:val="auto"/>
              </w:rPr>
              <w:t>(55)</w:t>
            </w:r>
          </w:p>
        </w:tc>
      </w:tr>
      <w:tr>
        <w:trPr>
          <w:trHeight w:val="270"/>
        </w:trPr>
        <w:tc>
          <w:tcPr>
            <w:tcW w:w="280" w:type="dxa"/>
            <w:vAlign w:val="bottom"/>
          </w:tcPr>
          <w:p>
            <w:pPr>
              <w:spacing w:after="0"/>
              <w:rPr>
                <w:sz w:val="23"/>
                <w:szCs w:val="23"/>
                <w:color w:val="auto"/>
              </w:rPr>
            </w:pPr>
          </w:p>
        </w:tc>
        <w:tc>
          <w:tcPr>
            <w:tcW w:w="920" w:type="dxa"/>
            <w:vAlign w:val="bottom"/>
          </w:tcPr>
          <w:p>
            <w:pPr>
              <w:jc w:val="right"/>
              <w:ind w:right="19"/>
              <w:spacing w:after="0"/>
              <w:rPr>
                <w:sz w:val="20"/>
                <w:szCs w:val="20"/>
                <w:color w:val="auto"/>
              </w:rPr>
            </w:pPr>
            <w:r>
              <w:rPr>
                <w:rFonts w:ascii="Arial" w:cs="Arial" w:eastAsia="Arial" w:hAnsi="Arial"/>
                <w:sz w:val="16"/>
                <w:szCs w:val="16"/>
                <w:b w:val="1"/>
                <w:bCs w:val="1"/>
                <w:color w:val="auto"/>
              </w:rPr>
              <w:t>(6,527)</w:t>
            </w:r>
          </w:p>
        </w:tc>
        <w:tc>
          <w:tcPr>
            <w:tcW w:w="360" w:type="dxa"/>
            <w:vAlign w:val="bottom"/>
          </w:tcPr>
          <w:p>
            <w:pPr>
              <w:spacing w:after="0"/>
              <w:rPr>
                <w:sz w:val="23"/>
                <w:szCs w:val="23"/>
                <w:color w:val="auto"/>
              </w:rPr>
            </w:pPr>
          </w:p>
        </w:tc>
        <w:tc>
          <w:tcPr>
            <w:tcW w:w="880" w:type="dxa"/>
            <w:vAlign w:val="bottom"/>
          </w:tcPr>
          <w:p>
            <w:pPr>
              <w:jc w:val="right"/>
              <w:ind w:right="79"/>
              <w:spacing w:after="0"/>
              <w:rPr>
                <w:sz w:val="20"/>
                <w:szCs w:val="20"/>
                <w:color w:val="auto"/>
              </w:rPr>
            </w:pPr>
            <w:r>
              <w:rPr>
                <w:rFonts w:ascii="Arial" w:cs="Arial" w:eastAsia="Arial" w:hAnsi="Arial"/>
                <w:sz w:val="16"/>
                <w:szCs w:val="16"/>
                <w:b w:val="1"/>
                <w:bCs w:val="1"/>
                <w:color w:val="auto"/>
              </w:rPr>
              <w:t>2,612</w:t>
            </w:r>
          </w:p>
        </w:tc>
        <w:tc>
          <w:tcPr>
            <w:tcW w:w="340" w:type="dxa"/>
            <w:vAlign w:val="bottom"/>
          </w:tcPr>
          <w:p>
            <w:pPr>
              <w:spacing w:after="0"/>
              <w:rPr>
                <w:sz w:val="23"/>
                <w:szCs w:val="23"/>
                <w:color w:val="auto"/>
              </w:rPr>
            </w:pPr>
          </w:p>
        </w:tc>
        <w:tc>
          <w:tcPr>
            <w:tcW w:w="860" w:type="dxa"/>
            <w:vAlign w:val="bottom"/>
          </w:tcPr>
          <w:p>
            <w:pPr>
              <w:jc w:val="right"/>
              <w:spacing w:after="0"/>
              <w:rPr>
                <w:sz w:val="20"/>
                <w:szCs w:val="20"/>
                <w:color w:val="auto"/>
              </w:rPr>
            </w:pPr>
            <w:r>
              <w:rPr>
                <w:rFonts w:ascii="Arial" w:cs="Arial" w:eastAsia="Arial" w:hAnsi="Arial"/>
                <w:sz w:val="16"/>
                <w:szCs w:val="16"/>
                <w:b w:val="1"/>
                <w:bCs w:val="1"/>
                <w:color w:val="auto"/>
              </w:rPr>
              <w:t>(3,915)</w:t>
            </w:r>
          </w:p>
        </w:tc>
      </w:tr>
      <w:tr>
        <w:trPr>
          <w:trHeight w:val="283"/>
        </w:trPr>
        <w:tc>
          <w:tcPr>
            <w:tcW w:w="28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b w:val="1"/>
                <w:bCs w:val="1"/>
                <w:color w:val="auto"/>
              </w:rPr>
              <w:t>477</w:t>
            </w:r>
          </w:p>
        </w:tc>
        <w:tc>
          <w:tcPr>
            <w:tcW w:w="36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b w:val="1"/>
                <w:bCs w:val="1"/>
                <w:color w:val="auto"/>
              </w:rPr>
              <w:t>(191)</w:t>
            </w:r>
          </w:p>
        </w:tc>
        <w:tc>
          <w:tcPr>
            <w:tcW w:w="34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b w:val="1"/>
                <w:bCs w:val="1"/>
                <w:color w:val="auto"/>
              </w:rPr>
              <w:t>286</w:t>
            </w:r>
          </w:p>
        </w:tc>
      </w:tr>
      <w:tr>
        <w:trPr>
          <w:trHeight w:val="264"/>
        </w:trPr>
        <w:tc>
          <w:tcPr>
            <w:tcW w:w="28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b w:val="1"/>
                <w:bCs w:val="1"/>
                <w:color w:val="auto"/>
              </w:rPr>
              <w:t>173,549</w:t>
            </w:r>
          </w:p>
        </w:tc>
        <w:tc>
          <w:tcPr>
            <w:tcW w:w="36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b w:val="1"/>
                <w:bCs w:val="1"/>
                <w:color w:val="auto"/>
              </w:rPr>
              <w:t>(46,070)</w:t>
            </w:r>
          </w:p>
        </w:tc>
        <w:tc>
          <w:tcPr>
            <w:tcW w:w="34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b w:val="1"/>
                <w:bCs w:val="1"/>
                <w:color w:val="auto"/>
              </w:rPr>
              <w:t>127,479</w:t>
            </w:r>
          </w:p>
        </w:tc>
      </w:tr>
      <w:tr>
        <w:trPr>
          <w:trHeight w:val="534"/>
        </w:trPr>
        <w:tc>
          <w:tcPr>
            <w:tcW w:w="28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b w:val="1"/>
                <w:bCs w:val="1"/>
                <w:color w:val="auto"/>
              </w:rPr>
              <w:t>112</w:t>
            </w:r>
          </w:p>
        </w:tc>
        <w:tc>
          <w:tcPr>
            <w:tcW w:w="36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b w:val="1"/>
                <w:bCs w:val="1"/>
                <w:color w:val="auto"/>
              </w:rPr>
              <w:t>(19)</w:t>
            </w:r>
          </w:p>
        </w:tc>
        <w:tc>
          <w:tcPr>
            <w:tcW w:w="34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b w:val="1"/>
                <w:bCs w:val="1"/>
                <w:color w:val="auto"/>
              </w:rPr>
              <w:t>93</w:t>
            </w:r>
          </w:p>
        </w:tc>
      </w:tr>
      <w:tr>
        <w:trPr>
          <w:trHeight w:val="264"/>
        </w:trPr>
        <w:tc>
          <w:tcPr>
            <w:tcW w:w="28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b w:val="1"/>
                <w:bCs w:val="1"/>
                <w:color w:val="auto"/>
              </w:rPr>
              <w:t>$</w:t>
            </w:r>
          </w:p>
        </w:tc>
        <w:tc>
          <w:tcPr>
            <w:tcW w:w="92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b w:val="1"/>
                <w:bCs w:val="1"/>
                <w:color w:val="auto"/>
              </w:rPr>
              <w:t>319,059</w:t>
            </w:r>
          </w:p>
        </w:tc>
        <w:tc>
          <w:tcPr>
            <w:tcW w:w="36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b w:val="1"/>
                <w:bCs w:val="1"/>
                <w:color w:val="auto"/>
              </w:rPr>
              <w:t>$</w:t>
            </w:r>
          </w:p>
        </w:tc>
        <w:tc>
          <w:tcPr>
            <w:tcW w:w="88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b w:val="1"/>
                <w:bCs w:val="1"/>
                <w:color w:val="auto"/>
              </w:rPr>
              <w:t>(90,923)</w:t>
            </w:r>
          </w:p>
        </w:tc>
        <w:tc>
          <w:tcPr>
            <w:tcW w:w="34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b w:val="1"/>
                <w:bCs w:val="1"/>
                <w:color w:val="auto"/>
              </w:rPr>
              <w:t>$</w:t>
            </w:r>
          </w:p>
        </w:tc>
        <w:tc>
          <w:tcPr>
            <w:tcW w:w="86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b w:val="1"/>
                <w:bCs w:val="1"/>
                <w:color w:val="auto"/>
              </w:rPr>
              <w:t>228,136</w:t>
            </w:r>
          </w:p>
        </w:tc>
      </w:tr>
      <w:tr>
        <w:trPr>
          <w:trHeight w:val="20"/>
        </w:trPr>
        <w:tc>
          <w:tcPr>
            <w:tcW w:w="2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r>
    </w:tbl>
    <w:p>
      <w:pPr>
        <w:spacing w:after="0" w:line="383" w:lineRule="exact"/>
        <w:rPr>
          <w:sz w:val="20"/>
          <w:szCs w:val="20"/>
          <w:color w:val="auto"/>
        </w:rPr>
      </w:pPr>
    </w:p>
    <w:p>
      <w:pPr>
        <w:ind w:left="800"/>
        <w:spacing w:after="0"/>
        <w:rPr>
          <w:sz w:val="20"/>
          <w:szCs w:val="20"/>
          <w:color w:val="auto"/>
        </w:rPr>
      </w:pPr>
      <w:r>
        <w:rPr>
          <w:rFonts w:ascii="Arial" w:cs="Arial" w:eastAsia="Arial" w:hAnsi="Arial"/>
          <w:sz w:val="14"/>
          <w:szCs w:val="14"/>
          <w:color w:val="auto"/>
        </w:rPr>
        <w:t>Year Ended December 31, 2016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wp:posOffset>
            </wp:positionV>
            <wp:extent cx="2315210" cy="88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56">
                      <a:extLst>
                        <a:ext uri="{28A0092B-C50C-407E-A947-70E740481C1C}"/>
                      </a:extLst>
                    </a:blip>
                    <a:srcRect/>
                    <a:stretch>
                      <a:fillRect/>
                    </a:stretch>
                  </pic:blipFill>
                  <pic:spPr bwMode="auto">
                    <a:xfrm>
                      <a:off x="0" y="0"/>
                      <a:ext cx="2315210" cy="8890"/>
                    </a:xfrm>
                    <a:prstGeom prst="rect">
                      <a:avLst/>
                    </a:prstGeom>
                    <a:noFill/>
                  </pic:spPr>
                </pic:pic>
              </a:graphicData>
            </a:graphic>
          </wp:anchor>
        </w:drawing>
      </w:r>
    </w:p>
    <w:p>
      <w:pPr>
        <w:spacing w:after="0" w:line="103" w:lineRule="exact"/>
        <w:rPr>
          <w:sz w:val="20"/>
          <w:szCs w:val="20"/>
          <w:color w:val="auto"/>
        </w:rPr>
      </w:pPr>
    </w:p>
    <w:p>
      <w:pPr>
        <w:ind w:left="220"/>
        <w:spacing w:after="0"/>
        <w:tabs>
          <w:tab w:leader="none" w:pos="1580" w:val="left"/>
          <w:tab w:leader="none" w:pos="2760" w:val="left"/>
        </w:tabs>
        <w:rPr>
          <w:sz w:val="20"/>
          <w:szCs w:val="20"/>
          <w:color w:val="auto"/>
        </w:rPr>
      </w:pPr>
      <w:r>
        <w:rPr>
          <w:rFonts w:ascii="Arial" w:cs="Arial" w:eastAsia="Arial" w:hAnsi="Arial"/>
          <w:sz w:val="14"/>
          <w:szCs w:val="14"/>
          <w:color w:val="auto"/>
        </w:rPr>
        <w:t>Before-Tax</w:t>
      </w:r>
      <w:r>
        <w:rPr>
          <w:sz w:val="20"/>
          <w:szCs w:val="20"/>
          <w:color w:val="auto"/>
        </w:rPr>
        <w:tab/>
      </w:r>
      <w:r>
        <w:rPr>
          <w:rFonts w:ascii="Arial" w:cs="Arial" w:eastAsia="Arial" w:hAnsi="Arial"/>
          <w:sz w:val="14"/>
          <w:szCs w:val="14"/>
          <w:color w:val="auto"/>
        </w:rPr>
        <w:t>Income</w:t>
      </w:r>
      <w:r>
        <w:rPr>
          <w:sz w:val="20"/>
          <w:szCs w:val="20"/>
          <w:color w:val="auto"/>
        </w:rPr>
        <w:tab/>
      </w:r>
      <w:r>
        <w:rPr>
          <w:rFonts w:ascii="Arial" w:cs="Arial" w:eastAsia="Arial" w:hAnsi="Arial"/>
          <w:sz w:val="14"/>
          <w:szCs w:val="14"/>
          <w:color w:val="auto"/>
        </w:rPr>
        <w:t>After-Tax</w:t>
      </w:r>
    </w:p>
    <w:p>
      <w:pPr>
        <w:spacing w:after="0" w:line="55" w:lineRule="exact"/>
        <w:rPr>
          <w:sz w:val="20"/>
          <w:szCs w:val="20"/>
          <w:color w:val="auto"/>
        </w:rPr>
      </w:pPr>
    </w:p>
    <w:p>
      <w:pPr>
        <w:ind w:left="320"/>
        <w:spacing w:after="0"/>
        <w:tabs>
          <w:tab w:leader="none" w:pos="1700" w:val="left"/>
          <w:tab w:leader="none" w:pos="2800" w:val="left"/>
        </w:tabs>
        <w:rPr>
          <w:sz w:val="20"/>
          <w:szCs w:val="20"/>
          <w:color w:val="auto"/>
        </w:rPr>
      </w:pPr>
      <w:r>
        <w:rPr>
          <w:rFonts w:ascii="Arial" w:cs="Arial" w:eastAsia="Arial" w:hAnsi="Arial"/>
          <w:sz w:val="14"/>
          <w:szCs w:val="14"/>
          <w:color w:val="auto"/>
        </w:rPr>
        <w:t>Amount</w:t>
      </w:r>
      <w:r>
        <w:rPr>
          <w:sz w:val="20"/>
          <w:szCs w:val="20"/>
          <w:color w:val="auto"/>
        </w:rPr>
        <w:tab/>
      </w:r>
      <w:r>
        <w:rPr>
          <w:rFonts w:ascii="Arial" w:cs="Arial" w:eastAsia="Arial" w:hAnsi="Arial"/>
          <w:sz w:val="14"/>
          <w:szCs w:val="14"/>
          <w:color w:val="auto"/>
        </w:rPr>
        <w:t>Tax</w:t>
      </w:r>
      <w:r>
        <w:rPr>
          <w:sz w:val="20"/>
          <w:szCs w:val="20"/>
          <w:color w:val="auto"/>
        </w:rPr>
        <w:tab/>
      </w:r>
      <w:r>
        <w:rPr>
          <w:rFonts w:ascii="Arial" w:cs="Arial" w:eastAsia="Arial" w:hAnsi="Arial"/>
          <w:sz w:val="14"/>
          <w:szCs w:val="14"/>
          <w:color w:val="auto"/>
        </w:rPr>
        <w:t>Amount</w:t>
      </w:r>
    </w:p>
    <w:p>
      <w:pPr>
        <w:spacing w:after="0" w:line="147" w:lineRule="exact"/>
        <w:rPr>
          <w:sz w:val="20"/>
          <w:szCs w:val="20"/>
          <w:color w:val="auto"/>
        </w:rPr>
      </w:pPr>
    </w:p>
    <w:p>
      <w:pPr>
        <w:sectPr>
          <w:pgSz w:w="11900" w:h="16838" w:orient="portrait"/>
          <w:cols w:equalWidth="0" w:num="2">
            <w:col w:w="7060" w:space="720"/>
            <w:col w:w="3640"/>
          </w:cols>
          <w:pgMar w:left="240" w:top="724" w:right="239" w:bottom="1440" w:gutter="0" w:footer="0" w:header="0"/>
          <w:type w:val="continuous"/>
        </w:sectPr>
      </w:pPr>
    </w:p>
    <w:tbl>
      <w:tblPr>
        <w:tblLayout w:type="fixed"/>
        <w:tblInd w:w="40" w:type="dxa"/>
        <w:tblCellMar>
          <w:top w:w="0" w:type="dxa"/>
          <w:left w:w="0" w:type="dxa"/>
          <w:bottom w:w="0" w:type="dxa"/>
          <w:right w:w="0" w:type="dxa"/>
        </w:tblCellMar>
      </w:tblPr>
      <w:tr>
        <w:trPr>
          <w:trHeight w:val="195"/>
        </w:trPr>
        <w:tc>
          <w:tcPr>
            <w:tcW w:w="7740" w:type="dxa"/>
            <w:vAlign w:val="bottom"/>
          </w:tcPr>
          <w:p>
            <w:pPr>
              <w:spacing w:after="0"/>
              <w:rPr>
                <w:sz w:val="20"/>
                <w:szCs w:val="20"/>
                <w:color w:val="auto"/>
              </w:rPr>
            </w:pPr>
            <w:r>
              <w:rPr>
                <w:rFonts w:ascii="Arial" w:cs="Arial" w:eastAsia="Arial" w:hAnsi="Arial"/>
                <w:sz w:val="16"/>
                <w:szCs w:val="16"/>
                <w:color w:val="auto"/>
              </w:rPr>
              <w:t>Foreign currency translation adjustments:</w:t>
            </w:r>
          </w:p>
        </w:tc>
        <w:tc>
          <w:tcPr>
            <w:tcW w:w="26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840" w:type="dxa"/>
            <w:vAlign w:val="bottom"/>
          </w:tcPr>
          <w:p>
            <w:pPr>
              <w:spacing w:after="0"/>
              <w:rPr>
                <w:sz w:val="16"/>
                <w:szCs w:val="16"/>
                <w:color w:val="auto"/>
              </w:rPr>
            </w:pPr>
          </w:p>
        </w:tc>
      </w:tr>
      <w:tr>
        <w:trPr>
          <w:trHeight w:val="270"/>
        </w:trPr>
        <w:tc>
          <w:tcPr>
            <w:tcW w:w="7740" w:type="dxa"/>
            <w:vAlign w:val="bottom"/>
          </w:tcPr>
          <w:p>
            <w:pPr>
              <w:ind w:left="140"/>
              <w:spacing w:after="0"/>
              <w:rPr>
                <w:sz w:val="20"/>
                <w:szCs w:val="20"/>
                <w:color w:val="auto"/>
              </w:rPr>
            </w:pPr>
            <w:r>
              <w:rPr>
                <w:rFonts w:ascii="Arial" w:cs="Arial" w:eastAsia="Arial" w:hAnsi="Arial"/>
                <w:sz w:val="16"/>
                <w:szCs w:val="16"/>
                <w:color w:val="auto"/>
              </w:rPr>
              <w:t>Translation adjustments arising during the year</w:t>
            </w:r>
          </w:p>
        </w:tc>
        <w:tc>
          <w:tcPr>
            <w:tcW w:w="26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940" w:type="dxa"/>
            <w:vAlign w:val="bottom"/>
          </w:tcPr>
          <w:p>
            <w:pPr>
              <w:jc w:val="right"/>
              <w:ind w:right="19"/>
              <w:spacing w:after="0"/>
              <w:rPr>
                <w:sz w:val="20"/>
                <w:szCs w:val="20"/>
                <w:color w:val="auto"/>
              </w:rPr>
            </w:pPr>
            <w:r>
              <w:rPr>
                <w:rFonts w:ascii="Arial" w:cs="Arial" w:eastAsia="Arial" w:hAnsi="Arial"/>
                <w:sz w:val="16"/>
                <w:szCs w:val="16"/>
                <w:color w:val="auto"/>
              </w:rPr>
              <w:t>(22,149)</w:t>
            </w:r>
          </w:p>
        </w:tc>
        <w:tc>
          <w:tcPr>
            <w:tcW w:w="360" w:type="dxa"/>
            <w:vAlign w:val="bottom"/>
          </w:tcPr>
          <w:p>
            <w:pPr>
              <w:jc w:val="right"/>
              <w:ind w:right="99"/>
              <w:spacing w:after="0"/>
              <w:rPr>
                <w:sz w:val="20"/>
                <w:szCs w:val="20"/>
                <w:color w:val="auto"/>
              </w:rPr>
            </w:pPr>
            <w:r>
              <w:rPr>
                <w:rFonts w:ascii="Arial" w:cs="Arial" w:eastAsia="Arial" w:hAnsi="Arial"/>
                <w:sz w:val="16"/>
                <w:szCs w:val="16"/>
                <w:color w:val="auto"/>
              </w:rPr>
              <w:t>$</w:t>
            </w:r>
          </w:p>
        </w:tc>
        <w:tc>
          <w:tcPr>
            <w:tcW w:w="88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360" w:type="dxa"/>
            <w:vAlign w:val="bottom"/>
          </w:tcPr>
          <w:p>
            <w:pPr>
              <w:jc w:val="right"/>
              <w:ind w:right="99"/>
              <w:spacing w:after="0"/>
              <w:rPr>
                <w:sz w:val="20"/>
                <w:szCs w:val="20"/>
                <w:color w:val="auto"/>
              </w:rPr>
            </w:pPr>
            <w:r>
              <w:rPr>
                <w:rFonts w:ascii="Arial" w:cs="Arial" w:eastAsia="Arial" w:hAnsi="Arial"/>
                <w:sz w:val="16"/>
                <w:szCs w:val="16"/>
                <w:color w:val="auto"/>
              </w:rPr>
              <w:t>$</w:t>
            </w:r>
          </w:p>
        </w:tc>
        <w:tc>
          <w:tcPr>
            <w:tcW w:w="840" w:type="dxa"/>
            <w:vAlign w:val="bottom"/>
          </w:tcPr>
          <w:p>
            <w:pPr>
              <w:jc w:val="right"/>
              <w:spacing w:after="0"/>
              <w:rPr>
                <w:sz w:val="20"/>
                <w:szCs w:val="20"/>
                <w:color w:val="auto"/>
              </w:rPr>
            </w:pPr>
            <w:r>
              <w:rPr>
                <w:rFonts w:ascii="Arial" w:cs="Arial" w:eastAsia="Arial" w:hAnsi="Arial"/>
                <w:sz w:val="16"/>
                <w:szCs w:val="16"/>
                <w:color w:val="auto"/>
              </w:rPr>
              <w:t>(22,149)</w:t>
            </w:r>
          </w:p>
        </w:tc>
      </w:tr>
      <w:tr>
        <w:trPr>
          <w:trHeight w:val="270"/>
        </w:trPr>
        <w:tc>
          <w:tcPr>
            <w:tcW w:w="7740" w:type="dxa"/>
            <w:vAlign w:val="bottom"/>
          </w:tcPr>
          <w:p>
            <w:pPr>
              <w:spacing w:after="0"/>
              <w:rPr>
                <w:sz w:val="20"/>
                <w:szCs w:val="20"/>
                <w:color w:val="auto"/>
              </w:rPr>
            </w:pPr>
            <w:r>
              <w:rPr>
                <w:rFonts w:ascii="Arial" w:cs="Arial" w:eastAsia="Arial" w:hAnsi="Arial"/>
                <w:sz w:val="16"/>
                <w:szCs w:val="16"/>
                <w:color w:val="auto"/>
              </w:rPr>
              <w:t>Unrealized gains on available-for-sale securities:</w:t>
            </w:r>
          </w:p>
        </w:tc>
        <w:tc>
          <w:tcPr>
            <w:tcW w:w="260" w:type="dxa"/>
            <w:vAlign w:val="bottom"/>
          </w:tcPr>
          <w:p>
            <w:pPr>
              <w:spacing w:after="0"/>
              <w:rPr>
                <w:sz w:val="23"/>
                <w:szCs w:val="23"/>
                <w:color w:val="auto"/>
              </w:rPr>
            </w:pPr>
          </w:p>
        </w:tc>
        <w:tc>
          <w:tcPr>
            <w:tcW w:w="94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840" w:type="dxa"/>
            <w:vAlign w:val="bottom"/>
          </w:tcPr>
          <w:p>
            <w:pPr>
              <w:spacing w:after="0"/>
              <w:rPr>
                <w:sz w:val="23"/>
                <w:szCs w:val="23"/>
                <w:color w:val="auto"/>
              </w:rPr>
            </w:pPr>
          </w:p>
        </w:tc>
      </w:tr>
      <w:tr>
        <w:trPr>
          <w:trHeight w:val="270"/>
        </w:trPr>
        <w:tc>
          <w:tcPr>
            <w:tcW w:w="7740" w:type="dxa"/>
            <w:vAlign w:val="bottom"/>
          </w:tcPr>
          <w:p>
            <w:pPr>
              <w:ind w:left="140"/>
              <w:spacing w:after="0"/>
              <w:rPr>
                <w:sz w:val="20"/>
                <w:szCs w:val="20"/>
                <w:color w:val="auto"/>
              </w:rPr>
            </w:pPr>
            <w:r>
              <w:rPr>
                <w:rFonts w:ascii="Arial" w:cs="Arial" w:eastAsia="Arial" w:hAnsi="Arial"/>
                <w:sz w:val="16"/>
                <w:szCs w:val="16"/>
                <w:color w:val="auto"/>
              </w:rPr>
              <w:t>Unrealized gains for the year</w:t>
            </w:r>
          </w:p>
        </w:tc>
        <w:tc>
          <w:tcPr>
            <w:tcW w:w="260" w:type="dxa"/>
            <w:vAlign w:val="bottom"/>
          </w:tcPr>
          <w:p>
            <w:pPr>
              <w:spacing w:after="0"/>
              <w:rPr>
                <w:sz w:val="23"/>
                <w:szCs w:val="23"/>
                <w:color w:val="auto"/>
              </w:rPr>
            </w:pPr>
          </w:p>
        </w:tc>
        <w:tc>
          <w:tcPr>
            <w:tcW w:w="940" w:type="dxa"/>
            <w:vAlign w:val="bottom"/>
          </w:tcPr>
          <w:p>
            <w:pPr>
              <w:jc w:val="right"/>
              <w:ind w:right="79"/>
              <w:spacing w:after="0"/>
              <w:rPr>
                <w:sz w:val="20"/>
                <w:szCs w:val="20"/>
                <w:color w:val="auto"/>
              </w:rPr>
            </w:pPr>
            <w:r>
              <w:rPr>
                <w:rFonts w:ascii="Arial" w:cs="Arial" w:eastAsia="Arial" w:hAnsi="Arial"/>
                <w:sz w:val="16"/>
                <w:szCs w:val="16"/>
                <w:color w:val="auto"/>
              </w:rPr>
              <w:t>55,507</w:t>
            </w:r>
          </w:p>
        </w:tc>
        <w:tc>
          <w:tcPr>
            <w:tcW w:w="360" w:type="dxa"/>
            <w:vAlign w:val="bottom"/>
          </w:tcPr>
          <w:p>
            <w:pPr>
              <w:spacing w:after="0"/>
              <w:rPr>
                <w:sz w:val="23"/>
                <w:szCs w:val="23"/>
                <w:color w:val="auto"/>
              </w:rPr>
            </w:pPr>
          </w:p>
        </w:tc>
        <w:tc>
          <w:tcPr>
            <w:tcW w:w="880" w:type="dxa"/>
            <w:vAlign w:val="bottom"/>
          </w:tcPr>
          <w:p>
            <w:pPr>
              <w:jc w:val="right"/>
              <w:ind w:right="19"/>
              <w:spacing w:after="0"/>
              <w:rPr>
                <w:sz w:val="20"/>
                <w:szCs w:val="20"/>
                <w:color w:val="auto"/>
              </w:rPr>
            </w:pPr>
            <w:r>
              <w:rPr>
                <w:rFonts w:ascii="Arial" w:cs="Arial" w:eastAsia="Arial" w:hAnsi="Arial"/>
                <w:sz w:val="16"/>
                <w:szCs w:val="16"/>
                <w:color w:val="auto"/>
              </w:rPr>
              <w:t>(22,203)</w:t>
            </w:r>
          </w:p>
        </w:tc>
        <w:tc>
          <w:tcPr>
            <w:tcW w:w="360" w:type="dxa"/>
            <w:vAlign w:val="bottom"/>
          </w:tcPr>
          <w:p>
            <w:pPr>
              <w:spacing w:after="0"/>
              <w:rPr>
                <w:sz w:val="23"/>
                <w:szCs w:val="23"/>
                <w:color w:val="auto"/>
              </w:rPr>
            </w:pPr>
          </w:p>
        </w:tc>
        <w:tc>
          <w:tcPr>
            <w:tcW w:w="840" w:type="dxa"/>
            <w:vAlign w:val="bottom"/>
          </w:tcPr>
          <w:p>
            <w:pPr>
              <w:jc w:val="right"/>
              <w:ind w:right="19"/>
              <w:spacing w:after="0"/>
              <w:rPr>
                <w:sz w:val="20"/>
                <w:szCs w:val="20"/>
                <w:color w:val="auto"/>
              </w:rPr>
            </w:pPr>
            <w:r>
              <w:rPr>
                <w:rFonts w:ascii="Arial" w:cs="Arial" w:eastAsia="Arial" w:hAnsi="Arial"/>
                <w:sz w:val="16"/>
                <w:szCs w:val="16"/>
                <w:color w:val="auto"/>
              </w:rPr>
              <w:t>33,304</w:t>
            </w:r>
          </w:p>
        </w:tc>
      </w:tr>
      <w:tr>
        <w:trPr>
          <w:trHeight w:val="238"/>
        </w:trPr>
        <w:tc>
          <w:tcPr>
            <w:tcW w:w="7740" w:type="dxa"/>
            <w:vAlign w:val="bottom"/>
          </w:tcPr>
          <w:p>
            <w:pPr>
              <w:ind w:left="140"/>
              <w:spacing w:after="0"/>
              <w:rPr>
                <w:sz w:val="20"/>
                <w:szCs w:val="20"/>
                <w:color w:val="auto"/>
              </w:rPr>
            </w:pPr>
            <w:r>
              <w:rPr>
                <w:rFonts w:ascii="Arial" w:cs="Arial" w:eastAsia="Arial" w:hAnsi="Arial"/>
                <w:sz w:val="16"/>
                <w:szCs w:val="16"/>
                <w:color w:val="auto"/>
              </w:rPr>
              <w:t>Reclassification adjustment for net realized loss on sale of available-for-sale securities included in net</w:t>
            </w:r>
          </w:p>
        </w:tc>
        <w:tc>
          <w:tcPr>
            <w:tcW w:w="26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840" w:type="dxa"/>
            <w:vAlign w:val="bottom"/>
          </w:tcPr>
          <w:p>
            <w:pPr>
              <w:spacing w:after="0"/>
              <w:rPr>
                <w:sz w:val="20"/>
                <w:szCs w:val="20"/>
                <w:color w:val="auto"/>
              </w:rPr>
            </w:pPr>
          </w:p>
        </w:tc>
      </w:tr>
      <w:tr>
        <w:trPr>
          <w:trHeight w:val="208"/>
        </w:trPr>
        <w:tc>
          <w:tcPr>
            <w:tcW w:w="7740" w:type="dxa"/>
            <w:vAlign w:val="bottom"/>
          </w:tcPr>
          <w:p>
            <w:pPr>
              <w:ind w:left="300"/>
              <w:spacing w:after="0"/>
              <w:rPr>
                <w:sz w:val="20"/>
                <w:szCs w:val="20"/>
                <w:color w:val="auto"/>
              </w:rPr>
            </w:pPr>
            <w:r>
              <w:rPr>
                <w:rFonts w:ascii="Arial" w:cs="Arial" w:eastAsia="Arial" w:hAnsi="Arial"/>
                <w:sz w:val="16"/>
                <w:szCs w:val="16"/>
                <w:color w:val="auto"/>
              </w:rPr>
              <w:t>income</w:t>
            </w:r>
          </w:p>
        </w:tc>
        <w:tc>
          <w:tcPr>
            <w:tcW w:w="26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1,879</w:t>
            </w:r>
          </w:p>
        </w:tc>
        <w:tc>
          <w:tcPr>
            <w:tcW w:w="36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(752)</w:t>
            </w:r>
          </w:p>
        </w:tc>
        <w:tc>
          <w:tcPr>
            <w:tcW w:w="36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1,127</w:t>
            </w:r>
          </w:p>
        </w:tc>
      </w:tr>
      <w:tr>
        <w:trPr>
          <w:trHeight w:val="264"/>
        </w:trPr>
        <w:tc>
          <w:tcPr>
            <w:tcW w:w="7740" w:type="dxa"/>
            <w:vAlign w:val="bottom"/>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57,386</w:t>
            </w:r>
          </w:p>
        </w:tc>
        <w:tc>
          <w:tcPr>
            <w:tcW w:w="36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(22,955)</w:t>
            </w:r>
          </w:p>
        </w:tc>
        <w:tc>
          <w:tcPr>
            <w:tcW w:w="360" w:type="dxa"/>
            <w:vAlign w:val="bottom"/>
            <w:tcBorders>
              <w:bottom w:val="single" w:sz="8" w:color="auto"/>
            </w:tcBorders>
          </w:tcPr>
          <w:p>
            <w:pPr>
              <w:spacing w:after="0"/>
              <w:rPr>
                <w:sz w:val="22"/>
                <w:szCs w:val="22"/>
                <w:color w:val="auto"/>
              </w:rPr>
            </w:pPr>
          </w:p>
        </w:tc>
        <w:tc>
          <w:tcPr>
            <w:tcW w:w="84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34,431</w:t>
            </w:r>
          </w:p>
        </w:tc>
      </w:tr>
      <w:tr>
        <w:trPr>
          <w:trHeight w:val="251"/>
        </w:trPr>
        <w:tc>
          <w:tcPr>
            <w:tcW w:w="7740" w:type="dxa"/>
            <w:vAlign w:val="bottom"/>
          </w:tcPr>
          <w:p>
            <w:pPr>
              <w:spacing w:after="0"/>
              <w:rPr>
                <w:sz w:val="20"/>
                <w:szCs w:val="20"/>
                <w:color w:val="auto"/>
              </w:rPr>
            </w:pPr>
            <w:r>
              <w:rPr>
                <w:rFonts w:ascii="Arial" w:cs="Arial" w:eastAsia="Arial" w:hAnsi="Arial"/>
                <w:sz w:val="16"/>
                <w:szCs w:val="16"/>
                <w:color w:val="auto"/>
              </w:rPr>
              <w:t>Pension and other postretirement plans:</w:t>
            </w:r>
          </w:p>
        </w:tc>
        <w:tc>
          <w:tcPr>
            <w:tcW w:w="26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840" w:type="dxa"/>
            <w:vAlign w:val="bottom"/>
          </w:tcPr>
          <w:p>
            <w:pPr>
              <w:spacing w:after="0"/>
              <w:rPr>
                <w:sz w:val="21"/>
                <w:szCs w:val="21"/>
                <w:color w:val="auto"/>
              </w:rPr>
            </w:pPr>
          </w:p>
        </w:tc>
      </w:tr>
      <w:tr>
        <w:trPr>
          <w:trHeight w:val="270"/>
        </w:trPr>
        <w:tc>
          <w:tcPr>
            <w:tcW w:w="7740" w:type="dxa"/>
            <w:vAlign w:val="bottom"/>
          </w:tcPr>
          <w:p>
            <w:pPr>
              <w:ind w:left="140"/>
              <w:spacing w:after="0"/>
              <w:rPr>
                <w:sz w:val="20"/>
                <w:szCs w:val="20"/>
                <w:color w:val="auto"/>
              </w:rPr>
            </w:pPr>
            <w:r>
              <w:rPr>
                <w:rFonts w:ascii="Arial" w:cs="Arial" w:eastAsia="Arial" w:hAnsi="Arial"/>
                <w:sz w:val="16"/>
                <w:szCs w:val="16"/>
                <w:color w:val="auto"/>
              </w:rPr>
              <w:t>Actuarial loss</w:t>
            </w:r>
          </w:p>
        </w:tc>
        <w:tc>
          <w:tcPr>
            <w:tcW w:w="260" w:type="dxa"/>
            <w:vAlign w:val="bottom"/>
          </w:tcPr>
          <w:p>
            <w:pPr>
              <w:spacing w:after="0"/>
              <w:rPr>
                <w:sz w:val="23"/>
                <w:szCs w:val="23"/>
                <w:color w:val="auto"/>
              </w:rPr>
            </w:pPr>
          </w:p>
        </w:tc>
        <w:tc>
          <w:tcPr>
            <w:tcW w:w="940" w:type="dxa"/>
            <w:vAlign w:val="bottom"/>
          </w:tcPr>
          <w:p>
            <w:pPr>
              <w:jc w:val="right"/>
              <w:ind w:right="19"/>
              <w:spacing w:after="0"/>
              <w:rPr>
                <w:sz w:val="20"/>
                <w:szCs w:val="20"/>
                <w:color w:val="auto"/>
              </w:rPr>
            </w:pPr>
            <w:r>
              <w:rPr>
                <w:rFonts w:ascii="Arial" w:cs="Arial" w:eastAsia="Arial" w:hAnsi="Arial"/>
                <w:sz w:val="16"/>
                <w:szCs w:val="16"/>
                <w:color w:val="auto"/>
              </w:rPr>
              <w:t>(133,915)</w:t>
            </w:r>
          </w:p>
        </w:tc>
        <w:tc>
          <w:tcPr>
            <w:tcW w:w="360" w:type="dxa"/>
            <w:vAlign w:val="bottom"/>
          </w:tcPr>
          <w:p>
            <w:pPr>
              <w:spacing w:after="0"/>
              <w:rPr>
                <w:sz w:val="23"/>
                <w:szCs w:val="23"/>
                <w:color w:val="auto"/>
              </w:rPr>
            </w:pPr>
          </w:p>
        </w:tc>
        <w:tc>
          <w:tcPr>
            <w:tcW w:w="880" w:type="dxa"/>
            <w:vAlign w:val="bottom"/>
          </w:tcPr>
          <w:p>
            <w:pPr>
              <w:jc w:val="right"/>
              <w:ind w:right="79"/>
              <w:spacing w:after="0"/>
              <w:rPr>
                <w:sz w:val="20"/>
                <w:szCs w:val="20"/>
                <w:color w:val="auto"/>
              </w:rPr>
            </w:pPr>
            <w:r>
              <w:rPr>
                <w:rFonts w:ascii="Arial" w:cs="Arial" w:eastAsia="Arial" w:hAnsi="Arial"/>
                <w:sz w:val="16"/>
                <w:szCs w:val="16"/>
                <w:color w:val="auto"/>
              </w:rPr>
              <w:t>53,566</w:t>
            </w:r>
          </w:p>
        </w:tc>
        <w:tc>
          <w:tcPr>
            <w:tcW w:w="360" w:type="dxa"/>
            <w:vAlign w:val="bottom"/>
          </w:tcPr>
          <w:p>
            <w:pPr>
              <w:spacing w:after="0"/>
              <w:rPr>
                <w:sz w:val="23"/>
                <w:szCs w:val="23"/>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(80,349)</w:t>
            </w:r>
          </w:p>
        </w:tc>
      </w:tr>
      <w:tr>
        <w:trPr>
          <w:trHeight w:val="270"/>
        </w:trPr>
        <w:tc>
          <w:tcPr>
            <w:tcW w:w="7740" w:type="dxa"/>
            <w:vAlign w:val="bottom"/>
          </w:tcPr>
          <w:p>
            <w:pPr>
              <w:ind w:left="140"/>
              <w:spacing w:after="0"/>
              <w:rPr>
                <w:sz w:val="20"/>
                <w:szCs w:val="20"/>
                <w:color w:val="auto"/>
              </w:rPr>
            </w:pPr>
            <w:r>
              <w:rPr>
                <w:rFonts w:ascii="Arial" w:cs="Arial" w:eastAsia="Arial" w:hAnsi="Arial"/>
                <w:sz w:val="16"/>
                <w:szCs w:val="16"/>
                <w:color w:val="auto"/>
              </w:rPr>
              <w:t>Amortization of net actuarial loss included in net income</w:t>
            </w:r>
          </w:p>
        </w:tc>
        <w:tc>
          <w:tcPr>
            <w:tcW w:w="260" w:type="dxa"/>
            <w:vAlign w:val="bottom"/>
          </w:tcPr>
          <w:p>
            <w:pPr>
              <w:spacing w:after="0"/>
              <w:rPr>
                <w:sz w:val="23"/>
                <w:szCs w:val="23"/>
                <w:color w:val="auto"/>
              </w:rPr>
            </w:pPr>
          </w:p>
        </w:tc>
        <w:tc>
          <w:tcPr>
            <w:tcW w:w="940" w:type="dxa"/>
            <w:vAlign w:val="bottom"/>
          </w:tcPr>
          <w:p>
            <w:pPr>
              <w:jc w:val="right"/>
              <w:ind w:right="79"/>
              <w:spacing w:after="0"/>
              <w:rPr>
                <w:sz w:val="20"/>
                <w:szCs w:val="20"/>
                <w:color w:val="auto"/>
              </w:rPr>
            </w:pPr>
            <w:r>
              <w:rPr>
                <w:rFonts w:ascii="Arial" w:cs="Arial" w:eastAsia="Arial" w:hAnsi="Arial"/>
                <w:sz w:val="16"/>
                <w:szCs w:val="16"/>
                <w:color w:val="auto"/>
              </w:rPr>
              <w:t>1,157</w:t>
            </w:r>
          </w:p>
        </w:tc>
        <w:tc>
          <w:tcPr>
            <w:tcW w:w="360" w:type="dxa"/>
            <w:vAlign w:val="bottom"/>
          </w:tcPr>
          <w:p>
            <w:pPr>
              <w:spacing w:after="0"/>
              <w:rPr>
                <w:sz w:val="23"/>
                <w:szCs w:val="23"/>
                <w:color w:val="auto"/>
              </w:rPr>
            </w:pPr>
          </w:p>
        </w:tc>
        <w:tc>
          <w:tcPr>
            <w:tcW w:w="880" w:type="dxa"/>
            <w:vAlign w:val="bottom"/>
          </w:tcPr>
          <w:p>
            <w:pPr>
              <w:jc w:val="right"/>
              <w:ind w:right="19"/>
              <w:spacing w:after="0"/>
              <w:rPr>
                <w:sz w:val="20"/>
                <w:szCs w:val="20"/>
                <w:color w:val="auto"/>
              </w:rPr>
            </w:pPr>
            <w:r>
              <w:rPr>
                <w:rFonts w:ascii="Arial" w:cs="Arial" w:eastAsia="Arial" w:hAnsi="Arial"/>
                <w:sz w:val="16"/>
                <w:szCs w:val="16"/>
                <w:color w:val="auto"/>
              </w:rPr>
              <w:t>(463)</w:t>
            </w:r>
          </w:p>
        </w:tc>
        <w:tc>
          <w:tcPr>
            <w:tcW w:w="360" w:type="dxa"/>
            <w:vAlign w:val="bottom"/>
          </w:tcPr>
          <w:p>
            <w:pPr>
              <w:spacing w:after="0"/>
              <w:rPr>
                <w:sz w:val="23"/>
                <w:szCs w:val="23"/>
                <w:color w:val="auto"/>
              </w:rPr>
            </w:pPr>
          </w:p>
        </w:tc>
        <w:tc>
          <w:tcPr>
            <w:tcW w:w="840" w:type="dxa"/>
            <w:vAlign w:val="bottom"/>
          </w:tcPr>
          <w:p>
            <w:pPr>
              <w:jc w:val="right"/>
              <w:ind w:right="19"/>
              <w:spacing w:after="0"/>
              <w:rPr>
                <w:sz w:val="20"/>
                <w:szCs w:val="20"/>
                <w:color w:val="auto"/>
              </w:rPr>
            </w:pPr>
            <w:r>
              <w:rPr>
                <w:rFonts w:ascii="Arial" w:cs="Arial" w:eastAsia="Arial" w:hAnsi="Arial"/>
                <w:sz w:val="16"/>
                <w:szCs w:val="16"/>
                <w:color w:val="auto"/>
              </w:rPr>
              <w:t>694</w:t>
            </w:r>
          </w:p>
        </w:tc>
      </w:tr>
      <w:tr>
        <w:trPr>
          <w:trHeight w:val="270"/>
        </w:trPr>
        <w:tc>
          <w:tcPr>
            <w:tcW w:w="7740" w:type="dxa"/>
            <w:vAlign w:val="bottom"/>
          </w:tcPr>
          <w:p>
            <w:pPr>
              <w:ind w:left="140"/>
              <w:spacing w:after="0"/>
              <w:rPr>
                <w:sz w:val="20"/>
                <w:szCs w:val="20"/>
                <w:color w:val="auto"/>
              </w:rPr>
            </w:pPr>
            <w:r>
              <w:rPr>
                <w:rFonts w:ascii="Arial" w:cs="Arial" w:eastAsia="Arial" w:hAnsi="Arial"/>
                <w:sz w:val="16"/>
                <w:szCs w:val="16"/>
                <w:color w:val="auto"/>
              </w:rPr>
              <w:t>Amortization of net prior service cost included in net income</w:t>
            </w:r>
          </w:p>
        </w:tc>
        <w:tc>
          <w:tcPr>
            <w:tcW w:w="260" w:type="dxa"/>
            <w:vAlign w:val="bottom"/>
          </w:tcPr>
          <w:p>
            <w:pPr>
              <w:spacing w:after="0"/>
              <w:rPr>
                <w:sz w:val="23"/>
                <w:szCs w:val="23"/>
                <w:color w:val="auto"/>
              </w:rPr>
            </w:pPr>
          </w:p>
        </w:tc>
        <w:tc>
          <w:tcPr>
            <w:tcW w:w="940" w:type="dxa"/>
            <w:vAlign w:val="bottom"/>
          </w:tcPr>
          <w:p>
            <w:pPr>
              <w:jc w:val="right"/>
              <w:ind w:right="79"/>
              <w:spacing w:after="0"/>
              <w:rPr>
                <w:sz w:val="20"/>
                <w:szCs w:val="20"/>
                <w:color w:val="auto"/>
              </w:rPr>
            </w:pPr>
            <w:r>
              <w:rPr>
                <w:rFonts w:ascii="Arial" w:cs="Arial" w:eastAsia="Arial" w:hAnsi="Arial"/>
                <w:sz w:val="16"/>
                <w:szCs w:val="16"/>
                <w:color w:val="auto"/>
              </w:rPr>
              <w:t>419</w:t>
            </w:r>
          </w:p>
        </w:tc>
        <w:tc>
          <w:tcPr>
            <w:tcW w:w="360" w:type="dxa"/>
            <w:vAlign w:val="bottom"/>
          </w:tcPr>
          <w:p>
            <w:pPr>
              <w:spacing w:after="0"/>
              <w:rPr>
                <w:sz w:val="23"/>
                <w:szCs w:val="23"/>
                <w:color w:val="auto"/>
              </w:rPr>
            </w:pPr>
          </w:p>
        </w:tc>
        <w:tc>
          <w:tcPr>
            <w:tcW w:w="880" w:type="dxa"/>
            <w:vAlign w:val="bottom"/>
          </w:tcPr>
          <w:p>
            <w:pPr>
              <w:jc w:val="right"/>
              <w:ind w:right="19"/>
              <w:spacing w:after="0"/>
              <w:rPr>
                <w:sz w:val="20"/>
                <w:szCs w:val="20"/>
                <w:color w:val="auto"/>
              </w:rPr>
            </w:pPr>
            <w:r>
              <w:rPr>
                <w:rFonts w:ascii="Arial" w:cs="Arial" w:eastAsia="Arial" w:hAnsi="Arial"/>
                <w:sz w:val="16"/>
                <w:szCs w:val="16"/>
                <w:color w:val="auto"/>
              </w:rPr>
              <w:t>(167)</w:t>
            </w:r>
          </w:p>
        </w:tc>
        <w:tc>
          <w:tcPr>
            <w:tcW w:w="360" w:type="dxa"/>
            <w:vAlign w:val="bottom"/>
          </w:tcPr>
          <w:p>
            <w:pPr>
              <w:spacing w:after="0"/>
              <w:rPr>
                <w:sz w:val="23"/>
                <w:szCs w:val="23"/>
                <w:color w:val="auto"/>
              </w:rPr>
            </w:pPr>
          </w:p>
        </w:tc>
        <w:tc>
          <w:tcPr>
            <w:tcW w:w="840" w:type="dxa"/>
            <w:vAlign w:val="bottom"/>
          </w:tcPr>
          <w:p>
            <w:pPr>
              <w:jc w:val="right"/>
              <w:ind w:right="19"/>
              <w:spacing w:after="0"/>
              <w:rPr>
                <w:sz w:val="20"/>
                <w:szCs w:val="20"/>
                <w:color w:val="auto"/>
              </w:rPr>
            </w:pPr>
            <w:r>
              <w:rPr>
                <w:rFonts w:ascii="Arial" w:cs="Arial" w:eastAsia="Arial" w:hAnsi="Arial"/>
                <w:sz w:val="16"/>
                <w:szCs w:val="16"/>
                <w:color w:val="auto"/>
              </w:rPr>
              <w:t>252</w:t>
            </w:r>
          </w:p>
        </w:tc>
      </w:tr>
      <w:tr>
        <w:trPr>
          <w:trHeight w:val="283"/>
        </w:trPr>
        <w:tc>
          <w:tcPr>
            <w:tcW w:w="7740" w:type="dxa"/>
            <w:vAlign w:val="bottom"/>
          </w:tcPr>
          <w:p>
            <w:pPr>
              <w:ind w:left="140"/>
              <w:spacing w:after="0"/>
              <w:rPr>
                <w:sz w:val="20"/>
                <w:szCs w:val="20"/>
                <w:color w:val="auto"/>
              </w:rPr>
            </w:pPr>
            <w:r>
              <w:rPr>
                <w:rFonts w:ascii="Arial" w:cs="Arial" w:eastAsia="Arial" w:hAnsi="Arial"/>
                <w:sz w:val="16"/>
                <w:szCs w:val="16"/>
                <w:color w:val="auto"/>
              </w:rPr>
              <w:t>Curtailments and settlements included in net income</w:t>
            </w:r>
          </w:p>
        </w:tc>
        <w:tc>
          <w:tcPr>
            <w:tcW w:w="26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(17,993)</w:t>
            </w:r>
          </w:p>
        </w:tc>
        <w:tc>
          <w:tcPr>
            <w:tcW w:w="36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7,197</w:t>
            </w:r>
          </w:p>
        </w:tc>
        <w:tc>
          <w:tcPr>
            <w:tcW w:w="36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(10,796)</w:t>
            </w:r>
          </w:p>
        </w:tc>
      </w:tr>
      <w:tr>
        <w:trPr>
          <w:trHeight w:val="264"/>
        </w:trPr>
        <w:tc>
          <w:tcPr>
            <w:tcW w:w="7740" w:type="dxa"/>
            <w:vAlign w:val="bottom"/>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(150,332)</w:t>
            </w:r>
          </w:p>
        </w:tc>
        <w:tc>
          <w:tcPr>
            <w:tcW w:w="36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60,133</w:t>
            </w:r>
          </w:p>
        </w:tc>
        <w:tc>
          <w:tcPr>
            <w:tcW w:w="360" w:type="dxa"/>
            <w:vAlign w:val="bottom"/>
            <w:tcBorders>
              <w:bottom w:val="single" w:sz="8" w:color="auto"/>
            </w:tcBorders>
          </w:tcPr>
          <w:p>
            <w:pPr>
              <w:spacing w:after="0"/>
              <w:rPr>
                <w:sz w:val="22"/>
                <w:szCs w:val="22"/>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(90,199)</w:t>
            </w:r>
          </w:p>
        </w:tc>
      </w:tr>
      <w:tr>
        <w:trPr>
          <w:trHeight w:val="251"/>
        </w:trPr>
        <w:tc>
          <w:tcPr>
            <w:tcW w:w="7740" w:type="dxa"/>
            <w:vAlign w:val="bottom"/>
          </w:tcPr>
          <w:p>
            <w:pPr>
              <w:spacing w:after="0"/>
              <w:rPr>
                <w:sz w:val="20"/>
                <w:szCs w:val="20"/>
                <w:color w:val="auto"/>
              </w:rPr>
            </w:pPr>
            <w:r>
              <w:rPr>
                <w:rFonts w:ascii="Arial" w:cs="Arial" w:eastAsia="Arial" w:hAnsi="Arial"/>
                <w:sz w:val="16"/>
                <w:szCs w:val="16"/>
                <w:color w:val="auto"/>
              </w:rPr>
              <w:t>Cash flow hedge:</w:t>
            </w:r>
          </w:p>
        </w:tc>
        <w:tc>
          <w:tcPr>
            <w:tcW w:w="26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840" w:type="dxa"/>
            <w:vAlign w:val="bottom"/>
          </w:tcPr>
          <w:p>
            <w:pPr>
              <w:spacing w:after="0"/>
              <w:rPr>
                <w:sz w:val="21"/>
                <w:szCs w:val="21"/>
                <w:color w:val="auto"/>
              </w:rPr>
            </w:pPr>
          </w:p>
        </w:tc>
      </w:tr>
      <w:tr>
        <w:trPr>
          <w:trHeight w:val="283"/>
        </w:trPr>
        <w:tc>
          <w:tcPr>
            <w:tcW w:w="7740" w:type="dxa"/>
            <w:vAlign w:val="bottom"/>
          </w:tcPr>
          <w:p>
            <w:pPr>
              <w:ind w:left="140"/>
              <w:spacing w:after="0"/>
              <w:rPr>
                <w:sz w:val="20"/>
                <w:szCs w:val="20"/>
                <w:color w:val="auto"/>
              </w:rPr>
            </w:pPr>
            <w:r>
              <w:rPr>
                <w:rFonts w:ascii="Arial" w:cs="Arial" w:eastAsia="Arial" w:hAnsi="Arial"/>
                <w:sz w:val="16"/>
                <w:szCs w:val="16"/>
                <w:color w:val="auto"/>
              </w:rPr>
              <w:t>Loss for the year</w:t>
            </w:r>
          </w:p>
        </w:tc>
        <w:tc>
          <w:tcPr>
            <w:tcW w:w="26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(334)</w:t>
            </w:r>
          </w:p>
        </w:tc>
        <w:tc>
          <w:tcPr>
            <w:tcW w:w="36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57</w:t>
            </w:r>
          </w:p>
        </w:tc>
        <w:tc>
          <w:tcPr>
            <w:tcW w:w="36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(277)</w:t>
            </w:r>
          </w:p>
        </w:tc>
      </w:tr>
      <w:tr>
        <w:trPr>
          <w:trHeight w:val="267"/>
        </w:trPr>
        <w:tc>
          <w:tcPr>
            <w:tcW w:w="7740" w:type="dxa"/>
            <w:vAlign w:val="bottom"/>
          </w:tcPr>
          <w:p>
            <w:pPr>
              <w:spacing w:after="0"/>
              <w:rPr>
                <w:sz w:val="20"/>
                <w:szCs w:val="20"/>
                <w:color w:val="auto"/>
              </w:rPr>
            </w:pPr>
            <w:r>
              <w:rPr>
                <w:rFonts w:ascii="Arial" w:cs="Arial" w:eastAsia="Arial" w:hAnsi="Arial"/>
                <w:sz w:val="16"/>
                <w:szCs w:val="16"/>
                <w:b w:val="1"/>
                <w:bCs w:val="1"/>
                <w:color w:val="auto"/>
              </w:rPr>
              <w:t>Other Comprehensive Loss</w:t>
            </w:r>
          </w:p>
        </w:tc>
        <w:tc>
          <w:tcPr>
            <w:tcW w:w="26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w:t>
            </w:r>
          </w:p>
        </w:tc>
        <w:tc>
          <w:tcPr>
            <w:tcW w:w="94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(115,429)</w:t>
            </w:r>
          </w:p>
        </w:tc>
        <w:tc>
          <w:tcPr>
            <w:tcW w:w="36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rPr>
              <w:t>$</w:t>
            </w:r>
          </w:p>
        </w:tc>
        <w:tc>
          <w:tcPr>
            <w:tcW w:w="88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37,235</w:t>
            </w:r>
          </w:p>
        </w:tc>
        <w:tc>
          <w:tcPr>
            <w:tcW w:w="36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(78,194)</w:t>
            </w:r>
          </w:p>
        </w:tc>
      </w:tr>
      <w:tr>
        <w:trPr>
          <w:trHeight w:val="20"/>
        </w:trPr>
        <w:tc>
          <w:tcPr>
            <w:tcW w:w="77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31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111</w:t>
      </w:r>
    </w:p>
    <w:p>
      <w:pPr>
        <w:sectPr>
          <w:pgSz w:w="11900" w:h="16838" w:orient="portrait"/>
          <w:cols w:equalWidth="0" w:num="1">
            <w:col w:w="11420"/>
          </w:cols>
          <w:pgMar w:left="240" w:top="724" w:right="239" w:bottom="1440" w:gutter="0" w:footer="0" w:header="0"/>
          <w:type w:val="continuous"/>
        </w:sectPr>
      </w:pPr>
    </w:p>
    <w:bookmarkStart w:id="115" w:name="page116"/>
    <w:bookmarkEnd w:id="115"/>
    <w:tbl>
      <w:tblPr>
        <w:tblLayout w:type="fixed"/>
        <w:tblInd w:w="0" w:type="dxa"/>
        <w:tblCellMar>
          <w:top w:w="0" w:type="dxa"/>
          <w:left w:w="0" w:type="dxa"/>
          <w:bottom w:w="0" w:type="dxa"/>
          <w:right w:w="0" w:type="dxa"/>
        </w:tblCellMar>
      </w:tblPr>
      <w:tr>
        <w:trPr>
          <w:trHeight w:val="178"/>
        </w:trPr>
        <w:tc>
          <w:tcPr>
            <w:tcW w:w="7780" w:type="dxa"/>
            <w:vAlign w:val="bottom"/>
          </w:tcPr>
          <w:p>
            <w:pPr>
              <w:spacing w:after="0"/>
              <w:rPr>
                <w:sz w:val="15"/>
                <w:szCs w:val="15"/>
                <w:color w:val="auto"/>
              </w:rPr>
            </w:pPr>
          </w:p>
        </w:tc>
        <w:tc>
          <w:tcPr>
            <w:tcW w:w="3640" w:type="dxa"/>
            <w:vAlign w:val="bottom"/>
            <w:tcBorders>
              <w:bottom w:val="single" w:sz="8" w:color="auto"/>
            </w:tcBorders>
            <w:gridSpan w:val="3"/>
          </w:tcPr>
          <w:p>
            <w:pPr>
              <w:jc w:val="center"/>
              <w:spacing w:after="0"/>
              <w:rPr>
                <w:sz w:val="20"/>
                <w:szCs w:val="20"/>
                <w:color w:val="auto"/>
              </w:rPr>
            </w:pPr>
            <w:r>
              <w:rPr>
                <w:rFonts w:ascii="Arial" w:cs="Arial" w:eastAsia="Arial" w:hAnsi="Arial"/>
                <w:sz w:val="14"/>
                <w:szCs w:val="14"/>
                <w:color w:val="auto"/>
              </w:rPr>
              <w:t>Year Ended December 31, 2015</w:t>
            </w:r>
          </w:p>
        </w:tc>
        <w:tc>
          <w:tcPr>
            <w:tcW w:w="0" w:type="dxa"/>
            <w:vAlign w:val="bottom"/>
          </w:tcPr>
          <w:p>
            <w:pPr>
              <w:spacing w:after="0"/>
              <w:rPr>
                <w:sz w:val="1"/>
                <w:szCs w:val="1"/>
                <w:color w:val="auto"/>
              </w:rPr>
            </w:pPr>
          </w:p>
        </w:tc>
      </w:tr>
      <w:tr>
        <w:trPr>
          <w:trHeight w:val="258"/>
        </w:trPr>
        <w:tc>
          <w:tcPr>
            <w:tcW w:w="7780" w:type="dxa"/>
            <w:vAlign w:val="bottom"/>
          </w:tcPr>
          <w:p>
            <w:pPr>
              <w:spacing w:after="0"/>
              <w:rPr>
                <w:sz w:val="22"/>
                <w:szCs w:val="22"/>
                <w:color w:val="auto"/>
              </w:rPr>
            </w:pPr>
          </w:p>
        </w:tc>
        <w:tc>
          <w:tcPr>
            <w:tcW w:w="1260" w:type="dxa"/>
            <w:vAlign w:val="bottom"/>
          </w:tcPr>
          <w:p>
            <w:pPr>
              <w:jc w:val="center"/>
              <w:ind w:right="48"/>
              <w:spacing w:after="0"/>
              <w:rPr>
                <w:sz w:val="20"/>
                <w:szCs w:val="20"/>
                <w:color w:val="auto"/>
              </w:rPr>
            </w:pPr>
            <w:r>
              <w:rPr>
                <w:rFonts w:ascii="Arial" w:cs="Arial" w:eastAsia="Arial" w:hAnsi="Arial"/>
                <w:sz w:val="14"/>
                <w:szCs w:val="14"/>
                <w:color w:val="auto"/>
              </w:rPr>
              <w:t>Before-Tax</w:t>
            </w:r>
          </w:p>
        </w:tc>
        <w:tc>
          <w:tcPr>
            <w:tcW w:w="1160" w:type="dxa"/>
            <w:vAlign w:val="bottom"/>
          </w:tcPr>
          <w:p>
            <w:pPr>
              <w:jc w:val="center"/>
              <w:spacing w:after="0"/>
              <w:rPr>
                <w:sz w:val="20"/>
                <w:szCs w:val="20"/>
                <w:color w:val="auto"/>
              </w:rPr>
            </w:pPr>
            <w:r>
              <w:rPr>
                <w:rFonts w:ascii="Arial" w:cs="Arial" w:eastAsia="Arial" w:hAnsi="Arial"/>
                <w:sz w:val="14"/>
                <w:szCs w:val="14"/>
                <w:color w:val="auto"/>
              </w:rPr>
              <w:t>Income</w:t>
            </w:r>
          </w:p>
        </w:tc>
        <w:tc>
          <w:tcPr>
            <w:tcW w:w="1220" w:type="dxa"/>
            <w:vAlign w:val="bottom"/>
          </w:tcPr>
          <w:p>
            <w:pPr>
              <w:jc w:val="center"/>
              <w:ind w:left="8"/>
              <w:spacing w:after="0"/>
              <w:rPr>
                <w:sz w:val="20"/>
                <w:szCs w:val="20"/>
                <w:color w:val="auto"/>
              </w:rPr>
            </w:pPr>
            <w:r>
              <w:rPr>
                <w:rFonts w:ascii="Arial" w:cs="Arial" w:eastAsia="Arial" w:hAnsi="Arial"/>
                <w:sz w:val="14"/>
                <w:szCs w:val="14"/>
                <w:color w:val="auto"/>
              </w:rPr>
              <w:t>After-Tax</w:t>
            </w:r>
          </w:p>
        </w:tc>
        <w:tc>
          <w:tcPr>
            <w:tcW w:w="0" w:type="dxa"/>
            <w:vAlign w:val="bottom"/>
          </w:tcPr>
          <w:p>
            <w:pPr>
              <w:spacing w:after="0"/>
              <w:rPr>
                <w:sz w:val="1"/>
                <w:szCs w:val="1"/>
                <w:color w:val="auto"/>
              </w:rPr>
            </w:pPr>
          </w:p>
        </w:tc>
      </w:tr>
      <w:tr>
        <w:trPr>
          <w:trHeight w:val="216"/>
        </w:trPr>
        <w:tc>
          <w:tcPr>
            <w:tcW w:w="7780" w:type="dxa"/>
            <w:vAlign w:val="bottom"/>
            <w:vMerge w:val="restart"/>
          </w:tcPr>
          <w:p>
            <w:pPr>
              <w:ind w:left="40"/>
              <w:spacing w:after="0"/>
              <w:rPr>
                <w:sz w:val="20"/>
                <w:szCs w:val="20"/>
                <w:color w:val="auto"/>
              </w:rPr>
            </w:pPr>
            <w:r>
              <w:rPr>
                <w:rFonts w:ascii="Arial" w:cs="Arial" w:eastAsia="Arial" w:hAnsi="Arial"/>
                <w:sz w:val="14"/>
                <w:szCs w:val="14"/>
                <w:color w:val="auto"/>
              </w:rPr>
              <w:t>(in thousands)</w:t>
            </w:r>
          </w:p>
        </w:tc>
        <w:tc>
          <w:tcPr>
            <w:tcW w:w="1260" w:type="dxa"/>
            <w:vAlign w:val="bottom"/>
          </w:tcPr>
          <w:p>
            <w:pPr>
              <w:jc w:val="center"/>
              <w:ind w:right="48"/>
              <w:spacing w:after="0"/>
              <w:rPr>
                <w:sz w:val="20"/>
                <w:szCs w:val="20"/>
                <w:color w:val="auto"/>
              </w:rPr>
            </w:pPr>
            <w:r>
              <w:rPr>
                <w:rFonts w:ascii="Arial" w:cs="Arial" w:eastAsia="Arial" w:hAnsi="Arial"/>
                <w:sz w:val="14"/>
                <w:szCs w:val="14"/>
                <w:color w:val="auto"/>
              </w:rPr>
              <w:t>Amount</w:t>
            </w:r>
          </w:p>
        </w:tc>
        <w:tc>
          <w:tcPr>
            <w:tcW w:w="1160" w:type="dxa"/>
            <w:vAlign w:val="bottom"/>
          </w:tcPr>
          <w:p>
            <w:pPr>
              <w:jc w:val="center"/>
              <w:spacing w:after="0"/>
              <w:rPr>
                <w:sz w:val="20"/>
                <w:szCs w:val="20"/>
                <w:color w:val="auto"/>
              </w:rPr>
            </w:pPr>
            <w:r>
              <w:rPr>
                <w:rFonts w:ascii="Arial" w:cs="Arial" w:eastAsia="Arial" w:hAnsi="Arial"/>
                <w:sz w:val="14"/>
                <w:szCs w:val="14"/>
                <w:color w:val="auto"/>
                <w:w w:val="94"/>
              </w:rPr>
              <w:t>Tax</w:t>
            </w:r>
          </w:p>
        </w:tc>
        <w:tc>
          <w:tcPr>
            <w:tcW w:w="1220" w:type="dxa"/>
            <w:vAlign w:val="bottom"/>
          </w:tcPr>
          <w:p>
            <w:pPr>
              <w:jc w:val="center"/>
              <w:ind w:left="8"/>
              <w:spacing w:after="0"/>
              <w:rPr>
                <w:sz w:val="20"/>
                <w:szCs w:val="20"/>
                <w:color w:val="auto"/>
              </w:rPr>
            </w:pPr>
            <w:r>
              <w:rPr>
                <w:rFonts w:ascii="Arial" w:cs="Arial" w:eastAsia="Arial" w:hAnsi="Arial"/>
                <w:sz w:val="14"/>
                <w:szCs w:val="14"/>
                <w:color w:val="auto"/>
              </w:rPr>
              <w:t>Amount</w:t>
            </w:r>
          </w:p>
        </w:tc>
        <w:tc>
          <w:tcPr>
            <w:tcW w:w="0" w:type="dxa"/>
            <w:vAlign w:val="bottom"/>
          </w:tcPr>
          <w:p>
            <w:pPr>
              <w:spacing w:after="0"/>
              <w:rPr>
                <w:sz w:val="1"/>
                <w:szCs w:val="1"/>
                <w:color w:val="auto"/>
              </w:rPr>
            </w:pPr>
          </w:p>
        </w:tc>
      </w:tr>
      <w:tr>
        <w:trPr>
          <w:trHeight w:val="60"/>
        </w:trPr>
        <w:tc>
          <w:tcPr>
            <w:tcW w:w="7780" w:type="dxa"/>
            <w:vAlign w:val="bottom"/>
            <w:tcBorders>
              <w:bottom w:val="single" w:sz="8" w:color="auto"/>
            </w:tcBorders>
            <w:vMerge w:val="continue"/>
          </w:tcPr>
          <w:p>
            <w:pPr>
              <w:spacing w:after="0"/>
              <w:rPr>
                <w:sz w:val="5"/>
                <w:szCs w:val="5"/>
                <w:color w:val="auto"/>
              </w:rPr>
            </w:pPr>
          </w:p>
        </w:tc>
        <w:tc>
          <w:tcPr>
            <w:tcW w:w="1260" w:type="dxa"/>
            <w:vAlign w:val="bottom"/>
            <w:tcBorders>
              <w:bottom w:val="single" w:sz="8" w:color="auto"/>
            </w:tcBorders>
          </w:tcPr>
          <w:p>
            <w:pPr>
              <w:spacing w:after="0"/>
              <w:rPr>
                <w:sz w:val="5"/>
                <w:szCs w:val="5"/>
                <w:color w:val="auto"/>
              </w:rPr>
            </w:pPr>
          </w:p>
        </w:tc>
        <w:tc>
          <w:tcPr>
            <w:tcW w:w="1160" w:type="dxa"/>
            <w:vAlign w:val="bottom"/>
            <w:tcBorders>
              <w:bottom w:val="single" w:sz="8" w:color="auto"/>
            </w:tcBorders>
          </w:tcPr>
          <w:p>
            <w:pPr>
              <w:spacing w:after="0"/>
              <w:rPr>
                <w:sz w:val="5"/>
                <w:szCs w:val="5"/>
                <w:color w:val="auto"/>
              </w:rPr>
            </w:pPr>
          </w:p>
        </w:tc>
        <w:tc>
          <w:tcPr>
            <w:tcW w:w="122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bl>
    <w:p>
      <w:pPr>
        <w:spacing w:after="0" w:line="56" w:lineRule="exact"/>
        <w:rPr>
          <w:sz w:val="20"/>
          <w:szCs w:val="20"/>
          <w:color w:val="auto"/>
        </w:rPr>
      </w:pPr>
    </w:p>
    <w:p>
      <w:pPr>
        <w:sectPr>
          <w:pgSz w:w="11900" w:h="16838" w:orient="portrait"/>
          <w:cols w:equalWidth="0" w:num="1">
            <w:col w:w="11420"/>
          </w:cols>
          <w:pgMar w:left="240" w:top="982" w:right="239" w:bottom="1440" w:gutter="0" w:footer="0" w:header="0"/>
        </w:sectPr>
      </w:pPr>
    </w:p>
    <w:p>
      <w:pPr>
        <w:ind w:left="40"/>
        <w:spacing w:after="0"/>
        <w:rPr>
          <w:sz w:val="20"/>
          <w:szCs w:val="20"/>
          <w:color w:val="auto"/>
        </w:rPr>
      </w:pPr>
      <w:r>
        <w:rPr>
          <w:rFonts w:ascii="Arial" w:cs="Arial" w:eastAsia="Arial" w:hAnsi="Arial"/>
          <w:sz w:val="16"/>
          <w:szCs w:val="16"/>
          <w:color w:val="auto"/>
        </w:rPr>
        <w:t>Foreign currency translation adjustments:</w:t>
      </w:r>
    </w:p>
    <w:p>
      <w:pPr>
        <w:spacing w:after="0" w:line="86" w:lineRule="exact"/>
        <w:rPr>
          <w:sz w:val="20"/>
          <w:szCs w:val="20"/>
          <w:color w:val="auto"/>
        </w:rPr>
      </w:pPr>
    </w:p>
    <w:p>
      <w:pPr>
        <w:ind w:left="180" w:right="3400"/>
        <w:spacing w:after="0" w:line="366" w:lineRule="auto"/>
        <w:rPr>
          <w:sz w:val="20"/>
          <w:szCs w:val="20"/>
          <w:color w:val="auto"/>
        </w:rPr>
      </w:pPr>
      <w:r>
        <w:rPr>
          <w:rFonts w:ascii="Arial" w:cs="Arial" w:eastAsia="Arial" w:hAnsi="Arial"/>
          <w:sz w:val="16"/>
          <w:szCs w:val="16"/>
          <w:color w:val="auto"/>
        </w:rPr>
        <w:t>Translation adjustments arising during the year Adjustment for sales of businesses with foreign operations</w:t>
      </w:r>
    </w:p>
    <w:p>
      <w:pPr>
        <w:spacing w:after="0" w:line="276" w:lineRule="exact"/>
        <w:rPr>
          <w:sz w:val="20"/>
          <w:szCs w:val="20"/>
          <w:color w:val="auto"/>
        </w:rPr>
      </w:pPr>
    </w:p>
    <w:p>
      <w:pPr>
        <w:ind w:left="40"/>
        <w:spacing w:after="0"/>
        <w:rPr>
          <w:sz w:val="20"/>
          <w:szCs w:val="20"/>
          <w:color w:val="auto"/>
        </w:rPr>
      </w:pPr>
      <w:r>
        <w:rPr>
          <w:rFonts w:ascii="Arial" w:cs="Arial" w:eastAsia="Arial" w:hAnsi="Arial"/>
          <w:sz w:val="16"/>
          <w:szCs w:val="16"/>
          <w:color w:val="auto"/>
        </w:rPr>
        <w:t>Unrealized gains on available-for-sale securities:</w:t>
      </w:r>
    </w:p>
    <w:p>
      <w:pPr>
        <w:spacing w:after="0" w:line="86" w:lineRule="exact"/>
        <w:rPr>
          <w:sz w:val="20"/>
          <w:szCs w:val="20"/>
          <w:color w:val="auto"/>
        </w:rPr>
      </w:pPr>
    </w:p>
    <w:p>
      <w:pPr>
        <w:ind w:left="180"/>
        <w:spacing w:after="0"/>
        <w:rPr>
          <w:sz w:val="20"/>
          <w:szCs w:val="20"/>
          <w:color w:val="auto"/>
        </w:rPr>
      </w:pPr>
      <w:r>
        <w:rPr>
          <w:rFonts w:ascii="Arial" w:cs="Arial" w:eastAsia="Arial" w:hAnsi="Arial"/>
          <w:sz w:val="16"/>
          <w:szCs w:val="16"/>
          <w:color w:val="auto"/>
        </w:rPr>
        <w:t>Unrealized gains for the year</w:t>
      </w:r>
    </w:p>
    <w:p>
      <w:pPr>
        <w:spacing w:after="0" w:line="86" w:lineRule="exact"/>
        <w:rPr>
          <w:sz w:val="20"/>
          <w:szCs w:val="20"/>
          <w:color w:val="auto"/>
        </w:rPr>
      </w:pPr>
    </w:p>
    <w:p>
      <w:pPr>
        <w:ind w:left="180"/>
        <w:spacing w:after="0"/>
        <w:rPr>
          <w:sz w:val="20"/>
          <w:szCs w:val="20"/>
          <w:color w:val="auto"/>
        </w:rPr>
      </w:pPr>
      <w:r>
        <w:rPr>
          <w:rFonts w:ascii="Arial" w:cs="Arial" w:eastAsia="Arial" w:hAnsi="Arial"/>
          <w:sz w:val="16"/>
          <w:szCs w:val="16"/>
          <w:color w:val="auto"/>
        </w:rPr>
        <w:t>Reclassification adjustment for realized gain on sale of available-for-sale securities included in net income</w:t>
      </w:r>
    </w:p>
    <w:p>
      <w:pPr>
        <w:spacing w:after="0" w:line="383" w:lineRule="exact"/>
        <w:rPr>
          <w:sz w:val="20"/>
          <w:szCs w:val="20"/>
          <w:color w:val="auto"/>
        </w:rPr>
      </w:pPr>
    </w:p>
    <w:p>
      <w:pPr>
        <w:ind w:left="40"/>
        <w:spacing w:after="0"/>
        <w:rPr>
          <w:sz w:val="20"/>
          <w:szCs w:val="20"/>
          <w:color w:val="auto"/>
        </w:rPr>
      </w:pPr>
      <w:r>
        <w:rPr>
          <w:rFonts w:ascii="Arial" w:cs="Arial" w:eastAsia="Arial" w:hAnsi="Arial"/>
          <w:sz w:val="16"/>
          <w:szCs w:val="16"/>
          <w:color w:val="auto"/>
        </w:rPr>
        <w:t>Pension and other postretirement plans:</w:t>
      </w:r>
    </w:p>
    <w:p>
      <w:pPr>
        <w:spacing w:after="0" w:line="86" w:lineRule="exact"/>
        <w:rPr>
          <w:sz w:val="20"/>
          <w:szCs w:val="20"/>
          <w:color w:val="auto"/>
        </w:rPr>
      </w:pPr>
    </w:p>
    <w:p>
      <w:pPr>
        <w:ind w:left="180"/>
        <w:spacing w:after="0"/>
        <w:rPr>
          <w:sz w:val="20"/>
          <w:szCs w:val="20"/>
          <w:color w:val="auto"/>
        </w:rPr>
      </w:pPr>
      <w:r>
        <w:rPr>
          <w:rFonts w:ascii="Arial" w:cs="Arial" w:eastAsia="Arial" w:hAnsi="Arial"/>
          <w:sz w:val="16"/>
          <w:szCs w:val="16"/>
          <w:color w:val="auto"/>
        </w:rPr>
        <w:t>Actuarial loss</w:t>
      </w:r>
    </w:p>
    <w:p>
      <w:pPr>
        <w:spacing w:after="0" w:line="86" w:lineRule="exact"/>
        <w:rPr>
          <w:sz w:val="20"/>
          <w:szCs w:val="20"/>
          <w:color w:val="auto"/>
        </w:rPr>
      </w:pPr>
    </w:p>
    <w:p>
      <w:pPr>
        <w:ind w:left="180"/>
        <w:spacing w:after="0"/>
        <w:rPr>
          <w:sz w:val="20"/>
          <w:szCs w:val="20"/>
          <w:color w:val="auto"/>
        </w:rPr>
      </w:pPr>
      <w:r>
        <w:rPr>
          <w:rFonts w:ascii="Arial" w:cs="Arial" w:eastAsia="Arial" w:hAnsi="Arial"/>
          <w:sz w:val="16"/>
          <w:szCs w:val="16"/>
          <w:color w:val="auto"/>
        </w:rPr>
        <w:t>Amortization of net actuarial gain included in net income</w:t>
      </w:r>
    </w:p>
    <w:p>
      <w:pPr>
        <w:spacing w:after="0" w:line="86" w:lineRule="exact"/>
        <w:rPr>
          <w:sz w:val="20"/>
          <w:szCs w:val="20"/>
          <w:color w:val="auto"/>
        </w:rPr>
      </w:pPr>
    </w:p>
    <w:p>
      <w:pPr>
        <w:ind w:left="180"/>
        <w:spacing w:after="0"/>
        <w:rPr>
          <w:sz w:val="20"/>
          <w:szCs w:val="20"/>
          <w:color w:val="auto"/>
        </w:rPr>
      </w:pPr>
      <w:r>
        <w:rPr>
          <w:rFonts w:ascii="Arial" w:cs="Arial" w:eastAsia="Arial" w:hAnsi="Arial"/>
          <w:sz w:val="16"/>
          <w:szCs w:val="16"/>
          <w:color w:val="auto"/>
        </w:rPr>
        <w:t>Amortization of net prior service cost included in net income</w:t>
      </w:r>
    </w:p>
    <w:p>
      <w:pPr>
        <w:spacing w:after="0" w:line="86" w:lineRule="exact"/>
        <w:rPr>
          <w:sz w:val="20"/>
          <w:szCs w:val="20"/>
          <w:color w:val="auto"/>
        </w:rPr>
      </w:pPr>
    </w:p>
    <w:p>
      <w:pPr>
        <w:ind w:left="180"/>
        <w:spacing w:after="0"/>
        <w:rPr>
          <w:sz w:val="20"/>
          <w:szCs w:val="20"/>
          <w:color w:val="auto"/>
        </w:rPr>
      </w:pPr>
      <w:r>
        <w:rPr>
          <w:rFonts w:ascii="Arial" w:cs="Arial" w:eastAsia="Arial" w:hAnsi="Arial"/>
          <w:sz w:val="16"/>
          <w:szCs w:val="16"/>
          <w:color w:val="auto"/>
        </w:rPr>
        <w:t>Curtailments and settlements included in net income</w:t>
      </w:r>
    </w:p>
    <w:p>
      <w:pPr>
        <w:spacing w:after="0" w:line="86" w:lineRule="exact"/>
        <w:rPr>
          <w:sz w:val="20"/>
          <w:szCs w:val="20"/>
          <w:color w:val="auto"/>
        </w:rPr>
      </w:pPr>
    </w:p>
    <w:p>
      <w:pPr>
        <w:ind w:left="180"/>
        <w:spacing w:after="0"/>
        <w:rPr>
          <w:sz w:val="20"/>
          <w:szCs w:val="20"/>
          <w:color w:val="auto"/>
        </w:rPr>
      </w:pPr>
      <w:r>
        <w:rPr>
          <w:rFonts w:ascii="Arial" w:cs="Arial" w:eastAsia="Arial" w:hAnsi="Arial"/>
          <w:sz w:val="16"/>
          <w:szCs w:val="16"/>
          <w:color w:val="auto"/>
        </w:rPr>
        <w:t>Curtailments and settlements included in distribution to Cable ONE</w:t>
      </w:r>
    </w:p>
    <w:p>
      <w:pPr>
        <w:spacing w:after="0" w:line="383" w:lineRule="exact"/>
        <w:rPr>
          <w:sz w:val="20"/>
          <w:szCs w:val="20"/>
          <w:color w:val="auto"/>
        </w:rPr>
      </w:pPr>
    </w:p>
    <w:p>
      <w:pPr>
        <w:ind w:left="40"/>
        <w:spacing w:after="0"/>
        <w:rPr>
          <w:sz w:val="20"/>
          <w:szCs w:val="20"/>
          <w:color w:val="auto"/>
        </w:rPr>
      </w:pPr>
      <w:r>
        <w:rPr>
          <w:rFonts w:ascii="Arial" w:cs="Arial" w:eastAsia="Arial" w:hAnsi="Arial"/>
          <w:sz w:val="16"/>
          <w:szCs w:val="16"/>
          <w:color w:val="auto"/>
        </w:rPr>
        <w:t>Cash flow hedge:</w:t>
      </w:r>
    </w:p>
    <w:p>
      <w:pPr>
        <w:spacing w:after="0" w:line="86" w:lineRule="exact"/>
        <w:rPr>
          <w:sz w:val="20"/>
          <w:szCs w:val="20"/>
          <w:color w:val="auto"/>
        </w:rPr>
      </w:pPr>
    </w:p>
    <w:p>
      <w:pPr>
        <w:ind w:left="180"/>
        <w:spacing w:after="0"/>
        <w:rPr>
          <w:sz w:val="20"/>
          <w:szCs w:val="20"/>
          <w:color w:val="auto"/>
        </w:rPr>
      </w:pPr>
      <w:r>
        <w:rPr>
          <w:rFonts w:ascii="Arial" w:cs="Arial" w:eastAsia="Arial" w:hAnsi="Arial"/>
          <w:sz w:val="16"/>
          <w:szCs w:val="16"/>
          <w:color w:val="auto"/>
        </w:rPr>
        <w:t>Gain for the year</w:t>
      </w:r>
    </w:p>
    <w:p>
      <w:pPr>
        <w:spacing w:after="0" w:line="93" w:lineRule="exact"/>
        <w:rPr>
          <w:sz w:val="20"/>
          <w:szCs w:val="20"/>
          <w:color w:val="auto"/>
        </w:rPr>
      </w:pPr>
    </w:p>
    <w:p>
      <w:pPr>
        <w:ind w:left="40"/>
        <w:spacing w:after="0"/>
        <w:rPr>
          <w:sz w:val="20"/>
          <w:szCs w:val="20"/>
          <w:color w:val="auto"/>
        </w:rPr>
      </w:pPr>
      <w:r>
        <w:rPr>
          <w:rFonts w:ascii="Arial" w:cs="Arial" w:eastAsia="Arial" w:hAnsi="Arial"/>
          <w:sz w:val="16"/>
          <w:szCs w:val="16"/>
          <w:b w:val="1"/>
          <w:bCs w:val="1"/>
          <w:color w:val="auto"/>
        </w:rPr>
        <w:t>Other Comprehensive Loss</w:t>
      </w:r>
    </w:p>
    <w:p>
      <w:pPr>
        <w:spacing w:after="0" w:line="20" w:lineRule="exact"/>
        <w:rPr>
          <w:sz w:val="20"/>
          <w:szCs w:val="20"/>
          <w:color w:val="auto"/>
        </w:rPr>
      </w:pPr>
      <w:r>
        <w:rPr>
          <w:sz w:val="20"/>
          <w:szCs w:val="20"/>
          <w:color w:val="auto"/>
        </w:rPr>
        <w:br w:type="column"/>
      </w:r>
    </w:p>
    <w:p>
      <w:pPr>
        <w:spacing w:after="0" w:line="250"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95"/>
        </w:trPr>
        <w:tc>
          <w:tcPr>
            <w:tcW w:w="26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940" w:type="dxa"/>
            <w:vAlign w:val="bottom"/>
          </w:tcPr>
          <w:p>
            <w:pPr>
              <w:jc w:val="right"/>
              <w:ind w:right="19"/>
              <w:spacing w:after="0"/>
              <w:rPr>
                <w:sz w:val="20"/>
                <w:szCs w:val="20"/>
                <w:color w:val="auto"/>
              </w:rPr>
            </w:pPr>
            <w:r>
              <w:rPr>
                <w:rFonts w:ascii="Arial" w:cs="Arial" w:eastAsia="Arial" w:hAnsi="Arial"/>
                <w:sz w:val="16"/>
                <w:szCs w:val="16"/>
                <w:color w:val="auto"/>
              </w:rPr>
              <w:t>(18,898)</w:t>
            </w:r>
          </w:p>
        </w:tc>
        <w:tc>
          <w:tcPr>
            <w:tcW w:w="38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86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32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880" w:type="dxa"/>
            <w:vAlign w:val="bottom"/>
          </w:tcPr>
          <w:p>
            <w:pPr>
              <w:jc w:val="right"/>
              <w:spacing w:after="0"/>
              <w:rPr>
                <w:sz w:val="20"/>
                <w:szCs w:val="20"/>
                <w:color w:val="auto"/>
              </w:rPr>
            </w:pPr>
            <w:r>
              <w:rPr>
                <w:rFonts w:ascii="Arial" w:cs="Arial" w:eastAsia="Arial" w:hAnsi="Arial"/>
                <w:sz w:val="16"/>
                <w:szCs w:val="16"/>
                <w:color w:val="auto"/>
              </w:rPr>
              <w:t>(18,898)</w:t>
            </w:r>
          </w:p>
        </w:tc>
      </w:tr>
      <w:tr>
        <w:trPr>
          <w:trHeight w:val="283"/>
        </w:trPr>
        <w:tc>
          <w:tcPr>
            <w:tcW w:w="26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5,501</w:t>
            </w:r>
          </w:p>
        </w:tc>
        <w:tc>
          <w:tcPr>
            <w:tcW w:w="38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w:t>
            </w:r>
          </w:p>
        </w:tc>
        <w:tc>
          <w:tcPr>
            <w:tcW w:w="32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5,501</w:t>
            </w:r>
          </w:p>
        </w:tc>
      </w:tr>
      <w:tr>
        <w:trPr>
          <w:trHeight w:val="264"/>
        </w:trPr>
        <w:tc>
          <w:tcPr>
            <w:tcW w:w="26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(13,397)</w:t>
            </w:r>
          </w:p>
        </w:tc>
        <w:tc>
          <w:tcPr>
            <w:tcW w:w="38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w:t>
            </w:r>
          </w:p>
        </w:tc>
        <w:tc>
          <w:tcPr>
            <w:tcW w:w="32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(13,397)</w:t>
            </w:r>
          </w:p>
        </w:tc>
      </w:tr>
      <w:tr>
        <w:trPr>
          <w:trHeight w:val="521"/>
        </w:trPr>
        <w:tc>
          <w:tcPr>
            <w:tcW w:w="260" w:type="dxa"/>
            <w:vAlign w:val="bottom"/>
          </w:tcPr>
          <w:p>
            <w:pPr>
              <w:spacing w:after="0"/>
              <w:rPr>
                <w:sz w:val="24"/>
                <w:szCs w:val="24"/>
                <w:color w:val="auto"/>
              </w:rPr>
            </w:pPr>
          </w:p>
        </w:tc>
        <w:tc>
          <w:tcPr>
            <w:tcW w:w="940" w:type="dxa"/>
            <w:vAlign w:val="bottom"/>
          </w:tcPr>
          <w:p>
            <w:pPr>
              <w:jc w:val="right"/>
              <w:ind w:right="79"/>
              <w:spacing w:after="0"/>
              <w:rPr>
                <w:sz w:val="20"/>
                <w:szCs w:val="20"/>
                <w:color w:val="auto"/>
              </w:rPr>
            </w:pPr>
            <w:r>
              <w:rPr>
                <w:rFonts w:ascii="Arial" w:cs="Arial" w:eastAsia="Arial" w:hAnsi="Arial"/>
                <w:sz w:val="16"/>
                <w:szCs w:val="16"/>
                <w:color w:val="auto"/>
              </w:rPr>
              <w:t>10,620</w:t>
            </w:r>
          </w:p>
        </w:tc>
        <w:tc>
          <w:tcPr>
            <w:tcW w:w="380" w:type="dxa"/>
            <w:vAlign w:val="bottom"/>
          </w:tcPr>
          <w:p>
            <w:pPr>
              <w:spacing w:after="0"/>
              <w:rPr>
                <w:sz w:val="24"/>
                <w:szCs w:val="24"/>
                <w:color w:val="auto"/>
              </w:rPr>
            </w:pPr>
          </w:p>
        </w:tc>
        <w:tc>
          <w:tcPr>
            <w:tcW w:w="860" w:type="dxa"/>
            <w:vAlign w:val="bottom"/>
          </w:tcPr>
          <w:p>
            <w:pPr>
              <w:jc w:val="right"/>
              <w:ind w:right="19"/>
              <w:spacing w:after="0"/>
              <w:rPr>
                <w:sz w:val="20"/>
                <w:szCs w:val="20"/>
                <w:color w:val="auto"/>
              </w:rPr>
            </w:pPr>
            <w:r>
              <w:rPr>
                <w:rFonts w:ascii="Arial" w:cs="Arial" w:eastAsia="Arial" w:hAnsi="Arial"/>
                <w:sz w:val="16"/>
                <w:szCs w:val="16"/>
                <w:color w:val="auto"/>
              </w:rPr>
              <w:t>(4,248)</w:t>
            </w:r>
          </w:p>
        </w:tc>
        <w:tc>
          <w:tcPr>
            <w:tcW w:w="320" w:type="dxa"/>
            <w:vAlign w:val="bottom"/>
          </w:tcPr>
          <w:p>
            <w:pPr>
              <w:spacing w:after="0"/>
              <w:rPr>
                <w:sz w:val="24"/>
                <w:szCs w:val="24"/>
                <w:color w:val="auto"/>
              </w:rPr>
            </w:pPr>
          </w:p>
        </w:tc>
        <w:tc>
          <w:tcPr>
            <w:tcW w:w="880" w:type="dxa"/>
            <w:vAlign w:val="bottom"/>
          </w:tcPr>
          <w:p>
            <w:pPr>
              <w:jc w:val="right"/>
              <w:ind w:right="19"/>
              <w:spacing w:after="0"/>
              <w:rPr>
                <w:sz w:val="20"/>
                <w:szCs w:val="20"/>
                <w:color w:val="auto"/>
              </w:rPr>
            </w:pPr>
            <w:r>
              <w:rPr>
                <w:rFonts w:ascii="Arial" w:cs="Arial" w:eastAsia="Arial" w:hAnsi="Arial"/>
                <w:sz w:val="16"/>
                <w:szCs w:val="16"/>
                <w:color w:val="auto"/>
              </w:rPr>
              <w:t>6,372</w:t>
            </w:r>
          </w:p>
        </w:tc>
      </w:tr>
      <w:tr>
        <w:trPr>
          <w:trHeight w:val="283"/>
        </w:trPr>
        <w:tc>
          <w:tcPr>
            <w:tcW w:w="26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(4)</w:t>
            </w:r>
          </w:p>
        </w:tc>
        <w:tc>
          <w:tcPr>
            <w:tcW w:w="38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2</w:t>
            </w:r>
          </w:p>
        </w:tc>
        <w:tc>
          <w:tcPr>
            <w:tcW w:w="32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w:t>
            </w:r>
          </w:p>
        </w:tc>
      </w:tr>
      <w:tr>
        <w:trPr>
          <w:trHeight w:val="264"/>
        </w:trPr>
        <w:tc>
          <w:tcPr>
            <w:tcW w:w="26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10,616</w:t>
            </w:r>
          </w:p>
        </w:tc>
        <w:tc>
          <w:tcPr>
            <w:tcW w:w="38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(4,246)</w:t>
            </w:r>
          </w:p>
        </w:tc>
        <w:tc>
          <w:tcPr>
            <w:tcW w:w="32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6,370</w:t>
            </w:r>
          </w:p>
        </w:tc>
      </w:tr>
      <w:tr>
        <w:trPr>
          <w:trHeight w:val="521"/>
        </w:trPr>
        <w:tc>
          <w:tcPr>
            <w:tcW w:w="260" w:type="dxa"/>
            <w:vAlign w:val="bottom"/>
          </w:tcPr>
          <w:p>
            <w:pPr>
              <w:spacing w:after="0"/>
              <w:rPr>
                <w:sz w:val="24"/>
                <w:szCs w:val="24"/>
                <w:color w:val="auto"/>
              </w:rPr>
            </w:pPr>
          </w:p>
        </w:tc>
        <w:tc>
          <w:tcPr>
            <w:tcW w:w="940" w:type="dxa"/>
            <w:vAlign w:val="bottom"/>
          </w:tcPr>
          <w:p>
            <w:pPr>
              <w:jc w:val="right"/>
              <w:ind w:right="19"/>
              <w:spacing w:after="0"/>
              <w:rPr>
                <w:sz w:val="20"/>
                <w:szCs w:val="20"/>
                <w:color w:val="auto"/>
              </w:rPr>
            </w:pPr>
            <w:r>
              <w:rPr>
                <w:rFonts w:ascii="Arial" w:cs="Arial" w:eastAsia="Arial" w:hAnsi="Arial"/>
                <w:sz w:val="16"/>
                <w:szCs w:val="16"/>
                <w:color w:val="auto"/>
              </w:rPr>
              <w:t>(211,054)</w:t>
            </w:r>
          </w:p>
        </w:tc>
        <w:tc>
          <w:tcPr>
            <w:tcW w:w="380" w:type="dxa"/>
            <w:vAlign w:val="bottom"/>
          </w:tcPr>
          <w:p>
            <w:pPr>
              <w:spacing w:after="0"/>
              <w:rPr>
                <w:sz w:val="24"/>
                <w:szCs w:val="24"/>
                <w:color w:val="auto"/>
              </w:rPr>
            </w:pPr>
          </w:p>
        </w:tc>
        <w:tc>
          <w:tcPr>
            <w:tcW w:w="860" w:type="dxa"/>
            <w:vAlign w:val="bottom"/>
          </w:tcPr>
          <w:p>
            <w:pPr>
              <w:jc w:val="right"/>
              <w:ind w:right="79"/>
              <w:spacing w:after="0"/>
              <w:rPr>
                <w:sz w:val="20"/>
                <w:szCs w:val="20"/>
                <w:color w:val="auto"/>
              </w:rPr>
            </w:pPr>
            <w:r>
              <w:rPr>
                <w:rFonts w:ascii="Arial" w:cs="Arial" w:eastAsia="Arial" w:hAnsi="Arial"/>
                <w:sz w:val="16"/>
                <w:szCs w:val="16"/>
                <w:color w:val="auto"/>
              </w:rPr>
              <w:t>84,421</w:t>
            </w:r>
          </w:p>
        </w:tc>
        <w:tc>
          <w:tcPr>
            <w:tcW w:w="32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(126,633)</w:t>
            </w:r>
          </w:p>
        </w:tc>
      </w:tr>
      <w:tr>
        <w:trPr>
          <w:trHeight w:val="270"/>
        </w:trPr>
        <w:tc>
          <w:tcPr>
            <w:tcW w:w="260" w:type="dxa"/>
            <w:vAlign w:val="bottom"/>
          </w:tcPr>
          <w:p>
            <w:pPr>
              <w:spacing w:after="0"/>
              <w:rPr>
                <w:sz w:val="23"/>
                <w:szCs w:val="23"/>
                <w:color w:val="auto"/>
              </w:rPr>
            </w:pPr>
          </w:p>
        </w:tc>
        <w:tc>
          <w:tcPr>
            <w:tcW w:w="940" w:type="dxa"/>
            <w:vAlign w:val="bottom"/>
          </w:tcPr>
          <w:p>
            <w:pPr>
              <w:jc w:val="right"/>
              <w:ind w:right="19"/>
              <w:spacing w:after="0"/>
              <w:rPr>
                <w:sz w:val="20"/>
                <w:szCs w:val="20"/>
                <w:color w:val="auto"/>
              </w:rPr>
            </w:pPr>
            <w:r>
              <w:rPr>
                <w:rFonts w:ascii="Arial" w:cs="Arial" w:eastAsia="Arial" w:hAnsi="Arial"/>
                <w:sz w:val="16"/>
                <w:szCs w:val="16"/>
                <w:color w:val="auto"/>
              </w:rPr>
              <w:t>(9,906)</w:t>
            </w:r>
          </w:p>
        </w:tc>
        <w:tc>
          <w:tcPr>
            <w:tcW w:w="380" w:type="dxa"/>
            <w:vAlign w:val="bottom"/>
          </w:tcPr>
          <w:p>
            <w:pPr>
              <w:spacing w:after="0"/>
              <w:rPr>
                <w:sz w:val="23"/>
                <w:szCs w:val="23"/>
                <w:color w:val="auto"/>
              </w:rPr>
            </w:pPr>
          </w:p>
        </w:tc>
        <w:tc>
          <w:tcPr>
            <w:tcW w:w="860" w:type="dxa"/>
            <w:vAlign w:val="bottom"/>
          </w:tcPr>
          <w:p>
            <w:pPr>
              <w:jc w:val="right"/>
              <w:ind w:right="79"/>
              <w:spacing w:after="0"/>
              <w:rPr>
                <w:sz w:val="20"/>
                <w:szCs w:val="20"/>
                <w:color w:val="auto"/>
              </w:rPr>
            </w:pPr>
            <w:r>
              <w:rPr>
                <w:rFonts w:ascii="Arial" w:cs="Arial" w:eastAsia="Arial" w:hAnsi="Arial"/>
                <w:sz w:val="16"/>
                <w:szCs w:val="16"/>
                <w:color w:val="auto"/>
              </w:rPr>
              <w:t>3,962</w:t>
            </w:r>
          </w:p>
        </w:tc>
        <w:tc>
          <w:tcPr>
            <w:tcW w:w="320" w:type="dxa"/>
            <w:vAlign w:val="bottom"/>
          </w:tcPr>
          <w:p>
            <w:pPr>
              <w:spacing w:after="0"/>
              <w:rPr>
                <w:sz w:val="23"/>
                <w:szCs w:val="23"/>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(5,944)</w:t>
            </w:r>
          </w:p>
        </w:tc>
      </w:tr>
      <w:tr>
        <w:trPr>
          <w:trHeight w:val="270"/>
        </w:trPr>
        <w:tc>
          <w:tcPr>
            <w:tcW w:w="260" w:type="dxa"/>
            <w:vAlign w:val="bottom"/>
          </w:tcPr>
          <w:p>
            <w:pPr>
              <w:spacing w:after="0"/>
              <w:rPr>
                <w:sz w:val="23"/>
                <w:szCs w:val="23"/>
                <w:color w:val="auto"/>
              </w:rPr>
            </w:pPr>
          </w:p>
        </w:tc>
        <w:tc>
          <w:tcPr>
            <w:tcW w:w="940" w:type="dxa"/>
            <w:vAlign w:val="bottom"/>
          </w:tcPr>
          <w:p>
            <w:pPr>
              <w:jc w:val="right"/>
              <w:ind w:right="79"/>
              <w:spacing w:after="0"/>
              <w:rPr>
                <w:sz w:val="20"/>
                <w:szCs w:val="20"/>
                <w:color w:val="auto"/>
              </w:rPr>
            </w:pPr>
            <w:r>
              <w:rPr>
                <w:rFonts w:ascii="Arial" w:cs="Arial" w:eastAsia="Arial" w:hAnsi="Arial"/>
                <w:sz w:val="16"/>
                <w:szCs w:val="16"/>
                <w:color w:val="auto"/>
              </w:rPr>
              <w:t>275</w:t>
            </w:r>
          </w:p>
        </w:tc>
        <w:tc>
          <w:tcPr>
            <w:tcW w:w="380" w:type="dxa"/>
            <w:vAlign w:val="bottom"/>
          </w:tcPr>
          <w:p>
            <w:pPr>
              <w:spacing w:after="0"/>
              <w:rPr>
                <w:sz w:val="23"/>
                <w:szCs w:val="23"/>
                <w:color w:val="auto"/>
              </w:rPr>
            </w:pPr>
          </w:p>
        </w:tc>
        <w:tc>
          <w:tcPr>
            <w:tcW w:w="860" w:type="dxa"/>
            <w:vAlign w:val="bottom"/>
          </w:tcPr>
          <w:p>
            <w:pPr>
              <w:jc w:val="right"/>
              <w:ind w:right="19"/>
              <w:spacing w:after="0"/>
              <w:rPr>
                <w:sz w:val="20"/>
                <w:szCs w:val="20"/>
                <w:color w:val="auto"/>
              </w:rPr>
            </w:pPr>
            <w:r>
              <w:rPr>
                <w:rFonts w:ascii="Arial" w:cs="Arial" w:eastAsia="Arial" w:hAnsi="Arial"/>
                <w:sz w:val="16"/>
                <w:szCs w:val="16"/>
                <w:color w:val="auto"/>
              </w:rPr>
              <w:t>(110)</w:t>
            </w:r>
          </w:p>
        </w:tc>
        <w:tc>
          <w:tcPr>
            <w:tcW w:w="320" w:type="dxa"/>
            <w:vAlign w:val="bottom"/>
          </w:tcPr>
          <w:p>
            <w:pPr>
              <w:spacing w:after="0"/>
              <w:rPr>
                <w:sz w:val="23"/>
                <w:szCs w:val="23"/>
                <w:color w:val="auto"/>
              </w:rPr>
            </w:pPr>
          </w:p>
        </w:tc>
        <w:tc>
          <w:tcPr>
            <w:tcW w:w="880" w:type="dxa"/>
            <w:vAlign w:val="bottom"/>
          </w:tcPr>
          <w:p>
            <w:pPr>
              <w:jc w:val="right"/>
              <w:ind w:right="19"/>
              <w:spacing w:after="0"/>
              <w:rPr>
                <w:sz w:val="20"/>
                <w:szCs w:val="20"/>
                <w:color w:val="auto"/>
              </w:rPr>
            </w:pPr>
            <w:r>
              <w:rPr>
                <w:rFonts w:ascii="Arial" w:cs="Arial" w:eastAsia="Arial" w:hAnsi="Arial"/>
                <w:sz w:val="16"/>
                <w:szCs w:val="16"/>
                <w:color w:val="auto"/>
              </w:rPr>
              <w:t>165</w:t>
            </w:r>
          </w:p>
        </w:tc>
      </w:tr>
      <w:tr>
        <w:trPr>
          <w:trHeight w:val="270"/>
        </w:trPr>
        <w:tc>
          <w:tcPr>
            <w:tcW w:w="260" w:type="dxa"/>
            <w:vAlign w:val="bottom"/>
          </w:tcPr>
          <w:p>
            <w:pPr>
              <w:spacing w:after="0"/>
              <w:rPr>
                <w:sz w:val="23"/>
                <w:szCs w:val="23"/>
                <w:color w:val="auto"/>
              </w:rPr>
            </w:pPr>
          </w:p>
        </w:tc>
        <w:tc>
          <w:tcPr>
            <w:tcW w:w="940" w:type="dxa"/>
            <w:vAlign w:val="bottom"/>
          </w:tcPr>
          <w:p>
            <w:pPr>
              <w:jc w:val="right"/>
              <w:ind w:right="79"/>
              <w:spacing w:after="0"/>
              <w:rPr>
                <w:sz w:val="20"/>
                <w:szCs w:val="20"/>
                <w:color w:val="auto"/>
              </w:rPr>
            </w:pPr>
            <w:r>
              <w:rPr>
                <w:rFonts w:ascii="Arial" w:cs="Arial" w:eastAsia="Arial" w:hAnsi="Arial"/>
                <w:sz w:val="16"/>
                <w:szCs w:val="16"/>
                <w:color w:val="auto"/>
              </w:rPr>
              <w:t>51</w:t>
            </w:r>
          </w:p>
        </w:tc>
        <w:tc>
          <w:tcPr>
            <w:tcW w:w="380" w:type="dxa"/>
            <w:vAlign w:val="bottom"/>
          </w:tcPr>
          <w:p>
            <w:pPr>
              <w:spacing w:after="0"/>
              <w:rPr>
                <w:sz w:val="23"/>
                <w:szCs w:val="23"/>
                <w:color w:val="auto"/>
              </w:rPr>
            </w:pPr>
          </w:p>
        </w:tc>
        <w:tc>
          <w:tcPr>
            <w:tcW w:w="860" w:type="dxa"/>
            <w:vAlign w:val="bottom"/>
          </w:tcPr>
          <w:p>
            <w:pPr>
              <w:jc w:val="right"/>
              <w:ind w:right="19"/>
              <w:spacing w:after="0"/>
              <w:rPr>
                <w:sz w:val="20"/>
                <w:szCs w:val="20"/>
                <w:color w:val="auto"/>
              </w:rPr>
            </w:pPr>
            <w:r>
              <w:rPr>
                <w:rFonts w:ascii="Arial" w:cs="Arial" w:eastAsia="Arial" w:hAnsi="Arial"/>
                <w:sz w:val="16"/>
                <w:szCs w:val="16"/>
                <w:color w:val="auto"/>
              </w:rPr>
              <w:t>(21)</w:t>
            </w:r>
          </w:p>
        </w:tc>
        <w:tc>
          <w:tcPr>
            <w:tcW w:w="320" w:type="dxa"/>
            <w:vAlign w:val="bottom"/>
          </w:tcPr>
          <w:p>
            <w:pPr>
              <w:spacing w:after="0"/>
              <w:rPr>
                <w:sz w:val="23"/>
                <w:szCs w:val="23"/>
                <w:color w:val="auto"/>
              </w:rPr>
            </w:pPr>
          </w:p>
        </w:tc>
        <w:tc>
          <w:tcPr>
            <w:tcW w:w="880" w:type="dxa"/>
            <w:vAlign w:val="bottom"/>
          </w:tcPr>
          <w:p>
            <w:pPr>
              <w:jc w:val="right"/>
              <w:ind w:right="19"/>
              <w:spacing w:after="0"/>
              <w:rPr>
                <w:sz w:val="20"/>
                <w:szCs w:val="20"/>
                <w:color w:val="auto"/>
              </w:rPr>
            </w:pPr>
            <w:r>
              <w:rPr>
                <w:rFonts w:ascii="Arial" w:cs="Arial" w:eastAsia="Arial" w:hAnsi="Arial"/>
                <w:sz w:val="16"/>
                <w:szCs w:val="16"/>
                <w:color w:val="auto"/>
              </w:rPr>
              <w:t>30</w:t>
            </w:r>
          </w:p>
        </w:tc>
      </w:tr>
      <w:tr>
        <w:trPr>
          <w:trHeight w:val="283"/>
        </w:trPr>
        <w:tc>
          <w:tcPr>
            <w:tcW w:w="26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834</w:t>
            </w:r>
          </w:p>
        </w:tc>
        <w:tc>
          <w:tcPr>
            <w:tcW w:w="38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(333)</w:t>
            </w:r>
          </w:p>
        </w:tc>
        <w:tc>
          <w:tcPr>
            <w:tcW w:w="32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501</w:t>
            </w:r>
          </w:p>
        </w:tc>
      </w:tr>
      <w:tr>
        <w:trPr>
          <w:trHeight w:val="264"/>
        </w:trPr>
        <w:tc>
          <w:tcPr>
            <w:tcW w:w="26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(219,800)</w:t>
            </w:r>
          </w:p>
        </w:tc>
        <w:tc>
          <w:tcPr>
            <w:tcW w:w="38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87,919</w:t>
            </w:r>
          </w:p>
        </w:tc>
        <w:tc>
          <w:tcPr>
            <w:tcW w:w="32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(131,881)</w:t>
            </w:r>
          </w:p>
        </w:tc>
      </w:tr>
      <w:tr>
        <w:trPr>
          <w:trHeight w:val="534"/>
        </w:trPr>
        <w:tc>
          <w:tcPr>
            <w:tcW w:w="26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179</w:t>
            </w:r>
          </w:p>
        </w:tc>
        <w:tc>
          <w:tcPr>
            <w:tcW w:w="38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(71)</w:t>
            </w:r>
          </w:p>
        </w:tc>
        <w:tc>
          <w:tcPr>
            <w:tcW w:w="32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108</w:t>
            </w:r>
          </w:p>
        </w:tc>
      </w:tr>
      <w:tr>
        <w:trPr>
          <w:trHeight w:val="264"/>
        </w:trPr>
        <w:tc>
          <w:tcPr>
            <w:tcW w:w="26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w:t>
            </w:r>
          </w:p>
        </w:tc>
        <w:tc>
          <w:tcPr>
            <w:tcW w:w="94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(222,402)</w:t>
            </w:r>
          </w:p>
        </w:tc>
        <w:tc>
          <w:tcPr>
            <w:tcW w:w="38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rPr>
              <w:t>$</w:t>
            </w:r>
          </w:p>
        </w:tc>
        <w:tc>
          <w:tcPr>
            <w:tcW w:w="86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83,602</w:t>
            </w:r>
          </w:p>
        </w:tc>
        <w:tc>
          <w:tcPr>
            <w:tcW w:w="32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(138,800)</w:t>
            </w:r>
          </w:p>
        </w:tc>
      </w:tr>
      <w:tr>
        <w:trPr>
          <w:trHeight w:val="20"/>
        </w:trPr>
        <w:tc>
          <w:tcPr>
            <w:tcW w:w="2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sectPr>
          <w:pgSz w:w="11900" w:h="16838" w:orient="portrait"/>
          <w:cols w:equalWidth="0" w:num="2">
            <w:col w:w="7740" w:space="40"/>
            <w:col w:w="3640"/>
          </w:cols>
          <w:pgMar w:left="240" w:top="982" w:right="239" w:bottom="1440" w:gutter="0" w:footer="0" w:header="0"/>
          <w:type w:val="continuous"/>
        </w:sectPr>
      </w:pPr>
    </w:p>
    <w:p>
      <w:pPr>
        <w:spacing w:after="0"/>
        <w:rPr>
          <w:sz w:val="20"/>
          <w:szCs w:val="20"/>
          <w:color w:val="auto"/>
        </w:rPr>
      </w:pPr>
      <w:r>
        <w:rPr>
          <w:rFonts w:ascii="Arial" w:cs="Arial" w:eastAsia="Arial" w:hAnsi="Arial"/>
          <w:sz w:val="18"/>
          <w:szCs w:val="18"/>
          <w:color w:val="auto"/>
        </w:rPr>
        <w:t>The accumulated balances related to each component of other comprehensive income (loss) are as follows:</w:t>
      </w:r>
    </w:p>
    <w:p>
      <w:pPr>
        <w:spacing w:after="0" w:line="145"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43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60" w:type="dxa"/>
            <w:vAlign w:val="bottom"/>
          </w:tcPr>
          <w:p>
            <w:pPr>
              <w:jc w:val="center"/>
              <w:ind w:right="142"/>
              <w:spacing w:after="0"/>
              <w:rPr>
                <w:sz w:val="20"/>
                <w:szCs w:val="20"/>
                <w:color w:val="auto"/>
              </w:rPr>
            </w:pPr>
            <w:r>
              <w:rPr>
                <w:rFonts w:ascii="Arial" w:cs="Arial" w:eastAsia="Arial" w:hAnsi="Arial"/>
                <w:sz w:val="14"/>
                <w:szCs w:val="14"/>
                <w:b w:val="1"/>
                <w:bCs w:val="1"/>
                <w:color w:val="auto"/>
              </w:rPr>
              <w:t>Cumulative</w:t>
            </w:r>
          </w:p>
        </w:tc>
        <w:tc>
          <w:tcPr>
            <w:tcW w:w="2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360" w:type="dxa"/>
            <w:vAlign w:val="bottom"/>
          </w:tcPr>
          <w:p>
            <w:pPr>
              <w:jc w:val="center"/>
              <w:ind w:right="102"/>
              <w:spacing w:after="0"/>
              <w:rPr>
                <w:sz w:val="20"/>
                <w:szCs w:val="20"/>
                <w:color w:val="auto"/>
              </w:rPr>
            </w:pPr>
            <w:r>
              <w:rPr>
                <w:rFonts w:ascii="Arial" w:cs="Arial" w:eastAsia="Arial" w:hAnsi="Arial"/>
                <w:sz w:val="14"/>
                <w:szCs w:val="14"/>
                <w:b w:val="1"/>
                <w:bCs w:val="1"/>
                <w:color w:val="auto"/>
              </w:rPr>
              <w:t>Unrealized Gain</w:t>
            </w:r>
          </w:p>
        </w:tc>
        <w:tc>
          <w:tcPr>
            <w:tcW w:w="2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320" w:type="dxa"/>
            <w:vAlign w:val="bottom"/>
          </w:tcPr>
          <w:p>
            <w:pPr>
              <w:spacing w:after="0"/>
              <w:rPr>
                <w:sz w:val="14"/>
                <w:szCs w:val="14"/>
                <w:color w:val="auto"/>
              </w:rPr>
            </w:pPr>
          </w:p>
        </w:tc>
      </w:tr>
      <w:tr>
        <w:trPr>
          <w:trHeight w:val="162"/>
        </w:trPr>
        <w:tc>
          <w:tcPr>
            <w:tcW w:w="43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60" w:type="dxa"/>
            <w:vAlign w:val="bottom"/>
          </w:tcPr>
          <w:p>
            <w:pPr>
              <w:jc w:val="center"/>
              <w:ind w:right="162"/>
              <w:spacing w:after="0"/>
              <w:rPr>
                <w:sz w:val="20"/>
                <w:szCs w:val="20"/>
                <w:color w:val="auto"/>
              </w:rPr>
            </w:pPr>
            <w:r>
              <w:rPr>
                <w:rFonts w:ascii="Arial" w:cs="Arial" w:eastAsia="Arial" w:hAnsi="Arial"/>
                <w:sz w:val="14"/>
                <w:szCs w:val="14"/>
                <w:b w:val="1"/>
                <w:bCs w:val="1"/>
                <w:color w:val="auto"/>
              </w:rPr>
              <w:t>Foreign</w:t>
            </w:r>
          </w:p>
        </w:tc>
        <w:tc>
          <w:tcPr>
            <w:tcW w:w="2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360" w:type="dxa"/>
            <w:vAlign w:val="bottom"/>
          </w:tcPr>
          <w:p>
            <w:pPr>
              <w:jc w:val="center"/>
              <w:ind w:right="102"/>
              <w:spacing w:after="0"/>
              <w:rPr>
                <w:sz w:val="20"/>
                <w:szCs w:val="20"/>
                <w:color w:val="auto"/>
              </w:rPr>
            </w:pPr>
            <w:r>
              <w:rPr>
                <w:rFonts w:ascii="Arial" w:cs="Arial" w:eastAsia="Arial" w:hAnsi="Arial"/>
                <w:sz w:val="14"/>
                <w:szCs w:val="14"/>
                <w:b w:val="1"/>
                <w:bCs w:val="1"/>
                <w:color w:val="auto"/>
              </w:rPr>
              <w:t>on Pensions</w:t>
            </w:r>
          </w:p>
        </w:tc>
        <w:tc>
          <w:tcPr>
            <w:tcW w:w="2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320" w:type="dxa"/>
            <w:vAlign w:val="bottom"/>
          </w:tcPr>
          <w:p>
            <w:pPr>
              <w:jc w:val="center"/>
              <w:ind w:right="62"/>
              <w:spacing w:after="0"/>
              <w:rPr>
                <w:sz w:val="20"/>
                <w:szCs w:val="20"/>
                <w:color w:val="auto"/>
              </w:rPr>
            </w:pPr>
            <w:r>
              <w:rPr>
                <w:rFonts w:ascii="Arial" w:cs="Arial" w:eastAsia="Arial" w:hAnsi="Arial"/>
                <w:sz w:val="14"/>
                <w:szCs w:val="14"/>
                <w:b w:val="1"/>
                <w:bCs w:val="1"/>
                <w:color w:val="auto"/>
              </w:rPr>
              <w:t>Accumulated</w:t>
            </w:r>
          </w:p>
        </w:tc>
      </w:tr>
      <w:tr>
        <w:trPr>
          <w:trHeight w:val="162"/>
        </w:trPr>
        <w:tc>
          <w:tcPr>
            <w:tcW w:w="43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60" w:type="dxa"/>
            <w:vAlign w:val="bottom"/>
          </w:tcPr>
          <w:p>
            <w:pPr>
              <w:jc w:val="center"/>
              <w:ind w:right="162"/>
              <w:spacing w:after="0"/>
              <w:rPr>
                <w:sz w:val="20"/>
                <w:szCs w:val="20"/>
                <w:color w:val="auto"/>
              </w:rPr>
            </w:pPr>
            <w:r>
              <w:rPr>
                <w:rFonts w:ascii="Arial" w:cs="Arial" w:eastAsia="Arial" w:hAnsi="Arial"/>
                <w:sz w:val="14"/>
                <w:szCs w:val="14"/>
                <w:b w:val="1"/>
                <w:bCs w:val="1"/>
                <w:color w:val="auto"/>
              </w:rPr>
              <w:t>Currency</w:t>
            </w:r>
          </w:p>
        </w:tc>
        <w:tc>
          <w:tcPr>
            <w:tcW w:w="220" w:type="dxa"/>
            <w:vAlign w:val="bottom"/>
          </w:tcPr>
          <w:p>
            <w:pPr>
              <w:spacing w:after="0"/>
              <w:rPr>
                <w:sz w:val="14"/>
                <w:szCs w:val="14"/>
                <w:color w:val="auto"/>
              </w:rPr>
            </w:pPr>
          </w:p>
        </w:tc>
        <w:tc>
          <w:tcPr>
            <w:tcW w:w="1340" w:type="dxa"/>
            <w:vAlign w:val="bottom"/>
          </w:tcPr>
          <w:p>
            <w:pPr>
              <w:jc w:val="center"/>
              <w:ind w:right="81"/>
              <w:spacing w:after="0"/>
              <w:rPr>
                <w:sz w:val="20"/>
                <w:szCs w:val="20"/>
                <w:color w:val="auto"/>
              </w:rPr>
            </w:pPr>
            <w:r>
              <w:rPr>
                <w:rFonts w:ascii="Arial" w:cs="Arial" w:eastAsia="Arial" w:hAnsi="Arial"/>
                <w:sz w:val="14"/>
                <w:szCs w:val="14"/>
                <w:b w:val="1"/>
                <w:bCs w:val="1"/>
                <w:color w:val="auto"/>
              </w:rPr>
              <w:t>Unrealized Gain</w:t>
            </w:r>
          </w:p>
        </w:tc>
        <w:tc>
          <w:tcPr>
            <w:tcW w:w="240" w:type="dxa"/>
            <w:vAlign w:val="bottom"/>
          </w:tcPr>
          <w:p>
            <w:pPr>
              <w:spacing w:after="0"/>
              <w:rPr>
                <w:sz w:val="14"/>
                <w:szCs w:val="14"/>
                <w:color w:val="auto"/>
              </w:rPr>
            </w:pPr>
          </w:p>
        </w:tc>
        <w:tc>
          <w:tcPr>
            <w:tcW w:w="1360" w:type="dxa"/>
            <w:vAlign w:val="bottom"/>
          </w:tcPr>
          <w:p>
            <w:pPr>
              <w:jc w:val="center"/>
              <w:ind w:right="82"/>
              <w:spacing w:after="0"/>
              <w:rPr>
                <w:sz w:val="20"/>
                <w:szCs w:val="20"/>
                <w:color w:val="auto"/>
              </w:rPr>
            </w:pPr>
            <w:r>
              <w:rPr>
                <w:rFonts w:ascii="Arial" w:cs="Arial" w:eastAsia="Arial" w:hAnsi="Arial"/>
                <w:sz w:val="14"/>
                <w:szCs w:val="14"/>
                <w:b w:val="1"/>
                <w:bCs w:val="1"/>
                <w:color w:val="auto"/>
              </w:rPr>
              <w:t>and Other</w:t>
            </w:r>
          </w:p>
        </w:tc>
        <w:tc>
          <w:tcPr>
            <w:tcW w:w="2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320" w:type="dxa"/>
            <w:vAlign w:val="bottom"/>
          </w:tcPr>
          <w:p>
            <w:pPr>
              <w:jc w:val="center"/>
              <w:ind w:right="62"/>
              <w:spacing w:after="0"/>
              <w:rPr>
                <w:sz w:val="20"/>
                <w:szCs w:val="20"/>
                <w:color w:val="auto"/>
              </w:rPr>
            </w:pPr>
            <w:r>
              <w:rPr>
                <w:rFonts w:ascii="Arial" w:cs="Arial" w:eastAsia="Arial" w:hAnsi="Arial"/>
                <w:sz w:val="14"/>
                <w:szCs w:val="14"/>
                <w:b w:val="1"/>
                <w:bCs w:val="1"/>
                <w:color w:val="auto"/>
              </w:rPr>
              <w:t>Other</w:t>
            </w:r>
          </w:p>
        </w:tc>
      </w:tr>
      <w:tr>
        <w:trPr>
          <w:trHeight w:val="162"/>
        </w:trPr>
        <w:tc>
          <w:tcPr>
            <w:tcW w:w="43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60" w:type="dxa"/>
            <w:vAlign w:val="bottom"/>
          </w:tcPr>
          <w:p>
            <w:pPr>
              <w:jc w:val="center"/>
              <w:ind w:right="162"/>
              <w:spacing w:after="0"/>
              <w:rPr>
                <w:sz w:val="20"/>
                <w:szCs w:val="20"/>
                <w:color w:val="auto"/>
              </w:rPr>
            </w:pPr>
            <w:r>
              <w:rPr>
                <w:rFonts w:ascii="Arial" w:cs="Arial" w:eastAsia="Arial" w:hAnsi="Arial"/>
                <w:sz w:val="14"/>
                <w:szCs w:val="14"/>
                <w:b w:val="1"/>
                <w:bCs w:val="1"/>
                <w:color w:val="auto"/>
              </w:rPr>
              <w:t>Translation</w:t>
            </w:r>
          </w:p>
        </w:tc>
        <w:tc>
          <w:tcPr>
            <w:tcW w:w="220" w:type="dxa"/>
            <w:vAlign w:val="bottom"/>
          </w:tcPr>
          <w:p>
            <w:pPr>
              <w:spacing w:after="0"/>
              <w:rPr>
                <w:sz w:val="14"/>
                <w:szCs w:val="14"/>
                <w:color w:val="auto"/>
              </w:rPr>
            </w:pPr>
          </w:p>
        </w:tc>
        <w:tc>
          <w:tcPr>
            <w:tcW w:w="1340" w:type="dxa"/>
            <w:vAlign w:val="bottom"/>
          </w:tcPr>
          <w:p>
            <w:pPr>
              <w:jc w:val="center"/>
              <w:ind w:right="81"/>
              <w:spacing w:after="0"/>
              <w:rPr>
                <w:sz w:val="20"/>
                <w:szCs w:val="20"/>
                <w:color w:val="auto"/>
              </w:rPr>
            </w:pPr>
            <w:r>
              <w:rPr>
                <w:rFonts w:ascii="Arial" w:cs="Arial" w:eastAsia="Arial" w:hAnsi="Arial"/>
                <w:sz w:val="14"/>
                <w:szCs w:val="14"/>
                <w:b w:val="1"/>
                <w:bCs w:val="1"/>
                <w:color w:val="auto"/>
              </w:rPr>
              <w:t>on Available-for-</w:t>
            </w:r>
          </w:p>
        </w:tc>
        <w:tc>
          <w:tcPr>
            <w:tcW w:w="240" w:type="dxa"/>
            <w:vAlign w:val="bottom"/>
          </w:tcPr>
          <w:p>
            <w:pPr>
              <w:spacing w:after="0"/>
              <w:rPr>
                <w:sz w:val="14"/>
                <w:szCs w:val="14"/>
                <w:color w:val="auto"/>
              </w:rPr>
            </w:pPr>
          </w:p>
        </w:tc>
        <w:tc>
          <w:tcPr>
            <w:tcW w:w="1360" w:type="dxa"/>
            <w:vAlign w:val="bottom"/>
          </w:tcPr>
          <w:p>
            <w:pPr>
              <w:jc w:val="center"/>
              <w:ind w:right="102"/>
              <w:spacing w:after="0"/>
              <w:rPr>
                <w:sz w:val="20"/>
                <w:szCs w:val="20"/>
                <w:color w:val="auto"/>
              </w:rPr>
            </w:pPr>
            <w:r>
              <w:rPr>
                <w:rFonts w:ascii="Arial" w:cs="Arial" w:eastAsia="Arial" w:hAnsi="Arial"/>
                <w:sz w:val="14"/>
                <w:szCs w:val="14"/>
                <w:b w:val="1"/>
                <w:bCs w:val="1"/>
                <w:color w:val="auto"/>
              </w:rPr>
              <w:t>Postretirement</w:t>
            </w:r>
          </w:p>
        </w:tc>
        <w:tc>
          <w:tcPr>
            <w:tcW w:w="1020" w:type="dxa"/>
            <w:vAlign w:val="bottom"/>
            <w:gridSpan w:val="2"/>
          </w:tcPr>
          <w:p>
            <w:pPr>
              <w:jc w:val="right"/>
              <w:ind w:right="60"/>
              <w:spacing w:after="0"/>
              <w:rPr>
                <w:sz w:val="20"/>
                <w:szCs w:val="20"/>
                <w:color w:val="auto"/>
              </w:rPr>
            </w:pPr>
            <w:r>
              <w:rPr>
                <w:rFonts w:ascii="Arial" w:cs="Arial" w:eastAsia="Arial" w:hAnsi="Arial"/>
                <w:sz w:val="14"/>
                <w:szCs w:val="14"/>
                <w:b w:val="1"/>
                <w:bCs w:val="1"/>
                <w:color w:val="auto"/>
              </w:rPr>
              <w:t>Cash Flow</w:t>
            </w:r>
          </w:p>
        </w:tc>
        <w:tc>
          <w:tcPr>
            <w:tcW w:w="220" w:type="dxa"/>
            <w:vAlign w:val="bottom"/>
          </w:tcPr>
          <w:p>
            <w:pPr>
              <w:spacing w:after="0"/>
              <w:rPr>
                <w:sz w:val="14"/>
                <w:szCs w:val="14"/>
                <w:color w:val="auto"/>
              </w:rPr>
            </w:pPr>
          </w:p>
        </w:tc>
        <w:tc>
          <w:tcPr>
            <w:tcW w:w="1320" w:type="dxa"/>
            <w:vAlign w:val="bottom"/>
          </w:tcPr>
          <w:p>
            <w:pPr>
              <w:jc w:val="center"/>
              <w:ind w:right="82"/>
              <w:spacing w:after="0"/>
              <w:rPr>
                <w:sz w:val="20"/>
                <w:szCs w:val="20"/>
                <w:color w:val="auto"/>
              </w:rPr>
            </w:pPr>
            <w:r>
              <w:rPr>
                <w:rFonts w:ascii="Arial" w:cs="Arial" w:eastAsia="Arial" w:hAnsi="Arial"/>
                <w:sz w:val="14"/>
                <w:szCs w:val="14"/>
                <w:b w:val="1"/>
                <w:bCs w:val="1"/>
                <w:color w:val="auto"/>
              </w:rPr>
              <w:t>Comprehensive</w:t>
            </w:r>
          </w:p>
        </w:tc>
      </w:tr>
      <w:tr>
        <w:trPr>
          <w:trHeight w:val="196"/>
        </w:trPr>
        <w:tc>
          <w:tcPr>
            <w:tcW w:w="436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(in thousands, net of taxes)</w:t>
            </w:r>
          </w:p>
        </w:tc>
        <w:tc>
          <w:tcPr>
            <w:tcW w:w="18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center"/>
              <w:ind w:right="162"/>
              <w:spacing w:after="0"/>
              <w:rPr>
                <w:sz w:val="20"/>
                <w:szCs w:val="20"/>
                <w:color w:val="auto"/>
              </w:rPr>
            </w:pPr>
            <w:r>
              <w:rPr>
                <w:rFonts w:ascii="Arial" w:cs="Arial" w:eastAsia="Arial" w:hAnsi="Arial"/>
                <w:sz w:val="14"/>
                <w:szCs w:val="14"/>
                <w:b w:val="1"/>
                <w:bCs w:val="1"/>
                <w:color w:val="auto"/>
              </w:rPr>
              <w:t>Adjustment</w:t>
            </w:r>
          </w:p>
        </w:tc>
        <w:tc>
          <w:tcPr>
            <w:tcW w:w="220" w:type="dxa"/>
            <w:vAlign w:val="bottom"/>
            <w:tcBorders>
              <w:bottom w:val="single" w:sz="8" w:color="auto"/>
            </w:tcBorders>
          </w:tcPr>
          <w:p>
            <w:pPr>
              <w:spacing w:after="0"/>
              <w:rPr>
                <w:sz w:val="17"/>
                <w:szCs w:val="17"/>
                <w:color w:val="auto"/>
              </w:rPr>
            </w:pPr>
          </w:p>
        </w:tc>
        <w:tc>
          <w:tcPr>
            <w:tcW w:w="1340" w:type="dxa"/>
            <w:vAlign w:val="bottom"/>
            <w:tcBorders>
              <w:bottom w:val="single" w:sz="8" w:color="auto"/>
            </w:tcBorders>
          </w:tcPr>
          <w:p>
            <w:pPr>
              <w:jc w:val="center"/>
              <w:ind w:right="81"/>
              <w:spacing w:after="0"/>
              <w:rPr>
                <w:sz w:val="20"/>
                <w:szCs w:val="20"/>
                <w:color w:val="auto"/>
              </w:rPr>
            </w:pPr>
            <w:r>
              <w:rPr>
                <w:rFonts w:ascii="Arial" w:cs="Arial" w:eastAsia="Arial" w:hAnsi="Arial"/>
                <w:sz w:val="14"/>
                <w:szCs w:val="14"/>
                <w:b w:val="1"/>
                <w:bCs w:val="1"/>
                <w:color w:val="auto"/>
              </w:rPr>
              <w:t>Sale Securities</w:t>
            </w:r>
          </w:p>
        </w:tc>
        <w:tc>
          <w:tcPr>
            <w:tcW w:w="240" w:type="dxa"/>
            <w:vAlign w:val="bottom"/>
            <w:tcBorders>
              <w:bottom w:val="single" w:sz="8" w:color="auto"/>
            </w:tcBorders>
          </w:tcPr>
          <w:p>
            <w:pPr>
              <w:spacing w:after="0"/>
              <w:rPr>
                <w:sz w:val="17"/>
                <w:szCs w:val="17"/>
                <w:color w:val="auto"/>
              </w:rPr>
            </w:pPr>
          </w:p>
        </w:tc>
        <w:tc>
          <w:tcPr>
            <w:tcW w:w="1360" w:type="dxa"/>
            <w:vAlign w:val="bottom"/>
            <w:tcBorders>
              <w:bottom w:val="single" w:sz="8" w:color="auto"/>
            </w:tcBorders>
          </w:tcPr>
          <w:p>
            <w:pPr>
              <w:jc w:val="center"/>
              <w:ind w:right="102"/>
              <w:spacing w:after="0"/>
              <w:rPr>
                <w:sz w:val="20"/>
                <w:szCs w:val="20"/>
                <w:color w:val="auto"/>
              </w:rPr>
            </w:pPr>
            <w:r>
              <w:rPr>
                <w:rFonts w:ascii="Arial" w:cs="Arial" w:eastAsia="Arial" w:hAnsi="Arial"/>
                <w:sz w:val="14"/>
                <w:szCs w:val="14"/>
                <w:b w:val="1"/>
                <w:bCs w:val="1"/>
                <w:color w:val="auto"/>
              </w:rPr>
              <w:t>Plans</w:t>
            </w:r>
          </w:p>
        </w:tc>
        <w:tc>
          <w:tcPr>
            <w:tcW w:w="24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right"/>
              <w:ind w:right="200"/>
              <w:spacing w:after="0"/>
              <w:rPr>
                <w:sz w:val="20"/>
                <w:szCs w:val="20"/>
                <w:color w:val="auto"/>
              </w:rPr>
            </w:pPr>
            <w:r>
              <w:rPr>
                <w:rFonts w:ascii="Arial" w:cs="Arial" w:eastAsia="Arial" w:hAnsi="Arial"/>
                <w:sz w:val="14"/>
                <w:szCs w:val="14"/>
                <w:b w:val="1"/>
                <w:bCs w:val="1"/>
                <w:color w:val="auto"/>
              </w:rPr>
              <w:t>Hedge</w:t>
            </w:r>
          </w:p>
        </w:tc>
        <w:tc>
          <w:tcPr>
            <w:tcW w:w="220" w:type="dxa"/>
            <w:vAlign w:val="bottom"/>
            <w:tcBorders>
              <w:bottom w:val="single" w:sz="8" w:color="auto"/>
            </w:tcBorders>
          </w:tcPr>
          <w:p>
            <w:pPr>
              <w:spacing w:after="0"/>
              <w:rPr>
                <w:sz w:val="17"/>
                <w:szCs w:val="17"/>
                <w:color w:val="auto"/>
              </w:rPr>
            </w:pPr>
          </w:p>
        </w:tc>
        <w:tc>
          <w:tcPr>
            <w:tcW w:w="1320" w:type="dxa"/>
            <w:vAlign w:val="bottom"/>
            <w:tcBorders>
              <w:bottom w:val="single" w:sz="8" w:color="auto"/>
            </w:tcBorders>
          </w:tcPr>
          <w:p>
            <w:pPr>
              <w:jc w:val="center"/>
              <w:ind w:right="62"/>
              <w:spacing w:after="0"/>
              <w:rPr>
                <w:sz w:val="20"/>
                <w:szCs w:val="20"/>
                <w:color w:val="auto"/>
              </w:rPr>
            </w:pPr>
            <w:r>
              <w:rPr>
                <w:rFonts w:ascii="Arial" w:cs="Arial" w:eastAsia="Arial" w:hAnsi="Arial"/>
                <w:sz w:val="14"/>
                <w:szCs w:val="14"/>
                <w:b w:val="1"/>
                <w:bCs w:val="1"/>
                <w:color w:val="auto"/>
              </w:rPr>
              <w:t>Income</w:t>
            </w:r>
          </w:p>
        </w:tc>
      </w:tr>
      <w:tr>
        <w:trPr>
          <w:trHeight w:val="250"/>
        </w:trPr>
        <w:tc>
          <w:tcPr>
            <w:tcW w:w="4360" w:type="dxa"/>
            <w:vAlign w:val="bottom"/>
          </w:tcPr>
          <w:p>
            <w:pPr>
              <w:ind w:left="40"/>
              <w:spacing w:after="0"/>
              <w:rPr>
                <w:sz w:val="20"/>
                <w:szCs w:val="20"/>
                <w:color w:val="auto"/>
              </w:rPr>
            </w:pPr>
            <w:r>
              <w:rPr>
                <w:rFonts w:ascii="Arial" w:cs="Arial" w:eastAsia="Arial" w:hAnsi="Arial"/>
                <w:sz w:val="16"/>
                <w:szCs w:val="16"/>
                <w:color w:val="auto"/>
              </w:rPr>
              <w:t>As of December 31, 2015</w:t>
            </w:r>
          </w:p>
        </w:tc>
        <w:tc>
          <w:tcPr>
            <w:tcW w:w="180" w:type="dxa"/>
            <w:vAlign w:val="bottom"/>
          </w:tcPr>
          <w:p>
            <w:pPr>
              <w:jc w:val="right"/>
              <w:spacing w:after="0"/>
              <w:rPr>
                <w:sz w:val="20"/>
                <w:szCs w:val="20"/>
                <w:color w:val="auto"/>
              </w:rPr>
            </w:pPr>
            <w:r>
              <w:rPr>
                <w:rFonts w:ascii="Arial" w:cs="Arial" w:eastAsia="Arial" w:hAnsi="Arial"/>
                <w:sz w:val="16"/>
                <w:szCs w:val="16"/>
                <w:color w:val="auto"/>
              </w:rPr>
              <w:t>$</w:t>
            </w:r>
          </w:p>
        </w:tc>
        <w:tc>
          <w:tcPr>
            <w:tcW w:w="1160" w:type="dxa"/>
            <w:vAlign w:val="bottom"/>
          </w:tcPr>
          <w:p>
            <w:pPr>
              <w:jc w:val="right"/>
              <w:ind w:right="42"/>
              <w:spacing w:after="0"/>
              <w:rPr>
                <w:sz w:val="20"/>
                <w:szCs w:val="20"/>
                <w:color w:val="auto"/>
              </w:rPr>
            </w:pPr>
            <w:r>
              <w:rPr>
                <w:rFonts w:ascii="Arial" w:cs="Arial" w:eastAsia="Arial" w:hAnsi="Arial"/>
                <w:sz w:val="16"/>
                <w:szCs w:val="16"/>
                <w:color w:val="auto"/>
              </w:rPr>
              <w:t>(4,849)</w:t>
            </w:r>
          </w:p>
        </w:tc>
        <w:tc>
          <w:tcPr>
            <w:tcW w:w="220" w:type="dxa"/>
            <w:vAlign w:val="bottom"/>
          </w:tcPr>
          <w:p>
            <w:pPr>
              <w:jc w:val="right"/>
              <w:spacing w:after="0"/>
              <w:rPr>
                <w:sz w:val="20"/>
                <w:szCs w:val="20"/>
                <w:color w:val="auto"/>
              </w:rPr>
            </w:pPr>
            <w:r>
              <w:rPr>
                <w:rFonts w:ascii="Arial" w:cs="Arial" w:eastAsia="Arial" w:hAnsi="Arial"/>
                <w:sz w:val="16"/>
                <w:szCs w:val="16"/>
                <w:color w:val="auto"/>
              </w:rPr>
              <w:t>$</w:t>
            </w:r>
          </w:p>
        </w:tc>
        <w:tc>
          <w:tcPr>
            <w:tcW w:w="1340" w:type="dxa"/>
            <w:vAlign w:val="bottom"/>
          </w:tcPr>
          <w:p>
            <w:pPr>
              <w:jc w:val="right"/>
              <w:ind w:right="41"/>
              <w:spacing w:after="0"/>
              <w:rPr>
                <w:sz w:val="20"/>
                <w:szCs w:val="20"/>
                <w:color w:val="auto"/>
              </w:rPr>
            </w:pPr>
            <w:r>
              <w:rPr>
                <w:rFonts w:ascii="Arial" w:cs="Arial" w:eastAsia="Arial" w:hAnsi="Arial"/>
                <w:sz w:val="16"/>
                <w:szCs w:val="16"/>
                <w:color w:val="auto"/>
              </w:rPr>
              <w:t>58,500</w:t>
            </w:r>
          </w:p>
        </w:tc>
        <w:tc>
          <w:tcPr>
            <w:tcW w:w="240" w:type="dxa"/>
            <w:vAlign w:val="bottom"/>
          </w:tcPr>
          <w:p>
            <w:pPr>
              <w:jc w:val="right"/>
              <w:spacing w:after="0"/>
              <w:rPr>
                <w:sz w:val="20"/>
                <w:szCs w:val="20"/>
                <w:color w:val="auto"/>
              </w:rPr>
            </w:pPr>
            <w:r>
              <w:rPr>
                <w:rFonts w:ascii="Arial" w:cs="Arial" w:eastAsia="Arial" w:hAnsi="Arial"/>
                <w:sz w:val="16"/>
                <w:szCs w:val="16"/>
                <w:color w:val="auto"/>
              </w:rPr>
              <w:t>$</w:t>
            </w:r>
          </w:p>
        </w:tc>
        <w:tc>
          <w:tcPr>
            <w:tcW w:w="1360" w:type="dxa"/>
            <w:vAlign w:val="bottom"/>
          </w:tcPr>
          <w:p>
            <w:pPr>
              <w:jc w:val="right"/>
              <w:ind w:right="62"/>
              <w:spacing w:after="0"/>
              <w:rPr>
                <w:sz w:val="20"/>
                <w:szCs w:val="20"/>
                <w:color w:val="auto"/>
              </w:rPr>
            </w:pPr>
            <w:r>
              <w:rPr>
                <w:rFonts w:ascii="Arial" w:cs="Arial" w:eastAsia="Arial" w:hAnsi="Arial"/>
                <w:sz w:val="16"/>
                <w:szCs w:val="16"/>
                <w:color w:val="auto"/>
              </w:rPr>
              <w:t>261,029</w:t>
            </w:r>
          </w:p>
        </w:tc>
        <w:tc>
          <w:tcPr>
            <w:tcW w:w="240" w:type="dxa"/>
            <w:vAlign w:val="bottom"/>
          </w:tcPr>
          <w:p>
            <w:pPr>
              <w:jc w:val="right"/>
              <w:spacing w:after="0"/>
              <w:rPr>
                <w:sz w:val="20"/>
                <w:szCs w:val="20"/>
                <w:color w:val="auto"/>
              </w:rPr>
            </w:pPr>
            <w:r>
              <w:rPr>
                <w:rFonts w:ascii="Arial" w:cs="Arial" w:eastAsia="Arial" w:hAnsi="Arial"/>
                <w:sz w:val="16"/>
                <w:szCs w:val="16"/>
                <w:color w:val="auto"/>
              </w:rPr>
              <w:t>$</w:t>
            </w:r>
          </w:p>
        </w:tc>
        <w:tc>
          <w:tcPr>
            <w:tcW w:w="780" w:type="dxa"/>
            <w:vAlign w:val="bottom"/>
          </w:tcPr>
          <w:p>
            <w:pPr>
              <w:jc w:val="right"/>
              <w:ind w:right="60"/>
              <w:spacing w:after="0"/>
              <w:rPr>
                <w:sz w:val="20"/>
                <w:szCs w:val="20"/>
                <w:color w:val="auto"/>
              </w:rPr>
            </w:pPr>
            <w:r>
              <w:rPr>
                <w:rFonts w:ascii="Arial" w:cs="Arial" w:eastAsia="Arial" w:hAnsi="Arial"/>
                <w:sz w:val="16"/>
                <w:szCs w:val="16"/>
                <w:color w:val="auto"/>
              </w:rPr>
              <w:t>—</w:t>
            </w:r>
          </w:p>
        </w:tc>
        <w:tc>
          <w:tcPr>
            <w:tcW w:w="220" w:type="dxa"/>
            <w:vAlign w:val="bottom"/>
          </w:tcPr>
          <w:p>
            <w:pPr>
              <w:jc w:val="right"/>
              <w:spacing w:after="0"/>
              <w:rPr>
                <w:sz w:val="20"/>
                <w:szCs w:val="20"/>
                <w:color w:val="auto"/>
              </w:rPr>
            </w:pPr>
            <w:r>
              <w:rPr>
                <w:rFonts w:ascii="Arial" w:cs="Arial" w:eastAsia="Arial" w:hAnsi="Arial"/>
                <w:sz w:val="16"/>
                <w:szCs w:val="16"/>
                <w:color w:val="auto"/>
              </w:rPr>
              <w:t>$</w:t>
            </w:r>
          </w:p>
        </w:tc>
        <w:tc>
          <w:tcPr>
            <w:tcW w:w="1320" w:type="dxa"/>
            <w:vAlign w:val="bottom"/>
          </w:tcPr>
          <w:p>
            <w:pPr>
              <w:jc w:val="right"/>
              <w:ind w:right="22"/>
              <w:spacing w:after="0"/>
              <w:rPr>
                <w:sz w:val="20"/>
                <w:szCs w:val="20"/>
                <w:color w:val="auto"/>
              </w:rPr>
            </w:pPr>
            <w:r>
              <w:rPr>
                <w:rFonts w:ascii="Arial" w:cs="Arial" w:eastAsia="Arial" w:hAnsi="Arial"/>
                <w:sz w:val="16"/>
                <w:szCs w:val="16"/>
                <w:color w:val="auto"/>
              </w:rPr>
              <w:t>314,680</w:t>
            </w:r>
          </w:p>
        </w:tc>
      </w:tr>
      <w:tr>
        <w:trPr>
          <w:trHeight w:val="238"/>
        </w:trPr>
        <w:tc>
          <w:tcPr>
            <w:tcW w:w="4360" w:type="dxa"/>
            <w:vAlign w:val="bottom"/>
          </w:tcPr>
          <w:p>
            <w:pPr>
              <w:ind w:left="180"/>
              <w:spacing w:after="0"/>
              <w:rPr>
                <w:sz w:val="20"/>
                <w:szCs w:val="20"/>
                <w:color w:val="auto"/>
              </w:rPr>
            </w:pPr>
            <w:r>
              <w:rPr>
                <w:rFonts w:ascii="Arial" w:cs="Arial" w:eastAsia="Arial" w:hAnsi="Arial"/>
                <w:sz w:val="16"/>
                <w:szCs w:val="16"/>
                <w:color w:val="auto"/>
              </w:rPr>
              <w:t>Other comprehensive (loss) income before</w:t>
            </w:r>
          </w:p>
        </w:tc>
        <w:tc>
          <w:tcPr>
            <w:tcW w:w="18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20" w:type="dxa"/>
            <w:vAlign w:val="bottom"/>
          </w:tcPr>
          <w:p>
            <w:pPr>
              <w:spacing w:after="0"/>
              <w:rPr>
                <w:sz w:val="20"/>
                <w:szCs w:val="20"/>
                <w:color w:val="auto"/>
              </w:rPr>
            </w:pPr>
          </w:p>
        </w:tc>
      </w:tr>
      <w:tr>
        <w:trPr>
          <w:trHeight w:val="195"/>
        </w:trPr>
        <w:tc>
          <w:tcPr>
            <w:tcW w:w="4360" w:type="dxa"/>
            <w:vAlign w:val="bottom"/>
          </w:tcPr>
          <w:p>
            <w:pPr>
              <w:ind w:left="340"/>
              <w:spacing w:after="0"/>
              <w:rPr>
                <w:sz w:val="20"/>
                <w:szCs w:val="20"/>
                <w:color w:val="auto"/>
              </w:rPr>
            </w:pPr>
            <w:r>
              <w:rPr>
                <w:rFonts w:ascii="Arial" w:cs="Arial" w:eastAsia="Arial" w:hAnsi="Arial"/>
                <w:sz w:val="16"/>
                <w:szCs w:val="16"/>
                <w:color w:val="auto"/>
              </w:rPr>
              <w:t>reclassifications</w:t>
            </w:r>
          </w:p>
        </w:tc>
        <w:tc>
          <w:tcPr>
            <w:tcW w:w="180" w:type="dxa"/>
            <w:vAlign w:val="bottom"/>
          </w:tcPr>
          <w:p>
            <w:pPr>
              <w:spacing w:after="0"/>
              <w:rPr>
                <w:sz w:val="16"/>
                <w:szCs w:val="16"/>
                <w:color w:val="auto"/>
              </w:rPr>
            </w:pPr>
          </w:p>
        </w:tc>
        <w:tc>
          <w:tcPr>
            <w:tcW w:w="1160" w:type="dxa"/>
            <w:vAlign w:val="bottom"/>
          </w:tcPr>
          <w:p>
            <w:pPr>
              <w:jc w:val="right"/>
              <w:ind w:right="42"/>
              <w:spacing w:after="0"/>
              <w:rPr>
                <w:sz w:val="20"/>
                <w:szCs w:val="20"/>
                <w:color w:val="auto"/>
              </w:rPr>
            </w:pPr>
            <w:r>
              <w:rPr>
                <w:rFonts w:ascii="Arial" w:cs="Arial" w:eastAsia="Arial" w:hAnsi="Arial"/>
                <w:sz w:val="16"/>
                <w:szCs w:val="16"/>
                <w:color w:val="auto"/>
              </w:rPr>
              <w:t>(22,149)</w:t>
            </w:r>
          </w:p>
        </w:tc>
        <w:tc>
          <w:tcPr>
            <w:tcW w:w="220" w:type="dxa"/>
            <w:vAlign w:val="bottom"/>
          </w:tcPr>
          <w:p>
            <w:pPr>
              <w:spacing w:after="0"/>
              <w:rPr>
                <w:sz w:val="16"/>
                <w:szCs w:val="16"/>
                <w:color w:val="auto"/>
              </w:rPr>
            </w:pPr>
          </w:p>
        </w:tc>
        <w:tc>
          <w:tcPr>
            <w:tcW w:w="1340" w:type="dxa"/>
            <w:vAlign w:val="bottom"/>
          </w:tcPr>
          <w:p>
            <w:pPr>
              <w:jc w:val="right"/>
              <w:ind w:right="41"/>
              <w:spacing w:after="0"/>
              <w:rPr>
                <w:sz w:val="20"/>
                <w:szCs w:val="20"/>
                <w:color w:val="auto"/>
              </w:rPr>
            </w:pPr>
            <w:r>
              <w:rPr>
                <w:rFonts w:ascii="Arial" w:cs="Arial" w:eastAsia="Arial" w:hAnsi="Arial"/>
                <w:sz w:val="16"/>
                <w:szCs w:val="16"/>
                <w:color w:val="auto"/>
              </w:rPr>
              <w:t>33,304</w:t>
            </w:r>
          </w:p>
        </w:tc>
        <w:tc>
          <w:tcPr>
            <w:tcW w:w="240" w:type="dxa"/>
            <w:vAlign w:val="bottom"/>
          </w:tcPr>
          <w:p>
            <w:pPr>
              <w:spacing w:after="0"/>
              <w:rPr>
                <w:sz w:val="16"/>
                <w:szCs w:val="16"/>
                <w:color w:val="auto"/>
              </w:rPr>
            </w:pPr>
          </w:p>
        </w:tc>
        <w:tc>
          <w:tcPr>
            <w:tcW w:w="1360" w:type="dxa"/>
            <w:vAlign w:val="bottom"/>
          </w:tcPr>
          <w:p>
            <w:pPr>
              <w:jc w:val="right"/>
              <w:ind w:right="2"/>
              <w:spacing w:after="0"/>
              <w:rPr>
                <w:sz w:val="20"/>
                <w:szCs w:val="20"/>
                <w:color w:val="auto"/>
              </w:rPr>
            </w:pPr>
            <w:r>
              <w:rPr>
                <w:rFonts w:ascii="Arial" w:cs="Arial" w:eastAsia="Arial" w:hAnsi="Arial"/>
                <w:sz w:val="16"/>
                <w:szCs w:val="16"/>
                <w:color w:val="auto"/>
              </w:rPr>
              <w:t>(80,349)</w:t>
            </w:r>
          </w:p>
        </w:tc>
        <w:tc>
          <w:tcPr>
            <w:tcW w:w="240" w:type="dxa"/>
            <w:vAlign w:val="bottom"/>
          </w:tcPr>
          <w:p>
            <w:pPr>
              <w:spacing w:after="0"/>
              <w:rPr>
                <w:sz w:val="16"/>
                <w:szCs w:val="16"/>
                <w:color w:val="auto"/>
              </w:rPr>
            </w:pPr>
          </w:p>
        </w:tc>
        <w:tc>
          <w:tcPr>
            <w:tcW w:w="780" w:type="dxa"/>
            <w:vAlign w:val="bottom"/>
          </w:tcPr>
          <w:p>
            <w:pPr>
              <w:jc w:val="right"/>
              <w:ind w:right="20"/>
              <w:spacing w:after="0"/>
              <w:rPr>
                <w:sz w:val="20"/>
                <w:szCs w:val="20"/>
                <w:color w:val="auto"/>
              </w:rPr>
            </w:pPr>
            <w:r>
              <w:rPr>
                <w:rFonts w:ascii="Arial" w:cs="Arial" w:eastAsia="Arial" w:hAnsi="Arial"/>
                <w:sz w:val="16"/>
                <w:szCs w:val="16"/>
                <w:color w:val="auto"/>
              </w:rPr>
              <w:t>(290)</w:t>
            </w:r>
          </w:p>
        </w:tc>
        <w:tc>
          <w:tcPr>
            <w:tcW w:w="220" w:type="dxa"/>
            <w:vAlign w:val="bottom"/>
          </w:tcPr>
          <w:p>
            <w:pPr>
              <w:spacing w:after="0"/>
              <w:rPr>
                <w:sz w:val="16"/>
                <w:szCs w:val="16"/>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(69,484)</w:t>
            </w:r>
          </w:p>
        </w:tc>
      </w:tr>
      <w:tr>
        <w:trPr>
          <w:trHeight w:val="238"/>
        </w:trPr>
        <w:tc>
          <w:tcPr>
            <w:tcW w:w="4360" w:type="dxa"/>
            <w:vAlign w:val="bottom"/>
          </w:tcPr>
          <w:p>
            <w:pPr>
              <w:ind w:left="180"/>
              <w:spacing w:after="0"/>
              <w:rPr>
                <w:sz w:val="20"/>
                <w:szCs w:val="20"/>
                <w:color w:val="auto"/>
              </w:rPr>
            </w:pPr>
            <w:r>
              <w:rPr>
                <w:rFonts w:ascii="Arial" w:cs="Arial" w:eastAsia="Arial" w:hAnsi="Arial"/>
                <w:sz w:val="16"/>
                <w:szCs w:val="16"/>
                <w:color w:val="auto"/>
              </w:rPr>
              <w:t>Net amount reclassified from accumulated other</w:t>
            </w:r>
          </w:p>
        </w:tc>
        <w:tc>
          <w:tcPr>
            <w:tcW w:w="18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20" w:type="dxa"/>
            <w:vAlign w:val="bottom"/>
          </w:tcPr>
          <w:p>
            <w:pPr>
              <w:spacing w:after="0"/>
              <w:rPr>
                <w:sz w:val="20"/>
                <w:szCs w:val="20"/>
                <w:color w:val="auto"/>
              </w:rPr>
            </w:pPr>
          </w:p>
        </w:tc>
      </w:tr>
      <w:tr>
        <w:trPr>
          <w:trHeight w:val="208"/>
        </w:trPr>
        <w:tc>
          <w:tcPr>
            <w:tcW w:w="4360" w:type="dxa"/>
            <w:vAlign w:val="bottom"/>
          </w:tcPr>
          <w:p>
            <w:pPr>
              <w:ind w:left="340"/>
              <w:spacing w:after="0"/>
              <w:rPr>
                <w:sz w:val="20"/>
                <w:szCs w:val="20"/>
                <w:color w:val="auto"/>
              </w:rPr>
            </w:pPr>
            <w:r>
              <w:rPr>
                <w:rFonts w:ascii="Arial" w:cs="Arial" w:eastAsia="Arial" w:hAnsi="Arial"/>
                <w:sz w:val="16"/>
                <w:szCs w:val="16"/>
                <w:color w:val="auto"/>
              </w:rPr>
              <w:t>comprehensive income</w:t>
            </w:r>
          </w:p>
        </w:tc>
        <w:tc>
          <w:tcPr>
            <w:tcW w:w="18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ind w:right="82"/>
              <w:spacing w:after="0"/>
              <w:rPr>
                <w:sz w:val="20"/>
                <w:szCs w:val="20"/>
                <w:color w:val="auto"/>
              </w:rPr>
            </w:pPr>
            <w:r>
              <w:rPr>
                <w:rFonts w:ascii="Arial" w:cs="Arial" w:eastAsia="Arial" w:hAnsi="Arial"/>
                <w:sz w:val="16"/>
                <w:szCs w:val="16"/>
                <w:color w:val="auto"/>
              </w:rPr>
              <w:t>—</w:t>
            </w:r>
          </w:p>
        </w:tc>
        <w:tc>
          <w:tcPr>
            <w:tcW w:w="22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ind w:right="41"/>
              <w:spacing w:after="0"/>
              <w:rPr>
                <w:sz w:val="20"/>
                <w:szCs w:val="20"/>
                <w:color w:val="auto"/>
              </w:rPr>
            </w:pPr>
            <w:r>
              <w:rPr>
                <w:rFonts w:ascii="Arial" w:cs="Arial" w:eastAsia="Arial" w:hAnsi="Arial"/>
                <w:sz w:val="16"/>
                <w:szCs w:val="16"/>
                <w:color w:val="auto"/>
              </w:rPr>
              <w:t>1,127</w:t>
            </w:r>
          </w:p>
        </w:tc>
        <w:tc>
          <w:tcPr>
            <w:tcW w:w="24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right"/>
              <w:ind w:right="2"/>
              <w:spacing w:after="0"/>
              <w:rPr>
                <w:sz w:val="20"/>
                <w:szCs w:val="20"/>
                <w:color w:val="auto"/>
              </w:rPr>
            </w:pPr>
            <w:r>
              <w:rPr>
                <w:rFonts w:ascii="Arial" w:cs="Arial" w:eastAsia="Arial" w:hAnsi="Arial"/>
                <w:sz w:val="16"/>
                <w:szCs w:val="16"/>
                <w:color w:val="auto"/>
              </w:rPr>
              <w:t>(9,850)</w:t>
            </w:r>
          </w:p>
        </w:tc>
        <w:tc>
          <w:tcPr>
            <w:tcW w:w="24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ind w:right="60"/>
              <w:spacing w:after="0"/>
              <w:rPr>
                <w:sz w:val="20"/>
                <w:szCs w:val="20"/>
                <w:color w:val="auto"/>
              </w:rPr>
            </w:pPr>
            <w:r>
              <w:rPr>
                <w:rFonts w:ascii="Arial" w:cs="Arial" w:eastAsia="Arial" w:hAnsi="Arial"/>
                <w:sz w:val="16"/>
                <w:szCs w:val="16"/>
                <w:color w:val="auto"/>
              </w:rPr>
              <w:t>13</w:t>
            </w:r>
          </w:p>
        </w:tc>
        <w:tc>
          <w:tcPr>
            <w:tcW w:w="22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(8,710)</w:t>
            </w:r>
          </w:p>
        </w:tc>
      </w:tr>
      <w:tr>
        <w:trPr>
          <w:trHeight w:val="264"/>
        </w:trPr>
        <w:tc>
          <w:tcPr>
            <w:tcW w:w="4360" w:type="dxa"/>
            <w:vAlign w:val="bottom"/>
          </w:tcPr>
          <w:p>
            <w:pPr>
              <w:ind w:left="180"/>
              <w:spacing w:after="0"/>
              <w:rPr>
                <w:sz w:val="20"/>
                <w:szCs w:val="20"/>
                <w:color w:val="auto"/>
              </w:rPr>
            </w:pPr>
            <w:r>
              <w:rPr>
                <w:rFonts w:ascii="Arial" w:cs="Arial" w:eastAsia="Arial" w:hAnsi="Arial"/>
                <w:sz w:val="16"/>
                <w:szCs w:val="16"/>
                <w:color w:val="auto"/>
              </w:rPr>
              <w:t>Net other comprehensive (loss) income</w:t>
            </w:r>
          </w:p>
        </w:tc>
        <w:tc>
          <w:tcPr>
            <w:tcW w:w="180" w:type="dxa"/>
            <w:vAlign w:val="bottom"/>
            <w:tcBorders>
              <w:bottom w:val="single" w:sz="8" w:color="auto"/>
            </w:tcBorders>
          </w:tcPr>
          <w:p>
            <w:pPr>
              <w:spacing w:after="0"/>
              <w:rPr>
                <w:sz w:val="22"/>
                <w:szCs w:val="22"/>
                <w:color w:val="auto"/>
              </w:rPr>
            </w:pPr>
          </w:p>
        </w:tc>
        <w:tc>
          <w:tcPr>
            <w:tcW w:w="1160" w:type="dxa"/>
            <w:vAlign w:val="bottom"/>
            <w:tcBorders>
              <w:bottom w:val="single" w:sz="8" w:color="auto"/>
            </w:tcBorders>
          </w:tcPr>
          <w:p>
            <w:pPr>
              <w:jc w:val="right"/>
              <w:ind w:right="42"/>
              <w:spacing w:after="0"/>
              <w:rPr>
                <w:sz w:val="20"/>
                <w:szCs w:val="20"/>
                <w:color w:val="auto"/>
              </w:rPr>
            </w:pPr>
            <w:r>
              <w:rPr>
                <w:rFonts w:ascii="Arial" w:cs="Arial" w:eastAsia="Arial" w:hAnsi="Arial"/>
                <w:sz w:val="16"/>
                <w:szCs w:val="16"/>
                <w:color w:val="auto"/>
              </w:rPr>
              <w:t>(22,149)</w:t>
            </w:r>
          </w:p>
        </w:tc>
        <w:tc>
          <w:tcPr>
            <w:tcW w:w="220" w:type="dxa"/>
            <w:vAlign w:val="bottom"/>
            <w:tcBorders>
              <w:bottom w:val="single" w:sz="8" w:color="auto"/>
            </w:tcBorders>
          </w:tcPr>
          <w:p>
            <w:pPr>
              <w:spacing w:after="0"/>
              <w:rPr>
                <w:sz w:val="22"/>
                <w:szCs w:val="22"/>
                <w:color w:val="auto"/>
              </w:rPr>
            </w:pPr>
          </w:p>
        </w:tc>
        <w:tc>
          <w:tcPr>
            <w:tcW w:w="1340" w:type="dxa"/>
            <w:vAlign w:val="bottom"/>
            <w:tcBorders>
              <w:bottom w:val="single" w:sz="8" w:color="auto"/>
            </w:tcBorders>
          </w:tcPr>
          <w:p>
            <w:pPr>
              <w:jc w:val="right"/>
              <w:ind w:right="41"/>
              <w:spacing w:after="0"/>
              <w:rPr>
                <w:sz w:val="20"/>
                <w:szCs w:val="20"/>
                <w:color w:val="auto"/>
              </w:rPr>
            </w:pPr>
            <w:r>
              <w:rPr>
                <w:rFonts w:ascii="Arial" w:cs="Arial" w:eastAsia="Arial" w:hAnsi="Arial"/>
                <w:sz w:val="16"/>
                <w:szCs w:val="16"/>
                <w:color w:val="auto"/>
              </w:rPr>
              <w:t>34,431</w:t>
            </w:r>
          </w:p>
        </w:tc>
        <w:tc>
          <w:tcPr>
            <w:tcW w:w="240" w:type="dxa"/>
            <w:vAlign w:val="bottom"/>
            <w:tcBorders>
              <w:bottom w:val="single" w:sz="8" w:color="auto"/>
            </w:tcBorders>
          </w:tcPr>
          <w:p>
            <w:pPr>
              <w:spacing w:after="0"/>
              <w:rPr>
                <w:sz w:val="22"/>
                <w:szCs w:val="22"/>
                <w:color w:val="auto"/>
              </w:rPr>
            </w:pPr>
          </w:p>
        </w:tc>
        <w:tc>
          <w:tcPr>
            <w:tcW w:w="1360" w:type="dxa"/>
            <w:vAlign w:val="bottom"/>
            <w:tcBorders>
              <w:bottom w:val="single" w:sz="8" w:color="auto"/>
            </w:tcBorders>
          </w:tcPr>
          <w:p>
            <w:pPr>
              <w:jc w:val="right"/>
              <w:ind w:right="2"/>
              <w:spacing w:after="0"/>
              <w:rPr>
                <w:sz w:val="20"/>
                <w:szCs w:val="20"/>
                <w:color w:val="auto"/>
              </w:rPr>
            </w:pPr>
            <w:r>
              <w:rPr>
                <w:rFonts w:ascii="Arial" w:cs="Arial" w:eastAsia="Arial" w:hAnsi="Arial"/>
                <w:sz w:val="16"/>
                <w:szCs w:val="16"/>
                <w:color w:val="auto"/>
              </w:rPr>
              <w:t>(90,199)</w:t>
            </w:r>
          </w:p>
        </w:tc>
        <w:tc>
          <w:tcPr>
            <w:tcW w:w="240" w:type="dxa"/>
            <w:vAlign w:val="bottom"/>
            <w:tcBorders>
              <w:bottom w:val="single" w:sz="8" w:color="auto"/>
            </w:tcBorders>
          </w:tcPr>
          <w:p>
            <w:pPr>
              <w:spacing w:after="0"/>
              <w:rPr>
                <w:sz w:val="22"/>
                <w:szCs w:val="22"/>
                <w:color w:val="auto"/>
              </w:rPr>
            </w:pPr>
          </w:p>
        </w:tc>
        <w:tc>
          <w:tcPr>
            <w:tcW w:w="78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(277)</w:t>
            </w:r>
          </w:p>
        </w:tc>
        <w:tc>
          <w:tcPr>
            <w:tcW w:w="220" w:type="dxa"/>
            <w:vAlign w:val="bottom"/>
            <w:tcBorders>
              <w:bottom w:val="single" w:sz="8" w:color="auto"/>
            </w:tcBorders>
          </w:tcPr>
          <w:p>
            <w:pPr>
              <w:spacing w:after="0"/>
              <w:rPr>
                <w:sz w:val="22"/>
                <w:szCs w:val="22"/>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(78,194)</w:t>
            </w:r>
          </w:p>
        </w:tc>
      </w:tr>
      <w:tr>
        <w:trPr>
          <w:trHeight w:val="251"/>
        </w:trPr>
        <w:tc>
          <w:tcPr>
            <w:tcW w:w="4360" w:type="dxa"/>
            <w:vAlign w:val="bottom"/>
          </w:tcPr>
          <w:p>
            <w:pPr>
              <w:ind w:left="40"/>
              <w:spacing w:after="0"/>
              <w:rPr>
                <w:sz w:val="20"/>
                <w:szCs w:val="20"/>
                <w:color w:val="auto"/>
              </w:rPr>
            </w:pPr>
            <w:r>
              <w:rPr>
                <w:rFonts w:ascii="Arial" w:cs="Arial" w:eastAsia="Arial" w:hAnsi="Arial"/>
                <w:sz w:val="16"/>
                <w:szCs w:val="16"/>
                <w:color w:val="auto"/>
              </w:rPr>
              <w:t>As of December 31, 2016</w:t>
            </w:r>
          </w:p>
        </w:tc>
        <w:tc>
          <w:tcPr>
            <w:tcW w:w="180" w:type="dxa"/>
            <w:vAlign w:val="bottom"/>
          </w:tcPr>
          <w:p>
            <w:pPr>
              <w:spacing w:after="0"/>
              <w:rPr>
                <w:sz w:val="21"/>
                <w:szCs w:val="21"/>
                <w:color w:val="auto"/>
              </w:rPr>
            </w:pPr>
          </w:p>
        </w:tc>
        <w:tc>
          <w:tcPr>
            <w:tcW w:w="1160" w:type="dxa"/>
            <w:vAlign w:val="bottom"/>
          </w:tcPr>
          <w:p>
            <w:pPr>
              <w:jc w:val="right"/>
              <w:ind w:right="42"/>
              <w:spacing w:after="0"/>
              <w:rPr>
                <w:sz w:val="20"/>
                <w:szCs w:val="20"/>
                <w:color w:val="auto"/>
              </w:rPr>
            </w:pPr>
            <w:r>
              <w:rPr>
                <w:rFonts w:ascii="Arial" w:cs="Arial" w:eastAsia="Arial" w:hAnsi="Arial"/>
                <w:sz w:val="16"/>
                <w:szCs w:val="16"/>
                <w:color w:val="auto"/>
              </w:rPr>
              <w:t>(26,998)</w:t>
            </w:r>
          </w:p>
        </w:tc>
        <w:tc>
          <w:tcPr>
            <w:tcW w:w="220" w:type="dxa"/>
            <w:vAlign w:val="bottom"/>
          </w:tcPr>
          <w:p>
            <w:pPr>
              <w:spacing w:after="0"/>
              <w:rPr>
                <w:sz w:val="21"/>
                <w:szCs w:val="21"/>
                <w:color w:val="auto"/>
              </w:rPr>
            </w:pPr>
          </w:p>
        </w:tc>
        <w:tc>
          <w:tcPr>
            <w:tcW w:w="1340" w:type="dxa"/>
            <w:vAlign w:val="bottom"/>
          </w:tcPr>
          <w:p>
            <w:pPr>
              <w:jc w:val="right"/>
              <w:ind w:right="41"/>
              <w:spacing w:after="0"/>
              <w:rPr>
                <w:sz w:val="20"/>
                <w:szCs w:val="20"/>
                <w:color w:val="auto"/>
              </w:rPr>
            </w:pPr>
            <w:r>
              <w:rPr>
                <w:rFonts w:ascii="Arial" w:cs="Arial" w:eastAsia="Arial" w:hAnsi="Arial"/>
                <w:sz w:val="16"/>
                <w:szCs w:val="16"/>
                <w:color w:val="auto"/>
              </w:rPr>
              <w:t>92,931</w:t>
            </w:r>
          </w:p>
        </w:tc>
        <w:tc>
          <w:tcPr>
            <w:tcW w:w="240" w:type="dxa"/>
            <w:vAlign w:val="bottom"/>
          </w:tcPr>
          <w:p>
            <w:pPr>
              <w:spacing w:after="0"/>
              <w:rPr>
                <w:sz w:val="21"/>
                <w:szCs w:val="21"/>
                <w:color w:val="auto"/>
              </w:rPr>
            </w:pPr>
          </w:p>
        </w:tc>
        <w:tc>
          <w:tcPr>
            <w:tcW w:w="1360" w:type="dxa"/>
            <w:vAlign w:val="bottom"/>
          </w:tcPr>
          <w:p>
            <w:pPr>
              <w:jc w:val="right"/>
              <w:ind w:right="62"/>
              <w:spacing w:after="0"/>
              <w:rPr>
                <w:sz w:val="20"/>
                <w:szCs w:val="20"/>
                <w:color w:val="auto"/>
              </w:rPr>
            </w:pPr>
            <w:r>
              <w:rPr>
                <w:rFonts w:ascii="Arial" w:cs="Arial" w:eastAsia="Arial" w:hAnsi="Arial"/>
                <w:sz w:val="16"/>
                <w:szCs w:val="16"/>
                <w:color w:val="auto"/>
              </w:rPr>
              <w:t>170,830</w:t>
            </w:r>
          </w:p>
        </w:tc>
        <w:tc>
          <w:tcPr>
            <w:tcW w:w="240" w:type="dxa"/>
            <w:vAlign w:val="bottom"/>
          </w:tcPr>
          <w:p>
            <w:pPr>
              <w:spacing w:after="0"/>
              <w:rPr>
                <w:sz w:val="21"/>
                <w:szCs w:val="21"/>
                <w:color w:val="auto"/>
              </w:rPr>
            </w:pPr>
          </w:p>
        </w:tc>
        <w:tc>
          <w:tcPr>
            <w:tcW w:w="780" w:type="dxa"/>
            <w:vAlign w:val="bottom"/>
          </w:tcPr>
          <w:p>
            <w:pPr>
              <w:jc w:val="right"/>
              <w:ind w:right="20"/>
              <w:spacing w:after="0"/>
              <w:rPr>
                <w:sz w:val="20"/>
                <w:szCs w:val="20"/>
                <w:color w:val="auto"/>
              </w:rPr>
            </w:pPr>
            <w:r>
              <w:rPr>
                <w:rFonts w:ascii="Arial" w:cs="Arial" w:eastAsia="Arial" w:hAnsi="Arial"/>
                <w:sz w:val="16"/>
                <w:szCs w:val="16"/>
                <w:color w:val="auto"/>
              </w:rPr>
              <w:t>(277)</w:t>
            </w:r>
          </w:p>
        </w:tc>
        <w:tc>
          <w:tcPr>
            <w:tcW w:w="220" w:type="dxa"/>
            <w:vAlign w:val="bottom"/>
          </w:tcPr>
          <w:p>
            <w:pPr>
              <w:spacing w:after="0"/>
              <w:rPr>
                <w:sz w:val="21"/>
                <w:szCs w:val="21"/>
                <w:color w:val="auto"/>
              </w:rPr>
            </w:pPr>
          </w:p>
        </w:tc>
        <w:tc>
          <w:tcPr>
            <w:tcW w:w="1320" w:type="dxa"/>
            <w:vAlign w:val="bottom"/>
          </w:tcPr>
          <w:p>
            <w:pPr>
              <w:jc w:val="right"/>
              <w:ind w:right="22"/>
              <w:spacing w:after="0"/>
              <w:rPr>
                <w:sz w:val="20"/>
                <w:szCs w:val="20"/>
                <w:color w:val="auto"/>
              </w:rPr>
            </w:pPr>
            <w:r>
              <w:rPr>
                <w:rFonts w:ascii="Arial" w:cs="Arial" w:eastAsia="Arial" w:hAnsi="Arial"/>
                <w:sz w:val="16"/>
                <w:szCs w:val="16"/>
                <w:color w:val="auto"/>
              </w:rPr>
              <w:t>236,486</w:t>
            </w:r>
          </w:p>
        </w:tc>
      </w:tr>
      <w:tr>
        <w:trPr>
          <w:trHeight w:val="218"/>
        </w:trPr>
        <w:tc>
          <w:tcPr>
            <w:tcW w:w="4360" w:type="dxa"/>
            <w:vAlign w:val="bottom"/>
          </w:tcPr>
          <w:p>
            <w:pPr>
              <w:ind w:left="180"/>
              <w:spacing w:after="0"/>
              <w:rPr>
                <w:sz w:val="20"/>
                <w:szCs w:val="20"/>
                <w:color w:val="auto"/>
              </w:rPr>
            </w:pPr>
            <w:r>
              <w:rPr>
                <w:rFonts w:ascii="Arial" w:cs="Arial" w:eastAsia="Arial" w:hAnsi="Arial"/>
                <w:sz w:val="16"/>
                <w:szCs w:val="16"/>
                <w:b w:val="1"/>
                <w:bCs w:val="1"/>
                <w:color w:val="auto"/>
              </w:rPr>
              <w:t>Other comprehensive income (loss) before</w:t>
            </w:r>
          </w:p>
        </w:tc>
        <w:tc>
          <w:tcPr>
            <w:tcW w:w="1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20" w:type="dxa"/>
            <w:vAlign w:val="bottom"/>
          </w:tcPr>
          <w:p>
            <w:pPr>
              <w:spacing w:after="0"/>
              <w:rPr>
                <w:sz w:val="18"/>
                <w:szCs w:val="18"/>
                <w:color w:val="auto"/>
              </w:rPr>
            </w:pPr>
          </w:p>
        </w:tc>
      </w:tr>
      <w:tr>
        <w:trPr>
          <w:trHeight w:val="215"/>
        </w:trPr>
        <w:tc>
          <w:tcPr>
            <w:tcW w:w="4360" w:type="dxa"/>
            <w:vAlign w:val="bottom"/>
          </w:tcPr>
          <w:p>
            <w:pPr>
              <w:ind w:left="340"/>
              <w:spacing w:after="0"/>
              <w:rPr>
                <w:sz w:val="20"/>
                <w:szCs w:val="20"/>
                <w:color w:val="auto"/>
              </w:rPr>
            </w:pPr>
            <w:r>
              <w:rPr>
                <w:rFonts w:ascii="Arial" w:cs="Arial" w:eastAsia="Arial" w:hAnsi="Arial"/>
                <w:sz w:val="16"/>
                <w:szCs w:val="16"/>
                <w:b w:val="1"/>
                <w:bCs w:val="1"/>
                <w:color w:val="auto"/>
              </w:rPr>
              <w:t>reclassifications</w:t>
            </w:r>
          </w:p>
        </w:tc>
        <w:tc>
          <w:tcPr>
            <w:tcW w:w="180" w:type="dxa"/>
            <w:vAlign w:val="bottom"/>
          </w:tcPr>
          <w:p>
            <w:pPr>
              <w:spacing w:after="0"/>
              <w:rPr>
                <w:sz w:val="18"/>
                <w:szCs w:val="18"/>
                <w:color w:val="auto"/>
              </w:rPr>
            </w:pPr>
          </w:p>
        </w:tc>
        <w:tc>
          <w:tcPr>
            <w:tcW w:w="1160" w:type="dxa"/>
            <w:vAlign w:val="bottom"/>
          </w:tcPr>
          <w:p>
            <w:pPr>
              <w:jc w:val="right"/>
              <w:ind w:right="82"/>
              <w:spacing w:after="0"/>
              <w:rPr>
                <w:sz w:val="20"/>
                <w:szCs w:val="20"/>
                <w:color w:val="auto"/>
              </w:rPr>
            </w:pPr>
            <w:r>
              <w:rPr>
                <w:rFonts w:ascii="Arial" w:cs="Arial" w:eastAsia="Arial" w:hAnsi="Arial"/>
                <w:sz w:val="16"/>
                <w:szCs w:val="16"/>
                <w:b w:val="1"/>
                <w:bCs w:val="1"/>
                <w:color w:val="auto"/>
              </w:rPr>
              <w:t>33,175</w:t>
            </w:r>
          </w:p>
        </w:tc>
        <w:tc>
          <w:tcPr>
            <w:tcW w:w="220" w:type="dxa"/>
            <w:vAlign w:val="bottom"/>
          </w:tcPr>
          <w:p>
            <w:pPr>
              <w:spacing w:after="0"/>
              <w:rPr>
                <w:sz w:val="18"/>
                <w:szCs w:val="18"/>
                <w:color w:val="auto"/>
              </w:rPr>
            </w:pPr>
          </w:p>
        </w:tc>
        <w:tc>
          <w:tcPr>
            <w:tcW w:w="1340" w:type="dxa"/>
            <w:vAlign w:val="bottom"/>
          </w:tcPr>
          <w:p>
            <w:pPr>
              <w:jc w:val="right"/>
              <w:ind w:right="41"/>
              <w:spacing w:after="0"/>
              <w:rPr>
                <w:sz w:val="20"/>
                <w:szCs w:val="20"/>
                <w:color w:val="auto"/>
              </w:rPr>
            </w:pPr>
            <w:r>
              <w:rPr>
                <w:rFonts w:ascii="Arial" w:cs="Arial" w:eastAsia="Arial" w:hAnsi="Arial"/>
                <w:sz w:val="16"/>
                <w:szCs w:val="16"/>
                <w:b w:val="1"/>
                <w:bCs w:val="1"/>
                <w:color w:val="auto"/>
              </w:rPr>
              <w:t>67,252</w:t>
            </w:r>
          </w:p>
        </w:tc>
        <w:tc>
          <w:tcPr>
            <w:tcW w:w="240" w:type="dxa"/>
            <w:vAlign w:val="bottom"/>
          </w:tcPr>
          <w:p>
            <w:pPr>
              <w:spacing w:after="0"/>
              <w:rPr>
                <w:sz w:val="18"/>
                <w:szCs w:val="18"/>
                <w:color w:val="auto"/>
              </w:rPr>
            </w:pPr>
          </w:p>
        </w:tc>
        <w:tc>
          <w:tcPr>
            <w:tcW w:w="1360" w:type="dxa"/>
            <w:vAlign w:val="bottom"/>
          </w:tcPr>
          <w:p>
            <w:pPr>
              <w:jc w:val="right"/>
              <w:ind w:right="62"/>
              <w:spacing w:after="0"/>
              <w:rPr>
                <w:sz w:val="20"/>
                <w:szCs w:val="20"/>
                <w:color w:val="auto"/>
              </w:rPr>
            </w:pPr>
            <w:r>
              <w:rPr>
                <w:rFonts w:ascii="Arial" w:cs="Arial" w:eastAsia="Arial" w:hAnsi="Arial"/>
                <w:sz w:val="16"/>
                <w:szCs w:val="16"/>
                <w:b w:val="1"/>
                <w:bCs w:val="1"/>
                <w:color w:val="auto"/>
              </w:rPr>
              <w:t>131,108</w:t>
            </w:r>
          </w:p>
        </w:tc>
        <w:tc>
          <w:tcPr>
            <w:tcW w:w="240" w:type="dxa"/>
            <w:vAlign w:val="bottom"/>
          </w:tcPr>
          <w:p>
            <w:pPr>
              <w:spacing w:after="0"/>
              <w:rPr>
                <w:sz w:val="18"/>
                <w:szCs w:val="18"/>
                <w:color w:val="auto"/>
              </w:rPr>
            </w:pPr>
          </w:p>
        </w:tc>
        <w:tc>
          <w:tcPr>
            <w:tcW w:w="780" w:type="dxa"/>
            <w:vAlign w:val="bottom"/>
          </w:tcPr>
          <w:p>
            <w:pPr>
              <w:jc w:val="right"/>
              <w:ind w:right="20"/>
              <w:spacing w:after="0"/>
              <w:rPr>
                <w:sz w:val="20"/>
                <w:szCs w:val="20"/>
                <w:color w:val="auto"/>
              </w:rPr>
            </w:pPr>
            <w:r>
              <w:rPr>
                <w:rFonts w:ascii="Arial" w:cs="Arial" w:eastAsia="Arial" w:hAnsi="Arial"/>
                <w:sz w:val="16"/>
                <w:szCs w:val="16"/>
                <w:b w:val="1"/>
                <w:bCs w:val="1"/>
                <w:color w:val="auto"/>
              </w:rPr>
              <w:t>(29)</w:t>
            </w:r>
          </w:p>
        </w:tc>
        <w:tc>
          <w:tcPr>
            <w:tcW w:w="220" w:type="dxa"/>
            <w:vAlign w:val="bottom"/>
          </w:tcPr>
          <w:p>
            <w:pPr>
              <w:spacing w:after="0"/>
              <w:rPr>
                <w:sz w:val="18"/>
                <w:szCs w:val="18"/>
                <w:color w:val="auto"/>
              </w:rPr>
            </w:pPr>
          </w:p>
        </w:tc>
        <w:tc>
          <w:tcPr>
            <w:tcW w:w="1320" w:type="dxa"/>
            <w:vAlign w:val="bottom"/>
          </w:tcPr>
          <w:p>
            <w:pPr>
              <w:jc w:val="right"/>
              <w:ind w:right="22"/>
              <w:spacing w:after="0"/>
              <w:rPr>
                <w:sz w:val="20"/>
                <w:szCs w:val="20"/>
                <w:color w:val="auto"/>
              </w:rPr>
            </w:pPr>
            <w:r>
              <w:rPr>
                <w:rFonts w:ascii="Arial" w:cs="Arial" w:eastAsia="Arial" w:hAnsi="Arial"/>
                <w:sz w:val="16"/>
                <w:szCs w:val="16"/>
                <w:b w:val="1"/>
                <w:bCs w:val="1"/>
                <w:color w:val="auto"/>
              </w:rPr>
              <w:t>231,506</w:t>
            </w:r>
          </w:p>
        </w:tc>
      </w:tr>
      <w:tr>
        <w:trPr>
          <w:trHeight w:val="218"/>
        </w:trPr>
        <w:tc>
          <w:tcPr>
            <w:tcW w:w="4360" w:type="dxa"/>
            <w:vAlign w:val="bottom"/>
          </w:tcPr>
          <w:p>
            <w:pPr>
              <w:ind w:left="180"/>
              <w:spacing w:after="0"/>
              <w:rPr>
                <w:sz w:val="20"/>
                <w:szCs w:val="20"/>
                <w:color w:val="auto"/>
              </w:rPr>
            </w:pPr>
            <w:r>
              <w:rPr>
                <w:rFonts w:ascii="Arial" w:cs="Arial" w:eastAsia="Arial" w:hAnsi="Arial"/>
                <w:sz w:val="16"/>
                <w:szCs w:val="16"/>
                <w:b w:val="1"/>
                <w:bCs w:val="1"/>
                <w:color w:val="auto"/>
              </w:rPr>
              <w:t>Net amount reclassified from accumulated other</w:t>
            </w:r>
          </w:p>
        </w:tc>
        <w:tc>
          <w:tcPr>
            <w:tcW w:w="1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20" w:type="dxa"/>
            <w:vAlign w:val="bottom"/>
          </w:tcPr>
          <w:p>
            <w:pPr>
              <w:spacing w:after="0"/>
              <w:rPr>
                <w:sz w:val="18"/>
                <w:szCs w:val="18"/>
                <w:color w:val="auto"/>
              </w:rPr>
            </w:pPr>
          </w:p>
        </w:tc>
      </w:tr>
      <w:tr>
        <w:trPr>
          <w:trHeight w:val="228"/>
        </w:trPr>
        <w:tc>
          <w:tcPr>
            <w:tcW w:w="4360" w:type="dxa"/>
            <w:vAlign w:val="bottom"/>
          </w:tcPr>
          <w:p>
            <w:pPr>
              <w:ind w:left="340"/>
              <w:spacing w:after="0"/>
              <w:rPr>
                <w:sz w:val="20"/>
                <w:szCs w:val="20"/>
                <w:color w:val="auto"/>
              </w:rPr>
            </w:pPr>
            <w:r>
              <w:rPr>
                <w:rFonts w:ascii="Arial" w:cs="Arial" w:eastAsia="Arial" w:hAnsi="Arial"/>
                <w:sz w:val="16"/>
                <w:szCs w:val="16"/>
                <w:b w:val="1"/>
                <w:bCs w:val="1"/>
                <w:color w:val="auto"/>
              </w:rPr>
              <w:t>comprehensive income</w:t>
            </w:r>
          </w:p>
        </w:tc>
        <w:tc>
          <w:tcPr>
            <w:tcW w:w="18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ind w:right="82"/>
              <w:spacing w:after="0"/>
              <w:rPr>
                <w:sz w:val="20"/>
                <w:szCs w:val="20"/>
                <w:color w:val="auto"/>
              </w:rPr>
            </w:pPr>
            <w:r>
              <w:rPr>
                <w:rFonts w:ascii="Arial" w:cs="Arial" w:eastAsia="Arial" w:hAnsi="Arial"/>
                <w:sz w:val="16"/>
                <w:szCs w:val="16"/>
                <w:b w:val="1"/>
                <w:bCs w:val="1"/>
                <w:color w:val="auto"/>
              </w:rPr>
              <w:t>137</w:t>
            </w:r>
          </w:p>
        </w:tc>
        <w:tc>
          <w:tcPr>
            <w:tcW w:w="22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ind w:right="41"/>
              <w:spacing w:after="0"/>
              <w:rPr>
                <w:sz w:val="20"/>
                <w:szCs w:val="20"/>
                <w:color w:val="auto"/>
              </w:rPr>
            </w:pPr>
            <w:r>
              <w:rPr>
                <w:rFonts w:ascii="Arial" w:cs="Arial" w:eastAsia="Arial" w:hAnsi="Arial"/>
                <w:sz w:val="16"/>
                <w:szCs w:val="16"/>
                <w:b w:val="1"/>
                <w:bCs w:val="1"/>
                <w:color w:val="auto"/>
              </w:rPr>
              <w:t>—</w:t>
            </w:r>
          </w:p>
        </w:tc>
        <w:tc>
          <w:tcPr>
            <w:tcW w:w="24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ind w:right="2"/>
              <w:spacing w:after="0"/>
              <w:rPr>
                <w:sz w:val="20"/>
                <w:szCs w:val="20"/>
                <w:color w:val="auto"/>
              </w:rPr>
            </w:pPr>
            <w:r>
              <w:rPr>
                <w:rFonts w:ascii="Arial" w:cs="Arial" w:eastAsia="Arial" w:hAnsi="Arial"/>
                <w:sz w:val="16"/>
                <w:szCs w:val="16"/>
                <w:b w:val="1"/>
                <w:bCs w:val="1"/>
                <w:color w:val="auto"/>
              </w:rPr>
              <w:t>(3,629)</w:t>
            </w:r>
          </w:p>
        </w:tc>
        <w:tc>
          <w:tcPr>
            <w:tcW w:w="24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ind w:right="60"/>
              <w:spacing w:after="0"/>
              <w:rPr>
                <w:sz w:val="20"/>
                <w:szCs w:val="20"/>
                <w:color w:val="auto"/>
              </w:rPr>
            </w:pPr>
            <w:r>
              <w:rPr>
                <w:rFonts w:ascii="Arial" w:cs="Arial" w:eastAsia="Arial" w:hAnsi="Arial"/>
                <w:sz w:val="16"/>
                <w:szCs w:val="16"/>
                <w:b w:val="1"/>
                <w:bCs w:val="1"/>
                <w:color w:val="auto"/>
              </w:rPr>
              <w:t>122</w:t>
            </w:r>
          </w:p>
        </w:tc>
        <w:tc>
          <w:tcPr>
            <w:tcW w:w="22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(3,370)</w:t>
            </w:r>
          </w:p>
        </w:tc>
      </w:tr>
      <w:tr>
        <w:trPr>
          <w:trHeight w:val="264"/>
        </w:trPr>
        <w:tc>
          <w:tcPr>
            <w:tcW w:w="4360" w:type="dxa"/>
            <w:vAlign w:val="bottom"/>
          </w:tcPr>
          <w:p>
            <w:pPr>
              <w:ind w:left="180"/>
              <w:spacing w:after="0"/>
              <w:rPr>
                <w:sz w:val="20"/>
                <w:szCs w:val="20"/>
                <w:color w:val="auto"/>
              </w:rPr>
            </w:pPr>
            <w:r>
              <w:rPr>
                <w:rFonts w:ascii="Arial" w:cs="Arial" w:eastAsia="Arial" w:hAnsi="Arial"/>
                <w:sz w:val="16"/>
                <w:szCs w:val="16"/>
                <w:b w:val="1"/>
                <w:bCs w:val="1"/>
                <w:color w:val="auto"/>
              </w:rPr>
              <w:t>Net other comprehensive income</w:t>
            </w:r>
          </w:p>
        </w:tc>
        <w:tc>
          <w:tcPr>
            <w:tcW w:w="180" w:type="dxa"/>
            <w:vAlign w:val="bottom"/>
            <w:tcBorders>
              <w:bottom w:val="single" w:sz="8" w:color="auto"/>
            </w:tcBorders>
          </w:tcPr>
          <w:p>
            <w:pPr>
              <w:spacing w:after="0"/>
              <w:rPr>
                <w:sz w:val="22"/>
                <w:szCs w:val="22"/>
                <w:color w:val="auto"/>
              </w:rPr>
            </w:pPr>
          </w:p>
        </w:tc>
        <w:tc>
          <w:tcPr>
            <w:tcW w:w="1160" w:type="dxa"/>
            <w:vAlign w:val="bottom"/>
            <w:tcBorders>
              <w:bottom w:val="single" w:sz="8" w:color="auto"/>
            </w:tcBorders>
          </w:tcPr>
          <w:p>
            <w:pPr>
              <w:jc w:val="right"/>
              <w:ind w:right="82"/>
              <w:spacing w:after="0"/>
              <w:rPr>
                <w:sz w:val="20"/>
                <w:szCs w:val="20"/>
                <w:color w:val="auto"/>
              </w:rPr>
            </w:pPr>
            <w:r>
              <w:rPr>
                <w:rFonts w:ascii="Arial" w:cs="Arial" w:eastAsia="Arial" w:hAnsi="Arial"/>
                <w:sz w:val="16"/>
                <w:szCs w:val="16"/>
                <w:b w:val="1"/>
                <w:bCs w:val="1"/>
                <w:color w:val="auto"/>
              </w:rPr>
              <w:t>33,312</w:t>
            </w:r>
          </w:p>
        </w:tc>
        <w:tc>
          <w:tcPr>
            <w:tcW w:w="220" w:type="dxa"/>
            <w:vAlign w:val="bottom"/>
            <w:tcBorders>
              <w:bottom w:val="single" w:sz="8" w:color="auto"/>
            </w:tcBorders>
          </w:tcPr>
          <w:p>
            <w:pPr>
              <w:spacing w:after="0"/>
              <w:rPr>
                <w:sz w:val="22"/>
                <w:szCs w:val="22"/>
                <w:color w:val="auto"/>
              </w:rPr>
            </w:pPr>
          </w:p>
        </w:tc>
        <w:tc>
          <w:tcPr>
            <w:tcW w:w="1340" w:type="dxa"/>
            <w:vAlign w:val="bottom"/>
            <w:tcBorders>
              <w:bottom w:val="single" w:sz="8" w:color="auto"/>
            </w:tcBorders>
          </w:tcPr>
          <w:p>
            <w:pPr>
              <w:jc w:val="right"/>
              <w:ind w:right="41"/>
              <w:spacing w:after="0"/>
              <w:rPr>
                <w:sz w:val="20"/>
                <w:szCs w:val="20"/>
                <w:color w:val="auto"/>
              </w:rPr>
            </w:pPr>
            <w:r>
              <w:rPr>
                <w:rFonts w:ascii="Arial" w:cs="Arial" w:eastAsia="Arial" w:hAnsi="Arial"/>
                <w:sz w:val="16"/>
                <w:szCs w:val="16"/>
                <w:b w:val="1"/>
                <w:bCs w:val="1"/>
                <w:color w:val="auto"/>
              </w:rPr>
              <w:t>67,252</w:t>
            </w:r>
          </w:p>
        </w:tc>
        <w:tc>
          <w:tcPr>
            <w:tcW w:w="240" w:type="dxa"/>
            <w:vAlign w:val="bottom"/>
            <w:tcBorders>
              <w:bottom w:val="single" w:sz="8" w:color="auto"/>
            </w:tcBorders>
          </w:tcPr>
          <w:p>
            <w:pPr>
              <w:spacing w:after="0"/>
              <w:rPr>
                <w:sz w:val="22"/>
                <w:szCs w:val="22"/>
                <w:color w:val="auto"/>
              </w:rPr>
            </w:pPr>
          </w:p>
        </w:tc>
        <w:tc>
          <w:tcPr>
            <w:tcW w:w="1360" w:type="dxa"/>
            <w:vAlign w:val="bottom"/>
            <w:tcBorders>
              <w:bottom w:val="single" w:sz="8" w:color="auto"/>
            </w:tcBorders>
          </w:tcPr>
          <w:p>
            <w:pPr>
              <w:jc w:val="right"/>
              <w:ind w:right="62"/>
              <w:spacing w:after="0"/>
              <w:rPr>
                <w:sz w:val="20"/>
                <w:szCs w:val="20"/>
                <w:color w:val="auto"/>
              </w:rPr>
            </w:pPr>
            <w:r>
              <w:rPr>
                <w:rFonts w:ascii="Arial" w:cs="Arial" w:eastAsia="Arial" w:hAnsi="Arial"/>
                <w:sz w:val="16"/>
                <w:szCs w:val="16"/>
                <w:b w:val="1"/>
                <w:bCs w:val="1"/>
                <w:color w:val="auto"/>
              </w:rPr>
              <w:t>127,479</w:t>
            </w:r>
          </w:p>
        </w:tc>
        <w:tc>
          <w:tcPr>
            <w:tcW w:w="240" w:type="dxa"/>
            <w:vAlign w:val="bottom"/>
            <w:tcBorders>
              <w:bottom w:val="single" w:sz="8" w:color="auto"/>
            </w:tcBorders>
          </w:tcPr>
          <w:p>
            <w:pPr>
              <w:spacing w:after="0"/>
              <w:rPr>
                <w:sz w:val="22"/>
                <w:szCs w:val="22"/>
                <w:color w:val="auto"/>
              </w:rPr>
            </w:pPr>
          </w:p>
        </w:tc>
        <w:tc>
          <w:tcPr>
            <w:tcW w:w="780" w:type="dxa"/>
            <w:vAlign w:val="bottom"/>
            <w:tcBorders>
              <w:bottom w:val="single" w:sz="8" w:color="auto"/>
            </w:tcBorders>
          </w:tcPr>
          <w:p>
            <w:pPr>
              <w:jc w:val="right"/>
              <w:ind w:right="60"/>
              <w:spacing w:after="0"/>
              <w:rPr>
                <w:sz w:val="20"/>
                <w:szCs w:val="20"/>
                <w:color w:val="auto"/>
              </w:rPr>
            </w:pPr>
            <w:r>
              <w:rPr>
                <w:rFonts w:ascii="Arial" w:cs="Arial" w:eastAsia="Arial" w:hAnsi="Arial"/>
                <w:sz w:val="16"/>
                <w:szCs w:val="16"/>
                <w:b w:val="1"/>
                <w:bCs w:val="1"/>
                <w:color w:val="auto"/>
              </w:rPr>
              <w:t>93</w:t>
            </w:r>
          </w:p>
        </w:tc>
        <w:tc>
          <w:tcPr>
            <w:tcW w:w="220" w:type="dxa"/>
            <w:vAlign w:val="bottom"/>
            <w:tcBorders>
              <w:bottom w:val="single" w:sz="8" w:color="auto"/>
            </w:tcBorders>
          </w:tcPr>
          <w:p>
            <w:pPr>
              <w:spacing w:after="0"/>
              <w:rPr>
                <w:sz w:val="22"/>
                <w:szCs w:val="22"/>
                <w:color w:val="auto"/>
              </w:rPr>
            </w:pPr>
          </w:p>
        </w:tc>
        <w:tc>
          <w:tcPr>
            <w:tcW w:w="1320" w:type="dxa"/>
            <w:vAlign w:val="bottom"/>
            <w:tcBorders>
              <w:bottom w:val="single" w:sz="8" w:color="auto"/>
            </w:tcBorders>
          </w:tcPr>
          <w:p>
            <w:pPr>
              <w:jc w:val="right"/>
              <w:ind w:right="22"/>
              <w:spacing w:after="0"/>
              <w:rPr>
                <w:sz w:val="20"/>
                <w:szCs w:val="20"/>
                <w:color w:val="auto"/>
              </w:rPr>
            </w:pPr>
            <w:r>
              <w:rPr>
                <w:rFonts w:ascii="Arial" w:cs="Arial" w:eastAsia="Arial" w:hAnsi="Arial"/>
                <w:sz w:val="16"/>
                <w:szCs w:val="16"/>
                <w:b w:val="1"/>
                <w:bCs w:val="1"/>
                <w:color w:val="auto"/>
              </w:rPr>
              <w:t>228,136</w:t>
            </w:r>
          </w:p>
        </w:tc>
      </w:tr>
      <w:tr>
        <w:trPr>
          <w:trHeight w:val="184"/>
        </w:trPr>
        <w:tc>
          <w:tcPr>
            <w:tcW w:w="4360" w:type="dxa"/>
            <w:vAlign w:val="bottom"/>
          </w:tcPr>
          <w:p>
            <w:pPr>
              <w:ind w:left="180"/>
              <w:spacing w:after="0"/>
              <w:rPr>
                <w:sz w:val="20"/>
                <w:szCs w:val="20"/>
                <w:color w:val="auto"/>
              </w:rPr>
            </w:pPr>
            <w:r>
              <w:rPr>
                <w:rFonts w:ascii="Arial" w:cs="Arial" w:eastAsia="Arial" w:hAnsi="Arial"/>
                <w:sz w:val="16"/>
                <w:szCs w:val="16"/>
                <w:b w:val="1"/>
                <w:bCs w:val="1"/>
                <w:color w:val="auto"/>
              </w:rPr>
              <w:t>Reclassification of stranded tax effects to retained</w:t>
            </w:r>
          </w:p>
        </w:tc>
        <w:tc>
          <w:tcPr>
            <w:tcW w:w="18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320" w:type="dxa"/>
            <w:vAlign w:val="bottom"/>
          </w:tcPr>
          <w:p>
            <w:pPr>
              <w:spacing w:after="0"/>
              <w:rPr>
                <w:sz w:val="16"/>
                <w:szCs w:val="16"/>
                <w:color w:val="auto"/>
              </w:rPr>
            </w:pPr>
          </w:p>
        </w:tc>
      </w:tr>
      <w:tr>
        <w:trPr>
          <w:trHeight w:val="228"/>
        </w:trPr>
        <w:tc>
          <w:tcPr>
            <w:tcW w:w="4360" w:type="dxa"/>
            <w:vAlign w:val="bottom"/>
          </w:tcPr>
          <w:p>
            <w:pPr>
              <w:ind w:left="340"/>
              <w:spacing w:after="0"/>
              <w:rPr>
                <w:sz w:val="20"/>
                <w:szCs w:val="20"/>
                <w:color w:val="auto"/>
              </w:rPr>
            </w:pPr>
            <w:r>
              <w:rPr>
                <w:rFonts w:ascii="Arial" w:cs="Arial" w:eastAsia="Arial" w:hAnsi="Arial"/>
                <w:sz w:val="16"/>
                <w:szCs w:val="16"/>
                <w:b w:val="1"/>
                <w:bCs w:val="1"/>
                <w:color w:val="auto"/>
              </w:rPr>
              <w:t>earnings as a result of tax reform</w:t>
            </w:r>
          </w:p>
        </w:tc>
        <w:tc>
          <w:tcPr>
            <w:tcW w:w="18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ind w:right="82"/>
              <w:spacing w:after="0"/>
              <w:rPr>
                <w:sz w:val="20"/>
                <w:szCs w:val="20"/>
                <w:color w:val="auto"/>
              </w:rPr>
            </w:pPr>
            <w:r>
              <w:rPr>
                <w:rFonts w:ascii="Arial" w:cs="Arial" w:eastAsia="Arial" w:hAnsi="Arial"/>
                <w:sz w:val="16"/>
                <w:szCs w:val="16"/>
                <w:b w:val="1"/>
                <w:bCs w:val="1"/>
                <w:color w:val="auto"/>
              </w:rPr>
              <w:t>—</w:t>
            </w:r>
          </w:p>
        </w:tc>
        <w:tc>
          <w:tcPr>
            <w:tcW w:w="22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ind w:right="41"/>
              <w:spacing w:after="0"/>
              <w:rPr>
                <w:sz w:val="20"/>
                <w:szCs w:val="20"/>
                <w:color w:val="auto"/>
              </w:rPr>
            </w:pPr>
            <w:r>
              <w:rPr>
                <w:rFonts w:ascii="Arial" w:cs="Arial" w:eastAsia="Arial" w:hAnsi="Arial"/>
                <w:sz w:val="16"/>
                <w:szCs w:val="16"/>
                <w:b w:val="1"/>
                <w:bCs w:val="1"/>
                <w:color w:val="auto"/>
              </w:rPr>
              <w:t>34,706</w:t>
            </w:r>
          </w:p>
        </w:tc>
        <w:tc>
          <w:tcPr>
            <w:tcW w:w="24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ind w:right="62"/>
              <w:spacing w:after="0"/>
              <w:rPr>
                <w:sz w:val="20"/>
                <w:szCs w:val="20"/>
                <w:color w:val="auto"/>
              </w:rPr>
            </w:pPr>
            <w:r>
              <w:rPr>
                <w:rFonts w:ascii="Arial" w:cs="Arial" w:eastAsia="Arial" w:hAnsi="Arial"/>
                <w:sz w:val="16"/>
                <w:szCs w:val="16"/>
                <w:b w:val="1"/>
                <w:bCs w:val="1"/>
                <w:color w:val="auto"/>
              </w:rPr>
              <w:t>36,227</w:t>
            </w:r>
          </w:p>
        </w:tc>
        <w:tc>
          <w:tcPr>
            <w:tcW w:w="24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ind w:right="60"/>
              <w:spacing w:after="0"/>
              <w:rPr>
                <w:sz w:val="20"/>
                <w:szCs w:val="20"/>
                <w:color w:val="auto"/>
              </w:rPr>
            </w:pPr>
            <w:r>
              <w:rPr>
                <w:rFonts w:ascii="Arial" w:cs="Arial" w:eastAsia="Arial" w:hAnsi="Arial"/>
                <w:sz w:val="16"/>
                <w:szCs w:val="16"/>
                <w:b w:val="1"/>
                <w:bCs w:val="1"/>
                <w:color w:val="auto"/>
              </w:rPr>
              <w:t>—</w:t>
            </w:r>
          </w:p>
        </w:tc>
        <w:tc>
          <w:tcPr>
            <w:tcW w:w="22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ind w:right="22"/>
              <w:spacing w:after="0"/>
              <w:rPr>
                <w:sz w:val="20"/>
                <w:szCs w:val="20"/>
                <w:color w:val="auto"/>
              </w:rPr>
            </w:pPr>
            <w:r>
              <w:rPr>
                <w:rFonts w:ascii="Arial" w:cs="Arial" w:eastAsia="Arial" w:hAnsi="Arial"/>
                <w:sz w:val="16"/>
                <w:szCs w:val="16"/>
                <w:b w:val="1"/>
                <w:bCs w:val="1"/>
                <w:color w:val="auto"/>
              </w:rPr>
              <w:t>70,933</w:t>
            </w:r>
          </w:p>
        </w:tc>
      </w:tr>
      <w:tr>
        <w:trPr>
          <w:trHeight w:val="267"/>
        </w:trPr>
        <w:tc>
          <w:tcPr>
            <w:tcW w:w="4360" w:type="dxa"/>
            <w:vAlign w:val="bottom"/>
          </w:tcPr>
          <w:p>
            <w:pPr>
              <w:ind w:left="40"/>
              <w:spacing w:after="0"/>
              <w:rPr>
                <w:sz w:val="20"/>
                <w:szCs w:val="20"/>
                <w:color w:val="auto"/>
              </w:rPr>
            </w:pPr>
            <w:r>
              <w:rPr>
                <w:rFonts w:ascii="Arial" w:cs="Arial" w:eastAsia="Arial" w:hAnsi="Arial"/>
                <w:sz w:val="16"/>
                <w:szCs w:val="16"/>
                <w:b w:val="1"/>
                <w:bCs w:val="1"/>
                <w:color w:val="auto"/>
              </w:rPr>
              <w:t>As of December 31, 2017</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w:t>
            </w:r>
          </w:p>
        </w:tc>
        <w:tc>
          <w:tcPr>
            <w:tcW w:w="1160" w:type="dxa"/>
            <w:vAlign w:val="bottom"/>
            <w:tcBorders>
              <w:bottom w:val="single" w:sz="8" w:color="auto"/>
            </w:tcBorders>
          </w:tcPr>
          <w:p>
            <w:pPr>
              <w:jc w:val="right"/>
              <w:ind w:right="82"/>
              <w:spacing w:after="0"/>
              <w:rPr>
                <w:sz w:val="20"/>
                <w:szCs w:val="20"/>
                <w:color w:val="auto"/>
              </w:rPr>
            </w:pPr>
            <w:r>
              <w:rPr>
                <w:rFonts w:ascii="Arial" w:cs="Arial" w:eastAsia="Arial" w:hAnsi="Arial"/>
                <w:sz w:val="16"/>
                <w:szCs w:val="16"/>
                <w:b w:val="1"/>
                <w:bCs w:val="1"/>
                <w:color w:val="auto"/>
              </w:rPr>
              <w:t>6,314</w:t>
            </w:r>
          </w:p>
        </w:tc>
        <w:tc>
          <w:tcPr>
            <w:tcW w:w="2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w:t>
            </w:r>
          </w:p>
        </w:tc>
        <w:tc>
          <w:tcPr>
            <w:tcW w:w="1340" w:type="dxa"/>
            <w:vAlign w:val="bottom"/>
            <w:tcBorders>
              <w:bottom w:val="single" w:sz="8" w:color="auto"/>
            </w:tcBorders>
          </w:tcPr>
          <w:p>
            <w:pPr>
              <w:jc w:val="right"/>
              <w:ind w:right="41"/>
              <w:spacing w:after="0"/>
              <w:rPr>
                <w:sz w:val="20"/>
                <w:szCs w:val="20"/>
                <w:color w:val="auto"/>
              </w:rPr>
            </w:pPr>
            <w:r>
              <w:rPr>
                <w:rFonts w:ascii="Arial" w:cs="Arial" w:eastAsia="Arial" w:hAnsi="Arial"/>
                <w:sz w:val="16"/>
                <w:szCs w:val="16"/>
                <w:b w:val="1"/>
                <w:bCs w:val="1"/>
                <w:color w:val="auto"/>
              </w:rPr>
              <w:t>194,889</w:t>
            </w:r>
          </w:p>
        </w:tc>
        <w:tc>
          <w:tcPr>
            <w:tcW w:w="24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w:t>
            </w:r>
          </w:p>
        </w:tc>
        <w:tc>
          <w:tcPr>
            <w:tcW w:w="1360" w:type="dxa"/>
            <w:vAlign w:val="bottom"/>
            <w:tcBorders>
              <w:bottom w:val="single" w:sz="8" w:color="auto"/>
            </w:tcBorders>
          </w:tcPr>
          <w:p>
            <w:pPr>
              <w:jc w:val="right"/>
              <w:ind w:right="62"/>
              <w:spacing w:after="0"/>
              <w:rPr>
                <w:sz w:val="20"/>
                <w:szCs w:val="20"/>
                <w:color w:val="auto"/>
              </w:rPr>
            </w:pPr>
            <w:r>
              <w:rPr>
                <w:rFonts w:ascii="Arial" w:cs="Arial" w:eastAsia="Arial" w:hAnsi="Arial"/>
                <w:sz w:val="16"/>
                <w:szCs w:val="16"/>
                <w:b w:val="1"/>
                <w:bCs w:val="1"/>
                <w:color w:val="auto"/>
              </w:rPr>
              <w:t>334,536</w:t>
            </w:r>
          </w:p>
        </w:tc>
        <w:tc>
          <w:tcPr>
            <w:tcW w:w="24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w:t>
            </w:r>
          </w:p>
        </w:tc>
        <w:tc>
          <w:tcPr>
            <w:tcW w:w="78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b w:val="1"/>
                <w:bCs w:val="1"/>
                <w:color w:val="auto"/>
              </w:rPr>
              <w:t>(184)</w:t>
            </w:r>
          </w:p>
        </w:tc>
        <w:tc>
          <w:tcPr>
            <w:tcW w:w="2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w:t>
            </w:r>
          </w:p>
        </w:tc>
        <w:tc>
          <w:tcPr>
            <w:tcW w:w="1320" w:type="dxa"/>
            <w:vAlign w:val="bottom"/>
            <w:tcBorders>
              <w:bottom w:val="single" w:sz="8" w:color="auto"/>
            </w:tcBorders>
          </w:tcPr>
          <w:p>
            <w:pPr>
              <w:jc w:val="right"/>
              <w:ind w:right="22"/>
              <w:spacing w:after="0"/>
              <w:rPr>
                <w:sz w:val="20"/>
                <w:szCs w:val="20"/>
                <w:color w:val="auto"/>
              </w:rPr>
            </w:pPr>
            <w:r>
              <w:rPr>
                <w:rFonts w:ascii="Arial" w:cs="Arial" w:eastAsia="Arial" w:hAnsi="Arial"/>
                <w:sz w:val="16"/>
                <w:szCs w:val="16"/>
                <w:b w:val="1"/>
                <w:bCs w:val="1"/>
                <w:color w:val="auto"/>
              </w:rPr>
              <w:t>535,555</w:t>
            </w:r>
          </w:p>
        </w:tc>
      </w:tr>
      <w:tr>
        <w:trPr>
          <w:trHeight w:val="20"/>
        </w:trPr>
        <w:tc>
          <w:tcPr>
            <w:tcW w:w="43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112</w:t>
      </w:r>
    </w:p>
    <w:p>
      <w:pPr>
        <w:sectPr>
          <w:pgSz w:w="11900" w:h="16838" w:orient="portrait"/>
          <w:cols w:equalWidth="0" w:num="1">
            <w:col w:w="11420"/>
          </w:cols>
          <w:pgMar w:left="240" w:top="982" w:right="239" w:bottom="1440" w:gutter="0" w:footer="0" w:header="0"/>
          <w:type w:val="continuous"/>
        </w:sectPr>
      </w:pPr>
    </w:p>
    <w:bookmarkStart w:id="116" w:name="page117"/>
    <w:bookmarkEnd w:id="116"/>
    <w:p>
      <w:pPr>
        <w:spacing w:after="0"/>
        <w:rPr>
          <w:sz w:val="20"/>
          <w:szCs w:val="20"/>
          <w:color w:val="auto"/>
        </w:rPr>
      </w:pPr>
      <w:r>
        <w:rPr>
          <w:rFonts w:ascii="Arial" w:cs="Arial" w:eastAsia="Arial" w:hAnsi="Arial"/>
          <w:sz w:val="18"/>
          <w:szCs w:val="18"/>
          <w:color w:val="auto"/>
        </w:rPr>
        <w:t>The amounts and line items of reclassifications out of Accumulated Other Comprehensive Income are as follows:</w:t>
      </w:r>
    </w:p>
    <w:p>
      <w:pPr>
        <w:spacing w:after="0" w:line="199"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560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2740" w:type="dxa"/>
            <w:vAlign w:val="bottom"/>
            <w:tcBorders>
              <w:bottom w:val="single" w:sz="8" w:color="auto"/>
            </w:tcBorders>
            <w:gridSpan w:val="5"/>
          </w:tcPr>
          <w:p>
            <w:pPr>
              <w:jc w:val="right"/>
              <w:ind w:right="520"/>
              <w:spacing w:after="0"/>
              <w:rPr>
                <w:sz w:val="20"/>
                <w:szCs w:val="20"/>
                <w:color w:val="auto"/>
              </w:rPr>
            </w:pPr>
            <w:r>
              <w:rPr>
                <w:rFonts w:ascii="Arial" w:cs="Arial" w:eastAsia="Arial" w:hAnsi="Arial"/>
                <w:sz w:val="14"/>
                <w:szCs w:val="14"/>
                <w:b w:val="1"/>
                <w:bCs w:val="1"/>
                <w:color w:val="auto"/>
              </w:rPr>
              <w:t>Year Ended December 31</w:t>
            </w:r>
          </w:p>
        </w:tc>
        <w:tc>
          <w:tcPr>
            <w:tcW w:w="100" w:type="dxa"/>
            <w:vAlign w:val="bottom"/>
            <w:tcBorders>
              <w:bottom w:val="single" w:sz="8" w:color="auto"/>
            </w:tcBorders>
          </w:tcPr>
          <w:p>
            <w:pPr>
              <w:spacing w:after="0"/>
              <w:rPr>
                <w:sz w:val="17"/>
                <w:szCs w:val="17"/>
                <w:color w:val="auto"/>
              </w:rPr>
            </w:pPr>
          </w:p>
        </w:tc>
        <w:tc>
          <w:tcPr>
            <w:tcW w:w="2740" w:type="dxa"/>
            <w:vAlign w:val="bottom"/>
            <w:vMerge w:val="restart"/>
          </w:tcPr>
          <w:p>
            <w:pPr>
              <w:ind w:left="60"/>
              <w:spacing w:after="0"/>
              <w:rPr>
                <w:sz w:val="20"/>
                <w:szCs w:val="20"/>
                <w:color w:val="auto"/>
              </w:rPr>
            </w:pPr>
            <w:r>
              <w:rPr>
                <w:rFonts w:ascii="Arial" w:cs="Arial" w:eastAsia="Arial" w:hAnsi="Arial"/>
                <w:sz w:val="14"/>
                <w:szCs w:val="14"/>
                <w:b w:val="1"/>
                <w:bCs w:val="1"/>
                <w:color w:val="auto"/>
              </w:rPr>
              <w:t>Affected Line Item in the Consolidated</w:t>
            </w:r>
          </w:p>
        </w:tc>
        <w:tc>
          <w:tcPr>
            <w:tcW w:w="0" w:type="dxa"/>
            <w:vAlign w:val="bottom"/>
          </w:tcPr>
          <w:p>
            <w:pPr>
              <w:spacing w:after="0"/>
              <w:rPr>
                <w:sz w:val="1"/>
                <w:szCs w:val="1"/>
                <w:color w:val="auto"/>
              </w:rPr>
            </w:pPr>
          </w:p>
        </w:tc>
      </w:tr>
      <w:tr>
        <w:trPr>
          <w:trHeight w:val="67"/>
        </w:trPr>
        <w:tc>
          <w:tcPr>
            <w:tcW w:w="5600" w:type="dxa"/>
            <w:vAlign w:val="bottom"/>
          </w:tcPr>
          <w:p>
            <w:pPr>
              <w:spacing w:after="0"/>
              <w:rPr>
                <w:sz w:val="5"/>
                <w:szCs w:val="5"/>
                <w:color w:val="auto"/>
              </w:rPr>
            </w:pPr>
          </w:p>
        </w:tc>
        <w:tc>
          <w:tcPr>
            <w:tcW w:w="220" w:type="dxa"/>
            <w:vAlign w:val="bottom"/>
          </w:tcPr>
          <w:p>
            <w:pPr>
              <w:spacing w:after="0"/>
              <w:rPr>
                <w:sz w:val="5"/>
                <w:szCs w:val="5"/>
                <w:color w:val="auto"/>
              </w:rPr>
            </w:pPr>
          </w:p>
        </w:tc>
        <w:tc>
          <w:tcPr>
            <w:tcW w:w="760" w:type="dxa"/>
            <w:vAlign w:val="bottom"/>
          </w:tcPr>
          <w:p>
            <w:pPr>
              <w:spacing w:after="0"/>
              <w:rPr>
                <w:sz w:val="5"/>
                <w:szCs w:val="5"/>
                <w:color w:val="auto"/>
              </w:rPr>
            </w:pPr>
          </w:p>
        </w:tc>
        <w:tc>
          <w:tcPr>
            <w:tcW w:w="240" w:type="dxa"/>
            <w:vAlign w:val="bottom"/>
          </w:tcPr>
          <w:p>
            <w:pPr>
              <w:spacing w:after="0"/>
              <w:rPr>
                <w:sz w:val="5"/>
                <w:szCs w:val="5"/>
                <w:color w:val="auto"/>
              </w:rPr>
            </w:pPr>
          </w:p>
        </w:tc>
        <w:tc>
          <w:tcPr>
            <w:tcW w:w="760" w:type="dxa"/>
            <w:vAlign w:val="bottom"/>
          </w:tcPr>
          <w:p>
            <w:pPr>
              <w:spacing w:after="0"/>
              <w:rPr>
                <w:sz w:val="5"/>
                <w:szCs w:val="5"/>
                <w:color w:val="auto"/>
              </w:rPr>
            </w:pPr>
          </w:p>
        </w:tc>
        <w:tc>
          <w:tcPr>
            <w:tcW w:w="280" w:type="dxa"/>
            <w:vAlign w:val="bottom"/>
          </w:tcPr>
          <w:p>
            <w:pPr>
              <w:spacing w:after="0"/>
              <w:rPr>
                <w:sz w:val="5"/>
                <w:szCs w:val="5"/>
                <w:color w:val="auto"/>
              </w:rPr>
            </w:pPr>
          </w:p>
        </w:tc>
        <w:tc>
          <w:tcPr>
            <w:tcW w:w="700" w:type="dxa"/>
            <w:vAlign w:val="bottom"/>
          </w:tcPr>
          <w:p>
            <w:pPr>
              <w:spacing w:after="0"/>
              <w:rPr>
                <w:sz w:val="5"/>
                <w:szCs w:val="5"/>
                <w:color w:val="auto"/>
              </w:rPr>
            </w:pPr>
          </w:p>
        </w:tc>
        <w:tc>
          <w:tcPr>
            <w:tcW w:w="100" w:type="dxa"/>
            <w:vAlign w:val="bottom"/>
          </w:tcPr>
          <w:p>
            <w:pPr>
              <w:spacing w:after="0"/>
              <w:rPr>
                <w:sz w:val="5"/>
                <w:szCs w:val="5"/>
                <w:color w:val="auto"/>
              </w:rPr>
            </w:pPr>
          </w:p>
        </w:tc>
        <w:tc>
          <w:tcPr>
            <w:tcW w:w="274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96"/>
        </w:trPr>
        <w:tc>
          <w:tcPr>
            <w:tcW w:w="560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(in thousands)</w:t>
            </w:r>
          </w:p>
        </w:tc>
        <w:tc>
          <w:tcPr>
            <w:tcW w:w="22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jc w:val="right"/>
              <w:ind w:right="280"/>
              <w:spacing w:after="0"/>
              <w:rPr>
                <w:sz w:val="20"/>
                <w:szCs w:val="20"/>
                <w:color w:val="auto"/>
              </w:rPr>
            </w:pPr>
            <w:r>
              <w:rPr>
                <w:rFonts w:ascii="Arial" w:cs="Arial" w:eastAsia="Arial" w:hAnsi="Arial"/>
                <w:sz w:val="14"/>
                <w:szCs w:val="14"/>
                <w:b w:val="1"/>
                <w:bCs w:val="1"/>
                <w:color w:val="auto"/>
              </w:rPr>
              <w:t>2017</w:t>
            </w:r>
          </w:p>
        </w:tc>
        <w:tc>
          <w:tcPr>
            <w:tcW w:w="24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jc w:val="right"/>
              <w:ind w:right="240"/>
              <w:spacing w:after="0"/>
              <w:rPr>
                <w:sz w:val="20"/>
                <w:szCs w:val="20"/>
                <w:color w:val="auto"/>
              </w:rPr>
            </w:pPr>
            <w:r>
              <w:rPr>
                <w:rFonts w:ascii="Arial" w:cs="Arial" w:eastAsia="Arial" w:hAnsi="Arial"/>
                <w:sz w:val="14"/>
                <w:szCs w:val="14"/>
                <w:color w:val="auto"/>
              </w:rPr>
              <w:t>2016</w:t>
            </w:r>
          </w:p>
        </w:tc>
        <w:tc>
          <w:tcPr>
            <w:tcW w:w="280" w:type="dxa"/>
            <w:vAlign w:val="bottom"/>
            <w:tcBorders>
              <w:bottom w:val="single" w:sz="8" w:color="auto"/>
            </w:tcBorders>
          </w:tcPr>
          <w:p>
            <w:pPr>
              <w:spacing w:after="0"/>
              <w:rPr>
                <w:sz w:val="17"/>
                <w:szCs w:val="17"/>
                <w:color w:val="auto"/>
              </w:rPr>
            </w:pPr>
          </w:p>
        </w:tc>
        <w:tc>
          <w:tcPr>
            <w:tcW w:w="700" w:type="dxa"/>
            <w:vAlign w:val="bottom"/>
            <w:tcBorders>
              <w:bottom w:val="single" w:sz="8" w:color="auto"/>
            </w:tcBorders>
          </w:tcPr>
          <w:p>
            <w:pPr>
              <w:jc w:val="right"/>
              <w:ind w:right="220"/>
              <w:spacing w:after="0"/>
              <w:rPr>
                <w:sz w:val="20"/>
                <w:szCs w:val="20"/>
                <w:color w:val="auto"/>
              </w:rPr>
            </w:pPr>
            <w:r>
              <w:rPr>
                <w:rFonts w:ascii="Arial" w:cs="Arial" w:eastAsia="Arial" w:hAnsi="Arial"/>
                <w:sz w:val="14"/>
                <w:szCs w:val="14"/>
                <w:color w:val="auto"/>
              </w:rPr>
              <w:t>2015</w:t>
            </w:r>
          </w:p>
        </w:tc>
        <w:tc>
          <w:tcPr>
            <w:tcW w:w="100" w:type="dxa"/>
            <w:vAlign w:val="bottom"/>
            <w:tcBorders>
              <w:bottom w:val="single" w:sz="8" w:color="auto"/>
            </w:tcBorders>
          </w:tcPr>
          <w:p>
            <w:pPr>
              <w:spacing w:after="0"/>
              <w:rPr>
                <w:sz w:val="17"/>
                <w:szCs w:val="17"/>
                <w:color w:val="auto"/>
              </w:rPr>
            </w:pPr>
          </w:p>
        </w:tc>
        <w:tc>
          <w:tcPr>
            <w:tcW w:w="2740" w:type="dxa"/>
            <w:vAlign w:val="bottom"/>
            <w:tcBorders>
              <w:bottom w:val="single" w:sz="8" w:color="auto"/>
            </w:tcBorders>
          </w:tcPr>
          <w:p>
            <w:pPr>
              <w:ind w:left="540"/>
              <w:spacing w:after="0"/>
              <w:rPr>
                <w:sz w:val="20"/>
                <w:szCs w:val="20"/>
                <w:color w:val="auto"/>
              </w:rPr>
            </w:pPr>
            <w:r>
              <w:rPr>
                <w:rFonts w:ascii="Arial" w:cs="Arial" w:eastAsia="Arial" w:hAnsi="Arial"/>
                <w:sz w:val="14"/>
                <w:szCs w:val="14"/>
                <w:b w:val="1"/>
                <w:bCs w:val="1"/>
                <w:color w:val="auto"/>
              </w:rPr>
              <w:t>Statement of Operations</w:t>
            </w:r>
          </w:p>
        </w:tc>
        <w:tc>
          <w:tcPr>
            <w:tcW w:w="0" w:type="dxa"/>
            <w:vAlign w:val="bottom"/>
          </w:tcPr>
          <w:p>
            <w:pPr>
              <w:spacing w:after="0"/>
              <w:rPr>
                <w:sz w:val="1"/>
                <w:szCs w:val="1"/>
                <w:color w:val="auto"/>
              </w:rPr>
            </w:pPr>
          </w:p>
        </w:tc>
      </w:tr>
      <w:tr>
        <w:trPr>
          <w:trHeight w:val="250"/>
        </w:trPr>
        <w:tc>
          <w:tcPr>
            <w:tcW w:w="5600" w:type="dxa"/>
            <w:vAlign w:val="bottom"/>
          </w:tcPr>
          <w:p>
            <w:pPr>
              <w:ind w:left="40"/>
              <w:spacing w:after="0"/>
              <w:rPr>
                <w:sz w:val="20"/>
                <w:szCs w:val="20"/>
                <w:color w:val="auto"/>
              </w:rPr>
            </w:pPr>
            <w:r>
              <w:rPr>
                <w:rFonts w:ascii="Arial" w:cs="Arial" w:eastAsia="Arial" w:hAnsi="Arial"/>
                <w:sz w:val="16"/>
                <w:szCs w:val="16"/>
                <w:b w:val="1"/>
                <w:bCs w:val="1"/>
                <w:color w:val="auto"/>
              </w:rPr>
              <w:t>Foreign Currency Translation Adjustments:</w:t>
            </w:r>
          </w:p>
        </w:tc>
        <w:tc>
          <w:tcPr>
            <w:tcW w:w="22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7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0"/>
        </w:trPr>
        <w:tc>
          <w:tcPr>
            <w:tcW w:w="5600" w:type="dxa"/>
            <w:vAlign w:val="bottom"/>
          </w:tcPr>
          <w:p>
            <w:pPr>
              <w:ind w:left="180"/>
              <w:spacing w:after="0"/>
              <w:rPr>
                <w:sz w:val="20"/>
                <w:szCs w:val="20"/>
                <w:color w:val="auto"/>
              </w:rPr>
            </w:pPr>
            <w:r>
              <w:rPr>
                <w:rFonts w:ascii="Arial" w:cs="Arial" w:eastAsia="Arial" w:hAnsi="Arial"/>
                <w:sz w:val="16"/>
                <w:szCs w:val="16"/>
                <w:color w:val="auto"/>
              </w:rPr>
              <w:t>Adjustment for sales of businesses with foreign operations</w:t>
            </w:r>
          </w:p>
        </w:tc>
        <w:tc>
          <w:tcPr>
            <w:tcW w:w="220" w:type="dxa"/>
            <w:vAlign w:val="bottom"/>
          </w:tcPr>
          <w:p>
            <w:pPr>
              <w:jc w:val="right"/>
              <w:ind w:right="19"/>
              <w:spacing w:after="0"/>
              <w:rPr>
                <w:sz w:val="20"/>
                <w:szCs w:val="20"/>
                <w:color w:val="auto"/>
              </w:rPr>
            </w:pPr>
            <w:r>
              <w:rPr>
                <w:rFonts w:ascii="Arial" w:cs="Arial" w:eastAsia="Arial" w:hAnsi="Arial"/>
                <w:sz w:val="16"/>
                <w:szCs w:val="16"/>
                <w:b w:val="1"/>
                <w:bCs w:val="1"/>
                <w:color w:val="auto"/>
              </w:rPr>
              <w:t>$</w:t>
            </w:r>
          </w:p>
        </w:tc>
        <w:tc>
          <w:tcPr>
            <w:tcW w:w="760" w:type="dxa"/>
            <w:vAlign w:val="bottom"/>
          </w:tcPr>
          <w:p>
            <w:pPr>
              <w:jc w:val="right"/>
              <w:ind w:right="80"/>
              <w:spacing w:after="0"/>
              <w:rPr>
                <w:sz w:val="20"/>
                <w:szCs w:val="20"/>
                <w:color w:val="auto"/>
              </w:rPr>
            </w:pPr>
            <w:r>
              <w:rPr>
                <w:rFonts w:ascii="Arial" w:cs="Arial" w:eastAsia="Arial" w:hAnsi="Arial"/>
                <w:sz w:val="16"/>
                <w:szCs w:val="16"/>
                <w:b w:val="1"/>
                <w:bCs w:val="1"/>
                <w:color w:val="auto"/>
              </w:rPr>
              <w:t>137</w:t>
            </w:r>
          </w:p>
        </w:tc>
        <w:tc>
          <w:tcPr>
            <w:tcW w:w="240" w:type="dxa"/>
            <w:vAlign w:val="bottom"/>
          </w:tcPr>
          <w:p>
            <w:pPr>
              <w:jc w:val="right"/>
              <w:spacing w:after="0"/>
              <w:rPr>
                <w:sz w:val="20"/>
                <w:szCs w:val="20"/>
                <w:color w:val="auto"/>
              </w:rPr>
            </w:pPr>
            <w:r>
              <w:rPr>
                <w:rFonts w:ascii="Arial" w:cs="Arial" w:eastAsia="Arial" w:hAnsi="Arial"/>
                <w:sz w:val="16"/>
                <w:szCs w:val="16"/>
                <w:color w:val="auto"/>
              </w:rPr>
              <w:t>$</w:t>
            </w:r>
          </w:p>
        </w:tc>
        <w:tc>
          <w:tcPr>
            <w:tcW w:w="760" w:type="dxa"/>
            <w:vAlign w:val="bottom"/>
          </w:tcPr>
          <w:p>
            <w:pPr>
              <w:jc w:val="right"/>
              <w:ind w:right="60"/>
              <w:spacing w:after="0"/>
              <w:rPr>
                <w:sz w:val="20"/>
                <w:szCs w:val="20"/>
                <w:color w:val="auto"/>
              </w:rPr>
            </w:pPr>
            <w:r>
              <w:rPr>
                <w:rFonts w:ascii="Arial" w:cs="Arial" w:eastAsia="Arial" w:hAnsi="Arial"/>
                <w:sz w:val="16"/>
                <w:szCs w:val="16"/>
                <w:color w:val="auto"/>
              </w:rPr>
              <w:t>—</w:t>
            </w:r>
          </w:p>
        </w:tc>
        <w:tc>
          <w:tcPr>
            <w:tcW w:w="28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700" w:type="dxa"/>
            <w:vAlign w:val="bottom"/>
          </w:tcPr>
          <w:p>
            <w:pPr>
              <w:jc w:val="right"/>
              <w:ind w:right="40"/>
              <w:spacing w:after="0"/>
              <w:rPr>
                <w:sz w:val="20"/>
                <w:szCs w:val="20"/>
                <w:color w:val="auto"/>
              </w:rPr>
            </w:pPr>
            <w:r>
              <w:rPr>
                <w:rFonts w:ascii="Arial" w:cs="Arial" w:eastAsia="Arial" w:hAnsi="Arial"/>
                <w:sz w:val="16"/>
                <w:szCs w:val="16"/>
                <w:color w:val="auto"/>
              </w:rPr>
              <w:t>5,501</w:t>
            </w:r>
          </w:p>
        </w:tc>
        <w:tc>
          <w:tcPr>
            <w:tcW w:w="100" w:type="dxa"/>
            <w:vAlign w:val="bottom"/>
          </w:tcPr>
          <w:p>
            <w:pPr>
              <w:spacing w:after="0"/>
              <w:rPr>
                <w:sz w:val="23"/>
                <w:szCs w:val="23"/>
                <w:color w:val="auto"/>
              </w:rPr>
            </w:pPr>
          </w:p>
        </w:tc>
        <w:tc>
          <w:tcPr>
            <w:tcW w:w="2740" w:type="dxa"/>
            <w:vAlign w:val="bottom"/>
          </w:tcPr>
          <w:p>
            <w:pPr>
              <w:ind w:left="40"/>
              <w:spacing w:after="0"/>
              <w:rPr>
                <w:sz w:val="20"/>
                <w:szCs w:val="20"/>
                <w:color w:val="auto"/>
              </w:rPr>
            </w:pPr>
            <w:r>
              <w:rPr>
                <w:rFonts w:ascii="Arial" w:cs="Arial" w:eastAsia="Arial" w:hAnsi="Arial"/>
                <w:sz w:val="16"/>
                <w:szCs w:val="16"/>
                <w:color w:val="auto"/>
              </w:rPr>
              <w:t>Other income (expense), net</w:t>
            </w:r>
          </w:p>
        </w:tc>
        <w:tc>
          <w:tcPr>
            <w:tcW w:w="0" w:type="dxa"/>
            <w:vAlign w:val="bottom"/>
          </w:tcPr>
          <w:p>
            <w:pPr>
              <w:spacing w:after="0"/>
              <w:rPr>
                <w:sz w:val="1"/>
                <w:szCs w:val="1"/>
                <w:color w:val="auto"/>
              </w:rPr>
            </w:pPr>
          </w:p>
        </w:tc>
      </w:tr>
      <w:tr>
        <w:trPr>
          <w:trHeight w:val="270"/>
        </w:trPr>
        <w:tc>
          <w:tcPr>
            <w:tcW w:w="5600" w:type="dxa"/>
            <w:vAlign w:val="bottom"/>
          </w:tcPr>
          <w:p>
            <w:pPr>
              <w:ind w:left="40"/>
              <w:spacing w:after="0"/>
              <w:rPr>
                <w:sz w:val="20"/>
                <w:szCs w:val="20"/>
                <w:color w:val="auto"/>
              </w:rPr>
            </w:pPr>
            <w:r>
              <w:rPr>
                <w:rFonts w:ascii="Arial" w:cs="Arial" w:eastAsia="Arial" w:hAnsi="Arial"/>
                <w:sz w:val="16"/>
                <w:szCs w:val="16"/>
                <w:b w:val="1"/>
                <w:bCs w:val="1"/>
                <w:color w:val="auto"/>
              </w:rPr>
              <w:t>Unrealized Gains on Available-for-Sale Securities:</w:t>
            </w:r>
          </w:p>
        </w:tc>
        <w:tc>
          <w:tcPr>
            <w:tcW w:w="22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7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5600" w:type="dxa"/>
            <w:vAlign w:val="bottom"/>
          </w:tcPr>
          <w:p>
            <w:pPr>
              <w:ind w:left="180"/>
              <w:spacing w:after="0"/>
              <w:rPr>
                <w:sz w:val="20"/>
                <w:szCs w:val="20"/>
                <w:color w:val="auto"/>
              </w:rPr>
            </w:pPr>
            <w:r>
              <w:rPr>
                <w:rFonts w:ascii="Arial" w:cs="Arial" w:eastAsia="Arial" w:hAnsi="Arial"/>
                <w:sz w:val="16"/>
                <w:szCs w:val="16"/>
                <w:color w:val="auto"/>
              </w:rPr>
              <w:t>Realized loss (gain) for the year</w:t>
            </w:r>
          </w:p>
        </w:tc>
        <w:tc>
          <w:tcPr>
            <w:tcW w:w="220" w:type="dxa"/>
            <w:vAlign w:val="bottom"/>
          </w:tcPr>
          <w:p>
            <w:pPr>
              <w:spacing w:after="0"/>
              <w:rPr>
                <w:sz w:val="23"/>
                <w:szCs w:val="23"/>
                <w:color w:val="auto"/>
              </w:rPr>
            </w:pPr>
          </w:p>
        </w:tc>
        <w:tc>
          <w:tcPr>
            <w:tcW w:w="760" w:type="dxa"/>
            <w:vAlign w:val="bottom"/>
          </w:tcPr>
          <w:p>
            <w:pPr>
              <w:jc w:val="right"/>
              <w:ind w:right="80"/>
              <w:spacing w:after="0"/>
              <w:rPr>
                <w:sz w:val="20"/>
                <w:szCs w:val="20"/>
                <w:color w:val="auto"/>
              </w:rPr>
            </w:pPr>
            <w:r>
              <w:rPr>
                <w:rFonts w:ascii="Arial" w:cs="Arial" w:eastAsia="Arial" w:hAnsi="Arial"/>
                <w:sz w:val="16"/>
                <w:szCs w:val="16"/>
                <w:b w:val="1"/>
                <w:bCs w:val="1"/>
                <w:color w:val="auto"/>
              </w:rPr>
              <w:t>—</w:t>
            </w:r>
          </w:p>
        </w:tc>
        <w:tc>
          <w:tcPr>
            <w:tcW w:w="240" w:type="dxa"/>
            <w:vAlign w:val="bottom"/>
          </w:tcPr>
          <w:p>
            <w:pPr>
              <w:spacing w:after="0"/>
              <w:rPr>
                <w:sz w:val="23"/>
                <w:szCs w:val="23"/>
                <w:color w:val="auto"/>
              </w:rPr>
            </w:pPr>
          </w:p>
        </w:tc>
        <w:tc>
          <w:tcPr>
            <w:tcW w:w="760" w:type="dxa"/>
            <w:vAlign w:val="bottom"/>
          </w:tcPr>
          <w:p>
            <w:pPr>
              <w:jc w:val="right"/>
              <w:ind w:right="60"/>
              <w:spacing w:after="0"/>
              <w:rPr>
                <w:sz w:val="20"/>
                <w:szCs w:val="20"/>
                <w:color w:val="auto"/>
              </w:rPr>
            </w:pPr>
            <w:r>
              <w:rPr>
                <w:rFonts w:ascii="Arial" w:cs="Arial" w:eastAsia="Arial" w:hAnsi="Arial"/>
                <w:sz w:val="16"/>
                <w:szCs w:val="16"/>
                <w:color w:val="auto"/>
              </w:rPr>
              <w:t>1,879</w:t>
            </w:r>
          </w:p>
        </w:tc>
        <w:tc>
          <w:tcPr>
            <w:tcW w:w="280" w:type="dxa"/>
            <w:vAlign w:val="bottom"/>
          </w:tcPr>
          <w:p>
            <w:pPr>
              <w:spacing w:after="0"/>
              <w:rPr>
                <w:sz w:val="23"/>
                <w:szCs w:val="23"/>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(4)</w:t>
            </w:r>
          </w:p>
        </w:tc>
        <w:tc>
          <w:tcPr>
            <w:tcW w:w="100" w:type="dxa"/>
            <w:vAlign w:val="bottom"/>
          </w:tcPr>
          <w:p>
            <w:pPr>
              <w:spacing w:after="0"/>
              <w:rPr>
                <w:sz w:val="23"/>
                <w:szCs w:val="23"/>
                <w:color w:val="auto"/>
              </w:rPr>
            </w:pPr>
          </w:p>
        </w:tc>
        <w:tc>
          <w:tcPr>
            <w:tcW w:w="2740" w:type="dxa"/>
            <w:vAlign w:val="bottom"/>
          </w:tcPr>
          <w:p>
            <w:pPr>
              <w:ind w:left="40"/>
              <w:spacing w:after="0"/>
              <w:rPr>
                <w:sz w:val="20"/>
                <w:szCs w:val="20"/>
                <w:color w:val="auto"/>
              </w:rPr>
            </w:pPr>
            <w:r>
              <w:rPr>
                <w:rFonts w:ascii="Arial" w:cs="Arial" w:eastAsia="Arial" w:hAnsi="Arial"/>
                <w:sz w:val="16"/>
                <w:szCs w:val="16"/>
                <w:color w:val="auto"/>
              </w:rPr>
              <w:t>Other income (expense), net</w:t>
            </w:r>
          </w:p>
        </w:tc>
        <w:tc>
          <w:tcPr>
            <w:tcW w:w="0" w:type="dxa"/>
            <w:vAlign w:val="bottom"/>
          </w:tcPr>
          <w:p>
            <w:pPr>
              <w:spacing w:after="0"/>
              <w:rPr>
                <w:sz w:val="1"/>
                <w:szCs w:val="1"/>
                <w:color w:val="auto"/>
              </w:rPr>
            </w:pPr>
          </w:p>
        </w:tc>
      </w:tr>
      <w:tr>
        <w:trPr>
          <w:trHeight w:val="238"/>
        </w:trPr>
        <w:tc>
          <w:tcPr>
            <w:tcW w:w="56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60" w:type="dxa"/>
            <w:vAlign w:val="bottom"/>
            <w:vMerge w:val="restart"/>
          </w:tcPr>
          <w:p>
            <w:pPr>
              <w:jc w:val="right"/>
              <w:ind w:right="80"/>
              <w:spacing w:after="0"/>
              <w:rPr>
                <w:sz w:val="20"/>
                <w:szCs w:val="20"/>
                <w:color w:val="auto"/>
              </w:rPr>
            </w:pPr>
            <w:r>
              <w:rPr>
                <w:rFonts w:ascii="Arial" w:cs="Arial" w:eastAsia="Arial" w:hAnsi="Arial"/>
                <w:sz w:val="16"/>
                <w:szCs w:val="16"/>
                <w:b w:val="1"/>
                <w:bCs w:val="1"/>
                <w:color w:val="auto"/>
              </w:rPr>
              <w:t>—</w:t>
            </w:r>
          </w:p>
        </w:tc>
        <w:tc>
          <w:tcPr>
            <w:tcW w:w="2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740" w:type="dxa"/>
            <w:vAlign w:val="bottom"/>
          </w:tcPr>
          <w:p>
            <w:pPr>
              <w:ind w:left="40"/>
              <w:spacing w:after="0"/>
              <w:rPr>
                <w:sz w:val="20"/>
                <w:szCs w:val="20"/>
                <w:color w:val="auto"/>
              </w:rPr>
            </w:pPr>
            <w:r>
              <w:rPr>
                <w:rFonts w:ascii="Arial" w:cs="Arial" w:eastAsia="Arial" w:hAnsi="Arial"/>
                <w:sz w:val="16"/>
                <w:szCs w:val="16"/>
                <w:color w:val="auto"/>
              </w:rPr>
              <w:t>(Benefit from) provision for income</w:t>
            </w:r>
          </w:p>
        </w:tc>
        <w:tc>
          <w:tcPr>
            <w:tcW w:w="0" w:type="dxa"/>
            <w:vAlign w:val="bottom"/>
          </w:tcPr>
          <w:p>
            <w:pPr>
              <w:spacing w:after="0"/>
              <w:rPr>
                <w:sz w:val="1"/>
                <w:szCs w:val="1"/>
                <w:color w:val="auto"/>
              </w:rPr>
            </w:pPr>
          </w:p>
        </w:tc>
      </w:tr>
      <w:tr>
        <w:trPr>
          <w:trHeight w:val="208"/>
        </w:trPr>
        <w:tc>
          <w:tcPr>
            <w:tcW w:w="560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vMerge w:val="continue"/>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(752)</w:t>
            </w:r>
          </w:p>
        </w:tc>
        <w:tc>
          <w:tcPr>
            <w:tcW w:w="28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color w:val="auto"/>
              </w:rPr>
              <w:t>2</w:t>
            </w:r>
          </w:p>
        </w:tc>
        <w:tc>
          <w:tcPr>
            <w:tcW w:w="100" w:type="dxa"/>
            <w:vAlign w:val="bottom"/>
          </w:tcPr>
          <w:p>
            <w:pPr>
              <w:spacing w:after="0"/>
              <w:rPr>
                <w:sz w:val="18"/>
                <w:szCs w:val="18"/>
                <w:color w:val="auto"/>
              </w:rPr>
            </w:pPr>
          </w:p>
        </w:tc>
        <w:tc>
          <w:tcPr>
            <w:tcW w:w="2740" w:type="dxa"/>
            <w:vAlign w:val="bottom"/>
          </w:tcPr>
          <w:p>
            <w:pPr>
              <w:ind w:left="200"/>
              <w:spacing w:after="0"/>
              <w:rPr>
                <w:sz w:val="20"/>
                <w:szCs w:val="20"/>
                <w:color w:val="auto"/>
              </w:rPr>
            </w:pPr>
            <w:r>
              <w:rPr>
                <w:rFonts w:ascii="Arial" w:cs="Arial" w:eastAsia="Arial" w:hAnsi="Arial"/>
                <w:sz w:val="16"/>
                <w:szCs w:val="16"/>
                <w:color w:val="auto"/>
              </w:rPr>
              <w:t>taxes</w:t>
            </w:r>
          </w:p>
        </w:tc>
        <w:tc>
          <w:tcPr>
            <w:tcW w:w="0" w:type="dxa"/>
            <w:vAlign w:val="bottom"/>
          </w:tcPr>
          <w:p>
            <w:pPr>
              <w:spacing w:after="0"/>
              <w:rPr>
                <w:sz w:val="1"/>
                <w:szCs w:val="1"/>
                <w:color w:val="auto"/>
              </w:rPr>
            </w:pPr>
          </w:p>
        </w:tc>
      </w:tr>
      <w:tr>
        <w:trPr>
          <w:trHeight w:val="264"/>
        </w:trPr>
        <w:tc>
          <w:tcPr>
            <w:tcW w:w="5600" w:type="dxa"/>
            <w:vAlign w:val="bottom"/>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760" w:type="dxa"/>
            <w:vAlign w:val="bottom"/>
            <w:tcBorders>
              <w:bottom w:val="single" w:sz="8" w:color="auto"/>
            </w:tcBorders>
          </w:tcPr>
          <w:p>
            <w:pPr>
              <w:jc w:val="right"/>
              <w:ind w:right="80"/>
              <w:spacing w:after="0"/>
              <w:rPr>
                <w:sz w:val="20"/>
                <w:szCs w:val="20"/>
                <w:color w:val="auto"/>
              </w:rPr>
            </w:pPr>
            <w:r>
              <w:rPr>
                <w:rFonts w:ascii="Arial" w:cs="Arial" w:eastAsia="Arial" w:hAnsi="Arial"/>
                <w:sz w:val="16"/>
                <w:szCs w:val="16"/>
                <w:b w:val="1"/>
                <w:bCs w:val="1"/>
                <w:color w:val="auto"/>
              </w:rPr>
              <w:t>—</w:t>
            </w:r>
          </w:p>
        </w:tc>
        <w:tc>
          <w:tcPr>
            <w:tcW w:w="240" w:type="dxa"/>
            <w:vAlign w:val="bottom"/>
            <w:tcBorders>
              <w:bottom w:val="single" w:sz="8" w:color="auto"/>
            </w:tcBorders>
          </w:tcPr>
          <w:p>
            <w:pPr>
              <w:spacing w:after="0"/>
              <w:rPr>
                <w:sz w:val="22"/>
                <w:szCs w:val="22"/>
                <w:color w:val="auto"/>
              </w:rPr>
            </w:pPr>
          </w:p>
        </w:tc>
        <w:tc>
          <w:tcPr>
            <w:tcW w:w="760" w:type="dxa"/>
            <w:vAlign w:val="bottom"/>
            <w:tcBorders>
              <w:bottom w:val="single" w:sz="8" w:color="auto"/>
            </w:tcBorders>
          </w:tcPr>
          <w:p>
            <w:pPr>
              <w:jc w:val="right"/>
              <w:ind w:right="60"/>
              <w:spacing w:after="0"/>
              <w:rPr>
                <w:sz w:val="20"/>
                <w:szCs w:val="20"/>
                <w:color w:val="auto"/>
              </w:rPr>
            </w:pPr>
            <w:r>
              <w:rPr>
                <w:rFonts w:ascii="Arial" w:cs="Arial" w:eastAsia="Arial" w:hAnsi="Arial"/>
                <w:sz w:val="16"/>
                <w:szCs w:val="16"/>
                <w:color w:val="auto"/>
              </w:rPr>
              <w:t>1,127</w:t>
            </w:r>
          </w:p>
        </w:tc>
        <w:tc>
          <w:tcPr>
            <w:tcW w:w="280" w:type="dxa"/>
            <w:vAlign w:val="bottom"/>
            <w:tcBorders>
              <w:bottom w:val="single" w:sz="8" w:color="auto"/>
            </w:tcBorders>
          </w:tcPr>
          <w:p>
            <w:pPr>
              <w:spacing w:after="0"/>
              <w:rPr>
                <w:sz w:val="22"/>
                <w:szCs w:val="22"/>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w:t>
            </w:r>
          </w:p>
        </w:tc>
        <w:tc>
          <w:tcPr>
            <w:tcW w:w="100" w:type="dxa"/>
            <w:vAlign w:val="bottom"/>
          </w:tcPr>
          <w:p>
            <w:pPr>
              <w:spacing w:after="0"/>
              <w:rPr>
                <w:sz w:val="22"/>
                <w:szCs w:val="22"/>
                <w:color w:val="auto"/>
              </w:rPr>
            </w:pPr>
          </w:p>
        </w:tc>
        <w:tc>
          <w:tcPr>
            <w:tcW w:w="2740" w:type="dxa"/>
            <w:vAlign w:val="bottom"/>
          </w:tcPr>
          <w:p>
            <w:pPr>
              <w:ind w:left="40"/>
              <w:spacing w:after="0"/>
              <w:rPr>
                <w:sz w:val="20"/>
                <w:szCs w:val="20"/>
                <w:color w:val="auto"/>
              </w:rPr>
            </w:pPr>
            <w:r>
              <w:rPr>
                <w:rFonts w:ascii="Arial" w:cs="Arial" w:eastAsia="Arial" w:hAnsi="Arial"/>
                <w:sz w:val="16"/>
                <w:szCs w:val="16"/>
                <w:color w:val="auto"/>
              </w:rPr>
              <w:t>Net of tax</w:t>
            </w:r>
          </w:p>
        </w:tc>
        <w:tc>
          <w:tcPr>
            <w:tcW w:w="0" w:type="dxa"/>
            <w:vAlign w:val="bottom"/>
          </w:tcPr>
          <w:p>
            <w:pPr>
              <w:spacing w:after="0"/>
              <w:rPr>
                <w:sz w:val="1"/>
                <w:szCs w:val="1"/>
                <w:color w:val="auto"/>
              </w:rPr>
            </w:pPr>
          </w:p>
        </w:tc>
      </w:tr>
      <w:tr>
        <w:trPr>
          <w:trHeight w:val="251"/>
        </w:trPr>
        <w:tc>
          <w:tcPr>
            <w:tcW w:w="5600" w:type="dxa"/>
            <w:vAlign w:val="bottom"/>
          </w:tcPr>
          <w:p>
            <w:pPr>
              <w:ind w:left="40"/>
              <w:spacing w:after="0"/>
              <w:rPr>
                <w:sz w:val="20"/>
                <w:szCs w:val="20"/>
                <w:color w:val="auto"/>
              </w:rPr>
            </w:pPr>
            <w:r>
              <w:rPr>
                <w:rFonts w:ascii="Arial" w:cs="Arial" w:eastAsia="Arial" w:hAnsi="Arial"/>
                <w:sz w:val="16"/>
                <w:szCs w:val="16"/>
                <w:b w:val="1"/>
                <w:bCs w:val="1"/>
                <w:color w:val="auto"/>
              </w:rPr>
              <w:t>Pension and Other Postretirement Plans:</w:t>
            </w:r>
          </w:p>
        </w:tc>
        <w:tc>
          <w:tcPr>
            <w:tcW w:w="22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7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0"/>
        </w:trPr>
        <w:tc>
          <w:tcPr>
            <w:tcW w:w="5600" w:type="dxa"/>
            <w:vAlign w:val="bottom"/>
          </w:tcPr>
          <w:p>
            <w:pPr>
              <w:ind w:left="180"/>
              <w:spacing w:after="0"/>
              <w:rPr>
                <w:sz w:val="20"/>
                <w:szCs w:val="20"/>
                <w:color w:val="auto"/>
              </w:rPr>
            </w:pPr>
            <w:r>
              <w:rPr>
                <w:rFonts w:ascii="Arial" w:cs="Arial" w:eastAsia="Arial" w:hAnsi="Arial"/>
                <w:sz w:val="16"/>
                <w:szCs w:val="16"/>
                <w:color w:val="auto"/>
              </w:rPr>
              <w:t>Amortization of net actuarial (gain) loss</w:t>
            </w:r>
          </w:p>
        </w:tc>
        <w:tc>
          <w:tcPr>
            <w:tcW w:w="220" w:type="dxa"/>
            <w:vAlign w:val="bottom"/>
          </w:tcPr>
          <w:p>
            <w:pPr>
              <w:spacing w:after="0"/>
              <w:rPr>
                <w:sz w:val="23"/>
                <w:szCs w:val="23"/>
                <w:color w:val="auto"/>
              </w:rPr>
            </w:pPr>
          </w:p>
        </w:tc>
        <w:tc>
          <w:tcPr>
            <w:tcW w:w="760" w:type="dxa"/>
            <w:vAlign w:val="bottom"/>
          </w:tcPr>
          <w:p>
            <w:pPr>
              <w:jc w:val="right"/>
              <w:ind w:right="20"/>
              <w:spacing w:after="0"/>
              <w:rPr>
                <w:sz w:val="20"/>
                <w:szCs w:val="20"/>
                <w:color w:val="auto"/>
              </w:rPr>
            </w:pPr>
            <w:r>
              <w:rPr>
                <w:rFonts w:ascii="Arial" w:cs="Arial" w:eastAsia="Arial" w:hAnsi="Arial"/>
                <w:sz w:val="16"/>
                <w:szCs w:val="16"/>
                <w:b w:val="1"/>
                <w:bCs w:val="1"/>
                <w:color w:val="auto"/>
              </w:rPr>
              <w:t>(6,527)</w:t>
            </w:r>
          </w:p>
        </w:tc>
        <w:tc>
          <w:tcPr>
            <w:tcW w:w="240" w:type="dxa"/>
            <w:vAlign w:val="bottom"/>
          </w:tcPr>
          <w:p>
            <w:pPr>
              <w:spacing w:after="0"/>
              <w:rPr>
                <w:sz w:val="23"/>
                <w:szCs w:val="23"/>
                <w:color w:val="auto"/>
              </w:rPr>
            </w:pPr>
          </w:p>
        </w:tc>
        <w:tc>
          <w:tcPr>
            <w:tcW w:w="760" w:type="dxa"/>
            <w:vAlign w:val="bottom"/>
          </w:tcPr>
          <w:p>
            <w:pPr>
              <w:jc w:val="right"/>
              <w:ind w:right="60"/>
              <w:spacing w:after="0"/>
              <w:rPr>
                <w:sz w:val="20"/>
                <w:szCs w:val="20"/>
                <w:color w:val="auto"/>
              </w:rPr>
            </w:pPr>
            <w:r>
              <w:rPr>
                <w:rFonts w:ascii="Arial" w:cs="Arial" w:eastAsia="Arial" w:hAnsi="Arial"/>
                <w:sz w:val="16"/>
                <w:szCs w:val="16"/>
                <w:color w:val="auto"/>
              </w:rPr>
              <w:t>1,157</w:t>
            </w:r>
          </w:p>
        </w:tc>
        <w:tc>
          <w:tcPr>
            <w:tcW w:w="280" w:type="dxa"/>
            <w:vAlign w:val="bottom"/>
          </w:tcPr>
          <w:p>
            <w:pPr>
              <w:spacing w:after="0"/>
              <w:rPr>
                <w:sz w:val="23"/>
                <w:szCs w:val="23"/>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(9,906)</w:t>
            </w:r>
          </w:p>
        </w:tc>
        <w:tc>
          <w:tcPr>
            <w:tcW w:w="2840" w:type="dxa"/>
            <w:vAlign w:val="bottom"/>
            <w:gridSpan w:val="2"/>
          </w:tcPr>
          <w:p>
            <w:pPr>
              <w:ind w:left="140"/>
              <w:spacing w:after="0"/>
              <w:rPr>
                <w:sz w:val="20"/>
                <w:szCs w:val="20"/>
                <w:color w:val="auto"/>
              </w:rPr>
            </w:pPr>
            <w:r>
              <w:rPr>
                <w:rFonts w:ascii="Arial" w:cs="Arial" w:eastAsia="Arial" w:hAnsi="Arial"/>
                <w:sz w:val="16"/>
                <w:szCs w:val="16"/>
                <w:color w:val="auto"/>
              </w:rPr>
              <w:t>(1)</w:t>
            </w:r>
          </w:p>
        </w:tc>
        <w:tc>
          <w:tcPr>
            <w:tcW w:w="0" w:type="dxa"/>
            <w:vAlign w:val="bottom"/>
          </w:tcPr>
          <w:p>
            <w:pPr>
              <w:spacing w:after="0"/>
              <w:rPr>
                <w:sz w:val="1"/>
                <w:szCs w:val="1"/>
                <w:color w:val="auto"/>
              </w:rPr>
            </w:pPr>
          </w:p>
        </w:tc>
      </w:tr>
      <w:tr>
        <w:trPr>
          <w:trHeight w:val="270"/>
        </w:trPr>
        <w:tc>
          <w:tcPr>
            <w:tcW w:w="5600" w:type="dxa"/>
            <w:vAlign w:val="bottom"/>
          </w:tcPr>
          <w:p>
            <w:pPr>
              <w:ind w:left="180"/>
              <w:spacing w:after="0"/>
              <w:rPr>
                <w:sz w:val="20"/>
                <w:szCs w:val="20"/>
                <w:color w:val="auto"/>
              </w:rPr>
            </w:pPr>
            <w:r>
              <w:rPr>
                <w:rFonts w:ascii="Arial" w:cs="Arial" w:eastAsia="Arial" w:hAnsi="Arial"/>
                <w:sz w:val="16"/>
                <w:szCs w:val="16"/>
                <w:color w:val="auto"/>
              </w:rPr>
              <w:t>Amortization of net prior service cost</w:t>
            </w:r>
          </w:p>
        </w:tc>
        <w:tc>
          <w:tcPr>
            <w:tcW w:w="220" w:type="dxa"/>
            <w:vAlign w:val="bottom"/>
          </w:tcPr>
          <w:p>
            <w:pPr>
              <w:spacing w:after="0"/>
              <w:rPr>
                <w:sz w:val="23"/>
                <w:szCs w:val="23"/>
                <w:color w:val="auto"/>
              </w:rPr>
            </w:pPr>
          </w:p>
        </w:tc>
        <w:tc>
          <w:tcPr>
            <w:tcW w:w="760" w:type="dxa"/>
            <w:vAlign w:val="bottom"/>
          </w:tcPr>
          <w:p>
            <w:pPr>
              <w:jc w:val="right"/>
              <w:ind w:right="80"/>
              <w:spacing w:after="0"/>
              <w:rPr>
                <w:sz w:val="20"/>
                <w:szCs w:val="20"/>
                <w:color w:val="auto"/>
              </w:rPr>
            </w:pPr>
            <w:r>
              <w:rPr>
                <w:rFonts w:ascii="Arial" w:cs="Arial" w:eastAsia="Arial" w:hAnsi="Arial"/>
                <w:sz w:val="16"/>
                <w:szCs w:val="16"/>
                <w:b w:val="1"/>
                <w:bCs w:val="1"/>
                <w:color w:val="auto"/>
              </w:rPr>
              <w:t>477</w:t>
            </w:r>
          </w:p>
        </w:tc>
        <w:tc>
          <w:tcPr>
            <w:tcW w:w="240" w:type="dxa"/>
            <w:vAlign w:val="bottom"/>
          </w:tcPr>
          <w:p>
            <w:pPr>
              <w:spacing w:after="0"/>
              <w:rPr>
                <w:sz w:val="23"/>
                <w:szCs w:val="23"/>
                <w:color w:val="auto"/>
              </w:rPr>
            </w:pPr>
          </w:p>
        </w:tc>
        <w:tc>
          <w:tcPr>
            <w:tcW w:w="760" w:type="dxa"/>
            <w:vAlign w:val="bottom"/>
          </w:tcPr>
          <w:p>
            <w:pPr>
              <w:jc w:val="right"/>
              <w:ind w:right="60"/>
              <w:spacing w:after="0"/>
              <w:rPr>
                <w:sz w:val="20"/>
                <w:szCs w:val="20"/>
                <w:color w:val="auto"/>
              </w:rPr>
            </w:pPr>
            <w:r>
              <w:rPr>
                <w:rFonts w:ascii="Arial" w:cs="Arial" w:eastAsia="Arial" w:hAnsi="Arial"/>
                <w:sz w:val="16"/>
                <w:szCs w:val="16"/>
                <w:color w:val="auto"/>
              </w:rPr>
              <w:t>419</w:t>
            </w:r>
          </w:p>
        </w:tc>
        <w:tc>
          <w:tcPr>
            <w:tcW w:w="280" w:type="dxa"/>
            <w:vAlign w:val="bottom"/>
          </w:tcPr>
          <w:p>
            <w:pPr>
              <w:spacing w:after="0"/>
              <w:rPr>
                <w:sz w:val="23"/>
                <w:szCs w:val="23"/>
                <w:color w:val="auto"/>
              </w:rPr>
            </w:pPr>
          </w:p>
        </w:tc>
        <w:tc>
          <w:tcPr>
            <w:tcW w:w="700" w:type="dxa"/>
            <w:vAlign w:val="bottom"/>
          </w:tcPr>
          <w:p>
            <w:pPr>
              <w:jc w:val="right"/>
              <w:ind w:right="40"/>
              <w:spacing w:after="0"/>
              <w:rPr>
                <w:sz w:val="20"/>
                <w:szCs w:val="20"/>
                <w:color w:val="auto"/>
              </w:rPr>
            </w:pPr>
            <w:r>
              <w:rPr>
                <w:rFonts w:ascii="Arial" w:cs="Arial" w:eastAsia="Arial" w:hAnsi="Arial"/>
                <w:sz w:val="16"/>
                <w:szCs w:val="16"/>
                <w:color w:val="auto"/>
              </w:rPr>
              <w:t>275</w:t>
            </w:r>
          </w:p>
        </w:tc>
        <w:tc>
          <w:tcPr>
            <w:tcW w:w="2840" w:type="dxa"/>
            <w:vAlign w:val="bottom"/>
            <w:gridSpan w:val="2"/>
          </w:tcPr>
          <w:p>
            <w:pPr>
              <w:ind w:left="140"/>
              <w:spacing w:after="0"/>
              <w:rPr>
                <w:sz w:val="20"/>
                <w:szCs w:val="20"/>
                <w:color w:val="auto"/>
              </w:rPr>
            </w:pPr>
            <w:r>
              <w:rPr>
                <w:rFonts w:ascii="Arial" w:cs="Arial" w:eastAsia="Arial" w:hAnsi="Arial"/>
                <w:sz w:val="16"/>
                <w:szCs w:val="16"/>
                <w:color w:val="auto"/>
              </w:rPr>
              <w:t>(1)</w:t>
            </w:r>
          </w:p>
        </w:tc>
        <w:tc>
          <w:tcPr>
            <w:tcW w:w="0" w:type="dxa"/>
            <w:vAlign w:val="bottom"/>
          </w:tcPr>
          <w:p>
            <w:pPr>
              <w:spacing w:after="0"/>
              <w:rPr>
                <w:sz w:val="1"/>
                <w:szCs w:val="1"/>
                <w:color w:val="auto"/>
              </w:rPr>
            </w:pPr>
          </w:p>
        </w:tc>
      </w:tr>
      <w:tr>
        <w:trPr>
          <w:trHeight w:val="283"/>
        </w:trPr>
        <w:tc>
          <w:tcPr>
            <w:tcW w:w="5600" w:type="dxa"/>
            <w:vAlign w:val="bottom"/>
          </w:tcPr>
          <w:p>
            <w:pPr>
              <w:ind w:left="180"/>
              <w:spacing w:after="0"/>
              <w:rPr>
                <w:sz w:val="20"/>
                <w:szCs w:val="20"/>
                <w:color w:val="auto"/>
              </w:rPr>
            </w:pPr>
            <w:r>
              <w:rPr>
                <w:rFonts w:ascii="Arial" w:cs="Arial" w:eastAsia="Arial" w:hAnsi="Arial"/>
                <w:sz w:val="16"/>
                <w:szCs w:val="16"/>
                <w:color w:val="auto"/>
              </w:rPr>
              <w:t>Curtailment (gains) losses</w:t>
            </w:r>
          </w:p>
        </w:tc>
        <w:tc>
          <w:tcPr>
            <w:tcW w:w="22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jc w:val="right"/>
              <w:ind w:right="80"/>
              <w:spacing w:after="0"/>
              <w:rPr>
                <w:sz w:val="20"/>
                <w:szCs w:val="20"/>
                <w:color w:val="auto"/>
              </w:rPr>
            </w:pPr>
            <w:r>
              <w:rPr>
                <w:rFonts w:ascii="Arial" w:cs="Arial" w:eastAsia="Arial" w:hAnsi="Arial"/>
                <w:sz w:val="16"/>
                <w:szCs w:val="16"/>
                <w:b w:val="1"/>
                <w:bCs w:val="1"/>
                <w:color w:val="auto"/>
              </w:rPr>
              <w:t>—</w:t>
            </w:r>
          </w:p>
        </w:tc>
        <w:tc>
          <w:tcPr>
            <w:tcW w:w="24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(17,993)</w:t>
            </w:r>
          </w:p>
        </w:tc>
        <w:tc>
          <w:tcPr>
            <w:tcW w:w="28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color w:val="auto"/>
              </w:rPr>
              <w:t>51</w:t>
            </w:r>
          </w:p>
        </w:tc>
        <w:tc>
          <w:tcPr>
            <w:tcW w:w="2840" w:type="dxa"/>
            <w:vAlign w:val="bottom"/>
            <w:gridSpan w:val="2"/>
          </w:tcPr>
          <w:p>
            <w:pPr>
              <w:ind w:left="140"/>
              <w:spacing w:after="0"/>
              <w:rPr>
                <w:sz w:val="20"/>
                <w:szCs w:val="20"/>
                <w:color w:val="auto"/>
              </w:rPr>
            </w:pPr>
            <w:r>
              <w:rPr>
                <w:rFonts w:ascii="Arial" w:cs="Arial" w:eastAsia="Arial" w:hAnsi="Arial"/>
                <w:sz w:val="16"/>
                <w:szCs w:val="16"/>
                <w:color w:val="auto"/>
              </w:rPr>
              <w:t>(1)</w:t>
            </w:r>
          </w:p>
        </w:tc>
        <w:tc>
          <w:tcPr>
            <w:tcW w:w="0" w:type="dxa"/>
            <w:vAlign w:val="bottom"/>
          </w:tcPr>
          <w:p>
            <w:pPr>
              <w:spacing w:after="0"/>
              <w:rPr>
                <w:sz w:val="1"/>
                <w:szCs w:val="1"/>
                <w:color w:val="auto"/>
              </w:rPr>
            </w:pPr>
          </w:p>
        </w:tc>
      </w:tr>
      <w:tr>
        <w:trPr>
          <w:trHeight w:val="251"/>
        </w:trPr>
        <w:tc>
          <w:tcPr>
            <w:tcW w:w="56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760" w:type="dxa"/>
            <w:vAlign w:val="bottom"/>
          </w:tcPr>
          <w:p>
            <w:pPr>
              <w:jc w:val="right"/>
              <w:ind w:right="20"/>
              <w:spacing w:after="0"/>
              <w:rPr>
                <w:sz w:val="20"/>
                <w:szCs w:val="20"/>
                <w:color w:val="auto"/>
              </w:rPr>
            </w:pPr>
            <w:r>
              <w:rPr>
                <w:rFonts w:ascii="Arial" w:cs="Arial" w:eastAsia="Arial" w:hAnsi="Arial"/>
                <w:sz w:val="16"/>
                <w:szCs w:val="16"/>
                <w:b w:val="1"/>
                <w:bCs w:val="1"/>
                <w:color w:val="auto"/>
              </w:rPr>
              <w:t>(6,050)</w:t>
            </w:r>
          </w:p>
        </w:tc>
        <w:tc>
          <w:tcPr>
            <w:tcW w:w="240" w:type="dxa"/>
            <w:vAlign w:val="bottom"/>
          </w:tcPr>
          <w:p>
            <w:pPr>
              <w:spacing w:after="0"/>
              <w:rPr>
                <w:sz w:val="21"/>
                <w:szCs w:val="21"/>
                <w:color w:val="auto"/>
              </w:rPr>
            </w:pPr>
          </w:p>
        </w:tc>
        <w:tc>
          <w:tcPr>
            <w:tcW w:w="760" w:type="dxa"/>
            <w:vAlign w:val="bottom"/>
          </w:tcPr>
          <w:p>
            <w:pPr>
              <w:jc w:val="right"/>
              <w:ind w:right="20"/>
              <w:spacing w:after="0"/>
              <w:rPr>
                <w:sz w:val="20"/>
                <w:szCs w:val="20"/>
                <w:color w:val="auto"/>
              </w:rPr>
            </w:pPr>
            <w:r>
              <w:rPr>
                <w:rFonts w:ascii="Arial" w:cs="Arial" w:eastAsia="Arial" w:hAnsi="Arial"/>
                <w:sz w:val="16"/>
                <w:szCs w:val="16"/>
                <w:color w:val="auto"/>
              </w:rPr>
              <w:t>(16,417)</w:t>
            </w:r>
          </w:p>
        </w:tc>
        <w:tc>
          <w:tcPr>
            <w:tcW w:w="280" w:type="dxa"/>
            <w:vAlign w:val="bottom"/>
          </w:tcPr>
          <w:p>
            <w:pPr>
              <w:spacing w:after="0"/>
              <w:rPr>
                <w:sz w:val="21"/>
                <w:szCs w:val="21"/>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(9,580)</w:t>
            </w:r>
          </w:p>
        </w:tc>
        <w:tc>
          <w:tcPr>
            <w:tcW w:w="100" w:type="dxa"/>
            <w:vAlign w:val="bottom"/>
          </w:tcPr>
          <w:p>
            <w:pPr>
              <w:spacing w:after="0"/>
              <w:rPr>
                <w:sz w:val="21"/>
                <w:szCs w:val="21"/>
                <w:color w:val="auto"/>
              </w:rPr>
            </w:pPr>
          </w:p>
        </w:tc>
        <w:tc>
          <w:tcPr>
            <w:tcW w:w="2740" w:type="dxa"/>
            <w:vAlign w:val="bottom"/>
          </w:tcPr>
          <w:p>
            <w:pPr>
              <w:ind w:left="40"/>
              <w:spacing w:after="0"/>
              <w:rPr>
                <w:sz w:val="20"/>
                <w:szCs w:val="20"/>
                <w:color w:val="auto"/>
              </w:rPr>
            </w:pPr>
            <w:r>
              <w:rPr>
                <w:rFonts w:ascii="Arial" w:cs="Arial" w:eastAsia="Arial" w:hAnsi="Arial"/>
                <w:sz w:val="16"/>
                <w:szCs w:val="16"/>
                <w:color w:val="auto"/>
              </w:rPr>
              <w:t>Before tax</w:t>
            </w:r>
          </w:p>
        </w:tc>
        <w:tc>
          <w:tcPr>
            <w:tcW w:w="0" w:type="dxa"/>
            <w:vAlign w:val="bottom"/>
          </w:tcPr>
          <w:p>
            <w:pPr>
              <w:spacing w:after="0"/>
              <w:rPr>
                <w:sz w:val="1"/>
                <w:szCs w:val="1"/>
                <w:color w:val="auto"/>
              </w:rPr>
            </w:pPr>
          </w:p>
        </w:tc>
      </w:tr>
      <w:tr>
        <w:trPr>
          <w:trHeight w:val="238"/>
        </w:trPr>
        <w:tc>
          <w:tcPr>
            <w:tcW w:w="56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60" w:type="dxa"/>
            <w:vAlign w:val="bottom"/>
            <w:vMerge w:val="restart"/>
          </w:tcPr>
          <w:p>
            <w:pPr>
              <w:jc w:val="right"/>
              <w:ind w:right="80"/>
              <w:spacing w:after="0"/>
              <w:rPr>
                <w:sz w:val="20"/>
                <w:szCs w:val="20"/>
                <w:color w:val="auto"/>
              </w:rPr>
            </w:pPr>
            <w:r>
              <w:rPr>
                <w:rFonts w:ascii="Arial" w:cs="Arial" w:eastAsia="Arial" w:hAnsi="Arial"/>
                <w:sz w:val="16"/>
                <w:szCs w:val="16"/>
                <w:b w:val="1"/>
                <w:bCs w:val="1"/>
                <w:color w:val="auto"/>
              </w:rPr>
              <w:t>2,421</w:t>
            </w:r>
          </w:p>
        </w:tc>
        <w:tc>
          <w:tcPr>
            <w:tcW w:w="2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740" w:type="dxa"/>
            <w:vAlign w:val="bottom"/>
          </w:tcPr>
          <w:p>
            <w:pPr>
              <w:ind w:left="40"/>
              <w:spacing w:after="0"/>
              <w:rPr>
                <w:sz w:val="20"/>
                <w:szCs w:val="20"/>
                <w:color w:val="auto"/>
              </w:rPr>
            </w:pPr>
            <w:r>
              <w:rPr>
                <w:rFonts w:ascii="Arial" w:cs="Arial" w:eastAsia="Arial" w:hAnsi="Arial"/>
                <w:sz w:val="16"/>
                <w:szCs w:val="16"/>
                <w:color w:val="auto"/>
              </w:rPr>
              <w:t>(Benefit from) provision for income</w:t>
            </w:r>
          </w:p>
        </w:tc>
        <w:tc>
          <w:tcPr>
            <w:tcW w:w="0" w:type="dxa"/>
            <w:vAlign w:val="bottom"/>
          </w:tcPr>
          <w:p>
            <w:pPr>
              <w:spacing w:after="0"/>
              <w:rPr>
                <w:sz w:val="1"/>
                <w:szCs w:val="1"/>
                <w:color w:val="auto"/>
              </w:rPr>
            </w:pPr>
          </w:p>
        </w:tc>
      </w:tr>
      <w:tr>
        <w:trPr>
          <w:trHeight w:val="208"/>
        </w:trPr>
        <w:tc>
          <w:tcPr>
            <w:tcW w:w="560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vMerge w:val="continue"/>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ind w:right="60"/>
              <w:spacing w:after="0"/>
              <w:rPr>
                <w:sz w:val="20"/>
                <w:szCs w:val="20"/>
                <w:color w:val="auto"/>
              </w:rPr>
            </w:pPr>
            <w:r>
              <w:rPr>
                <w:rFonts w:ascii="Arial" w:cs="Arial" w:eastAsia="Arial" w:hAnsi="Arial"/>
                <w:sz w:val="16"/>
                <w:szCs w:val="16"/>
                <w:color w:val="auto"/>
              </w:rPr>
              <w:t>6,567</w:t>
            </w:r>
          </w:p>
        </w:tc>
        <w:tc>
          <w:tcPr>
            <w:tcW w:w="28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color w:val="auto"/>
              </w:rPr>
              <w:t>3,831</w:t>
            </w:r>
          </w:p>
        </w:tc>
        <w:tc>
          <w:tcPr>
            <w:tcW w:w="100" w:type="dxa"/>
            <w:vAlign w:val="bottom"/>
          </w:tcPr>
          <w:p>
            <w:pPr>
              <w:spacing w:after="0"/>
              <w:rPr>
                <w:sz w:val="18"/>
                <w:szCs w:val="18"/>
                <w:color w:val="auto"/>
              </w:rPr>
            </w:pPr>
          </w:p>
        </w:tc>
        <w:tc>
          <w:tcPr>
            <w:tcW w:w="2740" w:type="dxa"/>
            <w:vAlign w:val="bottom"/>
          </w:tcPr>
          <w:p>
            <w:pPr>
              <w:ind w:left="200"/>
              <w:spacing w:after="0"/>
              <w:rPr>
                <w:sz w:val="20"/>
                <w:szCs w:val="20"/>
                <w:color w:val="auto"/>
              </w:rPr>
            </w:pPr>
            <w:r>
              <w:rPr>
                <w:rFonts w:ascii="Arial" w:cs="Arial" w:eastAsia="Arial" w:hAnsi="Arial"/>
                <w:sz w:val="16"/>
                <w:szCs w:val="16"/>
                <w:color w:val="auto"/>
              </w:rPr>
              <w:t>taxes</w:t>
            </w:r>
          </w:p>
        </w:tc>
        <w:tc>
          <w:tcPr>
            <w:tcW w:w="0" w:type="dxa"/>
            <w:vAlign w:val="bottom"/>
          </w:tcPr>
          <w:p>
            <w:pPr>
              <w:spacing w:after="0"/>
              <w:rPr>
                <w:sz w:val="1"/>
                <w:szCs w:val="1"/>
                <w:color w:val="auto"/>
              </w:rPr>
            </w:pPr>
          </w:p>
        </w:tc>
      </w:tr>
      <w:tr>
        <w:trPr>
          <w:trHeight w:val="264"/>
        </w:trPr>
        <w:tc>
          <w:tcPr>
            <w:tcW w:w="5600" w:type="dxa"/>
            <w:vAlign w:val="bottom"/>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76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b w:val="1"/>
                <w:bCs w:val="1"/>
                <w:color w:val="auto"/>
              </w:rPr>
              <w:t>(3,629)</w:t>
            </w:r>
          </w:p>
        </w:tc>
        <w:tc>
          <w:tcPr>
            <w:tcW w:w="240" w:type="dxa"/>
            <w:vAlign w:val="bottom"/>
            <w:tcBorders>
              <w:bottom w:val="single" w:sz="8" w:color="auto"/>
            </w:tcBorders>
          </w:tcPr>
          <w:p>
            <w:pPr>
              <w:spacing w:after="0"/>
              <w:rPr>
                <w:sz w:val="22"/>
                <w:szCs w:val="22"/>
                <w:color w:val="auto"/>
              </w:rPr>
            </w:pPr>
          </w:p>
        </w:tc>
        <w:tc>
          <w:tcPr>
            <w:tcW w:w="76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(9,850)</w:t>
            </w:r>
          </w:p>
        </w:tc>
        <w:tc>
          <w:tcPr>
            <w:tcW w:w="280" w:type="dxa"/>
            <w:vAlign w:val="bottom"/>
            <w:tcBorders>
              <w:bottom w:val="single" w:sz="8" w:color="auto"/>
            </w:tcBorders>
          </w:tcPr>
          <w:p>
            <w:pPr>
              <w:spacing w:after="0"/>
              <w:rPr>
                <w:sz w:val="22"/>
                <w:szCs w:val="22"/>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(5,749)</w:t>
            </w:r>
          </w:p>
        </w:tc>
        <w:tc>
          <w:tcPr>
            <w:tcW w:w="100" w:type="dxa"/>
            <w:vAlign w:val="bottom"/>
          </w:tcPr>
          <w:p>
            <w:pPr>
              <w:spacing w:after="0"/>
              <w:rPr>
                <w:sz w:val="22"/>
                <w:szCs w:val="22"/>
                <w:color w:val="auto"/>
              </w:rPr>
            </w:pPr>
          </w:p>
        </w:tc>
        <w:tc>
          <w:tcPr>
            <w:tcW w:w="2740" w:type="dxa"/>
            <w:vAlign w:val="bottom"/>
          </w:tcPr>
          <w:p>
            <w:pPr>
              <w:ind w:left="40"/>
              <w:spacing w:after="0"/>
              <w:rPr>
                <w:sz w:val="20"/>
                <w:szCs w:val="20"/>
                <w:color w:val="auto"/>
              </w:rPr>
            </w:pPr>
            <w:r>
              <w:rPr>
                <w:rFonts w:ascii="Arial" w:cs="Arial" w:eastAsia="Arial" w:hAnsi="Arial"/>
                <w:sz w:val="16"/>
                <w:szCs w:val="16"/>
                <w:color w:val="auto"/>
              </w:rPr>
              <w:t>Net of tax</w:t>
            </w:r>
          </w:p>
        </w:tc>
        <w:tc>
          <w:tcPr>
            <w:tcW w:w="0" w:type="dxa"/>
            <w:vAlign w:val="bottom"/>
          </w:tcPr>
          <w:p>
            <w:pPr>
              <w:spacing w:after="0"/>
              <w:rPr>
                <w:sz w:val="1"/>
                <w:szCs w:val="1"/>
                <w:color w:val="auto"/>
              </w:rPr>
            </w:pPr>
          </w:p>
        </w:tc>
      </w:tr>
      <w:tr>
        <w:trPr>
          <w:trHeight w:val="251"/>
        </w:trPr>
        <w:tc>
          <w:tcPr>
            <w:tcW w:w="5600" w:type="dxa"/>
            <w:vAlign w:val="bottom"/>
          </w:tcPr>
          <w:p>
            <w:pPr>
              <w:ind w:left="40"/>
              <w:spacing w:after="0"/>
              <w:rPr>
                <w:sz w:val="20"/>
                <w:szCs w:val="20"/>
                <w:color w:val="auto"/>
              </w:rPr>
            </w:pPr>
            <w:r>
              <w:rPr>
                <w:rFonts w:ascii="Arial" w:cs="Arial" w:eastAsia="Arial" w:hAnsi="Arial"/>
                <w:sz w:val="16"/>
                <w:szCs w:val="16"/>
                <w:b w:val="1"/>
                <w:bCs w:val="1"/>
                <w:color w:val="auto"/>
              </w:rPr>
              <w:t>Cash Flow Hedge</w:t>
            </w:r>
          </w:p>
        </w:tc>
        <w:tc>
          <w:tcPr>
            <w:tcW w:w="22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7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0"/>
        </w:trPr>
        <w:tc>
          <w:tcPr>
            <w:tcW w:w="56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760" w:type="dxa"/>
            <w:vAlign w:val="bottom"/>
          </w:tcPr>
          <w:p>
            <w:pPr>
              <w:jc w:val="right"/>
              <w:ind w:right="80"/>
              <w:spacing w:after="0"/>
              <w:rPr>
                <w:sz w:val="20"/>
                <w:szCs w:val="20"/>
                <w:color w:val="auto"/>
              </w:rPr>
            </w:pPr>
            <w:r>
              <w:rPr>
                <w:rFonts w:ascii="Arial" w:cs="Arial" w:eastAsia="Arial" w:hAnsi="Arial"/>
                <w:sz w:val="16"/>
                <w:szCs w:val="16"/>
                <w:b w:val="1"/>
                <w:bCs w:val="1"/>
                <w:color w:val="auto"/>
              </w:rPr>
              <w:t>152</w:t>
            </w:r>
          </w:p>
        </w:tc>
        <w:tc>
          <w:tcPr>
            <w:tcW w:w="240" w:type="dxa"/>
            <w:vAlign w:val="bottom"/>
          </w:tcPr>
          <w:p>
            <w:pPr>
              <w:spacing w:after="0"/>
              <w:rPr>
                <w:sz w:val="23"/>
                <w:szCs w:val="23"/>
                <w:color w:val="auto"/>
              </w:rPr>
            </w:pPr>
          </w:p>
        </w:tc>
        <w:tc>
          <w:tcPr>
            <w:tcW w:w="760" w:type="dxa"/>
            <w:vAlign w:val="bottom"/>
          </w:tcPr>
          <w:p>
            <w:pPr>
              <w:jc w:val="right"/>
              <w:ind w:right="60"/>
              <w:spacing w:after="0"/>
              <w:rPr>
                <w:sz w:val="20"/>
                <w:szCs w:val="20"/>
                <w:color w:val="auto"/>
              </w:rPr>
            </w:pPr>
            <w:r>
              <w:rPr>
                <w:rFonts w:ascii="Arial" w:cs="Arial" w:eastAsia="Arial" w:hAnsi="Arial"/>
                <w:sz w:val="16"/>
                <w:szCs w:val="16"/>
                <w:color w:val="auto"/>
              </w:rPr>
              <w:t>16</w:t>
            </w:r>
          </w:p>
        </w:tc>
        <w:tc>
          <w:tcPr>
            <w:tcW w:w="280" w:type="dxa"/>
            <w:vAlign w:val="bottom"/>
          </w:tcPr>
          <w:p>
            <w:pPr>
              <w:spacing w:after="0"/>
              <w:rPr>
                <w:sz w:val="23"/>
                <w:szCs w:val="23"/>
                <w:color w:val="auto"/>
              </w:rPr>
            </w:pPr>
          </w:p>
        </w:tc>
        <w:tc>
          <w:tcPr>
            <w:tcW w:w="700" w:type="dxa"/>
            <w:vAlign w:val="bottom"/>
          </w:tcPr>
          <w:p>
            <w:pPr>
              <w:jc w:val="right"/>
              <w:ind w:right="40"/>
              <w:spacing w:after="0"/>
              <w:rPr>
                <w:sz w:val="20"/>
                <w:szCs w:val="20"/>
                <w:color w:val="auto"/>
              </w:rPr>
            </w:pPr>
            <w:r>
              <w:rPr>
                <w:rFonts w:ascii="Arial" w:cs="Arial" w:eastAsia="Arial" w:hAnsi="Arial"/>
                <w:sz w:val="16"/>
                <w:szCs w:val="16"/>
                <w:color w:val="auto"/>
              </w:rPr>
              <w:t>132</w:t>
            </w:r>
          </w:p>
        </w:tc>
        <w:tc>
          <w:tcPr>
            <w:tcW w:w="100" w:type="dxa"/>
            <w:vAlign w:val="bottom"/>
          </w:tcPr>
          <w:p>
            <w:pPr>
              <w:spacing w:after="0"/>
              <w:rPr>
                <w:sz w:val="23"/>
                <w:szCs w:val="23"/>
                <w:color w:val="auto"/>
              </w:rPr>
            </w:pPr>
          </w:p>
        </w:tc>
        <w:tc>
          <w:tcPr>
            <w:tcW w:w="2740" w:type="dxa"/>
            <w:vAlign w:val="bottom"/>
          </w:tcPr>
          <w:p>
            <w:pPr>
              <w:ind w:left="40"/>
              <w:spacing w:after="0"/>
              <w:rPr>
                <w:sz w:val="20"/>
                <w:szCs w:val="20"/>
                <w:color w:val="auto"/>
              </w:rPr>
            </w:pPr>
            <w:r>
              <w:rPr>
                <w:rFonts w:ascii="Arial" w:cs="Arial" w:eastAsia="Arial" w:hAnsi="Arial"/>
                <w:sz w:val="16"/>
                <w:szCs w:val="16"/>
                <w:color w:val="auto"/>
              </w:rPr>
              <w:t>Interest expense</w:t>
            </w:r>
          </w:p>
        </w:tc>
        <w:tc>
          <w:tcPr>
            <w:tcW w:w="0" w:type="dxa"/>
            <w:vAlign w:val="bottom"/>
          </w:tcPr>
          <w:p>
            <w:pPr>
              <w:spacing w:after="0"/>
              <w:rPr>
                <w:sz w:val="1"/>
                <w:szCs w:val="1"/>
                <w:color w:val="auto"/>
              </w:rPr>
            </w:pPr>
          </w:p>
        </w:tc>
      </w:tr>
      <w:tr>
        <w:trPr>
          <w:trHeight w:val="238"/>
        </w:trPr>
        <w:tc>
          <w:tcPr>
            <w:tcW w:w="56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60" w:type="dxa"/>
            <w:vAlign w:val="bottom"/>
            <w:vMerge w:val="restart"/>
          </w:tcPr>
          <w:p>
            <w:pPr>
              <w:jc w:val="right"/>
              <w:ind w:right="20"/>
              <w:spacing w:after="0"/>
              <w:rPr>
                <w:sz w:val="20"/>
                <w:szCs w:val="20"/>
                <w:color w:val="auto"/>
              </w:rPr>
            </w:pPr>
            <w:r>
              <w:rPr>
                <w:rFonts w:ascii="Arial" w:cs="Arial" w:eastAsia="Arial" w:hAnsi="Arial"/>
                <w:sz w:val="16"/>
                <w:szCs w:val="16"/>
                <w:b w:val="1"/>
                <w:bCs w:val="1"/>
                <w:color w:val="auto"/>
              </w:rPr>
              <w:t>(30)</w:t>
            </w:r>
          </w:p>
        </w:tc>
        <w:tc>
          <w:tcPr>
            <w:tcW w:w="2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740" w:type="dxa"/>
            <w:vAlign w:val="bottom"/>
          </w:tcPr>
          <w:p>
            <w:pPr>
              <w:ind w:left="40"/>
              <w:spacing w:after="0"/>
              <w:rPr>
                <w:sz w:val="20"/>
                <w:szCs w:val="20"/>
                <w:color w:val="auto"/>
              </w:rPr>
            </w:pPr>
            <w:r>
              <w:rPr>
                <w:rFonts w:ascii="Arial" w:cs="Arial" w:eastAsia="Arial" w:hAnsi="Arial"/>
                <w:sz w:val="16"/>
                <w:szCs w:val="16"/>
                <w:color w:val="auto"/>
              </w:rPr>
              <w:t>(Benefit from) provision for income</w:t>
            </w:r>
          </w:p>
        </w:tc>
        <w:tc>
          <w:tcPr>
            <w:tcW w:w="0" w:type="dxa"/>
            <w:vAlign w:val="bottom"/>
          </w:tcPr>
          <w:p>
            <w:pPr>
              <w:spacing w:after="0"/>
              <w:rPr>
                <w:sz w:val="1"/>
                <w:szCs w:val="1"/>
                <w:color w:val="auto"/>
              </w:rPr>
            </w:pPr>
          </w:p>
        </w:tc>
      </w:tr>
      <w:tr>
        <w:trPr>
          <w:trHeight w:val="208"/>
        </w:trPr>
        <w:tc>
          <w:tcPr>
            <w:tcW w:w="560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vMerge w:val="continue"/>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(3)</w:t>
            </w:r>
          </w:p>
        </w:tc>
        <w:tc>
          <w:tcPr>
            <w:tcW w:w="28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(53)</w:t>
            </w:r>
          </w:p>
        </w:tc>
        <w:tc>
          <w:tcPr>
            <w:tcW w:w="100" w:type="dxa"/>
            <w:vAlign w:val="bottom"/>
          </w:tcPr>
          <w:p>
            <w:pPr>
              <w:spacing w:after="0"/>
              <w:rPr>
                <w:sz w:val="18"/>
                <w:szCs w:val="18"/>
                <w:color w:val="auto"/>
              </w:rPr>
            </w:pPr>
          </w:p>
        </w:tc>
        <w:tc>
          <w:tcPr>
            <w:tcW w:w="2740" w:type="dxa"/>
            <w:vAlign w:val="bottom"/>
          </w:tcPr>
          <w:p>
            <w:pPr>
              <w:ind w:left="200"/>
              <w:spacing w:after="0"/>
              <w:rPr>
                <w:sz w:val="20"/>
                <w:szCs w:val="20"/>
                <w:color w:val="auto"/>
              </w:rPr>
            </w:pPr>
            <w:r>
              <w:rPr>
                <w:rFonts w:ascii="Arial" w:cs="Arial" w:eastAsia="Arial" w:hAnsi="Arial"/>
                <w:sz w:val="16"/>
                <w:szCs w:val="16"/>
                <w:color w:val="auto"/>
              </w:rPr>
              <w:t>taxes</w:t>
            </w:r>
          </w:p>
        </w:tc>
        <w:tc>
          <w:tcPr>
            <w:tcW w:w="0" w:type="dxa"/>
            <w:vAlign w:val="bottom"/>
          </w:tcPr>
          <w:p>
            <w:pPr>
              <w:spacing w:after="0"/>
              <w:rPr>
                <w:sz w:val="1"/>
                <w:szCs w:val="1"/>
                <w:color w:val="auto"/>
              </w:rPr>
            </w:pPr>
          </w:p>
        </w:tc>
      </w:tr>
      <w:tr>
        <w:trPr>
          <w:trHeight w:val="264"/>
        </w:trPr>
        <w:tc>
          <w:tcPr>
            <w:tcW w:w="5600" w:type="dxa"/>
            <w:vAlign w:val="bottom"/>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760" w:type="dxa"/>
            <w:vAlign w:val="bottom"/>
            <w:tcBorders>
              <w:bottom w:val="single" w:sz="8" w:color="auto"/>
            </w:tcBorders>
          </w:tcPr>
          <w:p>
            <w:pPr>
              <w:jc w:val="right"/>
              <w:ind w:right="80"/>
              <w:spacing w:after="0"/>
              <w:rPr>
                <w:sz w:val="20"/>
                <w:szCs w:val="20"/>
                <w:color w:val="auto"/>
              </w:rPr>
            </w:pPr>
            <w:r>
              <w:rPr>
                <w:rFonts w:ascii="Arial" w:cs="Arial" w:eastAsia="Arial" w:hAnsi="Arial"/>
                <w:sz w:val="16"/>
                <w:szCs w:val="16"/>
                <w:b w:val="1"/>
                <w:bCs w:val="1"/>
                <w:color w:val="auto"/>
              </w:rPr>
              <w:t>122</w:t>
            </w:r>
          </w:p>
        </w:tc>
        <w:tc>
          <w:tcPr>
            <w:tcW w:w="240" w:type="dxa"/>
            <w:vAlign w:val="bottom"/>
            <w:tcBorders>
              <w:bottom w:val="single" w:sz="8" w:color="auto"/>
            </w:tcBorders>
          </w:tcPr>
          <w:p>
            <w:pPr>
              <w:spacing w:after="0"/>
              <w:rPr>
                <w:sz w:val="22"/>
                <w:szCs w:val="22"/>
                <w:color w:val="auto"/>
              </w:rPr>
            </w:pPr>
          </w:p>
        </w:tc>
        <w:tc>
          <w:tcPr>
            <w:tcW w:w="760" w:type="dxa"/>
            <w:vAlign w:val="bottom"/>
            <w:tcBorders>
              <w:bottom w:val="single" w:sz="8" w:color="auto"/>
            </w:tcBorders>
          </w:tcPr>
          <w:p>
            <w:pPr>
              <w:jc w:val="right"/>
              <w:ind w:right="60"/>
              <w:spacing w:after="0"/>
              <w:rPr>
                <w:sz w:val="20"/>
                <w:szCs w:val="20"/>
                <w:color w:val="auto"/>
              </w:rPr>
            </w:pPr>
            <w:r>
              <w:rPr>
                <w:rFonts w:ascii="Arial" w:cs="Arial" w:eastAsia="Arial" w:hAnsi="Arial"/>
                <w:sz w:val="16"/>
                <w:szCs w:val="16"/>
                <w:color w:val="auto"/>
              </w:rPr>
              <w:t>13</w:t>
            </w:r>
          </w:p>
        </w:tc>
        <w:tc>
          <w:tcPr>
            <w:tcW w:w="280" w:type="dxa"/>
            <w:vAlign w:val="bottom"/>
            <w:tcBorders>
              <w:bottom w:val="single" w:sz="8" w:color="auto"/>
            </w:tcBorders>
          </w:tcPr>
          <w:p>
            <w:pPr>
              <w:spacing w:after="0"/>
              <w:rPr>
                <w:sz w:val="22"/>
                <w:szCs w:val="22"/>
                <w:color w:val="auto"/>
              </w:rPr>
            </w:pPr>
          </w:p>
        </w:tc>
        <w:tc>
          <w:tcPr>
            <w:tcW w:w="70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color w:val="auto"/>
              </w:rPr>
              <w:t>79</w:t>
            </w:r>
          </w:p>
        </w:tc>
        <w:tc>
          <w:tcPr>
            <w:tcW w:w="100" w:type="dxa"/>
            <w:vAlign w:val="bottom"/>
          </w:tcPr>
          <w:p>
            <w:pPr>
              <w:spacing w:after="0"/>
              <w:rPr>
                <w:sz w:val="22"/>
                <w:szCs w:val="22"/>
                <w:color w:val="auto"/>
              </w:rPr>
            </w:pPr>
          </w:p>
        </w:tc>
        <w:tc>
          <w:tcPr>
            <w:tcW w:w="2740" w:type="dxa"/>
            <w:vAlign w:val="bottom"/>
          </w:tcPr>
          <w:p>
            <w:pPr>
              <w:ind w:left="40"/>
              <w:spacing w:after="0"/>
              <w:rPr>
                <w:sz w:val="20"/>
                <w:szCs w:val="20"/>
                <w:color w:val="auto"/>
              </w:rPr>
            </w:pPr>
            <w:r>
              <w:rPr>
                <w:rFonts w:ascii="Arial" w:cs="Arial" w:eastAsia="Arial" w:hAnsi="Arial"/>
                <w:sz w:val="16"/>
                <w:szCs w:val="16"/>
                <w:color w:val="auto"/>
              </w:rPr>
              <w:t>Net of tax</w:t>
            </w:r>
          </w:p>
        </w:tc>
        <w:tc>
          <w:tcPr>
            <w:tcW w:w="0" w:type="dxa"/>
            <w:vAlign w:val="bottom"/>
          </w:tcPr>
          <w:p>
            <w:pPr>
              <w:spacing w:after="0"/>
              <w:rPr>
                <w:sz w:val="1"/>
                <w:szCs w:val="1"/>
                <w:color w:val="auto"/>
              </w:rPr>
            </w:pPr>
          </w:p>
        </w:tc>
      </w:tr>
      <w:tr>
        <w:trPr>
          <w:trHeight w:val="264"/>
        </w:trPr>
        <w:tc>
          <w:tcPr>
            <w:tcW w:w="5600" w:type="dxa"/>
            <w:vAlign w:val="bottom"/>
          </w:tcPr>
          <w:p>
            <w:pPr>
              <w:ind w:left="40"/>
              <w:spacing w:after="0"/>
              <w:rPr>
                <w:sz w:val="20"/>
                <w:szCs w:val="20"/>
                <w:color w:val="auto"/>
              </w:rPr>
            </w:pPr>
            <w:r>
              <w:rPr>
                <w:rFonts w:ascii="Arial" w:cs="Arial" w:eastAsia="Arial" w:hAnsi="Arial"/>
                <w:sz w:val="16"/>
                <w:szCs w:val="16"/>
                <w:b w:val="1"/>
                <w:bCs w:val="1"/>
                <w:color w:val="auto"/>
              </w:rPr>
              <w:t>Total reclassification for the year</w:t>
            </w:r>
          </w:p>
        </w:tc>
        <w:tc>
          <w:tcPr>
            <w:tcW w:w="2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b w:val="1"/>
                <w:bCs w:val="1"/>
                <w:color w:val="auto"/>
              </w:rPr>
              <w:t>$</w:t>
            </w:r>
          </w:p>
        </w:tc>
        <w:tc>
          <w:tcPr>
            <w:tcW w:w="76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b w:val="1"/>
                <w:bCs w:val="1"/>
                <w:color w:val="auto"/>
              </w:rPr>
              <w:t>(3,370)</w:t>
            </w:r>
          </w:p>
        </w:tc>
        <w:tc>
          <w:tcPr>
            <w:tcW w:w="2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76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(8,710)</w:t>
            </w:r>
          </w:p>
        </w:tc>
        <w:tc>
          <w:tcPr>
            <w:tcW w:w="28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w:t>
            </w: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(171)</w:t>
            </w:r>
          </w:p>
        </w:tc>
        <w:tc>
          <w:tcPr>
            <w:tcW w:w="100" w:type="dxa"/>
            <w:vAlign w:val="bottom"/>
          </w:tcPr>
          <w:p>
            <w:pPr>
              <w:spacing w:after="0"/>
              <w:rPr>
                <w:sz w:val="22"/>
                <w:szCs w:val="22"/>
                <w:color w:val="auto"/>
              </w:rPr>
            </w:pPr>
          </w:p>
        </w:tc>
        <w:tc>
          <w:tcPr>
            <w:tcW w:w="2740" w:type="dxa"/>
            <w:vAlign w:val="bottom"/>
          </w:tcPr>
          <w:p>
            <w:pPr>
              <w:ind w:left="40"/>
              <w:spacing w:after="0"/>
              <w:rPr>
                <w:sz w:val="20"/>
                <w:szCs w:val="20"/>
                <w:color w:val="auto"/>
              </w:rPr>
            </w:pPr>
            <w:r>
              <w:rPr>
                <w:rFonts w:ascii="Arial" w:cs="Arial" w:eastAsia="Arial" w:hAnsi="Arial"/>
                <w:sz w:val="16"/>
                <w:szCs w:val="16"/>
                <w:color w:val="auto"/>
              </w:rPr>
              <w:t>Net of tax</w:t>
            </w:r>
          </w:p>
        </w:tc>
        <w:tc>
          <w:tcPr>
            <w:tcW w:w="0" w:type="dxa"/>
            <w:vAlign w:val="bottom"/>
          </w:tcPr>
          <w:p>
            <w:pPr>
              <w:spacing w:after="0"/>
              <w:rPr>
                <w:sz w:val="1"/>
                <w:szCs w:val="1"/>
                <w:color w:val="auto"/>
              </w:rPr>
            </w:pPr>
          </w:p>
        </w:tc>
      </w:tr>
      <w:tr>
        <w:trPr>
          <w:trHeight w:val="20"/>
        </w:trPr>
        <w:tc>
          <w:tcPr>
            <w:tcW w:w="5600" w:type="dxa"/>
            <w:vAlign w:val="bottom"/>
            <w:vMerge w:val="restart"/>
          </w:tcPr>
          <w:p>
            <w:pPr>
              <w:spacing w:after="0"/>
              <w:rPr>
                <w:sz w:val="20"/>
                <w:szCs w:val="20"/>
                <w:color w:val="auto"/>
              </w:rPr>
            </w:pPr>
            <w:r>
              <w:rPr>
                <w:rFonts w:ascii="Arial" w:cs="Arial" w:eastAsia="Arial" w:hAnsi="Arial"/>
                <w:sz w:val="11"/>
                <w:szCs w:val="11"/>
                <w:color w:val="auto"/>
              </w:rPr>
              <w:t>___________</w:t>
            </w:r>
            <w:r>
              <w:rPr>
                <w:rFonts w:ascii="Arial" w:cs="Arial" w:eastAsia="Arial" w:hAnsi="Arial"/>
                <w:sz w:val="12"/>
                <w:szCs w:val="12"/>
                <w:color w:val="auto"/>
              </w:rPr>
              <w:t>_</w:t>
            </w:r>
          </w:p>
        </w:tc>
        <w:tc>
          <w:tcPr>
            <w:tcW w:w="2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7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0"/>
        </w:trPr>
        <w:tc>
          <w:tcPr>
            <w:tcW w:w="5600" w:type="dxa"/>
            <w:vAlign w:val="bottom"/>
            <w:vMerge w:val="continue"/>
          </w:tcPr>
          <w:p>
            <w:pPr>
              <w:spacing w:after="0"/>
              <w:rPr>
                <w:sz w:val="13"/>
                <w:szCs w:val="13"/>
                <w:color w:val="auto"/>
              </w:rPr>
            </w:pPr>
          </w:p>
        </w:tc>
        <w:tc>
          <w:tcPr>
            <w:tcW w:w="2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74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226" w:lineRule="exact"/>
        <w:rPr>
          <w:sz w:val="20"/>
          <w:szCs w:val="20"/>
          <w:color w:val="auto"/>
        </w:rPr>
      </w:pPr>
    </w:p>
    <w:p>
      <w:pPr>
        <w:spacing w:after="0"/>
        <w:rPr>
          <w:sz w:val="20"/>
          <w:szCs w:val="20"/>
          <w:color w:val="auto"/>
        </w:rPr>
      </w:pPr>
      <w:r>
        <w:rPr>
          <w:rFonts w:ascii="Arial" w:cs="Arial" w:eastAsia="Arial" w:hAnsi="Arial"/>
          <w:sz w:val="13"/>
          <w:szCs w:val="13"/>
          <w:color w:val="auto"/>
        </w:rPr>
        <w:t>(1)  These accumulated other comprehensive income components are included in the computation of net periodic pension and postretirement plan cost (see Note 15).</w:t>
      </w:r>
    </w:p>
    <w:p>
      <w:pPr>
        <w:spacing w:after="0" w:line="117" w:lineRule="exact"/>
        <w:rPr>
          <w:sz w:val="20"/>
          <w:szCs w:val="20"/>
          <w:color w:val="auto"/>
        </w:rPr>
      </w:pPr>
    </w:p>
    <w:p>
      <w:pPr>
        <w:ind w:left="500" w:hanging="492"/>
        <w:spacing w:after="0"/>
        <w:tabs>
          <w:tab w:leader="none" w:pos="500" w:val="left"/>
        </w:tabs>
        <w:numPr>
          <w:ilvl w:val="0"/>
          <w:numId w:val="82"/>
        </w:numPr>
        <w:rPr>
          <w:rFonts w:ascii="Arial" w:cs="Arial" w:eastAsia="Arial" w:hAnsi="Arial"/>
          <w:sz w:val="18"/>
          <w:szCs w:val="18"/>
          <w:b w:val="1"/>
          <w:bCs w:val="1"/>
          <w:color w:val="auto"/>
        </w:rPr>
      </w:pPr>
      <w:r>
        <w:rPr>
          <w:rFonts w:ascii="Arial" w:cs="Arial" w:eastAsia="Arial" w:hAnsi="Arial"/>
          <w:sz w:val="18"/>
          <w:szCs w:val="18"/>
          <w:b w:val="1"/>
          <w:bCs w:val="1"/>
          <w:color w:val="auto"/>
        </w:rPr>
        <w:t>LEASES AND OTHER COMMITMENTS</w:t>
      </w:r>
    </w:p>
    <w:p>
      <w:pPr>
        <w:spacing w:after="0" w:line="166" w:lineRule="exact"/>
        <w:rPr>
          <w:sz w:val="20"/>
          <w:szCs w:val="20"/>
          <w:color w:val="auto"/>
        </w:rPr>
      </w:pPr>
    </w:p>
    <w:p>
      <w:pPr>
        <w:ind w:right="560"/>
        <w:spacing w:after="0" w:line="235" w:lineRule="auto"/>
        <w:rPr>
          <w:sz w:val="20"/>
          <w:szCs w:val="20"/>
          <w:color w:val="auto"/>
        </w:rPr>
      </w:pPr>
      <w:r>
        <w:rPr>
          <w:rFonts w:ascii="Arial" w:cs="Arial" w:eastAsia="Arial" w:hAnsi="Arial"/>
          <w:sz w:val="18"/>
          <w:szCs w:val="18"/>
          <w:color w:val="auto"/>
        </w:rPr>
        <w:t>The Company leases real property under operating agreements. Many of the leases contain renewal options and escalation clauses that require payments of additional rent to the extent of increases in the related operating costs.</w:t>
      </w:r>
    </w:p>
    <w:p>
      <w:pPr>
        <w:spacing w:after="0" w:line="297" w:lineRule="exact"/>
        <w:rPr>
          <w:sz w:val="20"/>
          <w:szCs w:val="20"/>
          <w:color w:val="auto"/>
        </w:rPr>
      </w:pPr>
    </w:p>
    <w:p>
      <w:pPr>
        <w:spacing w:after="0"/>
        <w:rPr>
          <w:sz w:val="20"/>
          <w:szCs w:val="20"/>
          <w:color w:val="auto"/>
        </w:rPr>
      </w:pPr>
      <w:r>
        <w:rPr>
          <w:rFonts w:ascii="Arial" w:cs="Arial" w:eastAsia="Arial" w:hAnsi="Arial"/>
          <w:sz w:val="18"/>
          <w:szCs w:val="18"/>
          <w:color w:val="auto"/>
        </w:rPr>
        <w:t>At December 31, 2017, future minimum rental payments under noncancelable operating leases approximate the following:</w:t>
      </w:r>
    </w:p>
    <w:p>
      <w:pPr>
        <w:spacing w:after="0" w:line="163" w:lineRule="exact"/>
        <w:rPr>
          <w:sz w:val="20"/>
          <w:szCs w:val="20"/>
          <w:color w:val="auto"/>
        </w:rPr>
      </w:pPr>
    </w:p>
    <w:p>
      <w:pPr>
        <w:ind w:left="40"/>
        <w:spacing w:after="0"/>
        <w:rPr>
          <w:sz w:val="20"/>
          <w:szCs w:val="20"/>
          <w:color w:val="auto"/>
        </w:rPr>
      </w:pPr>
      <w:r>
        <w:rPr>
          <w:rFonts w:ascii="Arial" w:cs="Arial" w:eastAsia="Arial" w:hAnsi="Arial"/>
          <w:sz w:val="14"/>
          <w:szCs w:val="14"/>
          <w:color w:val="auto"/>
        </w:rPr>
        <w:t>(in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5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46" w:lineRule="exact"/>
        <w:rPr>
          <w:sz w:val="20"/>
          <w:szCs w:val="20"/>
          <w:color w:val="auto"/>
        </w:rPr>
      </w:pPr>
    </w:p>
    <w:tbl>
      <w:tblPr>
        <w:tblLayout w:type="fixed"/>
        <w:tblInd w:w="40" w:type="dxa"/>
        <w:tblCellMar>
          <w:top w:w="0" w:type="dxa"/>
          <w:left w:w="0" w:type="dxa"/>
          <w:bottom w:w="0" w:type="dxa"/>
          <w:right w:w="0" w:type="dxa"/>
        </w:tblCellMar>
      </w:tblPr>
      <w:tr>
        <w:trPr>
          <w:trHeight w:val="195"/>
        </w:trPr>
        <w:tc>
          <w:tcPr>
            <w:tcW w:w="10240" w:type="dxa"/>
            <w:vAlign w:val="bottom"/>
          </w:tcPr>
          <w:p>
            <w:pPr>
              <w:spacing w:after="0"/>
              <w:rPr>
                <w:sz w:val="20"/>
                <w:szCs w:val="20"/>
                <w:color w:val="auto"/>
              </w:rPr>
            </w:pPr>
            <w:r>
              <w:rPr>
                <w:rFonts w:ascii="Arial" w:cs="Arial" w:eastAsia="Arial" w:hAnsi="Arial"/>
                <w:sz w:val="16"/>
                <w:szCs w:val="16"/>
                <w:color w:val="auto"/>
              </w:rPr>
              <w:t>2018</w:t>
            </w:r>
          </w:p>
        </w:tc>
        <w:tc>
          <w:tcPr>
            <w:tcW w:w="28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860" w:type="dxa"/>
            <w:vAlign w:val="bottom"/>
          </w:tcPr>
          <w:p>
            <w:pPr>
              <w:jc w:val="right"/>
              <w:ind w:right="19"/>
              <w:spacing w:after="0"/>
              <w:rPr>
                <w:sz w:val="20"/>
                <w:szCs w:val="20"/>
                <w:color w:val="auto"/>
              </w:rPr>
            </w:pPr>
            <w:r>
              <w:rPr>
                <w:rFonts w:ascii="Arial" w:cs="Arial" w:eastAsia="Arial" w:hAnsi="Arial"/>
                <w:sz w:val="16"/>
                <w:szCs w:val="16"/>
                <w:color w:val="auto"/>
              </w:rPr>
              <w:t>97,935</w:t>
            </w:r>
          </w:p>
        </w:tc>
      </w:tr>
      <w:tr>
        <w:trPr>
          <w:trHeight w:val="243"/>
        </w:trPr>
        <w:tc>
          <w:tcPr>
            <w:tcW w:w="10240" w:type="dxa"/>
            <w:vAlign w:val="bottom"/>
          </w:tcPr>
          <w:p>
            <w:pPr>
              <w:spacing w:after="0"/>
              <w:rPr>
                <w:sz w:val="20"/>
                <w:szCs w:val="20"/>
                <w:color w:val="auto"/>
              </w:rPr>
            </w:pPr>
            <w:r>
              <w:rPr>
                <w:rFonts w:ascii="Arial" w:cs="Arial" w:eastAsia="Arial" w:hAnsi="Arial"/>
                <w:sz w:val="16"/>
                <w:szCs w:val="16"/>
                <w:color w:val="auto"/>
              </w:rPr>
              <w:t>2019</w:t>
            </w:r>
          </w:p>
        </w:tc>
        <w:tc>
          <w:tcPr>
            <w:tcW w:w="280" w:type="dxa"/>
            <w:vAlign w:val="bottom"/>
          </w:tcPr>
          <w:p>
            <w:pPr>
              <w:spacing w:after="0"/>
              <w:rPr>
                <w:sz w:val="21"/>
                <w:szCs w:val="21"/>
                <w:color w:val="auto"/>
              </w:rPr>
            </w:pPr>
          </w:p>
        </w:tc>
        <w:tc>
          <w:tcPr>
            <w:tcW w:w="860" w:type="dxa"/>
            <w:vAlign w:val="bottom"/>
          </w:tcPr>
          <w:p>
            <w:pPr>
              <w:jc w:val="right"/>
              <w:ind w:right="19"/>
              <w:spacing w:after="0"/>
              <w:rPr>
                <w:sz w:val="20"/>
                <w:szCs w:val="20"/>
                <w:color w:val="auto"/>
              </w:rPr>
            </w:pPr>
            <w:r>
              <w:rPr>
                <w:rFonts w:ascii="Arial" w:cs="Arial" w:eastAsia="Arial" w:hAnsi="Arial"/>
                <w:sz w:val="16"/>
                <w:szCs w:val="16"/>
                <w:color w:val="auto"/>
              </w:rPr>
              <w:t>88,298</w:t>
            </w:r>
          </w:p>
        </w:tc>
      </w:tr>
      <w:tr>
        <w:trPr>
          <w:trHeight w:val="243"/>
        </w:trPr>
        <w:tc>
          <w:tcPr>
            <w:tcW w:w="10240" w:type="dxa"/>
            <w:vAlign w:val="bottom"/>
          </w:tcPr>
          <w:p>
            <w:pPr>
              <w:spacing w:after="0"/>
              <w:rPr>
                <w:sz w:val="20"/>
                <w:szCs w:val="20"/>
                <w:color w:val="auto"/>
              </w:rPr>
            </w:pPr>
            <w:r>
              <w:rPr>
                <w:rFonts w:ascii="Arial" w:cs="Arial" w:eastAsia="Arial" w:hAnsi="Arial"/>
                <w:sz w:val="16"/>
                <w:szCs w:val="16"/>
                <w:color w:val="auto"/>
              </w:rPr>
              <w:t>2020</w:t>
            </w:r>
          </w:p>
        </w:tc>
        <w:tc>
          <w:tcPr>
            <w:tcW w:w="280" w:type="dxa"/>
            <w:vAlign w:val="bottom"/>
          </w:tcPr>
          <w:p>
            <w:pPr>
              <w:spacing w:after="0"/>
              <w:rPr>
                <w:sz w:val="21"/>
                <w:szCs w:val="21"/>
                <w:color w:val="auto"/>
              </w:rPr>
            </w:pPr>
          </w:p>
        </w:tc>
        <w:tc>
          <w:tcPr>
            <w:tcW w:w="860" w:type="dxa"/>
            <w:vAlign w:val="bottom"/>
          </w:tcPr>
          <w:p>
            <w:pPr>
              <w:jc w:val="right"/>
              <w:ind w:right="19"/>
              <w:spacing w:after="0"/>
              <w:rPr>
                <w:sz w:val="20"/>
                <w:szCs w:val="20"/>
                <w:color w:val="auto"/>
              </w:rPr>
            </w:pPr>
            <w:r>
              <w:rPr>
                <w:rFonts w:ascii="Arial" w:cs="Arial" w:eastAsia="Arial" w:hAnsi="Arial"/>
                <w:sz w:val="16"/>
                <w:szCs w:val="16"/>
                <w:color w:val="auto"/>
              </w:rPr>
              <w:t>70,500</w:t>
            </w:r>
          </w:p>
        </w:tc>
      </w:tr>
      <w:tr>
        <w:trPr>
          <w:trHeight w:val="243"/>
        </w:trPr>
        <w:tc>
          <w:tcPr>
            <w:tcW w:w="10240" w:type="dxa"/>
            <w:vAlign w:val="bottom"/>
          </w:tcPr>
          <w:p>
            <w:pPr>
              <w:spacing w:after="0"/>
              <w:rPr>
                <w:sz w:val="20"/>
                <w:szCs w:val="20"/>
                <w:color w:val="auto"/>
              </w:rPr>
            </w:pPr>
            <w:r>
              <w:rPr>
                <w:rFonts w:ascii="Arial" w:cs="Arial" w:eastAsia="Arial" w:hAnsi="Arial"/>
                <w:sz w:val="16"/>
                <w:szCs w:val="16"/>
                <w:color w:val="auto"/>
              </w:rPr>
              <w:t>2021</w:t>
            </w:r>
          </w:p>
        </w:tc>
        <w:tc>
          <w:tcPr>
            <w:tcW w:w="280" w:type="dxa"/>
            <w:vAlign w:val="bottom"/>
          </w:tcPr>
          <w:p>
            <w:pPr>
              <w:spacing w:after="0"/>
              <w:rPr>
                <w:sz w:val="21"/>
                <w:szCs w:val="21"/>
                <w:color w:val="auto"/>
              </w:rPr>
            </w:pPr>
          </w:p>
        </w:tc>
        <w:tc>
          <w:tcPr>
            <w:tcW w:w="860" w:type="dxa"/>
            <w:vAlign w:val="bottom"/>
          </w:tcPr>
          <w:p>
            <w:pPr>
              <w:jc w:val="right"/>
              <w:ind w:right="19"/>
              <w:spacing w:after="0"/>
              <w:rPr>
                <w:sz w:val="20"/>
                <w:szCs w:val="20"/>
                <w:color w:val="auto"/>
              </w:rPr>
            </w:pPr>
            <w:r>
              <w:rPr>
                <w:rFonts w:ascii="Arial" w:cs="Arial" w:eastAsia="Arial" w:hAnsi="Arial"/>
                <w:sz w:val="16"/>
                <w:szCs w:val="16"/>
                <w:color w:val="auto"/>
              </w:rPr>
              <w:t>56,693</w:t>
            </w:r>
          </w:p>
        </w:tc>
      </w:tr>
      <w:tr>
        <w:trPr>
          <w:trHeight w:val="243"/>
        </w:trPr>
        <w:tc>
          <w:tcPr>
            <w:tcW w:w="10240" w:type="dxa"/>
            <w:vAlign w:val="bottom"/>
          </w:tcPr>
          <w:p>
            <w:pPr>
              <w:spacing w:after="0"/>
              <w:rPr>
                <w:sz w:val="20"/>
                <w:szCs w:val="20"/>
                <w:color w:val="auto"/>
              </w:rPr>
            </w:pPr>
            <w:r>
              <w:rPr>
                <w:rFonts w:ascii="Arial" w:cs="Arial" w:eastAsia="Arial" w:hAnsi="Arial"/>
                <w:sz w:val="16"/>
                <w:szCs w:val="16"/>
                <w:color w:val="auto"/>
              </w:rPr>
              <w:t>2022</w:t>
            </w:r>
          </w:p>
        </w:tc>
        <w:tc>
          <w:tcPr>
            <w:tcW w:w="280" w:type="dxa"/>
            <w:vAlign w:val="bottom"/>
          </w:tcPr>
          <w:p>
            <w:pPr>
              <w:spacing w:after="0"/>
              <w:rPr>
                <w:sz w:val="21"/>
                <w:szCs w:val="21"/>
                <w:color w:val="auto"/>
              </w:rPr>
            </w:pPr>
          </w:p>
        </w:tc>
        <w:tc>
          <w:tcPr>
            <w:tcW w:w="860" w:type="dxa"/>
            <w:vAlign w:val="bottom"/>
          </w:tcPr>
          <w:p>
            <w:pPr>
              <w:jc w:val="right"/>
              <w:ind w:right="19"/>
              <w:spacing w:after="0"/>
              <w:rPr>
                <w:sz w:val="20"/>
                <w:szCs w:val="20"/>
                <w:color w:val="auto"/>
              </w:rPr>
            </w:pPr>
            <w:r>
              <w:rPr>
                <w:rFonts w:ascii="Arial" w:cs="Arial" w:eastAsia="Arial" w:hAnsi="Arial"/>
                <w:sz w:val="16"/>
                <w:szCs w:val="16"/>
                <w:color w:val="auto"/>
              </w:rPr>
              <w:t>43,976</w:t>
            </w:r>
          </w:p>
        </w:tc>
      </w:tr>
      <w:tr>
        <w:trPr>
          <w:trHeight w:val="256"/>
        </w:trPr>
        <w:tc>
          <w:tcPr>
            <w:tcW w:w="10240" w:type="dxa"/>
            <w:vAlign w:val="bottom"/>
          </w:tcPr>
          <w:p>
            <w:pPr>
              <w:spacing w:after="0"/>
              <w:rPr>
                <w:sz w:val="20"/>
                <w:szCs w:val="20"/>
                <w:color w:val="auto"/>
              </w:rPr>
            </w:pPr>
            <w:r>
              <w:rPr>
                <w:rFonts w:ascii="Arial" w:cs="Arial" w:eastAsia="Arial" w:hAnsi="Arial"/>
                <w:sz w:val="16"/>
                <w:szCs w:val="16"/>
                <w:color w:val="auto"/>
              </w:rPr>
              <w:t>Thereafter</w:t>
            </w:r>
          </w:p>
        </w:tc>
        <w:tc>
          <w:tcPr>
            <w:tcW w:w="28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121,875</w:t>
            </w:r>
          </w:p>
        </w:tc>
      </w:tr>
      <w:tr>
        <w:trPr>
          <w:trHeight w:val="237"/>
        </w:trPr>
        <w:tc>
          <w:tcPr>
            <w:tcW w:w="10240" w:type="dxa"/>
            <w:vAlign w:val="bottom"/>
          </w:tcPr>
          <w:p>
            <w:pPr>
              <w:spacing w:after="0"/>
              <w:rPr>
                <w:sz w:val="20"/>
                <w:szCs w:val="20"/>
                <w:color w:val="auto"/>
              </w:rPr>
            </w:pPr>
          </w:p>
        </w:tc>
        <w:tc>
          <w:tcPr>
            <w:tcW w:w="28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w:t>
            </w:r>
          </w:p>
        </w:tc>
        <w:tc>
          <w:tcPr>
            <w:tcW w:w="86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479,277</w:t>
            </w:r>
          </w:p>
        </w:tc>
      </w:tr>
      <w:tr>
        <w:trPr>
          <w:trHeight w:val="20"/>
        </w:trPr>
        <w:tc>
          <w:tcPr>
            <w:tcW w:w="102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r>
    </w:tbl>
    <w:p>
      <w:pPr>
        <w:spacing w:after="0" w:line="310" w:lineRule="exact"/>
        <w:rPr>
          <w:sz w:val="20"/>
          <w:szCs w:val="20"/>
          <w:color w:val="auto"/>
        </w:rPr>
      </w:pPr>
    </w:p>
    <w:p>
      <w:pPr>
        <w:spacing w:after="0"/>
        <w:rPr>
          <w:sz w:val="20"/>
          <w:szCs w:val="20"/>
          <w:color w:val="auto"/>
        </w:rPr>
      </w:pPr>
      <w:r>
        <w:rPr>
          <w:rFonts w:ascii="Arial" w:cs="Arial" w:eastAsia="Arial" w:hAnsi="Arial"/>
          <w:sz w:val="18"/>
          <w:szCs w:val="18"/>
          <w:color w:val="auto"/>
        </w:rPr>
        <w:t>Minimum payments have not been reduced by minimum sublease rentals of $78.0 million due in the future under noncancelable subleases.</w:t>
      </w:r>
    </w:p>
    <w:p>
      <w:pPr>
        <w:spacing w:after="0" w:line="144" w:lineRule="exact"/>
        <w:rPr>
          <w:sz w:val="20"/>
          <w:szCs w:val="20"/>
          <w:color w:val="auto"/>
        </w:rPr>
      </w:pPr>
    </w:p>
    <w:p>
      <w:pPr>
        <w:jc w:val="both"/>
        <w:ind w:right="240"/>
        <w:spacing w:after="0" w:line="229" w:lineRule="auto"/>
        <w:rPr>
          <w:sz w:val="20"/>
          <w:szCs w:val="20"/>
          <w:color w:val="auto"/>
        </w:rPr>
      </w:pPr>
      <w:r>
        <w:rPr>
          <w:rFonts w:ascii="Arial" w:cs="Arial" w:eastAsia="Arial" w:hAnsi="Arial"/>
          <w:sz w:val="18"/>
          <w:szCs w:val="18"/>
          <w:color w:val="auto"/>
        </w:rPr>
        <w:t>Rent expense under operating leases, including a portion reported in discontinued operations, was approximately $81.1 million, $86.9 million and $ 102.6 million in 2017, 2016 and 2015, respectively. Sublease income was approximately $14.8 million, $14.3 million and $6.7 million in 2017, 2016 and 2015, respectively.</w:t>
      </w:r>
    </w:p>
    <w:p>
      <w:pPr>
        <w:spacing w:after="0" w:line="137" w:lineRule="exact"/>
        <w:rPr>
          <w:sz w:val="20"/>
          <w:szCs w:val="20"/>
          <w:color w:val="auto"/>
        </w:rPr>
      </w:pPr>
    </w:p>
    <w:p>
      <w:pPr>
        <w:ind w:right="380"/>
        <w:spacing w:after="0" w:line="235" w:lineRule="auto"/>
        <w:rPr>
          <w:sz w:val="20"/>
          <w:szCs w:val="20"/>
          <w:color w:val="auto"/>
        </w:rPr>
      </w:pPr>
      <w:r>
        <w:rPr>
          <w:rFonts w:ascii="Arial" w:cs="Arial" w:eastAsia="Arial" w:hAnsi="Arial"/>
          <w:sz w:val="18"/>
          <w:szCs w:val="18"/>
          <w:color w:val="auto"/>
        </w:rPr>
        <w:t>In connection with the sale of the KHE Campuses business, Kaplan is secondarily liable on a number of leases that were transferred to the buyer; the leases run through 2024 with commitments totaling approximately $33.5 million at December 31, 2017.</w:t>
      </w:r>
    </w:p>
    <w:p>
      <w:pPr>
        <w:spacing w:after="0" w:line="135" w:lineRule="exact"/>
        <w:rPr>
          <w:sz w:val="20"/>
          <w:szCs w:val="20"/>
          <w:color w:val="auto"/>
        </w:rPr>
      </w:pPr>
    </w:p>
    <w:p>
      <w:pPr>
        <w:ind w:right="40"/>
        <w:spacing w:after="0" w:line="229" w:lineRule="auto"/>
        <w:rPr>
          <w:sz w:val="20"/>
          <w:szCs w:val="20"/>
          <w:color w:val="auto"/>
        </w:rPr>
      </w:pPr>
      <w:r>
        <w:rPr>
          <w:rFonts w:ascii="Arial" w:cs="Arial" w:eastAsia="Arial" w:hAnsi="Arial"/>
          <w:sz w:val="18"/>
          <w:szCs w:val="18"/>
          <w:color w:val="auto"/>
        </w:rPr>
        <w:t>The Company’s broadcast subsidiaries are parties to certain agreements that commit them to purchase programming to be produced in future years. At December 31, 2017, such commitments amounted to approximately $21.7 million. If such programs are not produced, the Company’s commitment would expire without obligation.</w:t>
      </w:r>
    </w:p>
    <w:p>
      <w:pPr>
        <w:sectPr>
          <w:pgSz w:w="11900" w:h="16838" w:orient="portrait"/>
          <w:cols w:equalWidth="0" w:num="1">
            <w:col w:w="11420"/>
          </w:cols>
          <w:pgMar w:left="240" w:top="746" w:right="239" w:bottom="1440" w:gutter="0" w:footer="0" w:header="0"/>
        </w:sectPr>
      </w:pPr>
    </w:p>
    <w:p>
      <w:pPr>
        <w:spacing w:after="0" w:line="200" w:lineRule="exact"/>
        <w:rPr>
          <w:sz w:val="20"/>
          <w:szCs w:val="20"/>
          <w:color w:val="auto"/>
        </w:rPr>
      </w:pPr>
    </w:p>
    <w:p>
      <w:pPr>
        <w:spacing w:after="0" w:line="30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113</w:t>
      </w:r>
    </w:p>
    <w:p>
      <w:pPr>
        <w:sectPr>
          <w:pgSz w:w="11900" w:h="16838" w:orient="portrait"/>
          <w:cols w:equalWidth="0" w:num="1">
            <w:col w:w="11420"/>
          </w:cols>
          <w:pgMar w:left="240" w:top="746" w:right="239" w:bottom="1440" w:gutter="0" w:footer="0" w:header="0"/>
          <w:type w:val="continuous"/>
        </w:sectPr>
      </w:pPr>
    </w:p>
    <w:bookmarkStart w:id="117" w:name="page118"/>
    <w:bookmarkEnd w:id="117"/>
    <w:p>
      <w:pPr>
        <w:ind w:left="500" w:hanging="492"/>
        <w:spacing w:after="0"/>
        <w:tabs>
          <w:tab w:leader="none" w:pos="500" w:val="left"/>
        </w:tabs>
        <w:numPr>
          <w:ilvl w:val="0"/>
          <w:numId w:val="83"/>
        </w:numPr>
        <w:rPr>
          <w:rFonts w:ascii="Arial" w:cs="Arial" w:eastAsia="Arial" w:hAnsi="Arial"/>
          <w:sz w:val="18"/>
          <w:szCs w:val="18"/>
          <w:b w:val="1"/>
          <w:bCs w:val="1"/>
          <w:color w:val="auto"/>
        </w:rPr>
      </w:pPr>
      <w:r>
        <w:rPr>
          <w:rFonts w:ascii="Arial" w:cs="Arial" w:eastAsia="Arial" w:hAnsi="Arial"/>
          <w:sz w:val="18"/>
          <w:szCs w:val="18"/>
          <w:b w:val="1"/>
          <w:bCs w:val="1"/>
          <w:color w:val="auto"/>
        </w:rPr>
        <w:t>CONTINGENCIES</w:t>
      </w:r>
    </w:p>
    <w:p>
      <w:pPr>
        <w:spacing w:after="0" w:line="144" w:lineRule="exact"/>
        <w:rPr>
          <w:sz w:val="20"/>
          <w:szCs w:val="20"/>
          <w:color w:val="auto"/>
        </w:rPr>
      </w:pPr>
    </w:p>
    <w:p>
      <w:pPr>
        <w:ind w:right="200"/>
        <w:spacing w:after="0" w:line="225" w:lineRule="auto"/>
        <w:rPr>
          <w:sz w:val="20"/>
          <w:szCs w:val="20"/>
          <w:color w:val="auto"/>
        </w:rPr>
      </w:pPr>
      <w:r>
        <w:rPr>
          <w:rFonts w:ascii="Arial" w:cs="Arial" w:eastAsia="Arial" w:hAnsi="Arial"/>
          <w:sz w:val="18"/>
          <w:szCs w:val="18"/>
          <w:b w:val="1"/>
          <w:bCs w:val="1"/>
          <w:color w:val="auto"/>
        </w:rPr>
        <w:t>Litigation, Legal and Other Matters</w:t>
      </w:r>
      <w:r>
        <w:rPr>
          <w:rFonts w:ascii="Arial" w:cs="Arial" w:eastAsia="Arial" w:hAnsi="Arial"/>
          <w:sz w:val="18"/>
          <w:szCs w:val="18"/>
          <w:color w:val="auto"/>
        </w:rPr>
        <w:t>. The Company and its subsidiaries are subject to complaints and administrative proceedings and are</w:t>
      </w:r>
      <w:r>
        <w:rPr>
          <w:rFonts w:ascii="Arial" w:cs="Arial" w:eastAsia="Arial" w:hAnsi="Arial"/>
          <w:sz w:val="18"/>
          <w:szCs w:val="18"/>
          <w:b w:val="1"/>
          <w:bCs w:val="1"/>
          <w:color w:val="auto"/>
        </w:rPr>
        <w:t xml:space="preserve"> </w:t>
      </w:r>
      <w:r>
        <w:rPr>
          <w:rFonts w:ascii="Arial" w:cs="Arial" w:eastAsia="Arial" w:hAnsi="Arial"/>
          <w:sz w:val="18"/>
          <w:szCs w:val="18"/>
          <w:color w:val="auto"/>
        </w:rPr>
        <w:t>defendants in various civil lawsuits that have arisen in the ordinary course of their businesses, including contract disputes; actions alleging negligence, libel, defamation, invasion of privacy; trademark, copyright and patent infringement; U.S. False Claims Act (False Claims Act) violations; violations of applicable wage and hour laws; and statutory or common law claims involving current and former students and employees. Although the outcomes of the legal claims and proceedings against the Company cannot be predicted with certainty, based on currently available information, management believes that there are no existing claims or proceedings that are likely to have a material effect on the Company’s business, financial condition, results of operations or cash flows. However, based on currently available information, management believes it is reasonably possible that future losses from existing and threatened legal, regulatory and other proceedings in excess of the amounts recorded could reach approximately $30 million.</w:t>
      </w:r>
    </w:p>
    <w:p>
      <w:pPr>
        <w:spacing w:after="0" w:line="139" w:lineRule="exact"/>
        <w:rPr>
          <w:sz w:val="20"/>
          <w:szCs w:val="20"/>
          <w:color w:val="auto"/>
        </w:rPr>
      </w:pPr>
    </w:p>
    <w:p>
      <w:pPr>
        <w:ind w:right="140"/>
        <w:spacing w:after="0" w:line="223" w:lineRule="auto"/>
        <w:rPr>
          <w:sz w:val="20"/>
          <w:szCs w:val="20"/>
          <w:color w:val="auto"/>
        </w:rPr>
      </w:pPr>
      <w:r>
        <w:rPr>
          <w:rFonts w:ascii="Arial" w:cs="Arial" w:eastAsia="Arial" w:hAnsi="Arial"/>
          <w:sz w:val="18"/>
          <w:szCs w:val="18"/>
          <w:color w:val="auto"/>
        </w:rPr>
        <w:t>On February 6, 2008, a purported class-action lawsuit was filed in the U.S. District Court for the Central District of California by purchasers of BAR/BRI bar review courses, from July 2006 onward, alleging antitrust claims against Kaplan and West Publishing Corporation, BAR/BRI’s former owner. On April 10, 2008, the court granted defendants’ motion to dismiss, a decision that was reversed by the Ninth Circuit Court of Appeals on November 7, 2011. The Ninth Circuit also referred the matter to a mediator for the purpose of exploring a settlement. In the fourth quarter of 2012, the parties reached a comprehensive agreement to settle the matter. The settlement was approved by the District Court in September 2013 but has not yet been administered due to appeals relating to attorneys’ fees. In the fourth quarter of 2017, the Ninth Circuit remanded to the district court which once again set attorneys’ fees on January 11, 2018. Absent another appeal, administration and disbursement of the settlement should proceed, though Kaplan cannot predict when.</w:t>
      </w:r>
    </w:p>
    <w:p>
      <w:pPr>
        <w:spacing w:after="0" w:line="136" w:lineRule="exact"/>
        <w:rPr>
          <w:sz w:val="20"/>
          <w:szCs w:val="20"/>
          <w:color w:val="auto"/>
        </w:rPr>
      </w:pPr>
    </w:p>
    <w:p>
      <w:pPr>
        <w:ind w:right="180"/>
        <w:spacing w:after="0" w:line="221" w:lineRule="auto"/>
        <w:rPr>
          <w:sz w:val="20"/>
          <w:szCs w:val="20"/>
          <w:color w:val="auto"/>
        </w:rPr>
      </w:pPr>
      <w:r>
        <w:rPr>
          <w:rFonts w:ascii="Arial" w:cs="Arial" w:eastAsia="Arial" w:hAnsi="Arial"/>
          <w:sz w:val="18"/>
          <w:szCs w:val="18"/>
          <w:color w:val="auto"/>
        </w:rPr>
        <w:t>On or about January 17, 2008, an Assistant U.S. Attorney in the Civil Division of the U.S. Attorney’s Office for the Eastern District of Pennsylvania contacted KHE’s former Broomall campus and made inquiries about the Surgical Technology program, including the program’s eligibility for Title IV U.S. Federal financial aid, the program’s student loan defaults, licensing and accreditation. Kaplan responded to the information requests and fully cooperated with the inquiry. The ED also conducted a program review at the Broomall campus, and Kaplan likewise cooperated with the program review. On July 22, 2011, the U.S. Attorney’s Office for the Eastern District of Pennsylvania announced that it had entered into a comprehensive settlement agreement with Kaplan that resolved the U.S. Attorney’s inquiry, provided for the conclusion of the ED’s program review and also settled a previously sealed U.S. Federal False Claims Act (False Claims Act) complaint that had been filed by a former employee of the CHI-Broomall campus. The total amount of all required payments by Broomall under the agreements was $1.6 million. Pursuant to the comprehensive settlement agreement, the U.S. Attorney inquiry has been closed, the False Claims Act complaint (</w:t>
      </w:r>
      <w:r>
        <w:rPr>
          <w:rFonts w:ascii="Arial" w:cs="Arial" w:eastAsia="Arial" w:hAnsi="Arial"/>
          <w:sz w:val="18"/>
          <w:szCs w:val="18"/>
          <w:i w:val="1"/>
          <w:iCs w:val="1"/>
          <w:color w:val="auto"/>
        </w:rPr>
        <w:t>United States of America</w:t>
      </w:r>
      <w:r>
        <w:rPr>
          <w:rFonts w:ascii="Arial" w:cs="Arial" w:eastAsia="Arial" w:hAnsi="Arial"/>
          <w:sz w:val="18"/>
          <w:szCs w:val="18"/>
          <w:color w:val="auto"/>
        </w:rPr>
        <w:t xml:space="preserve"> ex rel. </w:t>
      </w:r>
      <w:r>
        <w:rPr>
          <w:rFonts w:ascii="Arial" w:cs="Arial" w:eastAsia="Arial" w:hAnsi="Arial"/>
          <w:sz w:val="18"/>
          <w:szCs w:val="18"/>
          <w:i w:val="1"/>
          <w:iCs w:val="1"/>
          <w:color w:val="auto"/>
        </w:rPr>
        <w:t>David Goodstein</w:t>
      </w:r>
      <w:r>
        <w:rPr>
          <w:rFonts w:ascii="Arial" w:cs="Arial" w:eastAsia="Arial" w:hAnsi="Arial"/>
          <w:sz w:val="18"/>
          <w:szCs w:val="18"/>
          <w:color w:val="auto"/>
        </w:rPr>
        <w:t xml:space="preserve"> v. </w:t>
      </w:r>
      <w:r>
        <w:rPr>
          <w:rFonts w:ascii="Arial" w:cs="Arial" w:eastAsia="Arial" w:hAnsi="Arial"/>
          <w:sz w:val="18"/>
          <w:szCs w:val="18"/>
          <w:i w:val="1"/>
          <w:iCs w:val="1"/>
          <w:color w:val="auto"/>
        </w:rPr>
        <w:t>Kaplan, Inc.</w:t>
      </w:r>
      <w:r>
        <w:rPr>
          <w:rFonts w:ascii="Arial" w:cs="Arial" w:eastAsia="Arial" w:hAnsi="Arial"/>
          <w:sz w:val="18"/>
          <w:szCs w:val="18"/>
          <w:color w:val="auto"/>
        </w:rPr>
        <w:t xml:space="preserve"> et al.) was dismissed with prejudice and the ED will issue a final program review determination. However, to date, the ED has not issued the final report. At this time, Kaplan cannot predict the contents of the pending final program review determination or the ultimate impact the proceedings may have on Kaplan.</w:t>
      </w:r>
    </w:p>
    <w:p>
      <w:pPr>
        <w:spacing w:after="0" w:line="144" w:lineRule="exact"/>
        <w:rPr>
          <w:sz w:val="20"/>
          <w:szCs w:val="20"/>
          <w:color w:val="auto"/>
        </w:rPr>
      </w:pPr>
    </w:p>
    <w:p>
      <w:pPr>
        <w:spacing w:after="0" w:line="221" w:lineRule="auto"/>
        <w:rPr>
          <w:sz w:val="20"/>
          <w:szCs w:val="20"/>
          <w:color w:val="auto"/>
        </w:rPr>
      </w:pPr>
      <w:r>
        <w:rPr>
          <w:rFonts w:ascii="Arial" w:cs="Arial" w:eastAsia="Arial" w:hAnsi="Arial"/>
          <w:sz w:val="18"/>
          <w:szCs w:val="18"/>
          <w:color w:val="auto"/>
        </w:rPr>
        <w:t xml:space="preserve">During 2014, certain Kaplan subsidiaries were subject to unsealed cases filed by former employees that include, among other allegations, claims under the False Claims Act relating to eligibility for Title IV funding. The U.S. Government declined to intervene in all cases, and, as previously reported, court decisions either dismissed the cases in their entirety or narrowed the scope of their allegations. The remaining case is captioned </w:t>
      </w:r>
      <w:r>
        <w:rPr>
          <w:rFonts w:ascii="Arial" w:cs="Arial" w:eastAsia="Arial" w:hAnsi="Arial"/>
          <w:sz w:val="18"/>
          <w:szCs w:val="18"/>
          <w:i w:val="1"/>
          <w:iCs w:val="1"/>
          <w:color w:val="auto"/>
        </w:rPr>
        <w:t>United States of America</w:t>
      </w:r>
      <w:r>
        <w:rPr>
          <w:rFonts w:ascii="Arial" w:cs="Arial" w:eastAsia="Arial" w:hAnsi="Arial"/>
          <w:sz w:val="18"/>
          <w:szCs w:val="18"/>
          <w:color w:val="auto"/>
        </w:rPr>
        <w:t xml:space="preserve"> ex rel. </w:t>
      </w:r>
      <w:r>
        <w:rPr>
          <w:rFonts w:ascii="Arial" w:cs="Arial" w:eastAsia="Arial" w:hAnsi="Arial"/>
          <w:sz w:val="18"/>
          <w:szCs w:val="18"/>
          <w:i w:val="1"/>
          <w:iCs w:val="1"/>
          <w:color w:val="auto"/>
        </w:rPr>
        <w:t>Carlos Urquilla-Diaz</w:t>
      </w:r>
      <w:r>
        <w:rPr>
          <w:rFonts w:ascii="Arial" w:cs="Arial" w:eastAsia="Arial" w:hAnsi="Arial"/>
          <w:sz w:val="18"/>
          <w:szCs w:val="18"/>
          <w:color w:val="auto"/>
        </w:rPr>
        <w:t xml:space="preserve"> et al. v. </w:t>
      </w:r>
      <w:r>
        <w:rPr>
          <w:rFonts w:ascii="Arial" w:cs="Arial" w:eastAsia="Arial" w:hAnsi="Arial"/>
          <w:sz w:val="18"/>
          <w:szCs w:val="18"/>
          <w:i w:val="1"/>
          <w:iCs w:val="1"/>
          <w:color w:val="auto"/>
        </w:rPr>
        <w:t>Kaplan University</w:t>
      </w:r>
      <w:r>
        <w:rPr>
          <w:rFonts w:ascii="Arial" w:cs="Arial" w:eastAsia="Arial" w:hAnsi="Arial"/>
          <w:sz w:val="18"/>
          <w:szCs w:val="18"/>
          <w:color w:val="auto"/>
        </w:rPr>
        <w:t xml:space="preserve"> et al. (unsealed March 25, 2008). On August 17, 2011, the U.S. District Court for the Southern District of Florida issued a series of rulings in the Diaz case, which included three separate complaints: Diaz, Wilcox and Gillespie. The court dismissed the Wilcox complaint in its entirety; dismissed all False Claims Act allegations in the Diaz complaint, leaving only an individual employment claim; and dismissed in part the Gillespie complaint, thereby limiting the scope and time frame of its False Claims Act allegations regarding compliance with the U.S. Federal Rehabilitation Act. On October 31, 2012, the court entered summary judgment in favor of the Company as to the sole remaining employment claim in the Diaz complaint. On July 16, 2013, the court likewise entered summary judgment in favor of the Company on all remaining claims in the Gillespie complaint. Diaz and Gillespie each appealed to the U.S. Court of Appeals for the Eleventh Judicial Circuit. Arguments on both appeals were heard on February 3, 2015. On March 11, 2015, the appellate court issued a decision affirming the lower court’s dismissal of all of Gillespie</w:t>
      </w:r>
      <w:r>
        <w:rPr>
          <w:rFonts w:ascii="Arial" w:cs="Arial" w:eastAsia="Arial" w:hAnsi="Arial"/>
          <w:sz w:val="14"/>
          <w:szCs w:val="14"/>
          <w:b w:val="1"/>
          <w:bCs w:val="1"/>
          <w:color w:val="auto"/>
        </w:rPr>
        <w:t>’</w:t>
      </w:r>
      <w:r>
        <w:rPr>
          <w:rFonts w:ascii="Arial" w:cs="Arial" w:eastAsia="Arial" w:hAnsi="Arial"/>
          <w:sz w:val="18"/>
          <w:szCs w:val="18"/>
          <w:color w:val="auto"/>
        </w:rPr>
        <w:t>s claims. The appellate court also dismissed three of the four Diaz claims, but reversed and remanded on Diaz</w:t>
      </w:r>
      <w:r>
        <w:rPr>
          <w:rFonts w:ascii="Arial" w:cs="Arial" w:eastAsia="Arial" w:hAnsi="Arial"/>
          <w:sz w:val="14"/>
          <w:szCs w:val="14"/>
          <w:b w:val="1"/>
          <w:bCs w:val="1"/>
          <w:color w:val="auto"/>
        </w:rPr>
        <w:t>’</w:t>
      </w:r>
      <w:r>
        <w:rPr>
          <w:rFonts w:ascii="Arial" w:cs="Arial" w:eastAsia="Arial" w:hAnsi="Arial"/>
          <w:sz w:val="18"/>
          <w:szCs w:val="18"/>
          <w:color w:val="auto"/>
        </w:rPr>
        <w:t>s claim that incentive compensation for admissions representatives was improperly based solely on enrollment counts. Kaplan filed an answer to Diaz</w:t>
      </w:r>
      <w:r>
        <w:rPr>
          <w:rFonts w:ascii="Arial" w:cs="Arial" w:eastAsia="Arial" w:hAnsi="Arial"/>
          <w:sz w:val="14"/>
          <w:szCs w:val="14"/>
          <w:b w:val="1"/>
          <w:bCs w:val="1"/>
          <w:color w:val="auto"/>
        </w:rPr>
        <w:t>’</w:t>
      </w:r>
      <w:r>
        <w:rPr>
          <w:rFonts w:ascii="Arial" w:cs="Arial" w:eastAsia="Arial" w:hAnsi="Arial"/>
          <w:sz w:val="18"/>
          <w:szCs w:val="18"/>
          <w:color w:val="auto"/>
        </w:rPr>
        <w:t>s amended complaint on September 11, 2015. Kaplan filed a motion to dismiss Diaz’s claims, and a hearing was held on December 17, 2015. On March 24, 2016, the Court denied the motion to dismiss. Discovery in the case closed in January 2017. Kaplan filed a motion for summary judgment on February 21, 2017. Summary judgment was granted in full and entered on July 13, 2017. Diaz filed a notice of appeal in September 2017 and has until February 28, 2018 to file appellate briefs.</w:t>
      </w:r>
    </w:p>
    <w:p>
      <w:pPr>
        <w:spacing w:after="0" w:line="200" w:lineRule="exact"/>
        <w:rPr>
          <w:sz w:val="20"/>
          <w:szCs w:val="20"/>
          <w:color w:val="auto"/>
        </w:rPr>
      </w:pPr>
    </w:p>
    <w:p>
      <w:pPr>
        <w:spacing w:after="0" w:line="29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114</w:t>
      </w:r>
    </w:p>
    <w:p>
      <w:pPr>
        <w:sectPr>
          <w:pgSz w:w="11900" w:h="16838" w:orient="portrait"/>
          <w:cols w:equalWidth="0" w:num="1">
            <w:col w:w="11380"/>
          </w:cols>
          <w:pgMar w:left="240" w:top="724" w:right="279" w:bottom="1440" w:gutter="0" w:footer="0" w:header="0"/>
        </w:sectPr>
      </w:pPr>
    </w:p>
    <w:bookmarkStart w:id="118" w:name="page119"/>
    <w:bookmarkEnd w:id="118"/>
    <w:p>
      <w:pPr>
        <w:ind w:right="100"/>
        <w:spacing w:after="0" w:line="225" w:lineRule="auto"/>
        <w:rPr>
          <w:sz w:val="20"/>
          <w:szCs w:val="20"/>
          <w:color w:val="auto"/>
        </w:rPr>
      </w:pPr>
      <w:r>
        <w:rPr>
          <w:rFonts w:ascii="Arial" w:cs="Arial" w:eastAsia="Arial" w:hAnsi="Arial"/>
          <w:sz w:val="18"/>
          <w:szCs w:val="18"/>
          <w:color w:val="auto"/>
        </w:rPr>
        <w:t>On February 7, 2011, KHE received a Civil Investigative Demand from the Office of the Attorney General of the State of Illinois. The demand primarily sought information pertaining to Kaplan University’s online students who are residents of Illinois. KHE has cooperated with the Illinois Attorney General and provided the requested information. Although the matter is not technically closed and KHE may receive further requests for information from the Illinois Attorney General, there has been no such further correspondence over the past seven years to date. The Company cannot predict the outcome of this inquiry.</w:t>
      </w:r>
    </w:p>
    <w:p>
      <w:pPr>
        <w:spacing w:after="0" w:line="137" w:lineRule="exact"/>
        <w:rPr>
          <w:sz w:val="20"/>
          <w:szCs w:val="20"/>
          <w:color w:val="auto"/>
        </w:rPr>
      </w:pPr>
    </w:p>
    <w:p>
      <w:pPr>
        <w:ind w:right="160"/>
        <w:spacing w:after="0" w:line="225" w:lineRule="auto"/>
        <w:rPr>
          <w:sz w:val="20"/>
          <w:szCs w:val="20"/>
          <w:color w:val="auto"/>
        </w:rPr>
      </w:pPr>
      <w:r>
        <w:rPr>
          <w:rFonts w:ascii="Arial" w:cs="Arial" w:eastAsia="Arial" w:hAnsi="Arial"/>
          <w:sz w:val="18"/>
          <w:szCs w:val="18"/>
          <w:color w:val="auto"/>
        </w:rPr>
        <w:t>On July 20, 2011, KHE received a subpoena from the Office of the Attorney General of the State of Delaware. The demand primarily sought information pertaining to Kaplan University’s online students and Kaplan Higher Education Campuses’ former students who are residents of Delaware. KHE has cooperated with the Delaware Attorney General and provided the information requested in the subpoena. Although the matter is not technically closed and KHE may receive further requests for information from the Delaware Attorney General, there has been no such further correspondence over the past seven years to date. The Company cannot predict the outcome of this inquiry.</w:t>
      </w:r>
    </w:p>
    <w:p>
      <w:pPr>
        <w:spacing w:after="0" w:line="137" w:lineRule="exact"/>
        <w:rPr>
          <w:sz w:val="20"/>
          <w:szCs w:val="20"/>
          <w:color w:val="auto"/>
        </w:rPr>
      </w:pPr>
    </w:p>
    <w:p>
      <w:pPr>
        <w:ind w:right="60"/>
        <w:spacing w:after="0" w:line="227" w:lineRule="auto"/>
        <w:rPr>
          <w:sz w:val="20"/>
          <w:szCs w:val="20"/>
          <w:color w:val="auto"/>
        </w:rPr>
      </w:pPr>
      <w:r>
        <w:rPr>
          <w:rFonts w:ascii="Arial" w:cs="Arial" w:eastAsia="Arial" w:hAnsi="Arial"/>
          <w:sz w:val="18"/>
          <w:szCs w:val="18"/>
          <w:color w:val="auto"/>
        </w:rPr>
        <w:t>On January 16, 2012, prior to Kaplan’s sale of the Kidum Group in Israel, the Kidum Group received notice of a putative class-action complaint against the Kidum Group’s Wall Street Institute business, alleging violations of Israeli consumer protection law in connection with certain enrollment and refund policies. Wall Street Institute and the plaintiffs are attempting to settle the dispute. Kaplan no longer has any obligations to the purchaser under the terms of the agreement of sale.</w:t>
      </w:r>
    </w:p>
    <w:p>
      <w:pPr>
        <w:spacing w:after="0" w:line="135" w:lineRule="exact"/>
        <w:rPr>
          <w:sz w:val="20"/>
          <w:szCs w:val="20"/>
          <w:color w:val="auto"/>
        </w:rPr>
      </w:pPr>
    </w:p>
    <w:p>
      <w:pPr>
        <w:ind w:right="20"/>
        <w:spacing w:after="0" w:line="224" w:lineRule="auto"/>
        <w:rPr>
          <w:sz w:val="20"/>
          <w:szCs w:val="20"/>
          <w:color w:val="auto"/>
        </w:rPr>
      </w:pPr>
      <w:r>
        <w:rPr>
          <w:rFonts w:ascii="Arial" w:cs="Arial" w:eastAsia="Arial" w:hAnsi="Arial"/>
          <w:sz w:val="18"/>
          <w:szCs w:val="18"/>
          <w:color w:val="auto"/>
        </w:rPr>
        <w:t>On September 30, 2016, a purported class-action lawsuit was filed against KHE and Education Corporation of America d/b/a Brightwood College, in Alameda County Superior Court, in Oakland, CA, by Donna Hillman alleging violations of California wage and hour laws as they apply to “adjunct” or part-time faculty. The complaint seeks a declaratory judgment that Kaplan violated the California Labor Code and an award of damages for allegedly unpaid wages, penalties under the California Labor Code, interest and attorney’s fees. A response and general denial was filed on November 2, 2016 after which KHE moved to transfer the venue to Sacramento, CA. The parties reached an agreement to settle this matter and in December 2017, the settlement was approved by the court.</w:t>
      </w:r>
    </w:p>
    <w:p>
      <w:pPr>
        <w:spacing w:after="0" w:line="137" w:lineRule="exact"/>
        <w:rPr>
          <w:sz w:val="20"/>
          <w:szCs w:val="20"/>
          <w:color w:val="auto"/>
        </w:rPr>
      </w:pPr>
    </w:p>
    <w:p>
      <w:pPr>
        <w:ind w:right="160"/>
        <w:spacing w:after="0" w:line="229" w:lineRule="auto"/>
        <w:rPr>
          <w:sz w:val="20"/>
          <w:szCs w:val="20"/>
          <w:color w:val="auto"/>
        </w:rPr>
      </w:pPr>
      <w:r>
        <w:rPr>
          <w:rFonts w:ascii="Arial" w:cs="Arial" w:eastAsia="Arial" w:hAnsi="Arial"/>
          <w:sz w:val="18"/>
          <w:szCs w:val="18"/>
          <w:color w:val="auto"/>
        </w:rPr>
        <w:t>In October 2017, Kaplan received a citation from the California Bureau for Private Postsecondary Education (BPPE) that non-employees may not be used to recruit students for its English-language programs operating in California. Kaplan has accepted the citation and amended its business practices.</w:t>
      </w:r>
    </w:p>
    <w:p>
      <w:pPr>
        <w:spacing w:after="0" w:line="137" w:lineRule="exact"/>
        <w:rPr>
          <w:sz w:val="20"/>
          <w:szCs w:val="20"/>
          <w:color w:val="auto"/>
        </w:rPr>
      </w:pPr>
    </w:p>
    <w:p>
      <w:pPr>
        <w:ind w:right="160"/>
        <w:spacing w:after="0" w:line="227" w:lineRule="auto"/>
        <w:rPr>
          <w:sz w:val="20"/>
          <w:szCs w:val="20"/>
          <w:color w:val="auto"/>
        </w:rPr>
      </w:pPr>
      <w:r>
        <w:rPr>
          <w:rFonts w:ascii="Arial" w:cs="Arial" w:eastAsia="Arial" w:hAnsi="Arial"/>
          <w:sz w:val="18"/>
          <w:szCs w:val="18"/>
          <w:color w:val="auto"/>
        </w:rPr>
        <w:t>On March 28, 2016, a class-action lawsuit was filed in the U.S. District Court for the Northern District of Illinois by Erin Fries, a physical therapist formerly employed by Residential, against Residential Home Health, LLC, Residential Home Health Illinois, LLC, and David Curtis. The complaint alleges violations of the FLSA and the Illinois minimum wage law. The complaint seeks damages, attorney’s fees and costs. At this time, the Company cannot predict the outcome of this matter.</w:t>
      </w:r>
    </w:p>
    <w:p>
      <w:pPr>
        <w:spacing w:after="0" w:line="135" w:lineRule="exact"/>
        <w:rPr>
          <w:sz w:val="20"/>
          <w:szCs w:val="20"/>
          <w:color w:val="auto"/>
        </w:rPr>
      </w:pPr>
    </w:p>
    <w:p>
      <w:pPr>
        <w:spacing w:after="0" w:line="222" w:lineRule="auto"/>
        <w:rPr>
          <w:sz w:val="20"/>
          <w:szCs w:val="20"/>
          <w:color w:val="auto"/>
        </w:rPr>
      </w:pPr>
      <w:r>
        <w:rPr>
          <w:rFonts w:ascii="Arial" w:cs="Arial" w:eastAsia="Arial" w:hAnsi="Arial"/>
          <w:sz w:val="18"/>
          <w:szCs w:val="18"/>
          <w:color w:val="auto"/>
        </w:rPr>
        <w:t>In August 2017, the Pennsylvania Department of Health cited Celtic Healthcare of Westmoreland, LLC for being out of compliance with four conditions of the Medicare Conditions of Participation between August 7, 2017, and September 6, 2017. Celtic Healthcare of Westmoreland, LLC d/b/a Allegheny Health Network Healthcare@Home Home Health (“AHN H@H Home Health”) is a wholly owned subsidiary of a joint venture between West Penn Allegheny Health System, Inc. and Celtic Healthcare, Inc. In light of this 31-day period of non-compliance, the Department of Health issued a provisional license for AHN H@H Home Health. Following a re-survey investigation by the Pennsylvania Department of Health, on January 12, 2018, the Department of Health removed the provisional license assigned to AHN H@H Home Health and restored its unrestricted license. The Pennsylvania Department of Health will alert the Centers for Medicare and Medicaid Services (CMS) about this matter. CMS has the authority to impose civil monetary penalties of up to $10,000 per day or per instance for non-compliance. At this time, the Company cannot predict the outcome of this matter.</w:t>
      </w:r>
    </w:p>
    <w:p>
      <w:pPr>
        <w:spacing w:after="0" w:line="141" w:lineRule="exact"/>
        <w:rPr>
          <w:sz w:val="20"/>
          <w:szCs w:val="20"/>
          <w:color w:val="auto"/>
        </w:rPr>
      </w:pPr>
    </w:p>
    <w:p>
      <w:pPr>
        <w:ind w:right="40"/>
        <w:spacing w:after="0" w:line="224" w:lineRule="auto"/>
        <w:rPr>
          <w:sz w:val="20"/>
          <w:szCs w:val="20"/>
          <w:color w:val="auto"/>
        </w:rPr>
      </w:pPr>
      <w:r>
        <w:rPr>
          <w:rFonts w:ascii="Arial" w:cs="Arial" w:eastAsia="Arial" w:hAnsi="Arial"/>
          <w:sz w:val="18"/>
          <w:szCs w:val="18"/>
          <w:color w:val="auto"/>
        </w:rPr>
        <w:t>Her Majesty’s Revenue and Customs (HMRC), a department of the U.K. government responsible for the collection of taxes, has raised assessments against the Kaplan U.K. Pathways business for Value Added Tax (VAT) relating to 2017 and earlier years, which have been paid by Kaplan. Kaplan has challenged these assessments and the case is currently on appeal to a tax tribunal with a hearing expected later in 2018 or 2019. The Company believes it has met all requirements under U.K. VAT law and expects to recover the £10.9 million receivable related to the assessments that have been paid. If the Company does not prevail in this case, a pre-tax charge of £10.9 million will be recorded to operating expense in the Company’s statement of operations.</w:t>
      </w:r>
    </w:p>
    <w:p>
      <w:pPr>
        <w:spacing w:after="0" w:line="137" w:lineRule="exact"/>
        <w:rPr>
          <w:sz w:val="20"/>
          <w:szCs w:val="20"/>
          <w:color w:val="auto"/>
        </w:rPr>
      </w:pPr>
    </w:p>
    <w:p>
      <w:pPr>
        <w:ind w:right="300"/>
        <w:spacing w:after="0" w:line="227" w:lineRule="auto"/>
        <w:rPr>
          <w:sz w:val="20"/>
          <w:szCs w:val="20"/>
          <w:color w:val="auto"/>
        </w:rPr>
      </w:pPr>
      <w:r>
        <w:rPr>
          <w:rFonts w:ascii="Arial" w:cs="Arial" w:eastAsia="Arial" w:hAnsi="Arial"/>
          <w:sz w:val="18"/>
          <w:szCs w:val="18"/>
          <w:color w:val="auto"/>
        </w:rPr>
        <w:t>Following the Grenfell Tower fire in the U.K. on June 14, 2017, government authorities issued advise to building owners in respect of certain types of cladding on its student residence buildings across the U.K. One student residence is expected to require remedial work. Additional investigations are ongoing. Remedial work on this building will be undertaken once these investigations are complete. At this time, it is not possible to predict the scope of this work.</w:t>
      </w:r>
    </w:p>
    <w:p>
      <w:pPr>
        <w:spacing w:after="0" w:line="200" w:lineRule="exact"/>
        <w:rPr>
          <w:sz w:val="20"/>
          <w:szCs w:val="20"/>
          <w:color w:val="auto"/>
        </w:rPr>
      </w:pPr>
    </w:p>
    <w:p>
      <w:pPr>
        <w:spacing w:after="0" w:line="30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115</w:t>
      </w:r>
    </w:p>
    <w:p>
      <w:pPr>
        <w:sectPr>
          <w:pgSz w:w="11900" w:h="16838" w:orient="portrait"/>
          <w:cols w:equalWidth="0" w:num="1">
            <w:col w:w="11400"/>
          </w:cols>
          <w:pgMar w:left="240" w:top="746" w:right="259" w:bottom="1440" w:gutter="0" w:footer="0" w:header="0"/>
        </w:sectPr>
      </w:pPr>
    </w:p>
    <w:bookmarkStart w:id="119" w:name="page120"/>
    <w:bookmarkEnd w:id="119"/>
    <w:p>
      <w:pPr>
        <w:spacing w:after="0" w:line="223" w:lineRule="auto"/>
        <w:rPr>
          <w:sz w:val="20"/>
          <w:szCs w:val="20"/>
          <w:color w:val="auto"/>
        </w:rPr>
      </w:pPr>
      <w:r>
        <w:rPr>
          <w:rFonts w:ascii="Arial" w:cs="Arial" w:eastAsia="Arial" w:hAnsi="Arial"/>
          <w:sz w:val="18"/>
          <w:szCs w:val="18"/>
          <w:b w:val="1"/>
          <w:bCs w:val="1"/>
          <w:color w:val="auto"/>
        </w:rPr>
        <w:t xml:space="preserve">Student Financial Aid. </w:t>
      </w:r>
      <w:r>
        <w:rPr>
          <w:rFonts w:ascii="Arial" w:cs="Arial" w:eastAsia="Arial" w:hAnsi="Arial"/>
          <w:sz w:val="18"/>
          <w:szCs w:val="18"/>
          <w:color w:val="auto"/>
        </w:rPr>
        <w:t>The Company’s higher education division derives the majority of its revenues from U.S. Federal financial aid received</w:t>
      </w:r>
      <w:r>
        <w:rPr>
          <w:rFonts w:ascii="Arial" w:cs="Arial" w:eastAsia="Arial" w:hAnsi="Arial"/>
          <w:sz w:val="18"/>
          <w:szCs w:val="18"/>
          <w:b w:val="1"/>
          <w:bCs w:val="1"/>
          <w:color w:val="auto"/>
        </w:rPr>
        <w:t xml:space="preserve"> </w:t>
      </w:r>
      <w:r>
        <w:rPr>
          <w:rFonts w:ascii="Arial" w:cs="Arial" w:eastAsia="Arial" w:hAnsi="Arial"/>
          <w:sz w:val="18"/>
          <w:szCs w:val="18"/>
          <w:color w:val="auto"/>
        </w:rPr>
        <w:t>by its students under Title IV programs administered by the ED pursuant to the Higher Education Act (HEA), as amended. To maintain eligibility to participate in Title IV programs, a school must comply with extensive statutory and regulatory requirements relating to its financial aid management, educational programs, financial strength, administrative capability, compensation practices, facilities, recruiting practices, representations made to current and prospective students, and various other matters. In addition, the school must be licensed, or otherwise legally authorized, to offer postsecondary educational programs by the appropriate governmental body in the state or states in which it is physically located or is otherwise subject to state authorization requirements, be accredited by an accrediting agency recognized by the ED and be certified to participate in the Title IV programs by the ED. Schools are required periodically to apply for renewal of their authorization, accreditation or certification with the applicable state governmental bodies, accrediting agencies and the ED. Kaplan University is assigned its own identification number, known as an OPEID number, for the purpose of determining compliance with certain Title IV requirements. Failure to comply with the requirements of the Higher Education Act or related regulations could result in the restriction or loss of the ability to participate in Title IV programs and subject the Company to financial penalties and refunds. No assurance can be given that Kaplan University or its individual programs will maintain their Title IV eligibility, accreditation and state authorization in the future or that the ED might not successfully assert that Kaplan University has previously failed to comply with Title IV requirements.</w:t>
      </w:r>
    </w:p>
    <w:p>
      <w:pPr>
        <w:spacing w:after="0" w:line="139" w:lineRule="exact"/>
        <w:rPr>
          <w:sz w:val="20"/>
          <w:szCs w:val="20"/>
          <w:color w:val="auto"/>
        </w:rPr>
      </w:pPr>
    </w:p>
    <w:p>
      <w:pPr>
        <w:ind w:right="20"/>
        <w:spacing w:after="0" w:line="223" w:lineRule="auto"/>
        <w:rPr>
          <w:sz w:val="20"/>
          <w:szCs w:val="20"/>
          <w:color w:val="auto"/>
        </w:rPr>
      </w:pPr>
      <w:r>
        <w:rPr>
          <w:rFonts w:ascii="Arial" w:cs="Arial" w:eastAsia="Arial" w:hAnsi="Arial"/>
          <w:sz w:val="18"/>
          <w:szCs w:val="18"/>
          <w:color w:val="auto"/>
        </w:rPr>
        <w:t>ED regulations require schools participating in Title IV programs to calculate correctly and return to the ED on a timely basis unearned Title IV funds disbursed to students who withdraw from a program of study prior to completion. Kaplan recently determined that a procedural change that was implemented with respect to student financial aid refunds may not have been in accordance with the regulation governing return of financial aid for students who withdraw from a program prior to completion. Consequently, $8.4 million in estimated unreturned funds from prior quarters and year was recorded in Kaplan’s fourth quarter 2017 results; this estimated refund liability is included in current liabilities on the Company’s consolidated balance sheet at December 31, 2017. No restatement of prior period financial statements and no change in previously reported financial results was required due to the immateriality of the adjustment for the periods presented. Kaplan has self-reported this matter to the ED.</w:t>
      </w:r>
    </w:p>
    <w:p>
      <w:pPr>
        <w:spacing w:after="0" w:line="136" w:lineRule="exact"/>
        <w:rPr>
          <w:sz w:val="20"/>
          <w:szCs w:val="20"/>
          <w:color w:val="auto"/>
        </w:rPr>
      </w:pPr>
    </w:p>
    <w:p>
      <w:pPr>
        <w:ind w:right="500"/>
        <w:spacing w:after="0" w:line="225" w:lineRule="auto"/>
        <w:rPr>
          <w:sz w:val="20"/>
          <w:szCs w:val="20"/>
          <w:color w:val="auto"/>
        </w:rPr>
      </w:pPr>
      <w:r>
        <w:rPr>
          <w:rFonts w:ascii="Arial" w:cs="Arial" w:eastAsia="Arial" w:hAnsi="Arial"/>
          <w:sz w:val="18"/>
          <w:szCs w:val="18"/>
          <w:color w:val="auto"/>
        </w:rPr>
        <w:t>For the years ended December 31, 2017, 2016 and 2015, approximately $374 million, $437 million and $ 628 million, respectively, of the Company’s education division revenue was derived from financial aid received by students under Title IV programs. Financial aid and assistance programs are subject to political and governmental budgetary considerations. There is no assurance that such funding will be maintained at current levels. Extensive and complex regulations in the U.S. govern all of the government financial assistance programs in which students participate.</w:t>
      </w:r>
    </w:p>
    <w:p>
      <w:pPr>
        <w:spacing w:after="0" w:line="1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ED Program Reviews. </w:t>
      </w:r>
      <w:r>
        <w:rPr>
          <w:rFonts w:ascii="Arial" w:cs="Arial" w:eastAsia="Arial" w:hAnsi="Arial"/>
          <w:sz w:val="18"/>
          <w:szCs w:val="18"/>
          <w:color w:val="auto"/>
        </w:rPr>
        <w:t>The ED has undertaken program reviews at various KHE locations.</w:t>
      </w:r>
    </w:p>
    <w:p>
      <w:pPr>
        <w:spacing w:after="0" w:line="166" w:lineRule="exact"/>
        <w:rPr>
          <w:sz w:val="20"/>
          <w:szCs w:val="20"/>
          <w:color w:val="auto"/>
        </w:rPr>
      </w:pPr>
    </w:p>
    <w:p>
      <w:pPr>
        <w:ind w:right="60"/>
        <w:spacing w:after="0" w:line="223" w:lineRule="auto"/>
        <w:rPr>
          <w:sz w:val="20"/>
          <w:szCs w:val="20"/>
          <w:color w:val="auto"/>
        </w:rPr>
      </w:pPr>
      <w:r>
        <w:rPr>
          <w:rFonts w:ascii="Arial" w:cs="Arial" w:eastAsia="Arial" w:hAnsi="Arial"/>
          <w:sz w:val="18"/>
          <w:szCs w:val="18"/>
          <w:color w:val="auto"/>
        </w:rPr>
        <w:t>On February 23, 2015, the ED began a review of KU. The review will assess Kaplan’s administration of its Title IV and Higher Education Act programs and will initially focus on the 2013 to 2014 and 2014 to 2015 award years. On December 17, 2015, KU received a notice from the ED that it had been placed on provisional certification status until September 30, 2018, in connection with the open and ongoing ED program review. The ED has not notified KU of any negative findings. However, at this time, Kaplan cannot predict the outcome of this review, when it will be completed or any liability or other limitations that the ED may place on KU as a result of this review. During the period of provisional certification, KU must obtain prior ED approval to open a new location, add an educational program, acquire another school or make any other significant change.</w:t>
      </w:r>
    </w:p>
    <w:p>
      <w:pPr>
        <w:spacing w:after="0" w:line="139" w:lineRule="exact"/>
        <w:rPr>
          <w:sz w:val="20"/>
          <w:szCs w:val="20"/>
          <w:color w:val="auto"/>
        </w:rPr>
      </w:pPr>
    </w:p>
    <w:p>
      <w:pPr>
        <w:ind w:right="40"/>
        <w:spacing w:after="0" w:line="227" w:lineRule="auto"/>
        <w:rPr>
          <w:sz w:val="20"/>
          <w:szCs w:val="20"/>
          <w:color w:val="auto"/>
        </w:rPr>
      </w:pPr>
      <w:r>
        <w:rPr>
          <w:rFonts w:ascii="Arial" w:cs="Arial" w:eastAsia="Arial" w:hAnsi="Arial"/>
          <w:sz w:val="18"/>
          <w:szCs w:val="18"/>
          <w:color w:val="auto"/>
        </w:rPr>
        <w:t>In addition, there are two open program reviews at campuses that were part of the KHE Campuses business prior to its sale in 2015 to Education Corporation of America (ECA), and we await the ED’s final reports on the program reviews at former KHE Broomall, PA; and Pittsburgh, PA, locations. Kaplan retains responsibility for any financial obligation resulting from the ED program reviews at the KHE Campuses business that were open at the time of sale.</w:t>
      </w:r>
    </w:p>
    <w:p>
      <w:pPr>
        <w:spacing w:after="0" w:line="135" w:lineRule="exact"/>
        <w:rPr>
          <w:sz w:val="20"/>
          <w:szCs w:val="20"/>
          <w:color w:val="auto"/>
        </w:rPr>
      </w:pPr>
    </w:p>
    <w:p>
      <w:pPr>
        <w:ind w:right="20"/>
        <w:spacing w:after="0" w:line="235" w:lineRule="auto"/>
        <w:rPr>
          <w:sz w:val="20"/>
          <w:szCs w:val="20"/>
          <w:color w:val="auto"/>
        </w:rPr>
      </w:pPr>
      <w:r>
        <w:rPr>
          <w:rFonts w:ascii="Arial" w:cs="Arial" w:eastAsia="Arial" w:hAnsi="Arial"/>
          <w:sz w:val="18"/>
          <w:szCs w:val="18"/>
          <w:color w:val="auto"/>
        </w:rPr>
        <w:t>The Company does not expect the open program reviews to have a material impact on KHE; however, the results of open program reviews and their impact on Kaplan’s operations are uncertain.</w:t>
      </w:r>
    </w:p>
    <w:p>
      <w:pPr>
        <w:spacing w:after="0" w:line="113" w:lineRule="exact"/>
        <w:rPr>
          <w:sz w:val="20"/>
          <w:szCs w:val="20"/>
          <w:color w:val="auto"/>
        </w:rPr>
      </w:pPr>
    </w:p>
    <w:p>
      <w:pPr>
        <w:ind w:right="20"/>
        <w:spacing w:after="0" w:line="230" w:lineRule="auto"/>
        <w:rPr>
          <w:sz w:val="20"/>
          <w:szCs w:val="20"/>
          <w:color w:val="auto"/>
        </w:rPr>
      </w:pPr>
      <w:r>
        <w:rPr>
          <w:rFonts w:ascii="Arial" w:cs="Arial" w:eastAsia="Arial" w:hAnsi="Arial"/>
          <w:sz w:val="18"/>
          <w:szCs w:val="18"/>
          <w:b w:val="1"/>
          <w:bCs w:val="1"/>
          <w:color w:val="auto"/>
        </w:rPr>
        <w:t xml:space="preserve">The 90/10 Rule. </w:t>
      </w:r>
      <w:r>
        <w:rPr>
          <w:rFonts w:ascii="Arial" w:cs="Arial" w:eastAsia="Arial" w:hAnsi="Arial"/>
          <w:sz w:val="18"/>
          <w:szCs w:val="18"/>
          <w:color w:val="auto"/>
        </w:rPr>
        <w:t>Under regulations referred to as the 90/10 rule, an institution would lose its eligibility to participate in Title IV programs for a</w:t>
      </w:r>
      <w:r>
        <w:rPr>
          <w:rFonts w:ascii="Arial" w:cs="Arial" w:eastAsia="Arial" w:hAnsi="Arial"/>
          <w:sz w:val="18"/>
          <w:szCs w:val="18"/>
          <w:b w:val="1"/>
          <w:bCs w:val="1"/>
          <w:color w:val="auto"/>
        </w:rPr>
        <w:t xml:space="preserve"> </w:t>
      </w:r>
      <w:r>
        <w:rPr>
          <w:rFonts w:ascii="Arial" w:cs="Arial" w:eastAsia="Arial" w:hAnsi="Arial"/>
          <w:sz w:val="18"/>
          <w:szCs w:val="18"/>
          <w:color w:val="auto"/>
        </w:rPr>
        <w:t>period of at least two fiscal years if the institution derives more than 90% of its receipts from Title IV programs, as calculated on a cash basis in accordance with the Higher Education Act and applicable ED regulations, in each of two consecutive fiscal years. An institution with Title IV receipts exceeding 90% for a single fiscal year would be placed on provisional certification and may be subject to other enforcement measures. Kaplan University derived less than 74% and less than 77% of its receipts from Title IV programs in 2017 and 2016, respectively.</w:t>
      </w:r>
    </w:p>
    <w:p>
      <w:pPr>
        <w:spacing w:after="0" w:line="200" w:lineRule="exact"/>
        <w:rPr>
          <w:sz w:val="20"/>
          <w:szCs w:val="20"/>
          <w:color w:val="auto"/>
        </w:rPr>
      </w:pPr>
    </w:p>
    <w:p>
      <w:pPr>
        <w:spacing w:after="0" w:line="30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116</w:t>
      </w:r>
    </w:p>
    <w:p>
      <w:pPr>
        <w:sectPr>
          <w:pgSz w:w="11900" w:h="16838" w:orient="portrait"/>
          <w:cols w:equalWidth="0" w:num="1">
            <w:col w:w="11420"/>
          </w:cols>
          <w:pgMar w:left="240" w:top="724" w:right="239" w:bottom="1440" w:gutter="0" w:footer="0" w:header="0"/>
        </w:sectPr>
      </w:pPr>
    </w:p>
    <w:bookmarkStart w:id="120" w:name="page121"/>
    <w:bookmarkEnd w:id="120"/>
    <w:p>
      <w:pPr>
        <w:ind w:left="500" w:hanging="492"/>
        <w:spacing w:after="0"/>
        <w:tabs>
          <w:tab w:leader="none" w:pos="500" w:val="left"/>
        </w:tabs>
        <w:numPr>
          <w:ilvl w:val="0"/>
          <w:numId w:val="84"/>
        </w:numPr>
        <w:rPr>
          <w:rFonts w:ascii="Arial" w:cs="Arial" w:eastAsia="Arial" w:hAnsi="Arial"/>
          <w:sz w:val="18"/>
          <w:szCs w:val="18"/>
          <w:b w:val="1"/>
          <w:bCs w:val="1"/>
          <w:color w:val="auto"/>
        </w:rPr>
      </w:pPr>
      <w:r>
        <w:rPr>
          <w:rFonts w:ascii="Arial" w:cs="Arial" w:eastAsia="Arial" w:hAnsi="Arial"/>
          <w:sz w:val="18"/>
          <w:szCs w:val="18"/>
          <w:b w:val="1"/>
          <w:bCs w:val="1"/>
          <w:color w:val="auto"/>
        </w:rPr>
        <w:t>BUSINESS SEGMENTS</w:t>
      </w:r>
    </w:p>
    <w:p>
      <w:pPr>
        <w:spacing w:after="0" w:line="144" w:lineRule="exact"/>
        <w:rPr>
          <w:sz w:val="20"/>
          <w:szCs w:val="20"/>
          <w:color w:val="auto"/>
        </w:rPr>
      </w:pPr>
    </w:p>
    <w:p>
      <w:pPr>
        <w:ind w:right="60"/>
        <w:spacing w:after="0" w:line="230" w:lineRule="auto"/>
        <w:rPr>
          <w:sz w:val="20"/>
          <w:szCs w:val="20"/>
          <w:color w:val="auto"/>
        </w:rPr>
      </w:pPr>
      <w:r>
        <w:rPr>
          <w:rFonts w:ascii="Arial" w:cs="Arial" w:eastAsia="Arial" w:hAnsi="Arial"/>
          <w:sz w:val="18"/>
          <w:szCs w:val="18"/>
          <w:b w:val="1"/>
          <w:bCs w:val="1"/>
          <w:color w:val="auto"/>
        </w:rPr>
        <w:t xml:space="preserve">Basis of Presentation. </w:t>
      </w:r>
      <w:r>
        <w:rPr>
          <w:rFonts w:ascii="Arial" w:cs="Arial" w:eastAsia="Arial" w:hAnsi="Arial"/>
          <w:sz w:val="18"/>
          <w:szCs w:val="18"/>
          <w:color w:val="auto"/>
        </w:rPr>
        <w:t>The Company’s organizational structure is based on a number of factors that management uses to evaluate, view and</w:t>
      </w:r>
      <w:r>
        <w:rPr>
          <w:rFonts w:ascii="Arial" w:cs="Arial" w:eastAsia="Arial" w:hAnsi="Arial"/>
          <w:sz w:val="18"/>
          <w:szCs w:val="18"/>
          <w:b w:val="1"/>
          <w:bCs w:val="1"/>
          <w:color w:val="auto"/>
        </w:rPr>
        <w:t xml:space="preserve"> </w:t>
      </w:r>
      <w:r>
        <w:rPr>
          <w:rFonts w:ascii="Arial" w:cs="Arial" w:eastAsia="Arial" w:hAnsi="Arial"/>
          <w:sz w:val="18"/>
          <w:szCs w:val="18"/>
          <w:color w:val="auto"/>
        </w:rPr>
        <w:t>run its business operations, which include, but are not limited to, customers, the nature of products and services and use of resources. The business segments disclosed in the Consolidated Financial Statements are based on this organizational structure and information reviewed by the Company’s management to evaluate the business segment results. The Company has four reportable segments: KHE, KTP, Kaplan International, and television broadcasting.</w:t>
      </w:r>
    </w:p>
    <w:p>
      <w:pPr>
        <w:spacing w:after="0" w:line="138" w:lineRule="exact"/>
        <w:rPr>
          <w:sz w:val="20"/>
          <w:szCs w:val="20"/>
          <w:color w:val="auto"/>
        </w:rPr>
      </w:pPr>
    </w:p>
    <w:p>
      <w:pPr>
        <w:ind w:right="20"/>
        <w:spacing w:after="0" w:line="227" w:lineRule="auto"/>
        <w:rPr>
          <w:sz w:val="20"/>
          <w:szCs w:val="20"/>
          <w:color w:val="auto"/>
        </w:rPr>
      </w:pPr>
      <w:r>
        <w:rPr>
          <w:rFonts w:ascii="Arial" w:cs="Arial" w:eastAsia="Arial" w:hAnsi="Arial"/>
          <w:sz w:val="18"/>
          <w:szCs w:val="18"/>
          <w:color w:val="auto"/>
        </w:rPr>
        <w:t>The Company evaluates segment performance based on operating income before amortization of intangible assets and impairment of goodwill and other long-lived assets. The accounting policies at the segments are the same as described in Note 2. In computing income from operations by segment, the effects of equity in earnings (losses) of affiliates, interest income, interest expense, other non-operating income and expense items and income taxes are not included. Intersegment sales are not material.</w:t>
      </w:r>
    </w:p>
    <w:p>
      <w:pPr>
        <w:spacing w:after="0" w:line="135" w:lineRule="exact"/>
        <w:rPr>
          <w:sz w:val="20"/>
          <w:szCs w:val="20"/>
          <w:color w:val="auto"/>
        </w:rPr>
      </w:pPr>
    </w:p>
    <w:p>
      <w:pPr>
        <w:ind w:right="80"/>
        <w:spacing w:after="0" w:line="235" w:lineRule="auto"/>
        <w:rPr>
          <w:sz w:val="20"/>
          <w:szCs w:val="20"/>
          <w:color w:val="auto"/>
        </w:rPr>
      </w:pPr>
      <w:r>
        <w:rPr>
          <w:rFonts w:ascii="Arial" w:cs="Arial" w:eastAsia="Arial" w:hAnsi="Arial"/>
          <w:sz w:val="18"/>
          <w:szCs w:val="18"/>
          <w:color w:val="auto"/>
        </w:rPr>
        <w:t>Identifiable assets by segment are those assets used in the Company’s operations in each business segment. The Prepaid Pension cost is not included in identifiable assets by segment. Investments in marketable equity securities are discussed in Note 5.</w:t>
      </w:r>
    </w:p>
    <w:p>
      <w:pPr>
        <w:spacing w:after="0" w:line="113" w:lineRule="exact"/>
        <w:rPr>
          <w:sz w:val="20"/>
          <w:szCs w:val="20"/>
          <w:color w:val="auto"/>
        </w:rPr>
      </w:pPr>
    </w:p>
    <w:p>
      <w:pPr>
        <w:ind w:right="300"/>
        <w:spacing w:after="0" w:line="230" w:lineRule="auto"/>
        <w:rPr>
          <w:sz w:val="20"/>
          <w:szCs w:val="20"/>
          <w:color w:val="auto"/>
        </w:rPr>
      </w:pPr>
      <w:r>
        <w:rPr>
          <w:rFonts w:ascii="Arial" w:cs="Arial" w:eastAsia="Arial" w:hAnsi="Arial"/>
          <w:sz w:val="18"/>
          <w:szCs w:val="18"/>
          <w:b w:val="1"/>
          <w:bCs w:val="1"/>
          <w:color w:val="auto"/>
        </w:rPr>
        <w:t xml:space="preserve">Education. </w:t>
      </w:r>
      <w:r>
        <w:rPr>
          <w:rFonts w:ascii="Arial" w:cs="Arial" w:eastAsia="Arial" w:hAnsi="Arial"/>
          <w:sz w:val="18"/>
          <w:szCs w:val="18"/>
          <w:color w:val="auto"/>
        </w:rPr>
        <w:t>Education products and services are provided by Kaplan, Inc. KHE includes Kaplan’s domestic postsecondary education</w:t>
      </w:r>
      <w:r>
        <w:rPr>
          <w:rFonts w:ascii="Arial" w:cs="Arial" w:eastAsia="Arial" w:hAnsi="Arial"/>
          <w:sz w:val="18"/>
          <w:szCs w:val="18"/>
          <w:b w:val="1"/>
          <w:bCs w:val="1"/>
          <w:color w:val="auto"/>
        </w:rPr>
        <w:t xml:space="preserve"> </w:t>
      </w:r>
      <w:r>
        <w:rPr>
          <w:rFonts w:ascii="Arial" w:cs="Arial" w:eastAsia="Arial" w:hAnsi="Arial"/>
          <w:sz w:val="18"/>
          <w:szCs w:val="18"/>
          <w:color w:val="auto"/>
        </w:rPr>
        <w:t>businesses, made up of fixed-facility colleges and online postsecondary and career programs. KHE also includes the domestic professional training and other continuing education businesses. KTP includes Kaplan’s standardized test preparation and new economy skills training programs. Kaplan International includes professional training and postsecondary education businesses largely outside the United States, as well as English-language programs.</w:t>
      </w:r>
    </w:p>
    <w:p>
      <w:pPr>
        <w:spacing w:after="0" w:line="138" w:lineRule="exact"/>
        <w:rPr>
          <w:sz w:val="20"/>
          <w:szCs w:val="20"/>
          <w:color w:val="auto"/>
        </w:rPr>
      </w:pPr>
    </w:p>
    <w:p>
      <w:pPr>
        <w:ind w:right="640"/>
        <w:spacing w:after="0" w:line="229" w:lineRule="auto"/>
        <w:rPr>
          <w:sz w:val="20"/>
          <w:szCs w:val="20"/>
          <w:color w:val="auto"/>
        </w:rPr>
      </w:pPr>
      <w:r>
        <w:rPr>
          <w:rFonts w:ascii="Arial" w:cs="Arial" w:eastAsia="Arial" w:hAnsi="Arial"/>
          <w:sz w:val="18"/>
          <w:szCs w:val="18"/>
          <w:color w:val="auto"/>
        </w:rPr>
        <w:t>In the third quarter of 2014, Kaplan completed the sale of three of its schools in China that were previously included as part of Kaplan International. An additional school in China was sold in January 2015. The education division’s operating results exclude the sale of this business as it is included in discontinued operations, net of tax, for 2015.</w:t>
      </w:r>
    </w:p>
    <w:p>
      <w:pPr>
        <w:spacing w:after="0" w:line="137" w:lineRule="exact"/>
        <w:rPr>
          <w:sz w:val="20"/>
          <w:szCs w:val="20"/>
          <w:color w:val="auto"/>
        </w:rPr>
      </w:pPr>
    </w:p>
    <w:p>
      <w:pPr>
        <w:jc w:val="both"/>
        <w:ind w:right="160"/>
        <w:spacing w:after="0" w:line="229" w:lineRule="auto"/>
        <w:rPr>
          <w:sz w:val="20"/>
          <w:szCs w:val="20"/>
          <w:color w:val="auto"/>
        </w:rPr>
      </w:pPr>
      <w:r>
        <w:rPr>
          <w:rFonts w:ascii="Arial" w:cs="Arial" w:eastAsia="Arial" w:hAnsi="Arial"/>
          <w:sz w:val="18"/>
          <w:szCs w:val="18"/>
          <w:color w:val="auto"/>
        </w:rPr>
        <w:t>In recent years, Kaplan has formulated and implemented restructuring plans at its various businesses that have resulted in significant costs in the past three years, with the objective of establishing lower cost levels in future periods. Across all Kaplan businesses, restructuring costs of $10.0 million, $11.9 million and $44.4 million were recorded in 2017, 2016 and 2015, respectively, as follows:</w:t>
      </w:r>
    </w:p>
    <w:p>
      <w:pPr>
        <w:spacing w:after="0" w:line="192"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778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2540" w:type="dxa"/>
            <w:vAlign w:val="bottom"/>
            <w:tcBorders>
              <w:bottom w:val="single" w:sz="8" w:color="auto"/>
            </w:tcBorders>
            <w:gridSpan w:val="4"/>
          </w:tcPr>
          <w:p>
            <w:pPr>
              <w:jc w:val="right"/>
              <w:ind w:right="19"/>
              <w:spacing w:after="0"/>
              <w:rPr>
                <w:sz w:val="20"/>
                <w:szCs w:val="20"/>
                <w:color w:val="auto"/>
              </w:rPr>
            </w:pPr>
            <w:r>
              <w:rPr>
                <w:rFonts w:ascii="Arial" w:cs="Arial" w:eastAsia="Arial" w:hAnsi="Arial"/>
                <w:sz w:val="14"/>
                <w:szCs w:val="14"/>
                <w:b w:val="1"/>
                <w:bCs w:val="1"/>
                <w:color w:val="auto"/>
              </w:rPr>
              <w:t>Year Ended December 31</w:t>
            </w:r>
          </w:p>
        </w:tc>
        <w:tc>
          <w:tcPr>
            <w:tcW w:w="840" w:type="dxa"/>
            <w:vAlign w:val="bottom"/>
            <w:tcBorders>
              <w:bottom w:val="single" w:sz="8" w:color="auto"/>
            </w:tcBorders>
          </w:tcPr>
          <w:p>
            <w:pPr>
              <w:spacing w:after="0"/>
              <w:rPr>
                <w:sz w:val="17"/>
                <w:szCs w:val="17"/>
                <w:color w:val="auto"/>
              </w:rPr>
            </w:pPr>
          </w:p>
        </w:tc>
      </w:tr>
      <w:tr>
        <w:trPr>
          <w:trHeight w:val="264"/>
        </w:trPr>
        <w:tc>
          <w:tcPr>
            <w:tcW w:w="778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(in thousands)</w:t>
            </w:r>
          </w:p>
        </w:tc>
        <w:tc>
          <w:tcPr>
            <w:tcW w:w="26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ind w:right="342"/>
              <w:spacing w:after="0"/>
              <w:rPr>
                <w:sz w:val="20"/>
                <w:szCs w:val="20"/>
                <w:color w:val="auto"/>
              </w:rPr>
            </w:pPr>
            <w:r>
              <w:rPr>
                <w:rFonts w:ascii="Arial" w:cs="Arial" w:eastAsia="Arial" w:hAnsi="Arial"/>
                <w:sz w:val="14"/>
                <w:szCs w:val="14"/>
                <w:b w:val="1"/>
                <w:bCs w:val="1"/>
                <w:color w:val="auto"/>
              </w:rPr>
              <w:t>2017</w:t>
            </w:r>
          </w:p>
        </w:tc>
        <w:tc>
          <w:tcPr>
            <w:tcW w:w="36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ind w:right="340"/>
              <w:spacing w:after="0"/>
              <w:rPr>
                <w:sz w:val="20"/>
                <w:szCs w:val="20"/>
                <w:color w:val="auto"/>
              </w:rPr>
            </w:pPr>
            <w:r>
              <w:rPr>
                <w:rFonts w:ascii="Arial" w:cs="Arial" w:eastAsia="Arial" w:hAnsi="Arial"/>
                <w:sz w:val="14"/>
                <w:szCs w:val="14"/>
                <w:color w:val="auto"/>
              </w:rPr>
              <w:t>2016</w:t>
            </w:r>
          </w:p>
        </w:tc>
        <w:tc>
          <w:tcPr>
            <w:tcW w:w="380" w:type="dxa"/>
            <w:vAlign w:val="bottom"/>
            <w:tcBorders>
              <w:bottom w:val="single" w:sz="8" w:color="auto"/>
            </w:tcBorders>
          </w:tcPr>
          <w:p>
            <w:pPr>
              <w:spacing w:after="0"/>
              <w:rPr>
                <w:sz w:val="22"/>
                <w:szCs w:val="22"/>
                <w:color w:val="auto"/>
              </w:rPr>
            </w:pPr>
          </w:p>
        </w:tc>
        <w:tc>
          <w:tcPr>
            <w:tcW w:w="840" w:type="dxa"/>
            <w:vAlign w:val="bottom"/>
            <w:tcBorders>
              <w:bottom w:val="single" w:sz="8" w:color="auto"/>
            </w:tcBorders>
          </w:tcPr>
          <w:p>
            <w:pPr>
              <w:jc w:val="right"/>
              <w:ind w:right="320"/>
              <w:spacing w:after="0"/>
              <w:rPr>
                <w:sz w:val="20"/>
                <w:szCs w:val="20"/>
                <w:color w:val="auto"/>
              </w:rPr>
            </w:pPr>
            <w:r>
              <w:rPr>
                <w:rFonts w:ascii="Arial" w:cs="Arial" w:eastAsia="Arial" w:hAnsi="Arial"/>
                <w:sz w:val="14"/>
                <w:szCs w:val="14"/>
                <w:color w:val="auto"/>
              </w:rPr>
              <w:t>2015</w:t>
            </w:r>
          </w:p>
        </w:tc>
      </w:tr>
      <w:tr>
        <w:trPr>
          <w:trHeight w:val="250"/>
        </w:trPr>
        <w:tc>
          <w:tcPr>
            <w:tcW w:w="7780" w:type="dxa"/>
            <w:vAlign w:val="bottom"/>
          </w:tcPr>
          <w:p>
            <w:pPr>
              <w:ind w:left="40"/>
              <w:spacing w:after="0"/>
              <w:rPr>
                <w:sz w:val="20"/>
                <w:szCs w:val="20"/>
                <w:color w:val="auto"/>
              </w:rPr>
            </w:pPr>
            <w:r>
              <w:rPr>
                <w:rFonts w:ascii="Arial" w:cs="Arial" w:eastAsia="Arial" w:hAnsi="Arial"/>
                <w:sz w:val="16"/>
                <w:szCs w:val="16"/>
                <w:color w:val="auto"/>
              </w:rPr>
              <w:t>Accelerated depreciation</w:t>
            </w:r>
          </w:p>
        </w:tc>
        <w:tc>
          <w:tcPr>
            <w:tcW w:w="260" w:type="dxa"/>
            <w:vAlign w:val="bottom"/>
          </w:tcPr>
          <w:p>
            <w:pPr>
              <w:jc w:val="right"/>
              <w:ind w:right="59"/>
              <w:spacing w:after="0"/>
              <w:rPr>
                <w:sz w:val="20"/>
                <w:szCs w:val="20"/>
                <w:color w:val="auto"/>
              </w:rPr>
            </w:pPr>
            <w:r>
              <w:rPr>
                <w:rFonts w:ascii="Arial" w:cs="Arial" w:eastAsia="Arial" w:hAnsi="Arial"/>
                <w:sz w:val="16"/>
                <w:szCs w:val="16"/>
                <w:b w:val="1"/>
                <w:bCs w:val="1"/>
                <w:color w:val="auto"/>
              </w:rPr>
              <w:t>$</w:t>
            </w:r>
          </w:p>
        </w:tc>
        <w:tc>
          <w:tcPr>
            <w:tcW w:w="900" w:type="dxa"/>
            <w:vAlign w:val="bottom"/>
          </w:tcPr>
          <w:p>
            <w:pPr>
              <w:jc w:val="right"/>
              <w:ind w:right="42"/>
              <w:spacing w:after="0"/>
              <w:rPr>
                <w:sz w:val="20"/>
                <w:szCs w:val="20"/>
                <w:color w:val="auto"/>
              </w:rPr>
            </w:pPr>
            <w:r>
              <w:rPr>
                <w:rFonts w:ascii="Arial" w:cs="Arial" w:eastAsia="Arial" w:hAnsi="Arial"/>
                <w:sz w:val="16"/>
                <w:szCs w:val="16"/>
                <w:b w:val="1"/>
                <w:bCs w:val="1"/>
                <w:color w:val="auto"/>
              </w:rPr>
              <w:t>339</w:t>
            </w:r>
          </w:p>
        </w:tc>
        <w:tc>
          <w:tcPr>
            <w:tcW w:w="36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900" w:type="dxa"/>
            <w:vAlign w:val="bottom"/>
          </w:tcPr>
          <w:p>
            <w:pPr>
              <w:jc w:val="right"/>
              <w:ind w:right="60"/>
              <w:spacing w:after="0"/>
              <w:rPr>
                <w:sz w:val="20"/>
                <w:szCs w:val="20"/>
                <w:color w:val="auto"/>
              </w:rPr>
            </w:pPr>
            <w:r>
              <w:rPr>
                <w:rFonts w:ascii="Arial" w:cs="Arial" w:eastAsia="Arial" w:hAnsi="Arial"/>
                <w:sz w:val="16"/>
                <w:szCs w:val="16"/>
                <w:color w:val="auto"/>
              </w:rPr>
              <w:t>1,815</w:t>
            </w:r>
          </w:p>
        </w:tc>
        <w:tc>
          <w:tcPr>
            <w:tcW w:w="380" w:type="dxa"/>
            <w:vAlign w:val="bottom"/>
          </w:tcPr>
          <w:p>
            <w:pPr>
              <w:jc w:val="right"/>
              <w:ind w:right="99"/>
              <w:spacing w:after="0"/>
              <w:rPr>
                <w:sz w:val="20"/>
                <w:szCs w:val="20"/>
                <w:color w:val="auto"/>
              </w:rPr>
            </w:pPr>
            <w:r>
              <w:rPr>
                <w:rFonts w:ascii="Arial" w:cs="Arial" w:eastAsia="Arial" w:hAnsi="Arial"/>
                <w:sz w:val="16"/>
                <w:szCs w:val="16"/>
                <w:color w:val="auto"/>
              </w:rPr>
              <w:t>$</w:t>
            </w:r>
          </w:p>
        </w:tc>
        <w:tc>
          <w:tcPr>
            <w:tcW w:w="840" w:type="dxa"/>
            <w:vAlign w:val="bottom"/>
          </w:tcPr>
          <w:p>
            <w:pPr>
              <w:jc w:val="right"/>
              <w:ind w:right="20"/>
              <w:spacing w:after="0"/>
              <w:rPr>
                <w:sz w:val="20"/>
                <w:szCs w:val="20"/>
                <w:color w:val="auto"/>
              </w:rPr>
            </w:pPr>
            <w:r>
              <w:rPr>
                <w:rFonts w:ascii="Arial" w:cs="Arial" w:eastAsia="Arial" w:hAnsi="Arial"/>
                <w:sz w:val="16"/>
                <w:szCs w:val="16"/>
                <w:color w:val="auto"/>
              </w:rPr>
              <w:t>17,956</w:t>
            </w:r>
          </w:p>
        </w:tc>
      </w:tr>
      <w:tr>
        <w:trPr>
          <w:trHeight w:val="270"/>
        </w:trPr>
        <w:tc>
          <w:tcPr>
            <w:tcW w:w="7780" w:type="dxa"/>
            <w:vAlign w:val="bottom"/>
          </w:tcPr>
          <w:p>
            <w:pPr>
              <w:ind w:left="40"/>
              <w:spacing w:after="0"/>
              <w:rPr>
                <w:sz w:val="20"/>
                <w:szCs w:val="20"/>
                <w:color w:val="auto"/>
              </w:rPr>
            </w:pPr>
            <w:r>
              <w:rPr>
                <w:rFonts w:ascii="Arial" w:cs="Arial" w:eastAsia="Arial" w:hAnsi="Arial"/>
                <w:sz w:val="16"/>
                <w:szCs w:val="16"/>
                <w:color w:val="auto"/>
              </w:rPr>
              <w:t>Lease obligation losses</w:t>
            </w:r>
          </w:p>
        </w:tc>
        <w:tc>
          <w:tcPr>
            <w:tcW w:w="260" w:type="dxa"/>
            <w:vAlign w:val="bottom"/>
          </w:tcPr>
          <w:p>
            <w:pPr>
              <w:spacing w:after="0"/>
              <w:rPr>
                <w:sz w:val="23"/>
                <w:szCs w:val="23"/>
                <w:color w:val="auto"/>
              </w:rPr>
            </w:pPr>
          </w:p>
        </w:tc>
        <w:tc>
          <w:tcPr>
            <w:tcW w:w="900" w:type="dxa"/>
            <w:vAlign w:val="bottom"/>
          </w:tcPr>
          <w:p>
            <w:pPr>
              <w:jc w:val="right"/>
              <w:ind w:right="42"/>
              <w:spacing w:after="0"/>
              <w:rPr>
                <w:sz w:val="20"/>
                <w:szCs w:val="20"/>
                <w:color w:val="auto"/>
              </w:rPr>
            </w:pPr>
            <w:r>
              <w:rPr>
                <w:rFonts w:ascii="Arial" w:cs="Arial" w:eastAsia="Arial" w:hAnsi="Arial"/>
                <w:sz w:val="16"/>
                <w:szCs w:val="16"/>
                <w:b w:val="1"/>
                <w:bCs w:val="1"/>
                <w:color w:val="auto"/>
              </w:rPr>
              <w:t>—</w:t>
            </w:r>
          </w:p>
        </w:tc>
        <w:tc>
          <w:tcPr>
            <w:tcW w:w="360" w:type="dxa"/>
            <w:vAlign w:val="bottom"/>
          </w:tcPr>
          <w:p>
            <w:pPr>
              <w:spacing w:after="0"/>
              <w:rPr>
                <w:sz w:val="23"/>
                <w:szCs w:val="23"/>
                <w:color w:val="auto"/>
              </w:rPr>
            </w:pPr>
          </w:p>
        </w:tc>
        <w:tc>
          <w:tcPr>
            <w:tcW w:w="900" w:type="dxa"/>
            <w:vAlign w:val="bottom"/>
          </w:tcPr>
          <w:p>
            <w:pPr>
              <w:jc w:val="right"/>
              <w:ind w:right="60"/>
              <w:spacing w:after="0"/>
              <w:rPr>
                <w:sz w:val="20"/>
                <w:szCs w:val="20"/>
                <w:color w:val="auto"/>
              </w:rPr>
            </w:pPr>
            <w:r>
              <w:rPr>
                <w:rFonts w:ascii="Arial" w:cs="Arial" w:eastAsia="Arial" w:hAnsi="Arial"/>
                <w:sz w:val="16"/>
                <w:szCs w:val="16"/>
                <w:color w:val="auto"/>
              </w:rPr>
              <w:t>2,694</w:t>
            </w:r>
          </w:p>
        </w:tc>
        <w:tc>
          <w:tcPr>
            <w:tcW w:w="380" w:type="dxa"/>
            <w:vAlign w:val="bottom"/>
          </w:tcPr>
          <w:p>
            <w:pPr>
              <w:spacing w:after="0"/>
              <w:rPr>
                <w:sz w:val="23"/>
                <w:szCs w:val="23"/>
                <w:color w:val="auto"/>
              </w:rPr>
            </w:pPr>
          </w:p>
        </w:tc>
        <w:tc>
          <w:tcPr>
            <w:tcW w:w="840" w:type="dxa"/>
            <w:vAlign w:val="bottom"/>
          </w:tcPr>
          <w:p>
            <w:pPr>
              <w:jc w:val="right"/>
              <w:ind w:right="20"/>
              <w:spacing w:after="0"/>
              <w:rPr>
                <w:sz w:val="20"/>
                <w:szCs w:val="20"/>
                <w:color w:val="auto"/>
              </w:rPr>
            </w:pPr>
            <w:r>
              <w:rPr>
                <w:rFonts w:ascii="Arial" w:cs="Arial" w:eastAsia="Arial" w:hAnsi="Arial"/>
                <w:sz w:val="16"/>
                <w:szCs w:val="16"/>
                <w:color w:val="auto"/>
              </w:rPr>
              <w:t>8,240</w:t>
            </w:r>
          </w:p>
        </w:tc>
      </w:tr>
      <w:tr>
        <w:trPr>
          <w:trHeight w:val="270"/>
        </w:trPr>
        <w:tc>
          <w:tcPr>
            <w:tcW w:w="7780" w:type="dxa"/>
            <w:vAlign w:val="bottom"/>
          </w:tcPr>
          <w:p>
            <w:pPr>
              <w:ind w:left="40"/>
              <w:spacing w:after="0"/>
              <w:rPr>
                <w:sz w:val="20"/>
                <w:szCs w:val="20"/>
                <w:color w:val="auto"/>
              </w:rPr>
            </w:pPr>
            <w:r>
              <w:rPr>
                <w:rFonts w:ascii="Arial" w:cs="Arial" w:eastAsia="Arial" w:hAnsi="Arial"/>
                <w:sz w:val="16"/>
                <w:szCs w:val="16"/>
                <w:color w:val="auto"/>
              </w:rPr>
              <w:t>Severance and Special Incentive Program expense</w:t>
            </w:r>
          </w:p>
        </w:tc>
        <w:tc>
          <w:tcPr>
            <w:tcW w:w="260" w:type="dxa"/>
            <w:vAlign w:val="bottom"/>
          </w:tcPr>
          <w:p>
            <w:pPr>
              <w:spacing w:after="0"/>
              <w:rPr>
                <w:sz w:val="23"/>
                <w:szCs w:val="23"/>
                <w:color w:val="auto"/>
              </w:rPr>
            </w:pPr>
          </w:p>
        </w:tc>
        <w:tc>
          <w:tcPr>
            <w:tcW w:w="900" w:type="dxa"/>
            <w:vAlign w:val="bottom"/>
          </w:tcPr>
          <w:p>
            <w:pPr>
              <w:jc w:val="right"/>
              <w:ind w:right="42"/>
              <w:spacing w:after="0"/>
              <w:rPr>
                <w:sz w:val="20"/>
                <w:szCs w:val="20"/>
                <w:color w:val="auto"/>
              </w:rPr>
            </w:pPr>
            <w:r>
              <w:rPr>
                <w:rFonts w:ascii="Arial" w:cs="Arial" w:eastAsia="Arial" w:hAnsi="Arial"/>
                <w:sz w:val="16"/>
                <w:szCs w:val="16"/>
                <w:b w:val="1"/>
                <w:bCs w:val="1"/>
                <w:color w:val="auto"/>
              </w:rPr>
              <w:t>6,992</w:t>
            </w:r>
          </w:p>
        </w:tc>
        <w:tc>
          <w:tcPr>
            <w:tcW w:w="360" w:type="dxa"/>
            <w:vAlign w:val="bottom"/>
          </w:tcPr>
          <w:p>
            <w:pPr>
              <w:spacing w:after="0"/>
              <w:rPr>
                <w:sz w:val="23"/>
                <w:szCs w:val="23"/>
                <w:color w:val="auto"/>
              </w:rPr>
            </w:pPr>
          </w:p>
        </w:tc>
        <w:tc>
          <w:tcPr>
            <w:tcW w:w="900" w:type="dxa"/>
            <w:vAlign w:val="bottom"/>
          </w:tcPr>
          <w:p>
            <w:pPr>
              <w:jc w:val="right"/>
              <w:ind w:right="60"/>
              <w:spacing w:after="0"/>
              <w:rPr>
                <w:sz w:val="20"/>
                <w:szCs w:val="20"/>
                <w:color w:val="auto"/>
              </w:rPr>
            </w:pPr>
            <w:r>
              <w:rPr>
                <w:rFonts w:ascii="Arial" w:cs="Arial" w:eastAsia="Arial" w:hAnsi="Arial"/>
                <w:sz w:val="16"/>
                <w:szCs w:val="16"/>
                <w:color w:val="auto"/>
              </w:rPr>
              <w:t>5,902</w:t>
            </w:r>
          </w:p>
        </w:tc>
        <w:tc>
          <w:tcPr>
            <w:tcW w:w="380" w:type="dxa"/>
            <w:vAlign w:val="bottom"/>
          </w:tcPr>
          <w:p>
            <w:pPr>
              <w:spacing w:after="0"/>
              <w:rPr>
                <w:sz w:val="23"/>
                <w:szCs w:val="23"/>
                <w:color w:val="auto"/>
              </w:rPr>
            </w:pPr>
          </w:p>
        </w:tc>
        <w:tc>
          <w:tcPr>
            <w:tcW w:w="840" w:type="dxa"/>
            <w:vAlign w:val="bottom"/>
          </w:tcPr>
          <w:p>
            <w:pPr>
              <w:jc w:val="right"/>
              <w:ind w:right="20"/>
              <w:spacing w:after="0"/>
              <w:rPr>
                <w:sz w:val="20"/>
                <w:szCs w:val="20"/>
                <w:color w:val="auto"/>
              </w:rPr>
            </w:pPr>
            <w:r>
              <w:rPr>
                <w:rFonts w:ascii="Arial" w:cs="Arial" w:eastAsia="Arial" w:hAnsi="Arial"/>
                <w:sz w:val="16"/>
                <w:szCs w:val="16"/>
                <w:color w:val="auto"/>
              </w:rPr>
              <w:t>17,968</w:t>
            </w:r>
          </w:p>
        </w:tc>
      </w:tr>
      <w:tr>
        <w:trPr>
          <w:trHeight w:val="283"/>
        </w:trPr>
        <w:tc>
          <w:tcPr>
            <w:tcW w:w="7780" w:type="dxa"/>
            <w:vAlign w:val="bottom"/>
          </w:tcPr>
          <w:p>
            <w:pPr>
              <w:ind w:left="40"/>
              <w:spacing w:after="0"/>
              <w:rPr>
                <w:sz w:val="20"/>
                <w:szCs w:val="20"/>
                <w:color w:val="auto"/>
              </w:rPr>
            </w:pPr>
            <w:r>
              <w:rPr>
                <w:rFonts w:ascii="Arial" w:cs="Arial" w:eastAsia="Arial" w:hAnsi="Arial"/>
                <w:sz w:val="16"/>
                <w:szCs w:val="16"/>
                <w:color w:val="auto"/>
              </w:rPr>
              <w:t>Other</w:t>
            </w:r>
          </w:p>
        </w:tc>
        <w:tc>
          <w:tcPr>
            <w:tcW w:w="26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jc w:val="right"/>
              <w:ind w:right="42"/>
              <w:spacing w:after="0"/>
              <w:rPr>
                <w:sz w:val="20"/>
                <w:szCs w:val="20"/>
                <w:color w:val="auto"/>
              </w:rPr>
            </w:pPr>
            <w:r>
              <w:rPr>
                <w:rFonts w:ascii="Arial" w:cs="Arial" w:eastAsia="Arial" w:hAnsi="Arial"/>
                <w:sz w:val="16"/>
                <w:szCs w:val="16"/>
                <w:b w:val="1"/>
                <w:bCs w:val="1"/>
                <w:color w:val="auto"/>
              </w:rPr>
              <w:t>2,627</w:t>
            </w:r>
          </w:p>
        </w:tc>
        <w:tc>
          <w:tcPr>
            <w:tcW w:w="36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jc w:val="right"/>
              <w:ind w:right="60"/>
              <w:spacing w:after="0"/>
              <w:rPr>
                <w:sz w:val="20"/>
                <w:szCs w:val="20"/>
                <w:color w:val="auto"/>
              </w:rPr>
            </w:pPr>
            <w:r>
              <w:rPr>
                <w:rFonts w:ascii="Arial" w:cs="Arial" w:eastAsia="Arial" w:hAnsi="Arial"/>
                <w:sz w:val="16"/>
                <w:szCs w:val="16"/>
                <w:color w:val="auto"/>
              </w:rPr>
              <w:t>1,441</w:t>
            </w:r>
          </w:p>
        </w:tc>
        <w:tc>
          <w:tcPr>
            <w:tcW w:w="38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209</w:t>
            </w:r>
          </w:p>
        </w:tc>
      </w:tr>
      <w:tr>
        <w:trPr>
          <w:trHeight w:val="264"/>
        </w:trPr>
        <w:tc>
          <w:tcPr>
            <w:tcW w:w="7780" w:type="dxa"/>
            <w:vAlign w:val="bottom"/>
          </w:tcPr>
          <w:p>
            <w:pPr>
              <w:spacing w:after="0"/>
              <w:rPr>
                <w:sz w:val="22"/>
                <w:szCs w:val="22"/>
                <w:color w:val="auto"/>
              </w:rPr>
            </w:pPr>
          </w:p>
        </w:tc>
        <w:tc>
          <w:tcPr>
            <w:tcW w:w="26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b w:val="1"/>
                <w:bCs w:val="1"/>
                <w:color w:val="auto"/>
              </w:rPr>
              <w:t>$</w:t>
            </w:r>
          </w:p>
        </w:tc>
        <w:tc>
          <w:tcPr>
            <w:tcW w:w="900" w:type="dxa"/>
            <w:vAlign w:val="bottom"/>
            <w:tcBorders>
              <w:bottom w:val="single" w:sz="8" w:color="auto"/>
            </w:tcBorders>
          </w:tcPr>
          <w:p>
            <w:pPr>
              <w:jc w:val="right"/>
              <w:ind w:right="42"/>
              <w:spacing w:after="0"/>
              <w:rPr>
                <w:sz w:val="20"/>
                <w:szCs w:val="20"/>
                <w:color w:val="auto"/>
              </w:rPr>
            </w:pPr>
            <w:r>
              <w:rPr>
                <w:rFonts w:ascii="Arial" w:cs="Arial" w:eastAsia="Arial" w:hAnsi="Arial"/>
                <w:sz w:val="16"/>
                <w:szCs w:val="16"/>
                <w:b w:val="1"/>
                <w:bCs w:val="1"/>
                <w:color w:val="auto"/>
              </w:rPr>
              <w:t>9,958</w:t>
            </w:r>
          </w:p>
        </w:tc>
        <w:tc>
          <w:tcPr>
            <w:tcW w:w="36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w:t>
            </w:r>
          </w:p>
        </w:tc>
        <w:tc>
          <w:tcPr>
            <w:tcW w:w="900" w:type="dxa"/>
            <w:vAlign w:val="bottom"/>
            <w:tcBorders>
              <w:bottom w:val="single" w:sz="8" w:color="auto"/>
            </w:tcBorders>
          </w:tcPr>
          <w:p>
            <w:pPr>
              <w:jc w:val="right"/>
              <w:ind w:right="60"/>
              <w:spacing w:after="0"/>
              <w:rPr>
                <w:sz w:val="20"/>
                <w:szCs w:val="20"/>
                <w:color w:val="auto"/>
              </w:rPr>
            </w:pPr>
            <w:r>
              <w:rPr>
                <w:rFonts w:ascii="Arial" w:cs="Arial" w:eastAsia="Arial" w:hAnsi="Arial"/>
                <w:sz w:val="16"/>
                <w:szCs w:val="16"/>
                <w:color w:val="auto"/>
              </w:rPr>
              <w:t>11,852</w:t>
            </w:r>
          </w:p>
        </w:tc>
        <w:tc>
          <w:tcPr>
            <w:tcW w:w="38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rPr>
              <w:t>$</w:t>
            </w:r>
          </w:p>
        </w:tc>
        <w:tc>
          <w:tcPr>
            <w:tcW w:w="84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44,373</w:t>
            </w:r>
          </w:p>
        </w:tc>
      </w:tr>
      <w:tr>
        <w:trPr>
          <w:trHeight w:val="20"/>
        </w:trPr>
        <w:tc>
          <w:tcPr>
            <w:tcW w:w="77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ind w:right="200"/>
        <w:spacing w:after="0" w:line="235" w:lineRule="auto"/>
        <w:rPr>
          <w:sz w:val="20"/>
          <w:szCs w:val="20"/>
          <w:color w:val="auto"/>
        </w:rPr>
      </w:pPr>
      <w:r>
        <w:rPr>
          <w:rFonts w:ascii="Arial" w:cs="Arial" w:eastAsia="Arial" w:hAnsi="Arial"/>
          <w:sz w:val="18"/>
          <w:szCs w:val="18"/>
          <w:color w:val="auto"/>
        </w:rPr>
        <w:t>KHE incurred restructuring costs of $1.8 million, $7.2 million and $12.9 million in 2017, 2016 and 2015, respectively, primarily from severance and Special Incentive Program expense, lease obligation losses and accelerated depreciation.</w:t>
      </w:r>
    </w:p>
    <w:p>
      <w:pPr>
        <w:spacing w:after="0" w:line="135" w:lineRule="exact"/>
        <w:rPr>
          <w:sz w:val="20"/>
          <w:szCs w:val="20"/>
          <w:color w:val="auto"/>
        </w:rPr>
      </w:pPr>
    </w:p>
    <w:p>
      <w:pPr>
        <w:ind w:right="240"/>
        <w:spacing w:after="0" w:line="227" w:lineRule="auto"/>
        <w:rPr>
          <w:sz w:val="20"/>
          <w:szCs w:val="20"/>
          <w:color w:val="auto"/>
        </w:rPr>
      </w:pPr>
      <w:r>
        <w:rPr>
          <w:rFonts w:ascii="Arial" w:cs="Arial" w:eastAsia="Arial" w:hAnsi="Arial"/>
          <w:sz w:val="18"/>
          <w:szCs w:val="18"/>
          <w:color w:val="auto"/>
        </w:rPr>
        <w:t>On February 12, 2015, Kaplan entered into a Purchase and Sale Agreement to sell substantially all of the assets of its KHE Campuses business, consisting of 38 nationally accredited ground campuses, and certain related assets, in exchange for a preferred equity interest in a vocational school company. The transaction closed on September 3, 2015. In addition, Kaplan recorded a $6.9 million other long-lived asset impairment charge in connection with its KHE Campuses business in the second quarter of 2015.</w:t>
      </w:r>
    </w:p>
    <w:p>
      <w:pPr>
        <w:spacing w:after="0" w:line="135" w:lineRule="exact"/>
        <w:rPr>
          <w:sz w:val="20"/>
          <w:szCs w:val="20"/>
          <w:color w:val="auto"/>
        </w:rPr>
      </w:pPr>
    </w:p>
    <w:p>
      <w:pPr>
        <w:spacing w:after="0"/>
        <w:rPr>
          <w:sz w:val="20"/>
          <w:szCs w:val="20"/>
          <w:color w:val="auto"/>
        </w:rPr>
      </w:pPr>
      <w:r>
        <w:rPr>
          <w:rFonts w:ascii="Arial" w:cs="Arial" w:eastAsia="Arial" w:hAnsi="Arial"/>
          <w:sz w:val="18"/>
          <w:szCs w:val="18"/>
          <w:color w:val="auto"/>
        </w:rPr>
        <w:t>KTP incurred restructuring costs of $4.3 million in 2017 primarily from severance.</w:t>
      </w:r>
    </w:p>
    <w:p>
      <w:pPr>
        <w:spacing w:after="0" w:line="144" w:lineRule="exact"/>
        <w:rPr>
          <w:sz w:val="20"/>
          <w:szCs w:val="20"/>
          <w:color w:val="auto"/>
        </w:rPr>
      </w:pPr>
    </w:p>
    <w:p>
      <w:pPr>
        <w:ind w:right="380"/>
        <w:spacing w:after="0" w:line="235" w:lineRule="auto"/>
        <w:rPr>
          <w:sz w:val="20"/>
          <w:szCs w:val="20"/>
          <w:color w:val="auto"/>
        </w:rPr>
      </w:pPr>
      <w:r>
        <w:rPr>
          <w:rFonts w:ascii="Arial" w:cs="Arial" w:eastAsia="Arial" w:hAnsi="Arial"/>
          <w:sz w:val="18"/>
          <w:szCs w:val="18"/>
          <w:color w:val="auto"/>
        </w:rPr>
        <w:t>Kaplan International incurred restructuring costs of $3.8 million, $4.7 million and $1.3 million in 2017, 2016 and 2015, respectively. These restructuring costs were largely in the U.K. and Australia and included severance charges, lease obligations, and accelerated depreciation.</w:t>
      </w:r>
    </w:p>
    <w:p>
      <w:pPr>
        <w:spacing w:after="0" w:line="135" w:lineRule="exact"/>
        <w:rPr>
          <w:sz w:val="20"/>
          <w:szCs w:val="20"/>
          <w:color w:val="auto"/>
        </w:rPr>
      </w:pPr>
    </w:p>
    <w:p>
      <w:pPr>
        <w:ind w:right="380"/>
        <w:spacing w:after="0" w:line="235" w:lineRule="auto"/>
        <w:rPr>
          <w:sz w:val="20"/>
          <w:szCs w:val="20"/>
          <w:color w:val="auto"/>
        </w:rPr>
      </w:pPr>
      <w:r>
        <w:rPr>
          <w:rFonts w:ascii="Arial" w:cs="Arial" w:eastAsia="Arial" w:hAnsi="Arial"/>
          <w:sz w:val="18"/>
          <w:szCs w:val="18"/>
          <w:color w:val="auto"/>
        </w:rPr>
        <w:t>Kaplan Corporate incurred restructuring costs of $29.4 million in 2015 related to accelerated depreciation, severance and Special Incentive Program expense and lease obligations losses.</w:t>
      </w:r>
    </w:p>
    <w:p>
      <w:pPr>
        <w:spacing w:after="0" w:line="135" w:lineRule="exact"/>
        <w:rPr>
          <w:sz w:val="20"/>
          <w:szCs w:val="20"/>
          <w:color w:val="auto"/>
        </w:rPr>
      </w:pPr>
    </w:p>
    <w:p>
      <w:pPr>
        <w:spacing w:after="0"/>
        <w:rPr>
          <w:sz w:val="20"/>
          <w:szCs w:val="20"/>
          <w:color w:val="auto"/>
        </w:rPr>
      </w:pPr>
      <w:r>
        <w:rPr>
          <w:rFonts w:ascii="Arial" w:cs="Arial" w:eastAsia="Arial" w:hAnsi="Arial"/>
          <w:sz w:val="18"/>
          <w:szCs w:val="18"/>
          <w:color w:val="auto"/>
        </w:rPr>
        <w:t>Total accrued restructuring costs at Kaplan were $8.5 million and $11.8 million at the end of 2017 and 2016, respectively.</w:t>
      </w:r>
    </w:p>
    <w:p>
      <w:pPr>
        <w:spacing w:after="0" w:line="200" w:lineRule="exact"/>
        <w:rPr>
          <w:sz w:val="20"/>
          <w:szCs w:val="20"/>
          <w:color w:val="auto"/>
        </w:rPr>
      </w:pPr>
    </w:p>
    <w:p>
      <w:pPr>
        <w:spacing w:after="0" w:line="3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117</w:t>
      </w:r>
    </w:p>
    <w:p>
      <w:pPr>
        <w:sectPr>
          <w:pgSz w:w="11900" w:h="16838" w:orient="portrait"/>
          <w:cols w:equalWidth="0" w:num="1">
            <w:col w:w="11420"/>
          </w:cols>
          <w:pgMar w:left="240" w:top="724" w:right="239" w:bottom="1440" w:gutter="0" w:footer="0" w:header="0"/>
        </w:sectPr>
      </w:pPr>
    </w:p>
    <w:bookmarkStart w:id="121" w:name="page122"/>
    <w:bookmarkEnd w:id="121"/>
    <w:p>
      <w:pPr>
        <w:jc w:val="both"/>
        <w:ind w:right="140"/>
        <w:spacing w:after="0" w:line="233" w:lineRule="auto"/>
        <w:rPr>
          <w:sz w:val="20"/>
          <w:szCs w:val="20"/>
          <w:color w:val="auto"/>
        </w:rPr>
      </w:pPr>
      <w:r>
        <w:rPr>
          <w:rFonts w:ascii="Arial" w:cs="Arial" w:eastAsia="Arial" w:hAnsi="Arial"/>
          <w:sz w:val="18"/>
          <w:szCs w:val="18"/>
          <w:b w:val="1"/>
          <w:bCs w:val="1"/>
          <w:color w:val="auto"/>
        </w:rPr>
        <w:t xml:space="preserve">Television Broadcasting. </w:t>
      </w:r>
      <w:r>
        <w:rPr>
          <w:rFonts w:ascii="Arial" w:cs="Arial" w:eastAsia="Arial" w:hAnsi="Arial"/>
          <w:sz w:val="18"/>
          <w:szCs w:val="18"/>
          <w:color w:val="auto"/>
        </w:rPr>
        <w:t>Television broadcasting operations are conducted through seven television stations serving the Detroit, Houston,</w:t>
      </w:r>
      <w:r>
        <w:rPr>
          <w:rFonts w:ascii="Arial" w:cs="Arial" w:eastAsia="Arial" w:hAnsi="Arial"/>
          <w:sz w:val="18"/>
          <w:szCs w:val="18"/>
          <w:b w:val="1"/>
          <w:bCs w:val="1"/>
          <w:color w:val="auto"/>
        </w:rPr>
        <w:t xml:space="preserve"> </w:t>
      </w:r>
      <w:r>
        <w:rPr>
          <w:rFonts w:ascii="Arial" w:cs="Arial" w:eastAsia="Arial" w:hAnsi="Arial"/>
          <w:sz w:val="18"/>
          <w:szCs w:val="18"/>
          <w:color w:val="auto"/>
        </w:rPr>
        <w:t>San Antonio, Orlando, Jacksonville and Roanoke television markets. All stations are network-affiliated (except for WJXT in Jacksonville), with revenues derived primarily from sales of advertising time. In addition, the stations generate revenue from retransmission consent agreements for the right to carry their signals.</w:t>
      </w:r>
    </w:p>
    <w:p>
      <w:pPr>
        <w:spacing w:after="0" w:line="1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Other Businesses. </w:t>
      </w:r>
      <w:r>
        <w:rPr>
          <w:rFonts w:ascii="Arial" w:cs="Arial" w:eastAsia="Arial" w:hAnsi="Arial"/>
          <w:sz w:val="18"/>
          <w:szCs w:val="18"/>
          <w:color w:val="auto"/>
        </w:rPr>
        <w:t>Other businesses includes the following:</w:t>
      </w:r>
    </w:p>
    <w:p>
      <w:pPr>
        <w:spacing w:after="0" w:line="166" w:lineRule="exact"/>
        <w:rPr>
          <w:sz w:val="20"/>
          <w:szCs w:val="20"/>
          <w:color w:val="auto"/>
        </w:rPr>
      </w:pPr>
    </w:p>
    <w:p>
      <w:pPr>
        <w:ind w:left="660" w:hanging="328"/>
        <w:spacing w:after="0" w:line="225" w:lineRule="auto"/>
        <w:tabs>
          <w:tab w:leader="none" w:pos="660" w:val="left"/>
        </w:tabs>
        <w:numPr>
          <w:ilvl w:val="0"/>
          <w:numId w:val="85"/>
        </w:numPr>
        <w:rPr>
          <w:rFonts w:ascii="Arial" w:cs="Arial" w:eastAsia="Arial" w:hAnsi="Arial"/>
          <w:sz w:val="18"/>
          <w:szCs w:val="18"/>
          <w:color w:val="auto"/>
        </w:rPr>
      </w:pPr>
      <w:r>
        <w:rPr>
          <w:rFonts w:ascii="Arial" w:cs="Arial" w:eastAsia="Arial" w:hAnsi="Arial"/>
          <w:sz w:val="18"/>
          <w:szCs w:val="18"/>
          <w:color w:val="auto"/>
        </w:rPr>
        <w:t>Hoover, a Thomson, GA-based supplier of pressure impregnated kiln-dried lumber and plywood products for fire retardant and preservative applications (acquired in April 2017); Dekko, a Garrett, IN-based manufacturer of electrical workspace solutions, architectural lighting, and electrical components and assemblies (acquired in November 2015); Joyce/Dayton Corp., a Dayton, OH-based manufacturer of screw jacks and other linear motion systems; and Forney, a global supplier of products and systems that control and monitor combustion processes in electric utility and industrial applications;</w:t>
      </w:r>
    </w:p>
    <w:p>
      <w:pPr>
        <w:spacing w:after="0" w:line="137" w:lineRule="exact"/>
        <w:rPr>
          <w:rFonts w:ascii="Arial" w:cs="Arial" w:eastAsia="Arial" w:hAnsi="Arial"/>
          <w:sz w:val="18"/>
          <w:szCs w:val="18"/>
          <w:color w:val="auto"/>
        </w:rPr>
      </w:pPr>
    </w:p>
    <w:p>
      <w:pPr>
        <w:ind w:left="660" w:hanging="328"/>
        <w:spacing w:after="0"/>
        <w:tabs>
          <w:tab w:leader="none" w:pos="660" w:val="left"/>
        </w:tabs>
        <w:numPr>
          <w:ilvl w:val="0"/>
          <w:numId w:val="85"/>
        </w:numPr>
        <w:rPr>
          <w:rFonts w:ascii="Arial" w:cs="Arial" w:eastAsia="Arial" w:hAnsi="Arial"/>
          <w:sz w:val="18"/>
          <w:szCs w:val="18"/>
          <w:color w:val="auto"/>
        </w:rPr>
      </w:pPr>
      <w:r>
        <w:rPr>
          <w:rFonts w:ascii="Arial" w:cs="Arial" w:eastAsia="Arial" w:hAnsi="Arial"/>
          <w:sz w:val="18"/>
          <w:szCs w:val="18"/>
          <w:color w:val="auto"/>
        </w:rPr>
        <w:t>Graham Healthcare Group (GHG), made up of Celtic and Residential, providers of home health and hospice services; and</w:t>
      </w:r>
    </w:p>
    <w:p>
      <w:pPr>
        <w:spacing w:after="0" w:line="144" w:lineRule="exact"/>
        <w:rPr>
          <w:rFonts w:ascii="Arial" w:cs="Arial" w:eastAsia="Arial" w:hAnsi="Arial"/>
          <w:sz w:val="18"/>
          <w:szCs w:val="18"/>
          <w:color w:val="auto"/>
        </w:rPr>
      </w:pPr>
    </w:p>
    <w:p>
      <w:pPr>
        <w:ind w:left="660" w:right="60" w:hanging="328"/>
        <w:spacing w:after="0" w:line="235" w:lineRule="auto"/>
        <w:tabs>
          <w:tab w:leader="none" w:pos="660" w:val="left"/>
        </w:tabs>
        <w:numPr>
          <w:ilvl w:val="0"/>
          <w:numId w:val="85"/>
        </w:numPr>
        <w:rPr>
          <w:rFonts w:ascii="Arial" w:cs="Arial" w:eastAsia="Arial" w:hAnsi="Arial"/>
          <w:sz w:val="18"/>
          <w:szCs w:val="18"/>
          <w:color w:val="auto"/>
        </w:rPr>
      </w:pPr>
      <w:r>
        <w:rPr>
          <w:rFonts w:ascii="Arial" w:cs="Arial" w:eastAsia="Arial" w:hAnsi="Arial"/>
          <w:sz w:val="18"/>
          <w:szCs w:val="18"/>
          <w:color w:val="auto"/>
        </w:rPr>
        <w:t>SocialCode, a marketing and insights company that manages digital advertising for leading brands; The Slate Group and Foreign Policy Group, which publish online and print magazines and websites; and two investment stage businesses, Panoply and Cybervista.</w:t>
      </w:r>
    </w:p>
    <w:p>
      <w:pPr>
        <w:spacing w:after="0" w:line="135" w:lineRule="exact"/>
        <w:rPr>
          <w:sz w:val="20"/>
          <w:szCs w:val="20"/>
          <w:color w:val="auto"/>
        </w:rPr>
      </w:pPr>
    </w:p>
    <w:p>
      <w:pPr>
        <w:ind w:right="320"/>
        <w:spacing w:after="0" w:line="235" w:lineRule="auto"/>
        <w:rPr>
          <w:sz w:val="20"/>
          <w:szCs w:val="20"/>
          <w:color w:val="auto"/>
        </w:rPr>
      </w:pPr>
      <w:r>
        <w:rPr>
          <w:rFonts w:ascii="Arial" w:cs="Arial" w:eastAsia="Arial" w:hAnsi="Arial"/>
          <w:sz w:val="18"/>
          <w:szCs w:val="18"/>
          <w:color w:val="auto"/>
        </w:rPr>
        <w:t>In November 2015, the Company announced that Trove, a digital innovation team that builds products and technologies in the news space, would largely be integrated into SocialCode.</w:t>
      </w:r>
    </w:p>
    <w:p>
      <w:pPr>
        <w:spacing w:after="0" w:line="113" w:lineRule="exact"/>
        <w:rPr>
          <w:sz w:val="20"/>
          <w:szCs w:val="20"/>
          <w:color w:val="auto"/>
        </w:rPr>
      </w:pPr>
    </w:p>
    <w:p>
      <w:pPr>
        <w:ind w:right="480"/>
        <w:spacing w:after="0" w:line="256" w:lineRule="auto"/>
        <w:rPr>
          <w:sz w:val="20"/>
          <w:szCs w:val="20"/>
          <w:color w:val="auto"/>
        </w:rPr>
      </w:pPr>
      <w:r>
        <w:rPr>
          <w:rFonts w:ascii="Arial" w:cs="Arial" w:eastAsia="Arial" w:hAnsi="Arial"/>
          <w:sz w:val="18"/>
          <w:szCs w:val="18"/>
          <w:b w:val="1"/>
          <w:bCs w:val="1"/>
          <w:color w:val="auto"/>
        </w:rPr>
        <w:t xml:space="preserve">Corporate Office. </w:t>
      </w:r>
      <w:r>
        <w:rPr>
          <w:rFonts w:ascii="Arial" w:cs="Arial" w:eastAsia="Arial" w:hAnsi="Arial"/>
          <w:sz w:val="18"/>
          <w:szCs w:val="18"/>
          <w:color w:val="auto"/>
        </w:rPr>
        <w:t>Corporate office includes the expenses of the Company’s corporate office, a net pension credit and certain continuing</w:t>
      </w:r>
      <w:r>
        <w:rPr>
          <w:rFonts w:ascii="Arial" w:cs="Arial" w:eastAsia="Arial" w:hAnsi="Arial"/>
          <w:sz w:val="18"/>
          <w:szCs w:val="18"/>
          <w:b w:val="1"/>
          <w:bCs w:val="1"/>
          <w:color w:val="auto"/>
        </w:rPr>
        <w:t xml:space="preserve"> </w:t>
      </w:r>
      <w:r>
        <w:rPr>
          <w:rFonts w:ascii="Arial" w:cs="Arial" w:eastAsia="Arial" w:hAnsi="Arial"/>
          <w:sz w:val="18"/>
          <w:szCs w:val="18"/>
          <w:color w:val="auto"/>
        </w:rPr>
        <w:t>obligations related to prior business dispositions.</w:t>
      </w:r>
    </w:p>
    <w:p>
      <w:pPr>
        <w:spacing w:after="0" w:line="99" w:lineRule="exact"/>
        <w:rPr>
          <w:sz w:val="20"/>
          <w:szCs w:val="20"/>
          <w:color w:val="auto"/>
        </w:rPr>
      </w:pPr>
    </w:p>
    <w:p>
      <w:pPr>
        <w:ind w:right="40"/>
        <w:spacing w:after="0" w:line="230" w:lineRule="auto"/>
        <w:rPr>
          <w:sz w:val="20"/>
          <w:szCs w:val="20"/>
          <w:color w:val="auto"/>
        </w:rPr>
      </w:pPr>
      <w:r>
        <w:rPr>
          <w:rFonts w:ascii="Arial" w:cs="Arial" w:eastAsia="Arial" w:hAnsi="Arial"/>
          <w:sz w:val="18"/>
          <w:szCs w:val="18"/>
          <w:b w:val="1"/>
          <w:bCs w:val="1"/>
          <w:color w:val="auto"/>
        </w:rPr>
        <w:t xml:space="preserve">Geographical Information. </w:t>
      </w:r>
      <w:r>
        <w:rPr>
          <w:rFonts w:ascii="Arial" w:cs="Arial" w:eastAsia="Arial" w:hAnsi="Arial"/>
          <w:sz w:val="18"/>
          <w:szCs w:val="18"/>
          <w:color w:val="auto"/>
        </w:rPr>
        <w:t>The Company’s non-U.S. revenues in 2017, 2016 and 2015 totaled approximately $637 million, $624 million and</w:t>
      </w:r>
      <w:r>
        <w:rPr>
          <w:rFonts w:ascii="Arial" w:cs="Arial" w:eastAsia="Arial" w:hAnsi="Arial"/>
          <w:sz w:val="18"/>
          <w:szCs w:val="18"/>
          <w:b w:val="1"/>
          <w:bCs w:val="1"/>
          <w:color w:val="auto"/>
        </w:rPr>
        <w:t xml:space="preserve"> </w:t>
      </w:r>
      <w:r>
        <w:rPr>
          <w:rFonts w:ascii="Arial" w:cs="Arial" w:eastAsia="Arial" w:hAnsi="Arial"/>
          <w:sz w:val="18"/>
          <w:szCs w:val="18"/>
          <w:color w:val="auto"/>
        </w:rPr>
        <w:t>$660 million, respectively, primarily from Kaplan’s operations outside the U.S. Additionally, revenues in 2017, 2016 and 2015 totaled approximately $320 million, $312 million, and $319 million, respectively, from Kaplan’s operations in the U.K. The Company’s long-lived assets in non-U.S. countries (excluding goodwill and other intangible assets), totaled approximately $89 million and $67 million at December 31, 2017 and 2016, respectively.</w:t>
      </w:r>
    </w:p>
    <w:p>
      <w:pPr>
        <w:spacing w:after="0" w:line="200" w:lineRule="exact"/>
        <w:rPr>
          <w:sz w:val="20"/>
          <w:szCs w:val="20"/>
          <w:color w:val="auto"/>
        </w:rPr>
      </w:pPr>
    </w:p>
    <w:p>
      <w:pPr>
        <w:spacing w:after="0" w:line="30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118</w:t>
      </w:r>
    </w:p>
    <w:p>
      <w:pPr>
        <w:sectPr>
          <w:pgSz w:w="11900" w:h="16838" w:orient="portrait"/>
          <w:cols w:equalWidth="0" w:num="1">
            <w:col w:w="11380"/>
          </w:cols>
          <w:pgMar w:left="240" w:top="724" w:right="279" w:bottom="1440" w:gutter="0" w:footer="0" w:header="0"/>
        </w:sectPr>
      </w:pPr>
    </w:p>
    <w:bookmarkStart w:id="122" w:name="page123"/>
    <w:bookmarkEnd w:id="122"/>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Company information broken down by operating segment and education division:</w:t>
      </w:r>
    </w:p>
    <w:p>
      <w:pPr>
        <w:spacing w:after="0" w:line="199"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778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2540" w:type="dxa"/>
            <w:vAlign w:val="bottom"/>
            <w:tcBorders>
              <w:bottom w:val="single" w:sz="8" w:color="auto"/>
            </w:tcBorders>
            <w:gridSpan w:val="4"/>
          </w:tcPr>
          <w:p>
            <w:pPr>
              <w:jc w:val="right"/>
              <w:spacing w:after="0"/>
              <w:rPr>
                <w:sz w:val="20"/>
                <w:szCs w:val="20"/>
                <w:color w:val="auto"/>
              </w:rPr>
            </w:pPr>
            <w:r>
              <w:rPr>
                <w:rFonts w:ascii="Arial" w:cs="Arial" w:eastAsia="Arial" w:hAnsi="Arial"/>
                <w:sz w:val="14"/>
                <w:szCs w:val="14"/>
                <w:b w:val="1"/>
                <w:bCs w:val="1"/>
                <w:color w:val="auto"/>
              </w:rPr>
              <w:t>Year Ended December 31</w:t>
            </w:r>
          </w:p>
        </w:tc>
        <w:tc>
          <w:tcPr>
            <w:tcW w:w="88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64"/>
        </w:trPr>
        <w:tc>
          <w:tcPr>
            <w:tcW w:w="778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(in thousands)</w:t>
            </w:r>
          </w:p>
        </w:tc>
        <w:tc>
          <w:tcPr>
            <w:tcW w:w="22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ind w:right="379"/>
              <w:spacing w:after="0"/>
              <w:rPr>
                <w:sz w:val="20"/>
                <w:szCs w:val="20"/>
                <w:color w:val="auto"/>
              </w:rPr>
            </w:pPr>
            <w:r>
              <w:rPr>
                <w:rFonts w:ascii="Arial" w:cs="Arial" w:eastAsia="Arial" w:hAnsi="Arial"/>
                <w:sz w:val="14"/>
                <w:szCs w:val="14"/>
                <w:b w:val="1"/>
                <w:bCs w:val="1"/>
                <w:color w:val="auto"/>
              </w:rPr>
              <w:t>2017</w:t>
            </w:r>
          </w:p>
        </w:tc>
        <w:tc>
          <w:tcPr>
            <w:tcW w:w="28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359"/>
              <w:spacing w:after="0"/>
              <w:rPr>
                <w:sz w:val="20"/>
                <w:szCs w:val="20"/>
                <w:color w:val="auto"/>
              </w:rPr>
            </w:pPr>
            <w:r>
              <w:rPr>
                <w:rFonts w:ascii="Arial" w:cs="Arial" w:eastAsia="Arial" w:hAnsi="Arial"/>
                <w:sz w:val="14"/>
                <w:szCs w:val="14"/>
                <w:color w:val="auto"/>
              </w:rPr>
              <w:t>2016</w:t>
            </w:r>
          </w:p>
        </w:tc>
        <w:tc>
          <w:tcPr>
            <w:tcW w:w="32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ind w:right="319"/>
              <w:spacing w:after="0"/>
              <w:rPr>
                <w:sz w:val="20"/>
                <w:szCs w:val="20"/>
                <w:color w:val="auto"/>
              </w:rPr>
            </w:pPr>
            <w:r>
              <w:rPr>
                <w:rFonts w:ascii="Arial" w:cs="Arial" w:eastAsia="Arial" w:hAnsi="Arial"/>
                <w:sz w:val="14"/>
                <w:szCs w:val="14"/>
                <w:color w:val="auto"/>
              </w:rPr>
              <w:t>2015</w:t>
            </w:r>
          </w:p>
        </w:tc>
        <w:tc>
          <w:tcPr>
            <w:tcW w:w="0" w:type="dxa"/>
            <w:vAlign w:val="bottom"/>
          </w:tcPr>
          <w:p>
            <w:pPr>
              <w:spacing w:after="0"/>
              <w:rPr>
                <w:sz w:val="1"/>
                <w:szCs w:val="1"/>
                <w:color w:val="auto"/>
              </w:rPr>
            </w:pPr>
          </w:p>
        </w:tc>
      </w:tr>
      <w:tr>
        <w:trPr>
          <w:trHeight w:val="250"/>
        </w:trPr>
        <w:tc>
          <w:tcPr>
            <w:tcW w:w="7780" w:type="dxa"/>
            <w:vAlign w:val="bottom"/>
          </w:tcPr>
          <w:p>
            <w:pPr>
              <w:ind w:left="40"/>
              <w:spacing w:after="0"/>
              <w:rPr>
                <w:sz w:val="20"/>
                <w:szCs w:val="20"/>
                <w:color w:val="auto"/>
              </w:rPr>
            </w:pPr>
            <w:r>
              <w:rPr>
                <w:rFonts w:ascii="Arial" w:cs="Arial" w:eastAsia="Arial" w:hAnsi="Arial"/>
                <w:sz w:val="16"/>
                <w:szCs w:val="16"/>
                <w:b w:val="1"/>
                <w:bCs w:val="1"/>
                <w:color w:val="auto"/>
              </w:rPr>
              <w:t>Operating Revenues</w:t>
            </w:r>
          </w:p>
        </w:tc>
        <w:tc>
          <w:tcPr>
            <w:tcW w:w="22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0"/>
        </w:trPr>
        <w:tc>
          <w:tcPr>
            <w:tcW w:w="7780" w:type="dxa"/>
            <w:vAlign w:val="bottom"/>
          </w:tcPr>
          <w:p>
            <w:pPr>
              <w:ind w:left="280"/>
              <w:spacing w:after="0"/>
              <w:rPr>
                <w:sz w:val="20"/>
                <w:szCs w:val="20"/>
                <w:color w:val="auto"/>
              </w:rPr>
            </w:pPr>
            <w:r>
              <w:rPr>
                <w:rFonts w:ascii="Arial" w:cs="Arial" w:eastAsia="Arial" w:hAnsi="Arial"/>
                <w:sz w:val="16"/>
                <w:szCs w:val="16"/>
                <w:color w:val="auto"/>
              </w:rPr>
              <w:t>Education</w:t>
            </w:r>
          </w:p>
        </w:tc>
        <w:tc>
          <w:tcPr>
            <w:tcW w:w="220" w:type="dxa"/>
            <w:vAlign w:val="bottom"/>
          </w:tcPr>
          <w:p>
            <w:pPr>
              <w:jc w:val="right"/>
              <w:ind w:right="19"/>
              <w:spacing w:after="0"/>
              <w:rPr>
                <w:sz w:val="20"/>
                <w:szCs w:val="20"/>
                <w:color w:val="auto"/>
              </w:rPr>
            </w:pPr>
            <w:r>
              <w:rPr>
                <w:rFonts w:ascii="Arial" w:cs="Arial" w:eastAsia="Arial" w:hAnsi="Arial"/>
                <w:sz w:val="16"/>
                <w:szCs w:val="16"/>
                <w:b w:val="1"/>
                <w:bCs w:val="1"/>
                <w:color w:val="auto"/>
              </w:rPr>
              <w:t>$</w:t>
            </w:r>
          </w:p>
        </w:tc>
        <w:tc>
          <w:tcPr>
            <w:tcW w:w="980" w:type="dxa"/>
            <w:vAlign w:val="bottom"/>
          </w:tcPr>
          <w:p>
            <w:pPr>
              <w:jc w:val="right"/>
              <w:ind w:right="79"/>
              <w:spacing w:after="0"/>
              <w:rPr>
                <w:sz w:val="20"/>
                <w:szCs w:val="20"/>
                <w:color w:val="auto"/>
              </w:rPr>
            </w:pPr>
            <w:r>
              <w:rPr>
                <w:rFonts w:ascii="Arial" w:cs="Arial" w:eastAsia="Arial" w:hAnsi="Arial"/>
                <w:sz w:val="16"/>
                <w:szCs w:val="16"/>
                <w:b w:val="1"/>
                <w:bCs w:val="1"/>
                <w:color w:val="auto"/>
              </w:rPr>
              <w:t>1,516,776</w:t>
            </w:r>
          </w:p>
        </w:tc>
        <w:tc>
          <w:tcPr>
            <w:tcW w:w="28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960" w:type="dxa"/>
            <w:vAlign w:val="bottom"/>
          </w:tcPr>
          <w:p>
            <w:pPr>
              <w:jc w:val="right"/>
              <w:ind w:right="79"/>
              <w:spacing w:after="0"/>
              <w:rPr>
                <w:sz w:val="20"/>
                <w:szCs w:val="20"/>
                <w:color w:val="auto"/>
              </w:rPr>
            </w:pPr>
            <w:r>
              <w:rPr>
                <w:rFonts w:ascii="Arial" w:cs="Arial" w:eastAsia="Arial" w:hAnsi="Arial"/>
                <w:sz w:val="16"/>
                <w:szCs w:val="16"/>
                <w:color w:val="auto"/>
              </w:rPr>
              <w:t>1,598,461</w:t>
            </w:r>
          </w:p>
        </w:tc>
        <w:tc>
          <w:tcPr>
            <w:tcW w:w="32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880" w:type="dxa"/>
            <w:vAlign w:val="bottom"/>
          </w:tcPr>
          <w:p>
            <w:pPr>
              <w:jc w:val="right"/>
              <w:ind w:right="19"/>
              <w:spacing w:after="0"/>
              <w:rPr>
                <w:sz w:val="20"/>
                <w:szCs w:val="20"/>
                <w:color w:val="auto"/>
              </w:rPr>
            </w:pPr>
            <w:r>
              <w:rPr>
                <w:rFonts w:ascii="Arial" w:cs="Arial" w:eastAsia="Arial" w:hAnsi="Arial"/>
                <w:sz w:val="16"/>
                <w:szCs w:val="16"/>
                <w:color w:val="auto"/>
              </w:rPr>
              <w:t>1,927,521</w:t>
            </w:r>
          </w:p>
        </w:tc>
        <w:tc>
          <w:tcPr>
            <w:tcW w:w="0" w:type="dxa"/>
            <w:vAlign w:val="bottom"/>
          </w:tcPr>
          <w:p>
            <w:pPr>
              <w:spacing w:after="0"/>
              <w:rPr>
                <w:sz w:val="1"/>
                <w:szCs w:val="1"/>
                <w:color w:val="auto"/>
              </w:rPr>
            </w:pPr>
          </w:p>
        </w:tc>
      </w:tr>
      <w:tr>
        <w:trPr>
          <w:trHeight w:val="270"/>
        </w:trPr>
        <w:tc>
          <w:tcPr>
            <w:tcW w:w="7780" w:type="dxa"/>
            <w:vAlign w:val="bottom"/>
          </w:tcPr>
          <w:p>
            <w:pPr>
              <w:ind w:left="280"/>
              <w:spacing w:after="0"/>
              <w:rPr>
                <w:sz w:val="20"/>
                <w:szCs w:val="20"/>
                <w:color w:val="auto"/>
              </w:rPr>
            </w:pPr>
            <w:r>
              <w:rPr>
                <w:rFonts w:ascii="Arial" w:cs="Arial" w:eastAsia="Arial" w:hAnsi="Arial"/>
                <w:sz w:val="16"/>
                <w:szCs w:val="16"/>
                <w:color w:val="auto"/>
              </w:rPr>
              <w:t>Television broadcasting</w:t>
            </w:r>
          </w:p>
        </w:tc>
        <w:tc>
          <w:tcPr>
            <w:tcW w:w="220" w:type="dxa"/>
            <w:vAlign w:val="bottom"/>
          </w:tcPr>
          <w:p>
            <w:pPr>
              <w:spacing w:after="0"/>
              <w:rPr>
                <w:sz w:val="23"/>
                <w:szCs w:val="23"/>
                <w:color w:val="auto"/>
              </w:rPr>
            </w:pPr>
          </w:p>
        </w:tc>
        <w:tc>
          <w:tcPr>
            <w:tcW w:w="980" w:type="dxa"/>
            <w:vAlign w:val="bottom"/>
          </w:tcPr>
          <w:p>
            <w:pPr>
              <w:jc w:val="right"/>
              <w:ind w:right="79"/>
              <w:spacing w:after="0"/>
              <w:rPr>
                <w:sz w:val="20"/>
                <w:szCs w:val="20"/>
                <w:color w:val="auto"/>
              </w:rPr>
            </w:pPr>
            <w:r>
              <w:rPr>
                <w:rFonts w:ascii="Arial" w:cs="Arial" w:eastAsia="Arial" w:hAnsi="Arial"/>
                <w:sz w:val="16"/>
                <w:szCs w:val="16"/>
                <w:b w:val="1"/>
                <w:bCs w:val="1"/>
                <w:color w:val="auto"/>
              </w:rPr>
              <w:t>409,916</w:t>
            </w:r>
          </w:p>
        </w:tc>
        <w:tc>
          <w:tcPr>
            <w:tcW w:w="280" w:type="dxa"/>
            <w:vAlign w:val="bottom"/>
          </w:tcPr>
          <w:p>
            <w:pPr>
              <w:spacing w:after="0"/>
              <w:rPr>
                <w:sz w:val="23"/>
                <w:szCs w:val="23"/>
                <w:color w:val="auto"/>
              </w:rPr>
            </w:pPr>
          </w:p>
        </w:tc>
        <w:tc>
          <w:tcPr>
            <w:tcW w:w="960" w:type="dxa"/>
            <w:vAlign w:val="bottom"/>
          </w:tcPr>
          <w:p>
            <w:pPr>
              <w:jc w:val="right"/>
              <w:ind w:right="79"/>
              <w:spacing w:after="0"/>
              <w:rPr>
                <w:sz w:val="20"/>
                <w:szCs w:val="20"/>
                <w:color w:val="auto"/>
              </w:rPr>
            </w:pPr>
            <w:r>
              <w:rPr>
                <w:rFonts w:ascii="Arial" w:cs="Arial" w:eastAsia="Arial" w:hAnsi="Arial"/>
                <w:sz w:val="16"/>
                <w:szCs w:val="16"/>
                <w:color w:val="auto"/>
              </w:rPr>
              <w:t>409,718</w:t>
            </w:r>
          </w:p>
        </w:tc>
        <w:tc>
          <w:tcPr>
            <w:tcW w:w="320" w:type="dxa"/>
            <w:vAlign w:val="bottom"/>
          </w:tcPr>
          <w:p>
            <w:pPr>
              <w:spacing w:after="0"/>
              <w:rPr>
                <w:sz w:val="23"/>
                <w:szCs w:val="23"/>
                <w:color w:val="auto"/>
              </w:rPr>
            </w:pPr>
          </w:p>
        </w:tc>
        <w:tc>
          <w:tcPr>
            <w:tcW w:w="880" w:type="dxa"/>
            <w:vAlign w:val="bottom"/>
          </w:tcPr>
          <w:p>
            <w:pPr>
              <w:jc w:val="right"/>
              <w:ind w:right="19"/>
              <w:spacing w:after="0"/>
              <w:rPr>
                <w:sz w:val="20"/>
                <w:szCs w:val="20"/>
                <w:color w:val="auto"/>
              </w:rPr>
            </w:pPr>
            <w:r>
              <w:rPr>
                <w:rFonts w:ascii="Arial" w:cs="Arial" w:eastAsia="Arial" w:hAnsi="Arial"/>
                <w:sz w:val="16"/>
                <w:szCs w:val="16"/>
                <w:color w:val="auto"/>
              </w:rPr>
              <w:t>359,192</w:t>
            </w:r>
          </w:p>
        </w:tc>
        <w:tc>
          <w:tcPr>
            <w:tcW w:w="0" w:type="dxa"/>
            <w:vAlign w:val="bottom"/>
          </w:tcPr>
          <w:p>
            <w:pPr>
              <w:spacing w:after="0"/>
              <w:rPr>
                <w:sz w:val="1"/>
                <w:szCs w:val="1"/>
                <w:color w:val="auto"/>
              </w:rPr>
            </w:pPr>
          </w:p>
        </w:tc>
      </w:tr>
      <w:tr>
        <w:trPr>
          <w:trHeight w:val="270"/>
        </w:trPr>
        <w:tc>
          <w:tcPr>
            <w:tcW w:w="7780" w:type="dxa"/>
            <w:vAlign w:val="bottom"/>
          </w:tcPr>
          <w:p>
            <w:pPr>
              <w:ind w:left="280"/>
              <w:spacing w:after="0"/>
              <w:rPr>
                <w:sz w:val="20"/>
                <w:szCs w:val="20"/>
                <w:color w:val="auto"/>
              </w:rPr>
            </w:pPr>
            <w:r>
              <w:rPr>
                <w:rFonts w:ascii="Arial" w:cs="Arial" w:eastAsia="Arial" w:hAnsi="Arial"/>
                <w:sz w:val="16"/>
                <w:szCs w:val="16"/>
                <w:color w:val="auto"/>
              </w:rPr>
              <w:t>Other businesses</w:t>
            </w:r>
          </w:p>
        </w:tc>
        <w:tc>
          <w:tcPr>
            <w:tcW w:w="220" w:type="dxa"/>
            <w:vAlign w:val="bottom"/>
          </w:tcPr>
          <w:p>
            <w:pPr>
              <w:spacing w:after="0"/>
              <w:rPr>
                <w:sz w:val="23"/>
                <w:szCs w:val="23"/>
                <w:color w:val="auto"/>
              </w:rPr>
            </w:pPr>
          </w:p>
        </w:tc>
        <w:tc>
          <w:tcPr>
            <w:tcW w:w="980" w:type="dxa"/>
            <w:vAlign w:val="bottom"/>
          </w:tcPr>
          <w:p>
            <w:pPr>
              <w:jc w:val="right"/>
              <w:ind w:right="79"/>
              <w:spacing w:after="0"/>
              <w:rPr>
                <w:sz w:val="20"/>
                <w:szCs w:val="20"/>
                <w:color w:val="auto"/>
              </w:rPr>
            </w:pPr>
            <w:r>
              <w:rPr>
                <w:rFonts w:ascii="Arial" w:cs="Arial" w:eastAsia="Arial" w:hAnsi="Arial"/>
                <w:sz w:val="16"/>
                <w:szCs w:val="16"/>
                <w:b w:val="1"/>
                <w:bCs w:val="1"/>
                <w:color w:val="auto"/>
              </w:rPr>
              <w:t>665,205</w:t>
            </w:r>
          </w:p>
        </w:tc>
        <w:tc>
          <w:tcPr>
            <w:tcW w:w="280" w:type="dxa"/>
            <w:vAlign w:val="bottom"/>
          </w:tcPr>
          <w:p>
            <w:pPr>
              <w:spacing w:after="0"/>
              <w:rPr>
                <w:sz w:val="23"/>
                <w:szCs w:val="23"/>
                <w:color w:val="auto"/>
              </w:rPr>
            </w:pPr>
          </w:p>
        </w:tc>
        <w:tc>
          <w:tcPr>
            <w:tcW w:w="960" w:type="dxa"/>
            <w:vAlign w:val="bottom"/>
          </w:tcPr>
          <w:p>
            <w:pPr>
              <w:jc w:val="right"/>
              <w:ind w:right="79"/>
              <w:spacing w:after="0"/>
              <w:rPr>
                <w:sz w:val="20"/>
                <w:szCs w:val="20"/>
                <w:color w:val="auto"/>
              </w:rPr>
            </w:pPr>
            <w:r>
              <w:rPr>
                <w:rFonts w:ascii="Arial" w:cs="Arial" w:eastAsia="Arial" w:hAnsi="Arial"/>
                <w:sz w:val="16"/>
                <w:szCs w:val="16"/>
                <w:color w:val="auto"/>
              </w:rPr>
              <w:t>473,850</w:t>
            </w:r>
          </w:p>
        </w:tc>
        <w:tc>
          <w:tcPr>
            <w:tcW w:w="320" w:type="dxa"/>
            <w:vAlign w:val="bottom"/>
          </w:tcPr>
          <w:p>
            <w:pPr>
              <w:spacing w:after="0"/>
              <w:rPr>
                <w:sz w:val="23"/>
                <w:szCs w:val="23"/>
                <w:color w:val="auto"/>
              </w:rPr>
            </w:pPr>
          </w:p>
        </w:tc>
        <w:tc>
          <w:tcPr>
            <w:tcW w:w="880" w:type="dxa"/>
            <w:vAlign w:val="bottom"/>
          </w:tcPr>
          <w:p>
            <w:pPr>
              <w:jc w:val="right"/>
              <w:ind w:right="19"/>
              <w:spacing w:after="0"/>
              <w:rPr>
                <w:sz w:val="20"/>
                <w:szCs w:val="20"/>
                <w:color w:val="auto"/>
              </w:rPr>
            </w:pPr>
            <w:r>
              <w:rPr>
                <w:rFonts w:ascii="Arial" w:cs="Arial" w:eastAsia="Arial" w:hAnsi="Arial"/>
                <w:sz w:val="16"/>
                <w:szCs w:val="16"/>
                <w:color w:val="auto"/>
              </w:rPr>
              <w:t>299,517</w:t>
            </w:r>
          </w:p>
        </w:tc>
        <w:tc>
          <w:tcPr>
            <w:tcW w:w="0" w:type="dxa"/>
            <w:vAlign w:val="bottom"/>
          </w:tcPr>
          <w:p>
            <w:pPr>
              <w:spacing w:after="0"/>
              <w:rPr>
                <w:sz w:val="1"/>
                <w:szCs w:val="1"/>
                <w:color w:val="auto"/>
              </w:rPr>
            </w:pPr>
          </w:p>
        </w:tc>
      </w:tr>
      <w:tr>
        <w:trPr>
          <w:trHeight w:val="270"/>
        </w:trPr>
        <w:tc>
          <w:tcPr>
            <w:tcW w:w="7780" w:type="dxa"/>
            <w:vAlign w:val="bottom"/>
          </w:tcPr>
          <w:p>
            <w:pPr>
              <w:ind w:left="280"/>
              <w:spacing w:after="0"/>
              <w:rPr>
                <w:sz w:val="20"/>
                <w:szCs w:val="20"/>
                <w:color w:val="auto"/>
              </w:rPr>
            </w:pPr>
            <w:r>
              <w:rPr>
                <w:rFonts w:ascii="Arial" w:cs="Arial" w:eastAsia="Arial" w:hAnsi="Arial"/>
                <w:sz w:val="16"/>
                <w:szCs w:val="16"/>
                <w:color w:val="auto"/>
              </w:rPr>
              <w:t>Corporate office</w:t>
            </w:r>
          </w:p>
        </w:tc>
        <w:tc>
          <w:tcPr>
            <w:tcW w:w="220" w:type="dxa"/>
            <w:vAlign w:val="bottom"/>
          </w:tcPr>
          <w:p>
            <w:pPr>
              <w:spacing w:after="0"/>
              <w:rPr>
                <w:sz w:val="23"/>
                <w:szCs w:val="23"/>
                <w:color w:val="auto"/>
              </w:rPr>
            </w:pPr>
          </w:p>
        </w:tc>
        <w:tc>
          <w:tcPr>
            <w:tcW w:w="980" w:type="dxa"/>
            <w:vAlign w:val="bottom"/>
          </w:tcPr>
          <w:p>
            <w:pPr>
              <w:jc w:val="right"/>
              <w:ind w:right="79"/>
              <w:spacing w:after="0"/>
              <w:rPr>
                <w:sz w:val="20"/>
                <w:szCs w:val="20"/>
                <w:color w:val="auto"/>
              </w:rPr>
            </w:pPr>
            <w:r>
              <w:rPr>
                <w:rFonts w:ascii="Arial" w:cs="Arial" w:eastAsia="Arial" w:hAnsi="Arial"/>
                <w:sz w:val="16"/>
                <w:szCs w:val="16"/>
                <w:b w:val="1"/>
                <w:bCs w:val="1"/>
                <w:color w:val="auto"/>
              </w:rPr>
              <w:t>—</w:t>
            </w:r>
          </w:p>
        </w:tc>
        <w:tc>
          <w:tcPr>
            <w:tcW w:w="280" w:type="dxa"/>
            <w:vAlign w:val="bottom"/>
          </w:tcPr>
          <w:p>
            <w:pPr>
              <w:spacing w:after="0"/>
              <w:rPr>
                <w:sz w:val="23"/>
                <w:szCs w:val="23"/>
                <w:color w:val="auto"/>
              </w:rPr>
            </w:pPr>
          </w:p>
        </w:tc>
        <w:tc>
          <w:tcPr>
            <w:tcW w:w="96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320" w:type="dxa"/>
            <w:vAlign w:val="bottom"/>
          </w:tcPr>
          <w:p>
            <w:pPr>
              <w:spacing w:after="0"/>
              <w:rPr>
                <w:sz w:val="23"/>
                <w:szCs w:val="23"/>
                <w:color w:val="auto"/>
              </w:rPr>
            </w:pPr>
          </w:p>
        </w:tc>
        <w:tc>
          <w:tcPr>
            <w:tcW w:w="88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83"/>
        </w:trPr>
        <w:tc>
          <w:tcPr>
            <w:tcW w:w="7780" w:type="dxa"/>
            <w:vAlign w:val="bottom"/>
          </w:tcPr>
          <w:p>
            <w:pPr>
              <w:ind w:left="280"/>
              <w:spacing w:after="0"/>
              <w:rPr>
                <w:sz w:val="20"/>
                <w:szCs w:val="20"/>
                <w:color w:val="auto"/>
              </w:rPr>
            </w:pPr>
            <w:r>
              <w:rPr>
                <w:rFonts w:ascii="Arial" w:cs="Arial" w:eastAsia="Arial" w:hAnsi="Arial"/>
                <w:sz w:val="16"/>
                <w:szCs w:val="16"/>
                <w:color w:val="auto"/>
              </w:rPr>
              <w:t>Intersegment elimination</w:t>
            </w:r>
          </w:p>
        </w:tc>
        <w:tc>
          <w:tcPr>
            <w:tcW w:w="22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b w:val="1"/>
                <w:bCs w:val="1"/>
                <w:color w:val="auto"/>
              </w:rPr>
              <w:t>(51)</w:t>
            </w:r>
          </w:p>
        </w:tc>
        <w:tc>
          <w:tcPr>
            <w:tcW w:w="28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(139)</w:t>
            </w:r>
          </w:p>
        </w:tc>
        <w:tc>
          <w:tcPr>
            <w:tcW w:w="32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(116)</w:t>
            </w:r>
          </w:p>
        </w:tc>
        <w:tc>
          <w:tcPr>
            <w:tcW w:w="0" w:type="dxa"/>
            <w:vAlign w:val="bottom"/>
          </w:tcPr>
          <w:p>
            <w:pPr>
              <w:spacing w:after="0"/>
              <w:rPr>
                <w:sz w:val="1"/>
                <w:szCs w:val="1"/>
                <w:color w:val="auto"/>
              </w:rPr>
            </w:pPr>
          </w:p>
        </w:tc>
      </w:tr>
      <w:tr>
        <w:trPr>
          <w:trHeight w:val="264"/>
        </w:trPr>
        <w:tc>
          <w:tcPr>
            <w:tcW w:w="7780" w:type="dxa"/>
            <w:vAlign w:val="bottom"/>
          </w:tcPr>
          <w:p>
            <w:pPr>
              <w:spacing w:after="0"/>
              <w:rPr>
                <w:sz w:val="22"/>
                <w:szCs w:val="22"/>
                <w:color w:val="auto"/>
              </w:rPr>
            </w:pPr>
          </w:p>
        </w:tc>
        <w:tc>
          <w:tcPr>
            <w:tcW w:w="2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b w:val="1"/>
                <w:bCs w:val="1"/>
                <w:color w:val="auto"/>
              </w:rPr>
              <w:t>$</w:t>
            </w:r>
          </w:p>
        </w:tc>
        <w:tc>
          <w:tcPr>
            <w:tcW w:w="98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b w:val="1"/>
                <w:bCs w:val="1"/>
                <w:color w:val="auto"/>
              </w:rPr>
              <w:t>2,591,846</w:t>
            </w:r>
          </w:p>
        </w:tc>
        <w:tc>
          <w:tcPr>
            <w:tcW w:w="28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w:t>
            </w:r>
          </w:p>
        </w:tc>
        <w:tc>
          <w:tcPr>
            <w:tcW w:w="96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2,481,890</w:t>
            </w:r>
          </w:p>
        </w:tc>
        <w:tc>
          <w:tcPr>
            <w:tcW w:w="32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w:t>
            </w:r>
          </w:p>
        </w:tc>
        <w:tc>
          <w:tcPr>
            <w:tcW w:w="88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2,586,114</w:t>
            </w:r>
          </w:p>
        </w:tc>
        <w:tc>
          <w:tcPr>
            <w:tcW w:w="0" w:type="dxa"/>
            <w:vAlign w:val="bottom"/>
          </w:tcPr>
          <w:p>
            <w:pPr>
              <w:spacing w:after="0"/>
              <w:rPr>
                <w:sz w:val="1"/>
                <w:szCs w:val="1"/>
                <w:color w:val="auto"/>
              </w:rPr>
            </w:pPr>
          </w:p>
        </w:tc>
      </w:tr>
      <w:tr>
        <w:trPr>
          <w:trHeight w:val="251"/>
        </w:trPr>
        <w:tc>
          <w:tcPr>
            <w:tcW w:w="7780" w:type="dxa"/>
            <w:vAlign w:val="bottom"/>
          </w:tcPr>
          <w:p>
            <w:pPr>
              <w:ind w:left="40"/>
              <w:spacing w:after="0"/>
              <w:rPr>
                <w:sz w:val="20"/>
                <w:szCs w:val="20"/>
                <w:color w:val="auto"/>
              </w:rPr>
            </w:pPr>
            <w:r>
              <w:rPr>
                <w:rFonts w:ascii="Arial" w:cs="Arial" w:eastAsia="Arial" w:hAnsi="Arial"/>
                <w:sz w:val="16"/>
                <w:szCs w:val="16"/>
                <w:b w:val="1"/>
                <w:bCs w:val="1"/>
                <w:color w:val="auto"/>
              </w:rPr>
              <w:t>Income (Loss) from Operations</w:t>
            </w:r>
          </w:p>
        </w:tc>
        <w:tc>
          <w:tcPr>
            <w:tcW w:w="22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0"/>
        </w:trPr>
        <w:tc>
          <w:tcPr>
            <w:tcW w:w="7780" w:type="dxa"/>
            <w:vAlign w:val="bottom"/>
          </w:tcPr>
          <w:p>
            <w:pPr>
              <w:ind w:left="280"/>
              <w:spacing w:after="0"/>
              <w:rPr>
                <w:sz w:val="20"/>
                <w:szCs w:val="20"/>
                <w:color w:val="auto"/>
              </w:rPr>
            </w:pPr>
            <w:r>
              <w:rPr>
                <w:rFonts w:ascii="Arial" w:cs="Arial" w:eastAsia="Arial" w:hAnsi="Arial"/>
                <w:sz w:val="16"/>
                <w:szCs w:val="16"/>
                <w:color w:val="auto"/>
              </w:rPr>
              <w:t>Education</w:t>
            </w:r>
          </w:p>
        </w:tc>
        <w:tc>
          <w:tcPr>
            <w:tcW w:w="220" w:type="dxa"/>
            <w:vAlign w:val="bottom"/>
          </w:tcPr>
          <w:p>
            <w:pPr>
              <w:jc w:val="right"/>
              <w:ind w:right="19"/>
              <w:spacing w:after="0"/>
              <w:rPr>
                <w:sz w:val="20"/>
                <w:szCs w:val="20"/>
                <w:color w:val="auto"/>
              </w:rPr>
            </w:pPr>
            <w:r>
              <w:rPr>
                <w:rFonts w:ascii="Arial" w:cs="Arial" w:eastAsia="Arial" w:hAnsi="Arial"/>
                <w:sz w:val="16"/>
                <w:szCs w:val="16"/>
                <w:b w:val="1"/>
                <w:bCs w:val="1"/>
                <w:color w:val="auto"/>
              </w:rPr>
              <w:t>$</w:t>
            </w:r>
          </w:p>
        </w:tc>
        <w:tc>
          <w:tcPr>
            <w:tcW w:w="980" w:type="dxa"/>
            <w:vAlign w:val="bottom"/>
          </w:tcPr>
          <w:p>
            <w:pPr>
              <w:jc w:val="right"/>
              <w:ind w:right="79"/>
              <w:spacing w:after="0"/>
              <w:rPr>
                <w:sz w:val="20"/>
                <w:szCs w:val="20"/>
                <w:color w:val="auto"/>
              </w:rPr>
            </w:pPr>
            <w:r>
              <w:rPr>
                <w:rFonts w:ascii="Arial" w:cs="Arial" w:eastAsia="Arial" w:hAnsi="Arial"/>
                <w:sz w:val="16"/>
                <w:szCs w:val="16"/>
                <w:b w:val="1"/>
                <w:bCs w:val="1"/>
                <w:color w:val="auto"/>
              </w:rPr>
              <w:t>75,169</w:t>
            </w:r>
          </w:p>
        </w:tc>
        <w:tc>
          <w:tcPr>
            <w:tcW w:w="28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960" w:type="dxa"/>
            <w:vAlign w:val="bottom"/>
          </w:tcPr>
          <w:p>
            <w:pPr>
              <w:jc w:val="right"/>
              <w:ind w:right="79"/>
              <w:spacing w:after="0"/>
              <w:rPr>
                <w:sz w:val="20"/>
                <w:szCs w:val="20"/>
                <w:color w:val="auto"/>
              </w:rPr>
            </w:pPr>
            <w:r>
              <w:rPr>
                <w:rFonts w:ascii="Arial" w:cs="Arial" w:eastAsia="Arial" w:hAnsi="Arial"/>
                <w:sz w:val="16"/>
                <w:szCs w:val="16"/>
                <w:color w:val="auto"/>
              </w:rPr>
              <w:t>93,632</w:t>
            </w:r>
          </w:p>
        </w:tc>
        <w:tc>
          <w:tcPr>
            <w:tcW w:w="32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880" w:type="dxa"/>
            <w:vAlign w:val="bottom"/>
          </w:tcPr>
          <w:p>
            <w:pPr>
              <w:jc w:val="right"/>
              <w:spacing w:after="0"/>
              <w:rPr>
                <w:sz w:val="20"/>
                <w:szCs w:val="20"/>
                <w:color w:val="auto"/>
              </w:rPr>
            </w:pPr>
            <w:r>
              <w:rPr>
                <w:rFonts w:ascii="Arial" w:cs="Arial" w:eastAsia="Arial" w:hAnsi="Arial"/>
                <w:sz w:val="16"/>
                <w:szCs w:val="16"/>
                <w:color w:val="auto"/>
              </w:rPr>
              <w:t>(223,456)</w:t>
            </w:r>
          </w:p>
        </w:tc>
        <w:tc>
          <w:tcPr>
            <w:tcW w:w="0" w:type="dxa"/>
            <w:vAlign w:val="bottom"/>
          </w:tcPr>
          <w:p>
            <w:pPr>
              <w:spacing w:after="0"/>
              <w:rPr>
                <w:sz w:val="1"/>
                <w:szCs w:val="1"/>
                <w:color w:val="auto"/>
              </w:rPr>
            </w:pPr>
          </w:p>
        </w:tc>
      </w:tr>
      <w:tr>
        <w:trPr>
          <w:trHeight w:val="270"/>
        </w:trPr>
        <w:tc>
          <w:tcPr>
            <w:tcW w:w="7780" w:type="dxa"/>
            <w:vAlign w:val="bottom"/>
          </w:tcPr>
          <w:p>
            <w:pPr>
              <w:ind w:left="280"/>
              <w:spacing w:after="0"/>
              <w:rPr>
                <w:sz w:val="20"/>
                <w:szCs w:val="20"/>
                <w:color w:val="auto"/>
              </w:rPr>
            </w:pPr>
            <w:r>
              <w:rPr>
                <w:rFonts w:ascii="Arial" w:cs="Arial" w:eastAsia="Arial" w:hAnsi="Arial"/>
                <w:sz w:val="16"/>
                <w:szCs w:val="16"/>
                <w:color w:val="auto"/>
              </w:rPr>
              <w:t>Television broadcasting</w:t>
            </w:r>
          </w:p>
        </w:tc>
        <w:tc>
          <w:tcPr>
            <w:tcW w:w="220" w:type="dxa"/>
            <w:vAlign w:val="bottom"/>
          </w:tcPr>
          <w:p>
            <w:pPr>
              <w:spacing w:after="0"/>
              <w:rPr>
                <w:sz w:val="23"/>
                <w:szCs w:val="23"/>
                <w:color w:val="auto"/>
              </w:rPr>
            </w:pPr>
          </w:p>
        </w:tc>
        <w:tc>
          <w:tcPr>
            <w:tcW w:w="980" w:type="dxa"/>
            <w:vAlign w:val="bottom"/>
          </w:tcPr>
          <w:p>
            <w:pPr>
              <w:jc w:val="right"/>
              <w:ind w:right="79"/>
              <w:spacing w:after="0"/>
              <w:rPr>
                <w:sz w:val="20"/>
                <w:szCs w:val="20"/>
                <w:color w:val="auto"/>
              </w:rPr>
            </w:pPr>
            <w:r>
              <w:rPr>
                <w:rFonts w:ascii="Arial" w:cs="Arial" w:eastAsia="Arial" w:hAnsi="Arial"/>
                <w:sz w:val="16"/>
                <w:szCs w:val="16"/>
                <w:b w:val="1"/>
                <w:bCs w:val="1"/>
                <w:color w:val="auto"/>
              </w:rPr>
              <w:t>137,203</w:t>
            </w:r>
          </w:p>
        </w:tc>
        <w:tc>
          <w:tcPr>
            <w:tcW w:w="280" w:type="dxa"/>
            <w:vAlign w:val="bottom"/>
          </w:tcPr>
          <w:p>
            <w:pPr>
              <w:spacing w:after="0"/>
              <w:rPr>
                <w:sz w:val="23"/>
                <w:szCs w:val="23"/>
                <w:color w:val="auto"/>
              </w:rPr>
            </w:pPr>
          </w:p>
        </w:tc>
        <w:tc>
          <w:tcPr>
            <w:tcW w:w="960" w:type="dxa"/>
            <w:vAlign w:val="bottom"/>
          </w:tcPr>
          <w:p>
            <w:pPr>
              <w:jc w:val="right"/>
              <w:ind w:right="79"/>
              <w:spacing w:after="0"/>
              <w:rPr>
                <w:sz w:val="20"/>
                <w:szCs w:val="20"/>
                <w:color w:val="auto"/>
              </w:rPr>
            </w:pPr>
            <w:r>
              <w:rPr>
                <w:rFonts w:ascii="Arial" w:cs="Arial" w:eastAsia="Arial" w:hAnsi="Arial"/>
                <w:sz w:val="16"/>
                <w:szCs w:val="16"/>
                <w:color w:val="auto"/>
              </w:rPr>
              <w:t>200,470</w:t>
            </w:r>
          </w:p>
        </w:tc>
        <w:tc>
          <w:tcPr>
            <w:tcW w:w="320" w:type="dxa"/>
            <w:vAlign w:val="bottom"/>
          </w:tcPr>
          <w:p>
            <w:pPr>
              <w:spacing w:after="0"/>
              <w:rPr>
                <w:sz w:val="23"/>
                <w:szCs w:val="23"/>
                <w:color w:val="auto"/>
              </w:rPr>
            </w:pPr>
          </w:p>
        </w:tc>
        <w:tc>
          <w:tcPr>
            <w:tcW w:w="880" w:type="dxa"/>
            <w:vAlign w:val="bottom"/>
          </w:tcPr>
          <w:p>
            <w:pPr>
              <w:jc w:val="right"/>
              <w:ind w:right="19"/>
              <w:spacing w:after="0"/>
              <w:rPr>
                <w:sz w:val="20"/>
                <w:szCs w:val="20"/>
                <w:color w:val="auto"/>
              </w:rPr>
            </w:pPr>
            <w:r>
              <w:rPr>
                <w:rFonts w:ascii="Arial" w:cs="Arial" w:eastAsia="Arial" w:hAnsi="Arial"/>
                <w:sz w:val="16"/>
                <w:szCs w:val="16"/>
                <w:color w:val="auto"/>
              </w:rPr>
              <w:t>164,927</w:t>
            </w:r>
          </w:p>
        </w:tc>
        <w:tc>
          <w:tcPr>
            <w:tcW w:w="0" w:type="dxa"/>
            <w:vAlign w:val="bottom"/>
          </w:tcPr>
          <w:p>
            <w:pPr>
              <w:spacing w:after="0"/>
              <w:rPr>
                <w:sz w:val="1"/>
                <w:szCs w:val="1"/>
                <w:color w:val="auto"/>
              </w:rPr>
            </w:pPr>
          </w:p>
        </w:tc>
      </w:tr>
      <w:tr>
        <w:trPr>
          <w:trHeight w:val="270"/>
        </w:trPr>
        <w:tc>
          <w:tcPr>
            <w:tcW w:w="7780" w:type="dxa"/>
            <w:vAlign w:val="bottom"/>
          </w:tcPr>
          <w:p>
            <w:pPr>
              <w:ind w:left="280"/>
              <w:spacing w:after="0"/>
              <w:rPr>
                <w:sz w:val="20"/>
                <w:szCs w:val="20"/>
                <w:color w:val="auto"/>
              </w:rPr>
            </w:pPr>
            <w:r>
              <w:rPr>
                <w:rFonts w:ascii="Arial" w:cs="Arial" w:eastAsia="Arial" w:hAnsi="Arial"/>
                <w:sz w:val="16"/>
                <w:szCs w:val="16"/>
                <w:color w:val="auto"/>
              </w:rPr>
              <w:t>Other businesses</w:t>
            </w:r>
          </w:p>
        </w:tc>
        <w:tc>
          <w:tcPr>
            <w:tcW w:w="220" w:type="dxa"/>
            <w:vAlign w:val="bottom"/>
          </w:tcPr>
          <w:p>
            <w:pPr>
              <w:spacing w:after="0"/>
              <w:rPr>
                <w:sz w:val="23"/>
                <w:szCs w:val="23"/>
                <w:color w:val="auto"/>
              </w:rPr>
            </w:pPr>
          </w:p>
        </w:tc>
        <w:tc>
          <w:tcPr>
            <w:tcW w:w="980" w:type="dxa"/>
            <w:vAlign w:val="bottom"/>
          </w:tcPr>
          <w:p>
            <w:pPr>
              <w:jc w:val="right"/>
              <w:ind w:right="19"/>
              <w:spacing w:after="0"/>
              <w:rPr>
                <w:sz w:val="20"/>
                <w:szCs w:val="20"/>
                <w:color w:val="auto"/>
              </w:rPr>
            </w:pPr>
            <w:r>
              <w:rPr>
                <w:rFonts w:ascii="Arial" w:cs="Arial" w:eastAsia="Arial" w:hAnsi="Arial"/>
                <w:sz w:val="16"/>
                <w:szCs w:val="16"/>
                <w:b w:val="1"/>
                <w:bCs w:val="1"/>
                <w:color w:val="auto"/>
              </w:rPr>
              <w:t>(22,764)</w:t>
            </w:r>
          </w:p>
        </w:tc>
        <w:tc>
          <w:tcPr>
            <w:tcW w:w="280" w:type="dxa"/>
            <w:vAlign w:val="bottom"/>
          </w:tcPr>
          <w:p>
            <w:pPr>
              <w:spacing w:after="0"/>
              <w:rPr>
                <w:sz w:val="23"/>
                <w:szCs w:val="23"/>
                <w:color w:val="auto"/>
              </w:rPr>
            </w:pPr>
          </w:p>
        </w:tc>
        <w:tc>
          <w:tcPr>
            <w:tcW w:w="960" w:type="dxa"/>
            <w:vAlign w:val="bottom"/>
          </w:tcPr>
          <w:p>
            <w:pPr>
              <w:jc w:val="right"/>
              <w:ind w:right="19"/>
              <w:spacing w:after="0"/>
              <w:rPr>
                <w:sz w:val="20"/>
                <w:szCs w:val="20"/>
                <w:color w:val="auto"/>
              </w:rPr>
            </w:pPr>
            <w:r>
              <w:rPr>
                <w:rFonts w:ascii="Arial" w:cs="Arial" w:eastAsia="Arial" w:hAnsi="Arial"/>
                <w:sz w:val="16"/>
                <w:szCs w:val="16"/>
                <w:color w:val="auto"/>
              </w:rPr>
              <w:t>(22,102)</w:t>
            </w:r>
          </w:p>
        </w:tc>
        <w:tc>
          <w:tcPr>
            <w:tcW w:w="320" w:type="dxa"/>
            <w:vAlign w:val="bottom"/>
          </w:tcPr>
          <w:p>
            <w:pPr>
              <w:spacing w:after="0"/>
              <w:rPr>
                <w:sz w:val="23"/>
                <w:szCs w:val="23"/>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(13,667)</w:t>
            </w:r>
          </w:p>
        </w:tc>
        <w:tc>
          <w:tcPr>
            <w:tcW w:w="0" w:type="dxa"/>
            <w:vAlign w:val="bottom"/>
          </w:tcPr>
          <w:p>
            <w:pPr>
              <w:spacing w:after="0"/>
              <w:rPr>
                <w:sz w:val="1"/>
                <w:szCs w:val="1"/>
                <w:color w:val="auto"/>
              </w:rPr>
            </w:pPr>
          </w:p>
        </w:tc>
      </w:tr>
      <w:tr>
        <w:trPr>
          <w:trHeight w:val="283"/>
        </w:trPr>
        <w:tc>
          <w:tcPr>
            <w:tcW w:w="7780" w:type="dxa"/>
            <w:vAlign w:val="bottom"/>
          </w:tcPr>
          <w:p>
            <w:pPr>
              <w:ind w:left="280"/>
              <w:spacing w:after="0"/>
              <w:rPr>
                <w:sz w:val="20"/>
                <w:szCs w:val="20"/>
                <w:color w:val="auto"/>
              </w:rPr>
            </w:pPr>
            <w:r>
              <w:rPr>
                <w:rFonts w:ascii="Arial" w:cs="Arial" w:eastAsia="Arial" w:hAnsi="Arial"/>
                <w:sz w:val="16"/>
                <w:szCs w:val="16"/>
                <w:color w:val="auto"/>
              </w:rPr>
              <w:t>Corporate office</w:t>
            </w:r>
          </w:p>
        </w:tc>
        <w:tc>
          <w:tcPr>
            <w:tcW w:w="22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b w:val="1"/>
                <w:bCs w:val="1"/>
                <w:color w:val="auto"/>
              </w:rPr>
              <w:t>19,494</w:t>
            </w:r>
          </w:p>
        </w:tc>
        <w:tc>
          <w:tcPr>
            <w:tcW w:w="28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31,534</w:t>
            </w:r>
          </w:p>
        </w:tc>
        <w:tc>
          <w:tcPr>
            <w:tcW w:w="32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(8,629)</w:t>
            </w:r>
          </w:p>
        </w:tc>
        <w:tc>
          <w:tcPr>
            <w:tcW w:w="0" w:type="dxa"/>
            <w:vAlign w:val="bottom"/>
          </w:tcPr>
          <w:p>
            <w:pPr>
              <w:spacing w:after="0"/>
              <w:rPr>
                <w:sz w:val="1"/>
                <w:szCs w:val="1"/>
                <w:color w:val="auto"/>
              </w:rPr>
            </w:pPr>
          </w:p>
        </w:tc>
      </w:tr>
      <w:tr>
        <w:trPr>
          <w:trHeight w:val="264"/>
        </w:trPr>
        <w:tc>
          <w:tcPr>
            <w:tcW w:w="7780" w:type="dxa"/>
            <w:vAlign w:val="bottom"/>
          </w:tcPr>
          <w:p>
            <w:pPr>
              <w:spacing w:after="0"/>
              <w:rPr>
                <w:sz w:val="22"/>
                <w:szCs w:val="22"/>
                <w:color w:val="auto"/>
              </w:rPr>
            </w:pPr>
          </w:p>
        </w:tc>
        <w:tc>
          <w:tcPr>
            <w:tcW w:w="2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b w:val="1"/>
                <w:bCs w:val="1"/>
                <w:color w:val="auto"/>
              </w:rPr>
              <w:t>$</w:t>
            </w:r>
          </w:p>
        </w:tc>
        <w:tc>
          <w:tcPr>
            <w:tcW w:w="98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b w:val="1"/>
                <w:bCs w:val="1"/>
                <w:color w:val="auto"/>
              </w:rPr>
              <w:t>209,102</w:t>
            </w:r>
          </w:p>
        </w:tc>
        <w:tc>
          <w:tcPr>
            <w:tcW w:w="28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w:t>
            </w:r>
          </w:p>
        </w:tc>
        <w:tc>
          <w:tcPr>
            <w:tcW w:w="96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303,534</w:t>
            </w:r>
          </w:p>
        </w:tc>
        <w:tc>
          <w:tcPr>
            <w:tcW w:w="32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(80,825)</w:t>
            </w:r>
          </w:p>
        </w:tc>
        <w:tc>
          <w:tcPr>
            <w:tcW w:w="0" w:type="dxa"/>
            <w:vAlign w:val="bottom"/>
          </w:tcPr>
          <w:p>
            <w:pPr>
              <w:spacing w:after="0"/>
              <w:rPr>
                <w:sz w:val="1"/>
                <w:szCs w:val="1"/>
                <w:color w:val="auto"/>
              </w:rPr>
            </w:pPr>
          </w:p>
        </w:tc>
      </w:tr>
      <w:tr>
        <w:trPr>
          <w:trHeight w:val="251"/>
        </w:trPr>
        <w:tc>
          <w:tcPr>
            <w:tcW w:w="7780" w:type="dxa"/>
            <w:vAlign w:val="bottom"/>
          </w:tcPr>
          <w:p>
            <w:pPr>
              <w:ind w:left="40"/>
              <w:spacing w:after="0"/>
              <w:rPr>
                <w:sz w:val="20"/>
                <w:szCs w:val="20"/>
                <w:color w:val="auto"/>
              </w:rPr>
            </w:pPr>
            <w:r>
              <w:rPr>
                <w:rFonts w:ascii="Arial" w:cs="Arial" w:eastAsia="Arial" w:hAnsi="Arial"/>
                <w:sz w:val="16"/>
                <w:szCs w:val="16"/>
                <w:b w:val="1"/>
                <w:bCs w:val="1"/>
                <w:color w:val="auto"/>
              </w:rPr>
              <w:t>Equity in Losses of Affiliates, Net</w:t>
            </w:r>
          </w:p>
        </w:tc>
        <w:tc>
          <w:tcPr>
            <w:tcW w:w="220" w:type="dxa"/>
            <w:vAlign w:val="bottom"/>
          </w:tcPr>
          <w:p>
            <w:pPr>
              <w:spacing w:after="0"/>
              <w:rPr>
                <w:sz w:val="21"/>
                <w:szCs w:val="21"/>
                <w:color w:val="auto"/>
              </w:rPr>
            </w:pPr>
          </w:p>
        </w:tc>
        <w:tc>
          <w:tcPr>
            <w:tcW w:w="980" w:type="dxa"/>
            <w:vAlign w:val="bottom"/>
          </w:tcPr>
          <w:p>
            <w:pPr>
              <w:jc w:val="right"/>
              <w:ind w:right="19"/>
              <w:spacing w:after="0"/>
              <w:rPr>
                <w:sz w:val="20"/>
                <w:szCs w:val="20"/>
                <w:color w:val="auto"/>
              </w:rPr>
            </w:pPr>
            <w:r>
              <w:rPr>
                <w:rFonts w:ascii="Arial" w:cs="Arial" w:eastAsia="Arial" w:hAnsi="Arial"/>
                <w:sz w:val="16"/>
                <w:szCs w:val="16"/>
                <w:b w:val="1"/>
                <w:bCs w:val="1"/>
                <w:color w:val="auto"/>
              </w:rPr>
              <w:t>(3,249)</w:t>
            </w:r>
          </w:p>
        </w:tc>
        <w:tc>
          <w:tcPr>
            <w:tcW w:w="280" w:type="dxa"/>
            <w:vAlign w:val="bottom"/>
          </w:tcPr>
          <w:p>
            <w:pPr>
              <w:spacing w:after="0"/>
              <w:rPr>
                <w:sz w:val="21"/>
                <w:szCs w:val="21"/>
                <w:color w:val="auto"/>
              </w:rPr>
            </w:pPr>
          </w:p>
        </w:tc>
        <w:tc>
          <w:tcPr>
            <w:tcW w:w="960" w:type="dxa"/>
            <w:vAlign w:val="bottom"/>
          </w:tcPr>
          <w:p>
            <w:pPr>
              <w:jc w:val="right"/>
              <w:ind w:right="19"/>
              <w:spacing w:after="0"/>
              <w:rPr>
                <w:sz w:val="20"/>
                <w:szCs w:val="20"/>
                <w:color w:val="auto"/>
              </w:rPr>
            </w:pPr>
            <w:r>
              <w:rPr>
                <w:rFonts w:ascii="Arial" w:cs="Arial" w:eastAsia="Arial" w:hAnsi="Arial"/>
                <w:sz w:val="16"/>
                <w:szCs w:val="16"/>
                <w:color w:val="auto"/>
              </w:rPr>
              <w:t>(7,937)</w:t>
            </w:r>
          </w:p>
        </w:tc>
        <w:tc>
          <w:tcPr>
            <w:tcW w:w="32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(697)</w:t>
            </w:r>
          </w:p>
        </w:tc>
        <w:tc>
          <w:tcPr>
            <w:tcW w:w="0" w:type="dxa"/>
            <w:vAlign w:val="bottom"/>
          </w:tcPr>
          <w:p>
            <w:pPr>
              <w:spacing w:after="0"/>
              <w:rPr>
                <w:sz w:val="1"/>
                <w:szCs w:val="1"/>
                <w:color w:val="auto"/>
              </w:rPr>
            </w:pPr>
          </w:p>
        </w:tc>
      </w:tr>
      <w:tr>
        <w:trPr>
          <w:trHeight w:val="270"/>
        </w:trPr>
        <w:tc>
          <w:tcPr>
            <w:tcW w:w="7780" w:type="dxa"/>
            <w:vAlign w:val="bottom"/>
          </w:tcPr>
          <w:p>
            <w:pPr>
              <w:ind w:left="40"/>
              <w:spacing w:after="0"/>
              <w:rPr>
                <w:sz w:val="20"/>
                <w:szCs w:val="20"/>
                <w:color w:val="auto"/>
              </w:rPr>
            </w:pPr>
            <w:r>
              <w:rPr>
                <w:rFonts w:ascii="Arial" w:cs="Arial" w:eastAsia="Arial" w:hAnsi="Arial"/>
                <w:sz w:val="16"/>
                <w:szCs w:val="16"/>
                <w:b w:val="1"/>
                <w:bCs w:val="1"/>
                <w:color w:val="auto"/>
              </w:rPr>
              <w:t>Interest Expense, Net</w:t>
            </w:r>
          </w:p>
        </w:tc>
        <w:tc>
          <w:tcPr>
            <w:tcW w:w="220" w:type="dxa"/>
            <w:vAlign w:val="bottom"/>
          </w:tcPr>
          <w:p>
            <w:pPr>
              <w:spacing w:after="0"/>
              <w:rPr>
                <w:sz w:val="23"/>
                <w:szCs w:val="23"/>
                <w:color w:val="auto"/>
              </w:rPr>
            </w:pPr>
          </w:p>
        </w:tc>
        <w:tc>
          <w:tcPr>
            <w:tcW w:w="980" w:type="dxa"/>
            <w:vAlign w:val="bottom"/>
          </w:tcPr>
          <w:p>
            <w:pPr>
              <w:jc w:val="right"/>
              <w:ind w:right="19"/>
              <w:spacing w:after="0"/>
              <w:rPr>
                <w:sz w:val="20"/>
                <w:szCs w:val="20"/>
                <w:color w:val="auto"/>
              </w:rPr>
            </w:pPr>
            <w:r>
              <w:rPr>
                <w:rFonts w:ascii="Arial" w:cs="Arial" w:eastAsia="Arial" w:hAnsi="Arial"/>
                <w:sz w:val="16"/>
                <w:szCs w:val="16"/>
                <w:b w:val="1"/>
                <w:bCs w:val="1"/>
                <w:color w:val="auto"/>
              </w:rPr>
              <w:t>(27,305)</w:t>
            </w:r>
          </w:p>
        </w:tc>
        <w:tc>
          <w:tcPr>
            <w:tcW w:w="280" w:type="dxa"/>
            <w:vAlign w:val="bottom"/>
          </w:tcPr>
          <w:p>
            <w:pPr>
              <w:spacing w:after="0"/>
              <w:rPr>
                <w:sz w:val="23"/>
                <w:szCs w:val="23"/>
                <w:color w:val="auto"/>
              </w:rPr>
            </w:pPr>
          </w:p>
        </w:tc>
        <w:tc>
          <w:tcPr>
            <w:tcW w:w="960" w:type="dxa"/>
            <w:vAlign w:val="bottom"/>
          </w:tcPr>
          <w:p>
            <w:pPr>
              <w:jc w:val="right"/>
              <w:ind w:right="19"/>
              <w:spacing w:after="0"/>
              <w:rPr>
                <w:sz w:val="20"/>
                <w:szCs w:val="20"/>
                <w:color w:val="auto"/>
              </w:rPr>
            </w:pPr>
            <w:r>
              <w:rPr>
                <w:rFonts w:ascii="Arial" w:cs="Arial" w:eastAsia="Arial" w:hAnsi="Arial"/>
                <w:sz w:val="16"/>
                <w:szCs w:val="16"/>
                <w:color w:val="auto"/>
              </w:rPr>
              <w:t>(32,297)</w:t>
            </w:r>
          </w:p>
        </w:tc>
        <w:tc>
          <w:tcPr>
            <w:tcW w:w="320" w:type="dxa"/>
            <w:vAlign w:val="bottom"/>
          </w:tcPr>
          <w:p>
            <w:pPr>
              <w:spacing w:after="0"/>
              <w:rPr>
                <w:sz w:val="23"/>
                <w:szCs w:val="23"/>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(30,745)</w:t>
            </w:r>
          </w:p>
        </w:tc>
        <w:tc>
          <w:tcPr>
            <w:tcW w:w="0" w:type="dxa"/>
            <w:vAlign w:val="bottom"/>
          </w:tcPr>
          <w:p>
            <w:pPr>
              <w:spacing w:after="0"/>
              <w:rPr>
                <w:sz w:val="1"/>
                <w:szCs w:val="1"/>
                <w:color w:val="auto"/>
              </w:rPr>
            </w:pPr>
          </w:p>
        </w:tc>
      </w:tr>
      <w:tr>
        <w:trPr>
          <w:trHeight w:val="283"/>
        </w:trPr>
        <w:tc>
          <w:tcPr>
            <w:tcW w:w="7780" w:type="dxa"/>
            <w:vAlign w:val="bottom"/>
          </w:tcPr>
          <w:p>
            <w:pPr>
              <w:ind w:left="40"/>
              <w:spacing w:after="0"/>
              <w:rPr>
                <w:sz w:val="20"/>
                <w:szCs w:val="20"/>
                <w:color w:val="auto"/>
              </w:rPr>
            </w:pPr>
            <w:r>
              <w:rPr>
                <w:rFonts w:ascii="Arial" w:cs="Arial" w:eastAsia="Arial" w:hAnsi="Arial"/>
                <w:sz w:val="16"/>
                <w:szCs w:val="16"/>
                <w:b w:val="1"/>
                <w:bCs w:val="1"/>
                <w:color w:val="auto"/>
              </w:rPr>
              <w:t>Other Income (Expense), Net</w:t>
            </w:r>
          </w:p>
        </w:tc>
        <w:tc>
          <w:tcPr>
            <w:tcW w:w="22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b w:val="1"/>
                <w:bCs w:val="1"/>
                <w:color w:val="auto"/>
              </w:rPr>
              <w:t>4,241</w:t>
            </w:r>
          </w:p>
        </w:tc>
        <w:tc>
          <w:tcPr>
            <w:tcW w:w="28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(12,642)</w:t>
            </w:r>
          </w:p>
        </w:tc>
        <w:tc>
          <w:tcPr>
            <w:tcW w:w="32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(8,623)</w:t>
            </w:r>
          </w:p>
        </w:tc>
        <w:tc>
          <w:tcPr>
            <w:tcW w:w="0" w:type="dxa"/>
            <w:vAlign w:val="bottom"/>
          </w:tcPr>
          <w:p>
            <w:pPr>
              <w:spacing w:after="0"/>
              <w:rPr>
                <w:sz w:val="1"/>
                <w:szCs w:val="1"/>
                <w:color w:val="auto"/>
              </w:rPr>
            </w:pPr>
          </w:p>
        </w:tc>
      </w:tr>
      <w:tr>
        <w:trPr>
          <w:trHeight w:val="264"/>
        </w:trPr>
        <w:tc>
          <w:tcPr>
            <w:tcW w:w="7780" w:type="dxa"/>
            <w:vAlign w:val="bottom"/>
          </w:tcPr>
          <w:p>
            <w:pPr>
              <w:ind w:left="40"/>
              <w:spacing w:after="0"/>
              <w:rPr>
                <w:sz w:val="20"/>
                <w:szCs w:val="20"/>
                <w:color w:val="auto"/>
              </w:rPr>
            </w:pPr>
            <w:r>
              <w:rPr>
                <w:rFonts w:ascii="Arial" w:cs="Arial" w:eastAsia="Arial" w:hAnsi="Arial"/>
                <w:sz w:val="16"/>
                <w:szCs w:val="16"/>
                <w:b w:val="1"/>
                <w:bCs w:val="1"/>
                <w:color w:val="auto"/>
              </w:rPr>
              <w:t>Income (Loss) from Continuing Operations before Income Taxes</w:t>
            </w:r>
          </w:p>
        </w:tc>
        <w:tc>
          <w:tcPr>
            <w:tcW w:w="2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b w:val="1"/>
                <w:bCs w:val="1"/>
                <w:color w:val="auto"/>
              </w:rPr>
              <w:t>$</w:t>
            </w:r>
          </w:p>
        </w:tc>
        <w:tc>
          <w:tcPr>
            <w:tcW w:w="98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b w:val="1"/>
                <w:bCs w:val="1"/>
                <w:color w:val="auto"/>
              </w:rPr>
              <w:t>182,789</w:t>
            </w:r>
          </w:p>
        </w:tc>
        <w:tc>
          <w:tcPr>
            <w:tcW w:w="28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w:t>
            </w:r>
          </w:p>
        </w:tc>
        <w:tc>
          <w:tcPr>
            <w:tcW w:w="96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250,658</w:t>
            </w:r>
          </w:p>
        </w:tc>
        <w:tc>
          <w:tcPr>
            <w:tcW w:w="32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(120,890)</w:t>
            </w:r>
          </w:p>
        </w:tc>
        <w:tc>
          <w:tcPr>
            <w:tcW w:w="0" w:type="dxa"/>
            <w:vAlign w:val="bottom"/>
          </w:tcPr>
          <w:p>
            <w:pPr>
              <w:spacing w:after="0"/>
              <w:rPr>
                <w:sz w:val="1"/>
                <w:szCs w:val="1"/>
                <w:color w:val="auto"/>
              </w:rPr>
            </w:pPr>
          </w:p>
        </w:tc>
      </w:tr>
      <w:tr>
        <w:trPr>
          <w:trHeight w:val="20"/>
        </w:trPr>
        <w:tc>
          <w:tcPr>
            <w:tcW w:w="7780" w:type="dxa"/>
            <w:vAlign w:val="bottom"/>
            <w:vMerge w:val="restart"/>
          </w:tcPr>
          <w:p>
            <w:pPr>
              <w:ind w:left="40"/>
              <w:spacing w:after="0"/>
              <w:rPr>
                <w:sz w:val="20"/>
                <w:szCs w:val="20"/>
                <w:color w:val="auto"/>
              </w:rPr>
            </w:pPr>
            <w:r>
              <w:rPr>
                <w:rFonts w:ascii="Arial" w:cs="Arial" w:eastAsia="Arial" w:hAnsi="Arial"/>
                <w:sz w:val="16"/>
                <w:szCs w:val="16"/>
                <w:b w:val="1"/>
                <w:bCs w:val="1"/>
                <w:color w:val="auto"/>
              </w:rPr>
              <w:t>Depreciation of Property, Plant and Equipment</w:t>
            </w:r>
          </w:p>
        </w:tc>
        <w:tc>
          <w:tcPr>
            <w:tcW w:w="2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7780" w:type="dxa"/>
            <w:vAlign w:val="bottom"/>
            <w:vMerge w:val="continue"/>
          </w:tcPr>
          <w:p>
            <w:pPr>
              <w:spacing w:after="0"/>
              <w:rPr>
                <w:sz w:val="20"/>
                <w:szCs w:val="20"/>
                <w:color w:val="auto"/>
              </w:rPr>
            </w:pPr>
          </w:p>
        </w:tc>
        <w:tc>
          <w:tcPr>
            <w:tcW w:w="22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0"/>
        </w:trPr>
        <w:tc>
          <w:tcPr>
            <w:tcW w:w="7780" w:type="dxa"/>
            <w:vAlign w:val="bottom"/>
          </w:tcPr>
          <w:p>
            <w:pPr>
              <w:ind w:left="280"/>
              <w:spacing w:after="0"/>
              <w:rPr>
                <w:sz w:val="20"/>
                <w:szCs w:val="20"/>
                <w:color w:val="auto"/>
              </w:rPr>
            </w:pPr>
            <w:r>
              <w:rPr>
                <w:rFonts w:ascii="Arial" w:cs="Arial" w:eastAsia="Arial" w:hAnsi="Arial"/>
                <w:sz w:val="16"/>
                <w:szCs w:val="16"/>
                <w:color w:val="auto"/>
              </w:rPr>
              <w:t>Education</w:t>
            </w:r>
          </w:p>
        </w:tc>
        <w:tc>
          <w:tcPr>
            <w:tcW w:w="220" w:type="dxa"/>
            <w:vAlign w:val="bottom"/>
          </w:tcPr>
          <w:p>
            <w:pPr>
              <w:jc w:val="right"/>
              <w:ind w:right="19"/>
              <w:spacing w:after="0"/>
              <w:rPr>
                <w:sz w:val="20"/>
                <w:szCs w:val="20"/>
                <w:color w:val="auto"/>
              </w:rPr>
            </w:pPr>
            <w:r>
              <w:rPr>
                <w:rFonts w:ascii="Arial" w:cs="Arial" w:eastAsia="Arial" w:hAnsi="Arial"/>
                <w:sz w:val="16"/>
                <w:szCs w:val="16"/>
                <w:b w:val="1"/>
                <w:bCs w:val="1"/>
                <w:color w:val="auto"/>
              </w:rPr>
              <w:t>$</w:t>
            </w:r>
          </w:p>
        </w:tc>
        <w:tc>
          <w:tcPr>
            <w:tcW w:w="980" w:type="dxa"/>
            <w:vAlign w:val="bottom"/>
          </w:tcPr>
          <w:p>
            <w:pPr>
              <w:jc w:val="right"/>
              <w:ind w:right="79"/>
              <w:spacing w:after="0"/>
              <w:rPr>
                <w:sz w:val="20"/>
                <w:szCs w:val="20"/>
                <w:color w:val="auto"/>
              </w:rPr>
            </w:pPr>
            <w:r>
              <w:rPr>
                <w:rFonts w:ascii="Arial" w:cs="Arial" w:eastAsia="Arial" w:hAnsi="Arial"/>
                <w:sz w:val="16"/>
                <w:szCs w:val="16"/>
                <w:b w:val="1"/>
                <w:bCs w:val="1"/>
                <w:color w:val="auto"/>
              </w:rPr>
              <w:t>32,906</w:t>
            </w:r>
          </w:p>
        </w:tc>
        <w:tc>
          <w:tcPr>
            <w:tcW w:w="28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960" w:type="dxa"/>
            <w:vAlign w:val="bottom"/>
          </w:tcPr>
          <w:p>
            <w:pPr>
              <w:jc w:val="right"/>
              <w:ind w:right="79"/>
              <w:spacing w:after="0"/>
              <w:rPr>
                <w:sz w:val="20"/>
                <w:szCs w:val="20"/>
                <w:color w:val="auto"/>
              </w:rPr>
            </w:pPr>
            <w:r>
              <w:rPr>
                <w:rFonts w:ascii="Arial" w:cs="Arial" w:eastAsia="Arial" w:hAnsi="Arial"/>
                <w:sz w:val="16"/>
                <w:szCs w:val="16"/>
                <w:color w:val="auto"/>
              </w:rPr>
              <w:t>41,187</w:t>
            </w:r>
          </w:p>
        </w:tc>
        <w:tc>
          <w:tcPr>
            <w:tcW w:w="32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880" w:type="dxa"/>
            <w:vAlign w:val="bottom"/>
          </w:tcPr>
          <w:p>
            <w:pPr>
              <w:jc w:val="right"/>
              <w:ind w:right="19"/>
              <w:spacing w:after="0"/>
              <w:rPr>
                <w:sz w:val="20"/>
                <w:szCs w:val="20"/>
                <w:color w:val="auto"/>
              </w:rPr>
            </w:pPr>
            <w:r>
              <w:rPr>
                <w:rFonts w:ascii="Arial" w:cs="Arial" w:eastAsia="Arial" w:hAnsi="Arial"/>
                <w:sz w:val="16"/>
                <w:szCs w:val="16"/>
                <w:color w:val="auto"/>
              </w:rPr>
              <w:t>61,177</w:t>
            </w:r>
          </w:p>
        </w:tc>
        <w:tc>
          <w:tcPr>
            <w:tcW w:w="0" w:type="dxa"/>
            <w:vAlign w:val="bottom"/>
          </w:tcPr>
          <w:p>
            <w:pPr>
              <w:spacing w:after="0"/>
              <w:rPr>
                <w:sz w:val="1"/>
                <w:szCs w:val="1"/>
                <w:color w:val="auto"/>
              </w:rPr>
            </w:pPr>
          </w:p>
        </w:tc>
      </w:tr>
      <w:tr>
        <w:trPr>
          <w:trHeight w:val="270"/>
        </w:trPr>
        <w:tc>
          <w:tcPr>
            <w:tcW w:w="7780" w:type="dxa"/>
            <w:vAlign w:val="bottom"/>
          </w:tcPr>
          <w:p>
            <w:pPr>
              <w:ind w:left="280"/>
              <w:spacing w:after="0"/>
              <w:rPr>
                <w:sz w:val="20"/>
                <w:szCs w:val="20"/>
                <w:color w:val="auto"/>
              </w:rPr>
            </w:pPr>
            <w:r>
              <w:rPr>
                <w:rFonts w:ascii="Arial" w:cs="Arial" w:eastAsia="Arial" w:hAnsi="Arial"/>
                <w:sz w:val="16"/>
                <w:szCs w:val="16"/>
                <w:color w:val="auto"/>
              </w:rPr>
              <w:t>Television broadcasting</w:t>
            </w:r>
          </w:p>
        </w:tc>
        <w:tc>
          <w:tcPr>
            <w:tcW w:w="220" w:type="dxa"/>
            <w:vAlign w:val="bottom"/>
          </w:tcPr>
          <w:p>
            <w:pPr>
              <w:spacing w:after="0"/>
              <w:rPr>
                <w:sz w:val="23"/>
                <w:szCs w:val="23"/>
                <w:color w:val="auto"/>
              </w:rPr>
            </w:pPr>
          </w:p>
        </w:tc>
        <w:tc>
          <w:tcPr>
            <w:tcW w:w="980" w:type="dxa"/>
            <w:vAlign w:val="bottom"/>
          </w:tcPr>
          <w:p>
            <w:pPr>
              <w:jc w:val="right"/>
              <w:ind w:right="79"/>
              <w:spacing w:after="0"/>
              <w:rPr>
                <w:sz w:val="20"/>
                <w:szCs w:val="20"/>
                <w:color w:val="auto"/>
              </w:rPr>
            </w:pPr>
            <w:r>
              <w:rPr>
                <w:rFonts w:ascii="Arial" w:cs="Arial" w:eastAsia="Arial" w:hAnsi="Arial"/>
                <w:sz w:val="16"/>
                <w:szCs w:val="16"/>
                <w:b w:val="1"/>
                <w:bCs w:val="1"/>
                <w:color w:val="auto"/>
              </w:rPr>
              <w:t>12,179</w:t>
            </w:r>
          </w:p>
        </w:tc>
        <w:tc>
          <w:tcPr>
            <w:tcW w:w="280" w:type="dxa"/>
            <w:vAlign w:val="bottom"/>
          </w:tcPr>
          <w:p>
            <w:pPr>
              <w:spacing w:after="0"/>
              <w:rPr>
                <w:sz w:val="23"/>
                <w:szCs w:val="23"/>
                <w:color w:val="auto"/>
              </w:rPr>
            </w:pPr>
          </w:p>
        </w:tc>
        <w:tc>
          <w:tcPr>
            <w:tcW w:w="960" w:type="dxa"/>
            <w:vAlign w:val="bottom"/>
          </w:tcPr>
          <w:p>
            <w:pPr>
              <w:jc w:val="right"/>
              <w:ind w:right="79"/>
              <w:spacing w:after="0"/>
              <w:rPr>
                <w:sz w:val="20"/>
                <w:szCs w:val="20"/>
                <w:color w:val="auto"/>
              </w:rPr>
            </w:pPr>
            <w:r>
              <w:rPr>
                <w:rFonts w:ascii="Arial" w:cs="Arial" w:eastAsia="Arial" w:hAnsi="Arial"/>
                <w:sz w:val="16"/>
                <w:szCs w:val="16"/>
                <w:color w:val="auto"/>
              </w:rPr>
              <w:t>9,942</w:t>
            </w:r>
          </w:p>
        </w:tc>
        <w:tc>
          <w:tcPr>
            <w:tcW w:w="320" w:type="dxa"/>
            <w:vAlign w:val="bottom"/>
          </w:tcPr>
          <w:p>
            <w:pPr>
              <w:spacing w:after="0"/>
              <w:rPr>
                <w:sz w:val="23"/>
                <w:szCs w:val="23"/>
                <w:color w:val="auto"/>
              </w:rPr>
            </w:pPr>
          </w:p>
        </w:tc>
        <w:tc>
          <w:tcPr>
            <w:tcW w:w="880" w:type="dxa"/>
            <w:vAlign w:val="bottom"/>
          </w:tcPr>
          <w:p>
            <w:pPr>
              <w:jc w:val="right"/>
              <w:ind w:right="19"/>
              <w:spacing w:after="0"/>
              <w:rPr>
                <w:sz w:val="20"/>
                <w:szCs w:val="20"/>
                <w:color w:val="auto"/>
              </w:rPr>
            </w:pPr>
            <w:r>
              <w:rPr>
                <w:rFonts w:ascii="Arial" w:cs="Arial" w:eastAsia="Arial" w:hAnsi="Arial"/>
                <w:sz w:val="16"/>
                <w:szCs w:val="16"/>
                <w:color w:val="auto"/>
              </w:rPr>
              <w:t>9,551</w:t>
            </w:r>
          </w:p>
        </w:tc>
        <w:tc>
          <w:tcPr>
            <w:tcW w:w="0" w:type="dxa"/>
            <w:vAlign w:val="bottom"/>
          </w:tcPr>
          <w:p>
            <w:pPr>
              <w:spacing w:after="0"/>
              <w:rPr>
                <w:sz w:val="1"/>
                <w:szCs w:val="1"/>
                <w:color w:val="auto"/>
              </w:rPr>
            </w:pPr>
          </w:p>
        </w:tc>
      </w:tr>
      <w:tr>
        <w:trPr>
          <w:trHeight w:val="270"/>
        </w:trPr>
        <w:tc>
          <w:tcPr>
            <w:tcW w:w="7780" w:type="dxa"/>
            <w:vAlign w:val="bottom"/>
          </w:tcPr>
          <w:p>
            <w:pPr>
              <w:ind w:left="280"/>
              <w:spacing w:after="0"/>
              <w:rPr>
                <w:sz w:val="20"/>
                <w:szCs w:val="20"/>
                <w:color w:val="auto"/>
              </w:rPr>
            </w:pPr>
            <w:r>
              <w:rPr>
                <w:rFonts w:ascii="Arial" w:cs="Arial" w:eastAsia="Arial" w:hAnsi="Arial"/>
                <w:sz w:val="16"/>
                <w:szCs w:val="16"/>
                <w:color w:val="auto"/>
              </w:rPr>
              <w:t>Other businesses</w:t>
            </w:r>
          </w:p>
        </w:tc>
        <w:tc>
          <w:tcPr>
            <w:tcW w:w="220" w:type="dxa"/>
            <w:vAlign w:val="bottom"/>
          </w:tcPr>
          <w:p>
            <w:pPr>
              <w:spacing w:after="0"/>
              <w:rPr>
                <w:sz w:val="23"/>
                <w:szCs w:val="23"/>
                <w:color w:val="auto"/>
              </w:rPr>
            </w:pPr>
          </w:p>
        </w:tc>
        <w:tc>
          <w:tcPr>
            <w:tcW w:w="980" w:type="dxa"/>
            <w:vAlign w:val="bottom"/>
          </w:tcPr>
          <w:p>
            <w:pPr>
              <w:jc w:val="right"/>
              <w:ind w:right="79"/>
              <w:spacing w:after="0"/>
              <w:rPr>
                <w:sz w:val="20"/>
                <w:szCs w:val="20"/>
                <w:color w:val="auto"/>
              </w:rPr>
            </w:pPr>
            <w:r>
              <w:rPr>
                <w:rFonts w:ascii="Arial" w:cs="Arial" w:eastAsia="Arial" w:hAnsi="Arial"/>
                <w:sz w:val="16"/>
                <w:szCs w:val="16"/>
                <w:b w:val="1"/>
                <w:bCs w:val="1"/>
                <w:color w:val="auto"/>
              </w:rPr>
              <w:t>16,306</w:t>
            </w:r>
          </w:p>
        </w:tc>
        <w:tc>
          <w:tcPr>
            <w:tcW w:w="280" w:type="dxa"/>
            <w:vAlign w:val="bottom"/>
          </w:tcPr>
          <w:p>
            <w:pPr>
              <w:spacing w:after="0"/>
              <w:rPr>
                <w:sz w:val="23"/>
                <w:szCs w:val="23"/>
                <w:color w:val="auto"/>
              </w:rPr>
            </w:pPr>
          </w:p>
        </w:tc>
        <w:tc>
          <w:tcPr>
            <w:tcW w:w="960" w:type="dxa"/>
            <w:vAlign w:val="bottom"/>
          </w:tcPr>
          <w:p>
            <w:pPr>
              <w:jc w:val="right"/>
              <w:ind w:right="79"/>
              <w:spacing w:after="0"/>
              <w:rPr>
                <w:sz w:val="20"/>
                <w:szCs w:val="20"/>
                <w:color w:val="auto"/>
              </w:rPr>
            </w:pPr>
            <w:r>
              <w:rPr>
                <w:rFonts w:ascii="Arial" w:cs="Arial" w:eastAsia="Arial" w:hAnsi="Arial"/>
                <w:sz w:val="16"/>
                <w:szCs w:val="16"/>
                <w:color w:val="auto"/>
              </w:rPr>
              <w:t>12,375</w:t>
            </w:r>
          </w:p>
        </w:tc>
        <w:tc>
          <w:tcPr>
            <w:tcW w:w="320" w:type="dxa"/>
            <w:vAlign w:val="bottom"/>
          </w:tcPr>
          <w:p>
            <w:pPr>
              <w:spacing w:after="0"/>
              <w:rPr>
                <w:sz w:val="23"/>
                <w:szCs w:val="23"/>
                <w:color w:val="auto"/>
              </w:rPr>
            </w:pPr>
          </w:p>
        </w:tc>
        <w:tc>
          <w:tcPr>
            <w:tcW w:w="880" w:type="dxa"/>
            <w:vAlign w:val="bottom"/>
          </w:tcPr>
          <w:p>
            <w:pPr>
              <w:jc w:val="right"/>
              <w:ind w:right="19"/>
              <w:spacing w:after="0"/>
              <w:rPr>
                <w:sz w:val="20"/>
                <w:szCs w:val="20"/>
                <w:color w:val="auto"/>
              </w:rPr>
            </w:pPr>
            <w:r>
              <w:rPr>
                <w:rFonts w:ascii="Arial" w:cs="Arial" w:eastAsia="Arial" w:hAnsi="Arial"/>
                <w:sz w:val="16"/>
                <w:szCs w:val="16"/>
                <w:color w:val="auto"/>
              </w:rPr>
              <w:t>6,168</w:t>
            </w:r>
          </w:p>
        </w:tc>
        <w:tc>
          <w:tcPr>
            <w:tcW w:w="0" w:type="dxa"/>
            <w:vAlign w:val="bottom"/>
          </w:tcPr>
          <w:p>
            <w:pPr>
              <w:spacing w:after="0"/>
              <w:rPr>
                <w:sz w:val="1"/>
                <w:szCs w:val="1"/>
                <w:color w:val="auto"/>
              </w:rPr>
            </w:pPr>
          </w:p>
        </w:tc>
      </w:tr>
      <w:tr>
        <w:trPr>
          <w:trHeight w:val="283"/>
        </w:trPr>
        <w:tc>
          <w:tcPr>
            <w:tcW w:w="7780" w:type="dxa"/>
            <w:vAlign w:val="bottom"/>
          </w:tcPr>
          <w:p>
            <w:pPr>
              <w:ind w:left="280"/>
              <w:spacing w:after="0"/>
              <w:rPr>
                <w:sz w:val="20"/>
                <w:szCs w:val="20"/>
                <w:color w:val="auto"/>
              </w:rPr>
            </w:pPr>
            <w:r>
              <w:rPr>
                <w:rFonts w:ascii="Arial" w:cs="Arial" w:eastAsia="Arial" w:hAnsi="Arial"/>
                <w:sz w:val="16"/>
                <w:szCs w:val="16"/>
                <w:color w:val="auto"/>
              </w:rPr>
              <w:t>Corporate office</w:t>
            </w:r>
          </w:p>
        </w:tc>
        <w:tc>
          <w:tcPr>
            <w:tcW w:w="22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b w:val="1"/>
                <w:bCs w:val="1"/>
                <w:color w:val="auto"/>
              </w:rPr>
              <w:t>1,118</w:t>
            </w:r>
          </w:p>
        </w:tc>
        <w:tc>
          <w:tcPr>
            <w:tcW w:w="28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1,116</w:t>
            </w:r>
          </w:p>
        </w:tc>
        <w:tc>
          <w:tcPr>
            <w:tcW w:w="32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1,010</w:t>
            </w:r>
          </w:p>
        </w:tc>
        <w:tc>
          <w:tcPr>
            <w:tcW w:w="0" w:type="dxa"/>
            <w:vAlign w:val="bottom"/>
          </w:tcPr>
          <w:p>
            <w:pPr>
              <w:spacing w:after="0"/>
              <w:rPr>
                <w:sz w:val="1"/>
                <w:szCs w:val="1"/>
                <w:color w:val="auto"/>
              </w:rPr>
            </w:pPr>
          </w:p>
        </w:tc>
      </w:tr>
      <w:tr>
        <w:trPr>
          <w:trHeight w:val="264"/>
        </w:trPr>
        <w:tc>
          <w:tcPr>
            <w:tcW w:w="7780" w:type="dxa"/>
            <w:vAlign w:val="bottom"/>
          </w:tcPr>
          <w:p>
            <w:pPr>
              <w:spacing w:after="0"/>
              <w:rPr>
                <w:sz w:val="22"/>
                <w:szCs w:val="22"/>
                <w:color w:val="auto"/>
              </w:rPr>
            </w:pPr>
          </w:p>
        </w:tc>
        <w:tc>
          <w:tcPr>
            <w:tcW w:w="2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b w:val="1"/>
                <w:bCs w:val="1"/>
                <w:color w:val="auto"/>
              </w:rPr>
              <w:t>$</w:t>
            </w:r>
          </w:p>
        </w:tc>
        <w:tc>
          <w:tcPr>
            <w:tcW w:w="98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b w:val="1"/>
                <w:bCs w:val="1"/>
                <w:color w:val="auto"/>
              </w:rPr>
              <w:t>62,509</w:t>
            </w:r>
          </w:p>
        </w:tc>
        <w:tc>
          <w:tcPr>
            <w:tcW w:w="28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w:t>
            </w:r>
          </w:p>
        </w:tc>
        <w:tc>
          <w:tcPr>
            <w:tcW w:w="96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64,620</w:t>
            </w:r>
          </w:p>
        </w:tc>
        <w:tc>
          <w:tcPr>
            <w:tcW w:w="32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w:t>
            </w:r>
          </w:p>
        </w:tc>
        <w:tc>
          <w:tcPr>
            <w:tcW w:w="88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77,906</w:t>
            </w:r>
          </w:p>
        </w:tc>
        <w:tc>
          <w:tcPr>
            <w:tcW w:w="0" w:type="dxa"/>
            <w:vAlign w:val="bottom"/>
          </w:tcPr>
          <w:p>
            <w:pPr>
              <w:spacing w:after="0"/>
              <w:rPr>
                <w:sz w:val="1"/>
                <w:szCs w:val="1"/>
                <w:color w:val="auto"/>
              </w:rPr>
            </w:pPr>
          </w:p>
        </w:tc>
      </w:tr>
      <w:tr>
        <w:trPr>
          <w:trHeight w:val="251"/>
        </w:trPr>
        <w:tc>
          <w:tcPr>
            <w:tcW w:w="7780" w:type="dxa"/>
            <w:vAlign w:val="bottom"/>
          </w:tcPr>
          <w:p>
            <w:pPr>
              <w:ind w:left="40"/>
              <w:spacing w:after="0"/>
              <w:rPr>
                <w:sz w:val="20"/>
                <w:szCs w:val="20"/>
                <w:color w:val="auto"/>
              </w:rPr>
            </w:pPr>
            <w:r>
              <w:rPr>
                <w:rFonts w:ascii="Arial" w:cs="Arial" w:eastAsia="Arial" w:hAnsi="Arial"/>
                <w:sz w:val="16"/>
                <w:szCs w:val="16"/>
                <w:b w:val="1"/>
                <w:bCs w:val="1"/>
                <w:color w:val="auto"/>
              </w:rPr>
              <w:t>Amortization of Intangible Assets and Impairment of Goodwill and</w:t>
            </w:r>
          </w:p>
        </w:tc>
        <w:tc>
          <w:tcPr>
            <w:tcW w:w="22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0"/>
        </w:trPr>
        <w:tc>
          <w:tcPr>
            <w:tcW w:w="7780" w:type="dxa"/>
            <w:vAlign w:val="bottom"/>
          </w:tcPr>
          <w:p>
            <w:pPr>
              <w:ind w:left="180"/>
              <w:spacing w:after="0"/>
              <w:rPr>
                <w:sz w:val="20"/>
                <w:szCs w:val="20"/>
                <w:color w:val="auto"/>
              </w:rPr>
            </w:pPr>
            <w:r>
              <w:rPr>
                <w:rFonts w:ascii="Arial" w:cs="Arial" w:eastAsia="Arial" w:hAnsi="Arial"/>
                <w:sz w:val="16"/>
                <w:szCs w:val="16"/>
                <w:b w:val="1"/>
                <w:bCs w:val="1"/>
                <w:color w:val="auto"/>
              </w:rPr>
              <w:t>Other Long-Lived Assets</w:t>
            </w:r>
          </w:p>
        </w:tc>
        <w:tc>
          <w:tcPr>
            <w:tcW w:w="22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96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7780" w:type="dxa"/>
            <w:vAlign w:val="bottom"/>
          </w:tcPr>
          <w:p>
            <w:pPr>
              <w:ind w:left="280"/>
              <w:spacing w:after="0"/>
              <w:rPr>
                <w:sz w:val="20"/>
                <w:szCs w:val="20"/>
                <w:color w:val="auto"/>
              </w:rPr>
            </w:pPr>
            <w:r>
              <w:rPr>
                <w:rFonts w:ascii="Arial" w:cs="Arial" w:eastAsia="Arial" w:hAnsi="Arial"/>
                <w:sz w:val="16"/>
                <w:szCs w:val="16"/>
                <w:color w:val="auto"/>
              </w:rPr>
              <w:t>Education</w:t>
            </w:r>
          </w:p>
        </w:tc>
        <w:tc>
          <w:tcPr>
            <w:tcW w:w="220" w:type="dxa"/>
            <w:vAlign w:val="bottom"/>
          </w:tcPr>
          <w:p>
            <w:pPr>
              <w:jc w:val="right"/>
              <w:ind w:right="19"/>
              <w:spacing w:after="0"/>
              <w:rPr>
                <w:sz w:val="20"/>
                <w:szCs w:val="20"/>
                <w:color w:val="auto"/>
              </w:rPr>
            </w:pPr>
            <w:r>
              <w:rPr>
                <w:rFonts w:ascii="Arial" w:cs="Arial" w:eastAsia="Arial" w:hAnsi="Arial"/>
                <w:sz w:val="16"/>
                <w:szCs w:val="16"/>
                <w:b w:val="1"/>
                <w:bCs w:val="1"/>
                <w:color w:val="auto"/>
              </w:rPr>
              <w:t>$</w:t>
            </w:r>
          </w:p>
        </w:tc>
        <w:tc>
          <w:tcPr>
            <w:tcW w:w="980" w:type="dxa"/>
            <w:vAlign w:val="bottom"/>
          </w:tcPr>
          <w:p>
            <w:pPr>
              <w:jc w:val="right"/>
              <w:ind w:right="79"/>
              <w:spacing w:after="0"/>
              <w:rPr>
                <w:sz w:val="20"/>
                <w:szCs w:val="20"/>
                <w:color w:val="auto"/>
              </w:rPr>
            </w:pPr>
            <w:r>
              <w:rPr>
                <w:rFonts w:ascii="Arial" w:cs="Arial" w:eastAsia="Arial" w:hAnsi="Arial"/>
                <w:sz w:val="16"/>
                <w:szCs w:val="16"/>
                <w:b w:val="1"/>
                <w:bCs w:val="1"/>
                <w:color w:val="auto"/>
              </w:rPr>
              <w:t>5,162</w:t>
            </w:r>
          </w:p>
        </w:tc>
        <w:tc>
          <w:tcPr>
            <w:tcW w:w="28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960" w:type="dxa"/>
            <w:vAlign w:val="bottom"/>
          </w:tcPr>
          <w:p>
            <w:pPr>
              <w:jc w:val="right"/>
              <w:ind w:right="79"/>
              <w:spacing w:after="0"/>
              <w:rPr>
                <w:sz w:val="20"/>
                <w:szCs w:val="20"/>
                <w:color w:val="auto"/>
              </w:rPr>
            </w:pPr>
            <w:r>
              <w:rPr>
                <w:rFonts w:ascii="Arial" w:cs="Arial" w:eastAsia="Arial" w:hAnsi="Arial"/>
                <w:sz w:val="16"/>
                <w:szCs w:val="16"/>
                <w:color w:val="auto"/>
              </w:rPr>
              <w:t>7,516</w:t>
            </w:r>
          </w:p>
        </w:tc>
        <w:tc>
          <w:tcPr>
            <w:tcW w:w="32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880" w:type="dxa"/>
            <w:vAlign w:val="bottom"/>
          </w:tcPr>
          <w:p>
            <w:pPr>
              <w:jc w:val="right"/>
              <w:ind w:right="19"/>
              <w:spacing w:after="0"/>
              <w:rPr>
                <w:sz w:val="20"/>
                <w:szCs w:val="20"/>
                <w:color w:val="auto"/>
              </w:rPr>
            </w:pPr>
            <w:r>
              <w:rPr>
                <w:rFonts w:ascii="Arial" w:cs="Arial" w:eastAsia="Arial" w:hAnsi="Arial"/>
                <w:sz w:val="16"/>
                <w:szCs w:val="16"/>
                <w:color w:val="auto"/>
              </w:rPr>
              <w:t>262,353</w:t>
            </w:r>
          </w:p>
        </w:tc>
        <w:tc>
          <w:tcPr>
            <w:tcW w:w="0" w:type="dxa"/>
            <w:vAlign w:val="bottom"/>
          </w:tcPr>
          <w:p>
            <w:pPr>
              <w:spacing w:after="0"/>
              <w:rPr>
                <w:sz w:val="1"/>
                <w:szCs w:val="1"/>
                <w:color w:val="auto"/>
              </w:rPr>
            </w:pPr>
          </w:p>
        </w:tc>
      </w:tr>
      <w:tr>
        <w:trPr>
          <w:trHeight w:val="270"/>
        </w:trPr>
        <w:tc>
          <w:tcPr>
            <w:tcW w:w="7780" w:type="dxa"/>
            <w:vAlign w:val="bottom"/>
          </w:tcPr>
          <w:p>
            <w:pPr>
              <w:ind w:left="280"/>
              <w:spacing w:after="0"/>
              <w:rPr>
                <w:sz w:val="20"/>
                <w:szCs w:val="20"/>
                <w:color w:val="auto"/>
              </w:rPr>
            </w:pPr>
            <w:r>
              <w:rPr>
                <w:rFonts w:ascii="Arial" w:cs="Arial" w:eastAsia="Arial" w:hAnsi="Arial"/>
                <w:sz w:val="16"/>
                <w:szCs w:val="16"/>
                <w:color w:val="auto"/>
              </w:rPr>
              <w:t>Television broadcasting</w:t>
            </w:r>
          </w:p>
        </w:tc>
        <w:tc>
          <w:tcPr>
            <w:tcW w:w="220" w:type="dxa"/>
            <w:vAlign w:val="bottom"/>
          </w:tcPr>
          <w:p>
            <w:pPr>
              <w:spacing w:after="0"/>
              <w:rPr>
                <w:sz w:val="23"/>
                <w:szCs w:val="23"/>
                <w:color w:val="auto"/>
              </w:rPr>
            </w:pPr>
          </w:p>
        </w:tc>
        <w:tc>
          <w:tcPr>
            <w:tcW w:w="980" w:type="dxa"/>
            <w:vAlign w:val="bottom"/>
          </w:tcPr>
          <w:p>
            <w:pPr>
              <w:jc w:val="right"/>
              <w:ind w:right="79"/>
              <w:spacing w:after="0"/>
              <w:rPr>
                <w:sz w:val="20"/>
                <w:szCs w:val="20"/>
                <w:color w:val="auto"/>
              </w:rPr>
            </w:pPr>
            <w:r>
              <w:rPr>
                <w:rFonts w:ascii="Arial" w:cs="Arial" w:eastAsia="Arial" w:hAnsi="Arial"/>
                <w:sz w:val="16"/>
                <w:szCs w:val="16"/>
                <w:b w:val="1"/>
                <w:bCs w:val="1"/>
                <w:color w:val="auto"/>
              </w:rPr>
              <w:t>6,349</w:t>
            </w:r>
          </w:p>
        </w:tc>
        <w:tc>
          <w:tcPr>
            <w:tcW w:w="280" w:type="dxa"/>
            <w:vAlign w:val="bottom"/>
          </w:tcPr>
          <w:p>
            <w:pPr>
              <w:spacing w:after="0"/>
              <w:rPr>
                <w:sz w:val="23"/>
                <w:szCs w:val="23"/>
                <w:color w:val="auto"/>
              </w:rPr>
            </w:pPr>
          </w:p>
        </w:tc>
        <w:tc>
          <w:tcPr>
            <w:tcW w:w="960" w:type="dxa"/>
            <w:vAlign w:val="bottom"/>
          </w:tcPr>
          <w:p>
            <w:pPr>
              <w:jc w:val="right"/>
              <w:ind w:right="79"/>
              <w:spacing w:after="0"/>
              <w:rPr>
                <w:sz w:val="20"/>
                <w:szCs w:val="20"/>
                <w:color w:val="auto"/>
              </w:rPr>
            </w:pPr>
            <w:r>
              <w:rPr>
                <w:rFonts w:ascii="Arial" w:cs="Arial" w:eastAsia="Arial" w:hAnsi="Arial"/>
                <w:sz w:val="16"/>
                <w:szCs w:val="16"/>
                <w:color w:val="auto"/>
              </w:rPr>
              <w:t>251</w:t>
            </w:r>
          </w:p>
        </w:tc>
        <w:tc>
          <w:tcPr>
            <w:tcW w:w="320" w:type="dxa"/>
            <w:vAlign w:val="bottom"/>
          </w:tcPr>
          <w:p>
            <w:pPr>
              <w:spacing w:after="0"/>
              <w:rPr>
                <w:sz w:val="23"/>
                <w:szCs w:val="23"/>
                <w:color w:val="auto"/>
              </w:rPr>
            </w:pPr>
          </w:p>
        </w:tc>
        <w:tc>
          <w:tcPr>
            <w:tcW w:w="880" w:type="dxa"/>
            <w:vAlign w:val="bottom"/>
          </w:tcPr>
          <w:p>
            <w:pPr>
              <w:jc w:val="right"/>
              <w:ind w:right="19"/>
              <w:spacing w:after="0"/>
              <w:rPr>
                <w:sz w:val="20"/>
                <w:szCs w:val="20"/>
                <w:color w:val="auto"/>
              </w:rPr>
            </w:pPr>
            <w:r>
              <w:rPr>
                <w:rFonts w:ascii="Arial" w:cs="Arial" w:eastAsia="Arial" w:hAnsi="Arial"/>
                <w:sz w:val="16"/>
                <w:szCs w:val="16"/>
                <w:color w:val="auto"/>
              </w:rPr>
              <w:t>252</w:t>
            </w:r>
          </w:p>
        </w:tc>
        <w:tc>
          <w:tcPr>
            <w:tcW w:w="0" w:type="dxa"/>
            <w:vAlign w:val="bottom"/>
          </w:tcPr>
          <w:p>
            <w:pPr>
              <w:spacing w:after="0"/>
              <w:rPr>
                <w:sz w:val="1"/>
                <w:szCs w:val="1"/>
                <w:color w:val="auto"/>
              </w:rPr>
            </w:pPr>
          </w:p>
        </w:tc>
      </w:tr>
      <w:tr>
        <w:trPr>
          <w:trHeight w:val="270"/>
        </w:trPr>
        <w:tc>
          <w:tcPr>
            <w:tcW w:w="7780" w:type="dxa"/>
            <w:vAlign w:val="bottom"/>
          </w:tcPr>
          <w:p>
            <w:pPr>
              <w:ind w:left="280"/>
              <w:spacing w:after="0"/>
              <w:rPr>
                <w:sz w:val="20"/>
                <w:szCs w:val="20"/>
                <w:color w:val="auto"/>
              </w:rPr>
            </w:pPr>
            <w:r>
              <w:rPr>
                <w:rFonts w:ascii="Arial" w:cs="Arial" w:eastAsia="Arial" w:hAnsi="Arial"/>
                <w:sz w:val="16"/>
                <w:szCs w:val="16"/>
                <w:color w:val="auto"/>
              </w:rPr>
              <w:t>Other businesses</w:t>
            </w:r>
          </w:p>
        </w:tc>
        <w:tc>
          <w:tcPr>
            <w:tcW w:w="220" w:type="dxa"/>
            <w:vAlign w:val="bottom"/>
          </w:tcPr>
          <w:p>
            <w:pPr>
              <w:spacing w:after="0"/>
              <w:rPr>
                <w:sz w:val="23"/>
                <w:szCs w:val="23"/>
                <w:color w:val="auto"/>
              </w:rPr>
            </w:pPr>
          </w:p>
        </w:tc>
        <w:tc>
          <w:tcPr>
            <w:tcW w:w="980" w:type="dxa"/>
            <w:vAlign w:val="bottom"/>
          </w:tcPr>
          <w:p>
            <w:pPr>
              <w:jc w:val="right"/>
              <w:ind w:right="79"/>
              <w:spacing w:after="0"/>
              <w:rPr>
                <w:sz w:val="20"/>
                <w:szCs w:val="20"/>
                <w:color w:val="auto"/>
              </w:rPr>
            </w:pPr>
            <w:r>
              <w:rPr>
                <w:rFonts w:ascii="Arial" w:cs="Arial" w:eastAsia="Arial" w:hAnsi="Arial"/>
                <w:sz w:val="16"/>
                <w:szCs w:val="16"/>
                <w:b w:val="1"/>
                <w:bCs w:val="1"/>
                <w:color w:val="auto"/>
              </w:rPr>
              <w:t>39,290</w:t>
            </w:r>
          </w:p>
        </w:tc>
        <w:tc>
          <w:tcPr>
            <w:tcW w:w="280" w:type="dxa"/>
            <w:vAlign w:val="bottom"/>
          </w:tcPr>
          <w:p>
            <w:pPr>
              <w:spacing w:after="0"/>
              <w:rPr>
                <w:sz w:val="23"/>
                <w:szCs w:val="23"/>
                <w:color w:val="auto"/>
              </w:rPr>
            </w:pPr>
          </w:p>
        </w:tc>
        <w:tc>
          <w:tcPr>
            <w:tcW w:w="960" w:type="dxa"/>
            <w:vAlign w:val="bottom"/>
          </w:tcPr>
          <w:p>
            <w:pPr>
              <w:jc w:val="right"/>
              <w:ind w:right="79"/>
              <w:spacing w:after="0"/>
              <w:rPr>
                <w:sz w:val="20"/>
                <w:szCs w:val="20"/>
                <w:color w:val="auto"/>
              </w:rPr>
            </w:pPr>
            <w:r>
              <w:rPr>
                <w:rFonts w:ascii="Arial" w:cs="Arial" w:eastAsia="Arial" w:hAnsi="Arial"/>
                <w:sz w:val="16"/>
                <w:szCs w:val="16"/>
                <w:color w:val="auto"/>
              </w:rPr>
              <w:t>20,507</w:t>
            </w:r>
          </w:p>
        </w:tc>
        <w:tc>
          <w:tcPr>
            <w:tcW w:w="320" w:type="dxa"/>
            <w:vAlign w:val="bottom"/>
          </w:tcPr>
          <w:p>
            <w:pPr>
              <w:spacing w:after="0"/>
              <w:rPr>
                <w:sz w:val="23"/>
                <w:szCs w:val="23"/>
                <w:color w:val="auto"/>
              </w:rPr>
            </w:pPr>
          </w:p>
        </w:tc>
        <w:tc>
          <w:tcPr>
            <w:tcW w:w="880" w:type="dxa"/>
            <w:vAlign w:val="bottom"/>
          </w:tcPr>
          <w:p>
            <w:pPr>
              <w:jc w:val="right"/>
              <w:ind w:right="19"/>
              <w:spacing w:after="0"/>
              <w:rPr>
                <w:sz w:val="20"/>
                <w:szCs w:val="20"/>
                <w:color w:val="auto"/>
              </w:rPr>
            </w:pPr>
            <w:r>
              <w:rPr>
                <w:rFonts w:ascii="Arial" w:cs="Arial" w:eastAsia="Arial" w:hAnsi="Arial"/>
                <w:sz w:val="16"/>
                <w:szCs w:val="16"/>
                <w:color w:val="auto"/>
              </w:rPr>
              <w:t>16,112</w:t>
            </w:r>
          </w:p>
        </w:tc>
        <w:tc>
          <w:tcPr>
            <w:tcW w:w="0" w:type="dxa"/>
            <w:vAlign w:val="bottom"/>
          </w:tcPr>
          <w:p>
            <w:pPr>
              <w:spacing w:after="0"/>
              <w:rPr>
                <w:sz w:val="1"/>
                <w:szCs w:val="1"/>
                <w:color w:val="auto"/>
              </w:rPr>
            </w:pPr>
          </w:p>
        </w:tc>
      </w:tr>
      <w:tr>
        <w:trPr>
          <w:trHeight w:val="283"/>
        </w:trPr>
        <w:tc>
          <w:tcPr>
            <w:tcW w:w="7780" w:type="dxa"/>
            <w:vAlign w:val="bottom"/>
          </w:tcPr>
          <w:p>
            <w:pPr>
              <w:ind w:left="280"/>
              <w:spacing w:after="0"/>
              <w:rPr>
                <w:sz w:val="20"/>
                <w:szCs w:val="20"/>
                <w:color w:val="auto"/>
              </w:rPr>
            </w:pPr>
            <w:r>
              <w:rPr>
                <w:rFonts w:ascii="Arial" w:cs="Arial" w:eastAsia="Arial" w:hAnsi="Arial"/>
                <w:sz w:val="16"/>
                <w:szCs w:val="16"/>
                <w:color w:val="auto"/>
              </w:rPr>
              <w:t>Corporate office</w:t>
            </w:r>
          </w:p>
        </w:tc>
        <w:tc>
          <w:tcPr>
            <w:tcW w:w="22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b w:val="1"/>
                <w:bCs w:val="1"/>
                <w:color w:val="auto"/>
              </w:rPr>
              <w:t>—</w:t>
            </w:r>
          </w:p>
        </w:tc>
        <w:tc>
          <w:tcPr>
            <w:tcW w:w="28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w:t>
            </w:r>
          </w:p>
        </w:tc>
        <w:tc>
          <w:tcPr>
            <w:tcW w:w="32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64"/>
        </w:trPr>
        <w:tc>
          <w:tcPr>
            <w:tcW w:w="7780" w:type="dxa"/>
            <w:vAlign w:val="bottom"/>
          </w:tcPr>
          <w:p>
            <w:pPr>
              <w:spacing w:after="0"/>
              <w:rPr>
                <w:sz w:val="22"/>
                <w:szCs w:val="22"/>
                <w:color w:val="auto"/>
              </w:rPr>
            </w:pPr>
          </w:p>
        </w:tc>
        <w:tc>
          <w:tcPr>
            <w:tcW w:w="2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b w:val="1"/>
                <w:bCs w:val="1"/>
                <w:color w:val="auto"/>
              </w:rPr>
              <w:t>$</w:t>
            </w:r>
          </w:p>
        </w:tc>
        <w:tc>
          <w:tcPr>
            <w:tcW w:w="98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b w:val="1"/>
                <w:bCs w:val="1"/>
                <w:color w:val="auto"/>
              </w:rPr>
              <w:t>50,801</w:t>
            </w:r>
          </w:p>
        </w:tc>
        <w:tc>
          <w:tcPr>
            <w:tcW w:w="28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w:t>
            </w:r>
          </w:p>
        </w:tc>
        <w:tc>
          <w:tcPr>
            <w:tcW w:w="96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28,274</w:t>
            </w:r>
          </w:p>
        </w:tc>
        <w:tc>
          <w:tcPr>
            <w:tcW w:w="32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w:t>
            </w:r>
          </w:p>
        </w:tc>
        <w:tc>
          <w:tcPr>
            <w:tcW w:w="88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278,717</w:t>
            </w:r>
          </w:p>
        </w:tc>
        <w:tc>
          <w:tcPr>
            <w:tcW w:w="0" w:type="dxa"/>
            <w:vAlign w:val="bottom"/>
          </w:tcPr>
          <w:p>
            <w:pPr>
              <w:spacing w:after="0"/>
              <w:rPr>
                <w:sz w:val="1"/>
                <w:szCs w:val="1"/>
                <w:color w:val="auto"/>
              </w:rPr>
            </w:pPr>
          </w:p>
        </w:tc>
      </w:tr>
      <w:tr>
        <w:trPr>
          <w:trHeight w:val="251"/>
        </w:trPr>
        <w:tc>
          <w:tcPr>
            <w:tcW w:w="7780" w:type="dxa"/>
            <w:vAlign w:val="bottom"/>
          </w:tcPr>
          <w:p>
            <w:pPr>
              <w:ind w:left="40"/>
              <w:spacing w:after="0"/>
              <w:rPr>
                <w:sz w:val="20"/>
                <w:szCs w:val="20"/>
                <w:color w:val="auto"/>
              </w:rPr>
            </w:pPr>
            <w:r>
              <w:rPr>
                <w:rFonts w:ascii="Arial" w:cs="Arial" w:eastAsia="Arial" w:hAnsi="Arial"/>
                <w:sz w:val="16"/>
                <w:szCs w:val="16"/>
                <w:b w:val="1"/>
                <w:bCs w:val="1"/>
                <w:color w:val="auto"/>
              </w:rPr>
              <w:t>Net Pension (Credit) Expense</w:t>
            </w:r>
          </w:p>
        </w:tc>
        <w:tc>
          <w:tcPr>
            <w:tcW w:w="22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0"/>
        </w:trPr>
        <w:tc>
          <w:tcPr>
            <w:tcW w:w="7780" w:type="dxa"/>
            <w:vAlign w:val="bottom"/>
          </w:tcPr>
          <w:p>
            <w:pPr>
              <w:ind w:left="280"/>
              <w:spacing w:after="0"/>
              <w:rPr>
                <w:sz w:val="20"/>
                <w:szCs w:val="20"/>
                <w:color w:val="auto"/>
              </w:rPr>
            </w:pPr>
            <w:r>
              <w:rPr>
                <w:rFonts w:ascii="Arial" w:cs="Arial" w:eastAsia="Arial" w:hAnsi="Arial"/>
                <w:sz w:val="16"/>
                <w:szCs w:val="16"/>
                <w:color w:val="auto"/>
              </w:rPr>
              <w:t>Education</w:t>
            </w:r>
          </w:p>
        </w:tc>
        <w:tc>
          <w:tcPr>
            <w:tcW w:w="220" w:type="dxa"/>
            <w:vAlign w:val="bottom"/>
          </w:tcPr>
          <w:p>
            <w:pPr>
              <w:jc w:val="right"/>
              <w:ind w:right="19"/>
              <w:spacing w:after="0"/>
              <w:rPr>
                <w:sz w:val="20"/>
                <w:szCs w:val="20"/>
                <w:color w:val="auto"/>
              </w:rPr>
            </w:pPr>
            <w:r>
              <w:rPr>
                <w:rFonts w:ascii="Arial" w:cs="Arial" w:eastAsia="Arial" w:hAnsi="Arial"/>
                <w:sz w:val="16"/>
                <w:szCs w:val="16"/>
                <w:b w:val="1"/>
                <w:bCs w:val="1"/>
                <w:color w:val="auto"/>
              </w:rPr>
              <w:t>$</w:t>
            </w:r>
          </w:p>
        </w:tc>
        <w:tc>
          <w:tcPr>
            <w:tcW w:w="980" w:type="dxa"/>
            <w:vAlign w:val="bottom"/>
          </w:tcPr>
          <w:p>
            <w:pPr>
              <w:jc w:val="right"/>
              <w:ind w:right="79"/>
              <w:spacing w:after="0"/>
              <w:rPr>
                <w:sz w:val="20"/>
                <w:szCs w:val="20"/>
                <w:color w:val="auto"/>
              </w:rPr>
            </w:pPr>
            <w:r>
              <w:rPr>
                <w:rFonts w:ascii="Arial" w:cs="Arial" w:eastAsia="Arial" w:hAnsi="Arial"/>
                <w:sz w:val="16"/>
                <w:szCs w:val="16"/>
                <w:b w:val="1"/>
                <w:bCs w:val="1"/>
                <w:color w:val="auto"/>
              </w:rPr>
              <w:t>10,613</w:t>
            </w:r>
          </w:p>
        </w:tc>
        <w:tc>
          <w:tcPr>
            <w:tcW w:w="28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960" w:type="dxa"/>
            <w:vAlign w:val="bottom"/>
          </w:tcPr>
          <w:p>
            <w:pPr>
              <w:jc w:val="right"/>
              <w:ind w:right="79"/>
              <w:spacing w:after="0"/>
              <w:rPr>
                <w:sz w:val="20"/>
                <w:szCs w:val="20"/>
                <w:color w:val="auto"/>
              </w:rPr>
            </w:pPr>
            <w:r>
              <w:rPr>
                <w:rFonts w:ascii="Arial" w:cs="Arial" w:eastAsia="Arial" w:hAnsi="Arial"/>
                <w:sz w:val="16"/>
                <w:szCs w:val="16"/>
                <w:color w:val="auto"/>
              </w:rPr>
              <w:t>11,803</w:t>
            </w:r>
          </w:p>
        </w:tc>
        <w:tc>
          <w:tcPr>
            <w:tcW w:w="32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880" w:type="dxa"/>
            <w:vAlign w:val="bottom"/>
          </w:tcPr>
          <w:p>
            <w:pPr>
              <w:jc w:val="right"/>
              <w:ind w:right="19"/>
              <w:spacing w:after="0"/>
              <w:rPr>
                <w:sz w:val="20"/>
                <w:szCs w:val="20"/>
                <w:color w:val="auto"/>
              </w:rPr>
            </w:pPr>
            <w:r>
              <w:rPr>
                <w:rFonts w:ascii="Arial" w:cs="Arial" w:eastAsia="Arial" w:hAnsi="Arial"/>
                <w:sz w:val="16"/>
                <w:szCs w:val="16"/>
                <w:color w:val="auto"/>
              </w:rPr>
              <w:t>18,804</w:t>
            </w:r>
          </w:p>
        </w:tc>
        <w:tc>
          <w:tcPr>
            <w:tcW w:w="0" w:type="dxa"/>
            <w:vAlign w:val="bottom"/>
          </w:tcPr>
          <w:p>
            <w:pPr>
              <w:spacing w:after="0"/>
              <w:rPr>
                <w:sz w:val="1"/>
                <w:szCs w:val="1"/>
                <w:color w:val="auto"/>
              </w:rPr>
            </w:pPr>
          </w:p>
        </w:tc>
      </w:tr>
      <w:tr>
        <w:trPr>
          <w:trHeight w:val="270"/>
        </w:trPr>
        <w:tc>
          <w:tcPr>
            <w:tcW w:w="7780" w:type="dxa"/>
            <w:vAlign w:val="bottom"/>
          </w:tcPr>
          <w:p>
            <w:pPr>
              <w:ind w:left="280"/>
              <w:spacing w:after="0"/>
              <w:rPr>
                <w:sz w:val="20"/>
                <w:szCs w:val="20"/>
                <w:color w:val="auto"/>
              </w:rPr>
            </w:pPr>
            <w:r>
              <w:rPr>
                <w:rFonts w:ascii="Arial" w:cs="Arial" w:eastAsia="Arial" w:hAnsi="Arial"/>
                <w:sz w:val="16"/>
                <w:szCs w:val="16"/>
                <w:color w:val="auto"/>
              </w:rPr>
              <w:t>Television broadcasting</w:t>
            </w:r>
          </w:p>
        </w:tc>
        <w:tc>
          <w:tcPr>
            <w:tcW w:w="220" w:type="dxa"/>
            <w:vAlign w:val="bottom"/>
          </w:tcPr>
          <w:p>
            <w:pPr>
              <w:spacing w:after="0"/>
              <w:rPr>
                <w:sz w:val="23"/>
                <w:szCs w:val="23"/>
                <w:color w:val="auto"/>
              </w:rPr>
            </w:pPr>
          </w:p>
        </w:tc>
        <w:tc>
          <w:tcPr>
            <w:tcW w:w="980" w:type="dxa"/>
            <w:vAlign w:val="bottom"/>
          </w:tcPr>
          <w:p>
            <w:pPr>
              <w:jc w:val="right"/>
              <w:ind w:right="79"/>
              <w:spacing w:after="0"/>
              <w:rPr>
                <w:sz w:val="20"/>
                <w:szCs w:val="20"/>
                <w:color w:val="auto"/>
              </w:rPr>
            </w:pPr>
            <w:r>
              <w:rPr>
                <w:rFonts w:ascii="Arial" w:cs="Arial" w:eastAsia="Arial" w:hAnsi="Arial"/>
                <w:sz w:val="16"/>
                <w:szCs w:val="16"/>
                <w:b w:val="1"/>
                <w:bCs w:val="1"/>
                <w:color w:val="auto"/>
              </w:rPr>
              <w:t>1,942</w:t>
            </w:r>
          </w:p>
        </w:tc>
        <w:tc>
          <w:tcPr>
            <w:tcW w:w="280" w:type="dxa"/>
            <w:vAlign w:val="bottom"/>
          </w:tcPr>
          <w:p>
            <w:pPr>
              <w:spacing w:after="0"/>
              <w:rPr>
                <w:sz w:val="23"/>
                <w:szCs w:val="23"/>
                <w:color w:val="auto"/>
              </w:rPr>
            </w:pPr>
          </w:p>
        </w:tc>
        <w:tc>
          <w:tcPr>
            <w:tcW w:w="960" w:type="dxa"/>
            <w:vAlign w:val="bottom"/>
          </w:tcPr>
          <w:p>
            <w:pPr>
              <w:jc w:val="right"/>
              <w:ind w:right="79"/>
              <w:spacing w:after="0"/>
              <w:rPr>
                <w:sz w:val="20"/>
                <w:szCs w:val="20"/>
                <w:color w:val="auto"/>
              </w:rPr>
            </w:pPr>
            <w:r>
              <w:rPr>
                <w:rFonts w:ascii="Arial" w:cs="Arial" w:eastAsia="Arial" w:hAnsi="Arial"/>
                <w:sz w:val="16"/>
                <w:szCs w:val="16"/>
                <w:color w:val="auto"/>
              </w:rPr>
              <w:t>1,714</w:t>
            </w:r>
          </w:p>
        </w:tc>
        <w:tc>
          <w:tcPr>
            <w:tcW w:w="320" w:type="dxa"/>
            <w:vAlign w:val="bottom"/>
          </w:tcPr>
          <w:p>
            <w:pPr>
              <w:spacing w:after="0"/>
              <w:rPr>
                <w:sz w:val="23"/>
                <w:szCs w:val="23"/>
                <w:color w:val="auto"/>
              </w:rPr>
            </w:pPr>
          </w:p>
        </w:tc>
        <w:tc>
          <w:tcPr>
            <w:tcW w:w="880" w:type="dxa"/>
            <w:vAlign w:val="bottom"/>
          </w:tcPr>
          <w:p>
            <w:pPr>
              <w:jc w:val="right"/>
              <w:ind w:right="19"/>
              <w:spacing w:after="0"/>
              <w:rPr>
                <w:sz w:val="20"/>
                <w:szCs w:val="20"/>
                <w:color w:val="auto"/>
              </w:rPr>
            </w:pPr>
            <w:r>
              <w:rPr>
                <w:rFonts w:ascii="Arial" w:cs="Arial" w:eastAsia="Arial" w:hAnsi="Arial"/>
                <w:sz w:val="16"/>
                <w:szCs w:val="16"/>
                <w:color w:val="auto"/>
              </w:rPr>
              <w:t>1,620</w:t>
            </w:r>
          </w:p>
        </w:tc>
        <w:tc>
          <w:tcPr>
            <w:tcW w:w="0" w:type="dxa"/>
            <w:vAlign w:val="bottom"/>
          </w:tcPr>
          <w:p>
            <w:pPr>
              <w:spacing w:after="0"/>
              <w:rPr>
                <w:sz w:val="1"/>
                <w:szCs w:val="1"/>
                <w:color w:val="auto"/>
              </w:rPr>
            </w:pPr>
          </w:p>
        </w:tc>
      </w:tr>
      <w:tr>
        <w:trPr>
          <w:trHeight w:val="270"/>
        </w:trPr>
        <w:tc>
          <w:tcPr>
            <w:tcW w:w="7780" w:type="dxa"/>
            <w:vAlign w:val="bottom"/>
          </w:tcPr>
          <w:p>
            <w:pPr>
              <w:ind w:left="280"/>
              <w:spacing w:after="0"/>
              <w:rPr>
                <w:sz w:val="20"/>
                <w:szCs w:val="20"/>
                <w:color w:val="auto"/>
              </w:rPr>
            </w:pPr>
            <w:r>
              <w:rPr>
                <w:rFonts w:ascii="Arial" w:cs="Arial" w:eastAsia="Arial" w:hAnsi="Arial"/>
                <w:sz w:val="16"/>
                <w:szCs w:val="16"/>
                <w:color w:val="auto"/>
              </w:rPr>
              <w:t>Other businesses</w:t>
            </w:r>
          </w:p>
        </w:tc>
        <w:tc>
          <w:tcPr>
            <w:tcW w:w="220" w:type="dxa"/>
            <w:vAlign w:val="bottom"/>
          </w:tcPr>
          <w:p>
            <w:pPr>
              <w:spacing w:after="0"/>
              <w:rPr>
                <w:sz w:val="23"/>
                <w:szCs w:val="23"/>
                <w:color w:val="auto"/>
              </w:rPr>
            </w:pPr>
          </w:p>
        </w:tc>
        <w:tc>
          <w:tcPr>
            <w:tcW w:w="980" w:type="dxa"/>
            <w:vAlign w:val="bottom"/>
          </w:tcPr>
          <w:p>
            <w:pPr>
              <w:jc w:val="right"/>
              <w:ind w:right="79"/>
              <w:spacing w:after="0"/>
              <w:rPr>
                <w:sz w:val="20"/>
                <w:szCs w:val="20"/>
                <w:color w:val="auto"/>
              </w:rPr>
            </w:pPr>
            <w:r>
              <w:rPr>
                <w:rFonts w:ascii="Arial" w:cs="Arial" w:eastAsia="Arial" w:hAnsi="Arial"/>
                <w:sz w:val="16"/>
                <w:szCs w:val="16"/>
                <w:b w:val="1"/>
                <w:bCs w:val="1"/>
                <w:color w:val="auto"/>
              </w:rPr>
              <w:t>2,722</w:t>
            </w:r>
          </w:p>
        </w:tc>
        <w:tc>
          <w:tcPr>
            <w:tcW w:w="280" w:type="dxa"/>
            <w:vAlign w:val="bottom"/>
          </w:tcPr>
          <w:p>
            <w:pPr>
              <w:spacing w:after="0"/>
              <w:rPr>
                <w:sz w:val="23"/>
                <w:szCs w:val="23"/>
                <w:color w:val="auto"/>
              </w:rPr>
            </w:pPr>
          </w:p>
        </w:tc>
        <w:tc>
          <w:tcPr>
            <w:tcW w:w="960" w:type="dxa"/>
            <w:vAlign w:val="bottom"/>
          </w:tcPr>
          <w:p>
            <w:pPr>
              <w:jc w:val="right"/>
              <w:ind w:right="79"/>
              <w:spacing w:after="0"/>
              <w:rPr>
                <w:sz w:val="20"/>
                <w:szCs w:val="20"/>
                <w:color w:val="auto"/>
              </w:rPr>
            </w:pPr>
            <w:r>
              <w:rPr>
                <w:rFonts w:ascii="Arial" w:cs="Arial" w:eastAsia="Arial" w:hAnsi="Arial"/>
                <w:sz w:val="16"/>
                <w:szCs w:val="16"/>
                <w:color w:val="auto"/>
              </w:rPr>
              <w:t>1,118</w:t>
            </w:r>
          </w:p>
        </w:tc>
        <w:tc>
          <w:tcPr>
            <w:tcW w:w="320" w:type="dxa"/>
            <w:vAlign w:val="bottom"/>
          </w:tcPr>
          <w:p>
            <w:pPr>
              <w:spacing w:after="0"/>
              <w:rPr>
                <w:sz w:val="23"/>
                <w:szCs w:val="23"/>
                <w:color w:val="auto"/>
              </w:rPr>
            </w:pPr>
          </w:p>
        </w:tc>
        <w:tc>
          <w:tcPr>
            <w:tcW w:w="880" w:type="dxa"/>
            <w:vAlign w:val="bottom"/>
          </w:tcPr>
          <w:p>
            <w:pPr>
              <w:jc w:val="right"/>
              <w:ind w:right="19"/>
              <w:spacing w:after="0"/>
              <w:rPr>
                <w:sz w:val="20"/>
                <w:szCs w:val="20"/>
                <w:color w:val="auto"/>
              </w:rPr>
            </w:pPr>
            <w:r>
              <w:rPr>
                <w:rFonts w:ascii="Arial" w:cs="Arial" w:eastAsia="Arial" w:hAnsi="Arial"/>
                <w:sz w:val="16"/>
                <w:szCs w:val="16"/>
                <w:color w:val="auto"/>
              </w:rPr>
              <w:t>964</w:t>
            </w:r>
          </w:p>
        </w:tc>
        <w:tc>
          <w:tcPr>
            <w:tcW w:w="0" w:type="dxa"/>
            <w:vAlign w:val="bottom"/>
          </w:tcPr>
          <w:p>
            <w:pPr>
              <w:spacing w:after="0"/>
              <w:rPr>
                <w:sz w:val="1"/>
                <w:szCs w:val="1"/>
                <w:color w:val="auto"/>
              </w:rPr>
            </w:pPr>
          </w:p>
        </w:tc>
      </w:tr>
      <w:tr>
        <w:trPr>
          <w:trHeight w:val="283"/>
        </w:trPr>
        <w:tc>
          <w:tcPr>
            <w:tcW w:w="7780" w:type="dxa"/>
            <w:vAlign w:val="bottom"/>
          </w:tcPr>
          <w:p>
            <w:pPr>
              <w:ind w:left="280"/>
              <w:spacing w:after="0"/>
              <w:rPr>
                <w:sz w:val="20"/>
                <w:szCs w:val="20"/>
                <w:color w:val="auto"/>
              </w:rPr>
            </w:pPr>
            <w:r>
              <w:rPr>
                <w:rFonts w:ascii="Arial" w:cs="Arial" w:eastAsia="Arial" w:hAnsi="Arial"/>
                <w:sz w:val="16"/>
                <w:szCs w:val="16"/>
                <w:color w:val="auto"/>
              </w:rPr>
              <w:t>Corporate office</w:t>
            </w:r>
          </w:p>
        </w:tc>
        <w:tc>
          <w:tcPr>
            <w:tcW w:w="22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b w:val="1"/>
                <w:bCs w:val="1"/>
                <w:color w:val="auto"/>
              </w:rPr>
              <w:t>(72,491)</w:t>
            </w:r>
          </w:p>
        </w:tc>
        <w:tc>
          <w:tcPr>
            <w:tcW w:w="28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(81,732)</w:t>
            </w:r>
          </w:p>
        </w:tc>
        <w:tc>
          <w:tcPr>
            <w:tcW w:w="32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(81,945)</w:t>
            </w:r>
          </w:p>
        </w:tc>
        <w:tc>
          <w:tcPr>
            <w:tcW w:w="0" w:type="dxa"/>
            <w:vAlign w:val="bottom"/>
          </w:tcPr>
          <w:p>
            <w:pPr>
              <w:spacing w:after="0"/>
              <w:rPr>
                <w:sz w:val="1"/>
                <w:szCs w:val="1"/>
                <w:color w:val="auto"/>
              </w:rPr>
            </w:pPr>
          </w:p>
        </w:tc>
      </w:tr>
      <w:tr>
        <w:trPr>
          <w:trHeight w:val="264"/>
        </w:trPr>
        <w:tc>
          <w:tcPr>
            <w:tcW w:w="7780" w:type="dxa"/>
            <w:vAlign w:val="bottom"/>
          </w:tcPr>
          <w:p>
            <w:pPr>
              <w:spacing w:after="0"/>
              <w:rPr>
                <w:sz w:val="22"/>
                <w:szCs w:val="22"/>
                <w:color w:val="auto"/>
              </w:rPr>
            </w:pPr>
          </w:p>
        </w:tc>
        <w:tc>
          <w:tcPr>
            <w:tcW w:w="2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b w:val="1"/>
                <w:bCs w:val="1"/>
                <w:color w:val="auto"/>
              </w:rPr>
              <w:t>$</w:t>
            </w:r>
          </w:p>
        </w:tc>
        <w:tc>
          <w:tcPr>
            <w:tcW w:w="98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b w:val="1"/>
                <w:bCs w:val="1"/>
                <w:color w:val="auto"/>
              </w:rPr>
              <w:t>(57,214)</w:t>
            </w:r>
          </w:p>
        </w:tc>
        <w:tc>
          <w:tcPr>
            <w:tcW w:w="28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w:t>
            </w:r>
          </w:p>
        </w:tc>
        <w:tc>
          <w:tcPr>
            <w:tcW w:w="96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(67,097)</w:t>
            </w:r>
          </w:p>
        </w:tc>
        <w:tc>
          <w:tcPr>
            <w:tcW w:w="32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(60,557)</w:t>
            </w:r>
          </w:p>
        </w:tc>
        <w:tc>
          <w:tcPr>
            <w:tcW w:w="0" w:type="dxa"/>
            <w:vAlign w:val="bottom"/>
          </w:tcPr>
          <w:p>
            <w:pPr>
              <w:spacing w:after="0"/>
              <w:rPr>
                <w:sz w:val="1"/>
                <w:szCs w:val="1"/>
                <w:color w:val="auto"/>
              </w:rPr>
            </w:pPr>
          </w:p>
        </w:tc>
      </w:tr>
      <w:tr>
        <w:trPr>
          <w:trHeight w:val="251"/>
        </w:trPr>
        <w:tc>
          <w:tcPr>
            <w:tcW w:w="7780" w:type="dxa"/>
            <w:vAlign w:val="bottom"/>
          </w:tcPr>
          <w:p>
            <w:pPr>
              <w:ind w:left="40"/>
              <w:spacing w:after="0"/>
              <w:rPr>
                <w:sz w:val="20"/>
                <w:szCs w:val="20"/>
                <w:color w:val="auto"/>
              </w:rPr>
            </w:pPr>
            <w:r>
              <w:rPr>
                <w:rFonts w:ascii="Arial" w:cs="Arial" w:eastAsia="Arial" w:hAnsi="Arial"/>
                <w:sz w:val="16"/>
                <w:szCs w:val="16"/>
                <w:b w:val="1"/>
                <w:bCs w:val="1"/>
                <w:color w:val="auto"/>
              </w:rPr>
              <w:t>Capital Expenditures</w:t>
            </w:r>
          </w:p>
        </w:tc>
        <w:tc>
          <w:tcPr>
            <w:tcW w:w="22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0"/>
        </w:trPr>
        <w:tc>
          <w:tcPr>
            <w:tcW w:w="7780" w:type="dxa"/>
            <w:vAlign w:val="bottom"/>
          </w:tcPr>
          <w:p>
            <w:pPr>
              <w:ind w:left="280"/>
              <w:spacing w:after="0"/>
              <w:rPr>
                <w:sz w:val="20"/>
                <w:szCs w:val="20"/>
                <w:color w:val="auto"/>
              </w:rPr>
            </w:pPr>
            <w:r>
              <w:rPr>
                <w:rFonts w:ascii="Arial" w:cs="Arial" w:eastAsia="Arial" w:hAnsi="Arial"/>
                <w:sz w:val="16"/>
                <w:szCs w:val="16"/>
                <w:color w:val="auto"/>
              </w:rPr>
              <w:t>Education</w:t>
            </w:r>
          </w:p>
        </w:tc>
        <w:tc>
          <w:tcPr>
            <w:tcW w:w="220" w:type="dxa"/>
            <w:vAlign w:val="bottom"/>
          </w:tcPr>
          <w:p>
            <w:pPr>
              <w:jc w:val="right"/>
              <w:ind w:right="19"/>
              <w:spacing w:after="0"/>
              <w:rPr>
                <w:sz w:val="20"/>
                <w:szCs w:val="20"/>
                <w:color w:val="auto"/>
              </w:rPr>
            </w:pPr>
            <w:r>
              <w:rPr>
                <w:rFonts w:ascii="Arial" w:cs="Arial" w:eastAsia="Arial" w:hAnsi="Arial"/>
                <w:sz w:val="16"/>
                <w:szCs w:val="16"/>
                <w:b w:val="1"/>
                <w:bCs w:val="1"/>
                <w:color w:val="auto"/>
              </w:rPr>
              <w:t>$</w:t>
            </w:r>
          </w:p>
        </w:tc>
        <w:tc>
          <w:tcPr>
            <w:tcW w:w="980" w:type="dxa"/>
            <w:vAlign w:val="bottom"/>
          </w:tcPr>
          <w:p>
            <w:pPr>
              <w:jc w:val="right"/>
              <w:ind w:right="79"/>
              <w:spacing w:after="0"/>
              <w:rPr>
                <w:sz w:val="20"/>
                <w:szCs w:val="20"/>
                <w:color w:val="auto"/>
              </w:rPr>
            </w:pPr>
            <w:r>
              <w:rPr>
                <w:rFonts w:ascii="Arial" w:cs="Arial" w:eastAsia="Arial" w:hAnsi="Arial"/>
                <w:sz w:val="16"/>
                <w:szCs w:val="16"/>
                <w:b w:val="1"/>
                <w:bCs w:val="1"/>
                <w:color w:val="auto"/>
              </w:rPr>
              <w:t>27,520</w:t>
            </w:r>
          </w:p>
        </w:tc>
        <w:tc>
          <w:tcPr>
            <w:tcW w:w="28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960" w:type="dxa"/>
            <w:vAlign w:val="bottom"/>
          </w:tcPr>
          <w:p>
            <w:pPr>
              <w:jc w:val="right"/>
              <w:ind w:right="79"/>
              <w:spacing w:after="0"/>
              <w:rPr>
                <w:sz w:val="20"/>
                <w:szCs w:val="20"/>
                <w:color w:val="auto"/>
              </w:rPr>
            </w:pPr>
            <w:r>
              <w:rPr>
                <w:rFonts w:ascii="Arial" w:cs="Arial" w:eastAsia="Arial" w:hAnsi="Arial"/>
                <w:sz w:val="16"/>
                <w:szCs w:val="16"/>
                <w:color w:val="auto"/>
              </w:rPr>
              <w:t>26,497</w:t>
            </w:r>
          </w:p>
        </w:tc>
        <w:tc>
          <w:tcPr>
            <w:tcW w:w="32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880" w:type="dxa"/>
            <w:vAlign w:val="bottom"/>
          </w:tcPr>
          <w:p>
            <w:pPr>
              <w:jc w:val="right"/>
              <w:ind w:right="19"/>
              <w:spacing w:after="0"/>
              <w:rPr>
                <w:sz w:val="20"/>
                <w:szCs w:val="20"/>
                <w:color w:val="auto"/>
              </w:rPr>
            </w:pPr>
            <w:r>
              <w:rPr>
                <w:rFonts w:ascii="Arial" w:cs="Arial" w:eastAsia="Arial" w:hAnsi="Arial"/>
                <w:sz w:val="16"/>
                <w:szCs w:val="16"/>
                <w:color w:val="auto"/>
              </w:rPr>
              <w:t>42,220</w:t>
            </w:r>
          </w:p>
        </w:tc>
        <w:tc>
          <w:tcPr>
            <w:tcW w:w="0" w:type="dxa"/>
            <w:vAlign w:val="bottom"/>
          </w:tcPr>
          <w:p>
            <w:pPr>
              <w:spacing w:after="0"/>
              <w:rPr>
                <w:sz w:val="1"/>
                <w:szCs w:val="1"/>
                <w:color w:val="auto"/>
              </w:rPr>
            </w:pPr>
          </w:p>
        </w:tc>
      </w:tr>
      <w:tr>
        <w:trPr>
          <w:trHeight w:val="270"/>
        </w:trPr>
        <w:tc>
          <w:tcPr>
            <w:tcW w:w="7780" w:type="dxa"/>
            <w:vAlign w:val="bottom"/>
          </w:tcPr>
          <w:p>
            <w:pPr>
              <w:ind w:left="280"/>
              <w:spacing w:after="0"/>
              <w:rPr>
                <w:sz w:val="20"/>
                <w:szCs w:val="20"/>
                <w:color w:val="auto"/>
              </w:rPr>
            </w:pPr>
            <w:r>
              <w:rPr>
                <w:rFonts w:ascii="Arial" w:cs="Arial" w:eastAsia="Arial" w:hAnsi="Arial"/>
                <w:sz w:val="16"/>
                <w:szCs w:val="16"/>
                <w:color w:val="auto"/>
              </w:rPr>
              <w:t>Television broadcasting</w:t>
            </w:r>
          </w:p>
        </w:tc>
        <w:tc>
          <w:tcPr>
            <w:tcW w:w="220" w:type="dxa"/>
            <w:vAlign w:val="bottom"/>
          </w:tcPr>
          <w:p>
            <w:pPr>
              <w:spacing w:after="0"/>
              <w:rPr>
                <w:sz w:val="23"/>
                <w:szCs w:val="23"/>
                <w:color w:val="auto"/>
              </w:rPr>
            </w:pPr>
          </w:p>
        </w:tc>
        <w:tc>
          <w:tcPr>
            <w:tcW w:w="980" w:type="dxa"/>
            <w:vAlign w:val="bottom"/>
          </w:tcPr>
          <w:p>
            <w:pPr>
              <w:jc w:val="right"/>
              <w:ind w:right="79"/>
              <w:spacing w:after="0"/>
              <w:rPr>
                <w:sz w:val="20"/>
                <w:szCs w:val="20"/>
                <w:color w:val="auto"/>
              </w:rPr>
            </w:pPr>
            <w:r>
              <w:rPr>
                <w:rFonts w:ascii="Arial" w:cs="Arial" w:eastAsia="Arial" w:hAnsi="Arial"/>
                <w:sz w:val="16"/>
                <w:szCs w:val="16"/>
                <w:b w:val="1"/>
                <w:bCs w:val="1"/>
                <w:color w:val="auto"/>
              </w:rPr>
              <w:t>16,802</w:t>
            </w:r>
          </w:p>
        </w:tc>
        <w:tc>
          <w:tcPr>
            <w:tcW w:w="280" w:type="dxa"/>
            <w:vAlign w:val="bottom"/>
          </w:tcPr>
          <w:p>
            <w:pPr>
              <w:spacing w:after="0"/>
              <w:rPr>
                <w:sz w:val="23"/>
                <w:szCs w:val="23"/>
                <w:color w:val="auto"/>
              </w:rPr>
            </w:pPr>
          </w:p>
        </w:tc>
        <w:tc>
          <w:tcPr>
            <w:tcW w:w="960" w:type="dxa"/>
            <w:vAlign w:val="bottom"/>
          </w:tcPr>
          <w:p>
            <w:pPr>
              <w:jc w:val="right"/>
              <w:ind w:right="79"/>
              <w:spacing w:after="0"/>
              <w:rPr>
                <w:sz w:val="20"/>
                <w:szCs w:val="20"/>
                <w:color w:val="auto"/>
              </w:rPr>
            </w:pPr>
            <w:r>
              <w:rPr>
                <w:rFonts w:ascii="Arial" w:cs="Arial" w:eastAsia="Arial" w:hAnsi="Arial"/>
                <w:sz w:val="16"/>
                <w:szCs w:val="16"/>
                <w:color w:val="auto"/>
              </w:rPr>
              <w:t>27,453</w:t>
            </w:r>
          </w:p>
        </w:tc>
        <w:tc>
          <w:tcPr>
            <w:tcW w:w="320" w:type="dxa"/>
            <w:vAlign w:val="bottom"/>
          </w:tcPr>
          <w:p>
            <w:pPr>
              <w:spacing w:after="0"/>
              <w:rPr>
                <w:sz w:val="23"/>
                <w:szCs w:val="23"/>
                <w:color w:val="auto"/>
              </w:rPr>
            </w:pPr>
          </w:p>
        </w:tc>
        <w:tc>
          <w:tcPr>
            <w:tcW w:w="880" w:type="dxa"/>
            <w:vAlign w:val="bottom"/>
          </w:tcPr>
          <w:p>
            <w:pPr>
              <w:jc w:val="right"/>
              <w:ind w:right="19"/>
              <w:spacing w:after="0"/>
              <w:rPr>
                <w:sz w:val="20"/>
                <w:szCs w:val="20"/>
                <w:color w:val="auto"/>
              </w:rPr>
            </w:pPr>
            <w:r>
              <w:rPr>
                <w:rFonts w:ascii="Arial" w:cs="Arial" w:eastAsia="Arial" w:hAnsi="Arial"/>
                <w:sz w:val="16"/>
                <w:szCs w:val="16"/>
                <w:color w:val="auto"/>
              </w:rPr>
              <w:t>9,998</w:t>
            </w:r>
          </w:p>
        </w:tc>
        <w:tc>
          <w:tcPr>
            <w:tcW w:w="0" w:type="dxa"/>
            <w:vAlign w:val="bottom"/>
          </w:tcPr>
          <w:p>
            <w:pPr>
              <w:spacing w:after="0"/>
              <w:rPr>
                <w:sz w:val="1"/>
                <w:szCs w:val="1"/>
                <w:color w:val="auto"/>
              </w:rPr>
            </w:pPr>
          </w:p>
        </w:tc>
      </w:tr>
      <w:tr>
        <w:trPr>
          <w:trHeight w:val="270"/>
        </w:trPr>
        <w:tc>
          <w:tcPr>
            <w:tcW w:w="7780" w:type="dxa"/>
            <w:vAlign w:val="bottom"/>
          </w:tcPr>
          <w:p>
            <w:pPr>
              <w:ind w:left="280"/>
              <w:spacing w:after="0"/>
              <w:rPr>
                <w:sz w:val="20"/>
                <w:szCs w:val="20"/>
                <w:color w:val="auto"/>
              </w:rPr>
            </w:pPr>
            <w:r>
              <w:rPr>
                <w:rFonts w:ascii="Arial" w:cs="Arial" w:eastAsia="Arial" w:hAnsi="Arial"/>
                <w:sz w:val="16"/>
                <w:szCs w:val="16"/>
                <w:color w:val="auto"/>
              </w:rPr>
              <w:t>Other businesses</w:t>
            </w:r>
          </w:p>
        </w:tc>
        <w:tc>
          <w:tcPr>
            <w:tcW w:w="220" w:type="dxa"/>
            <w:vAlign w:val="bottom"/>
          </w:tcPr>
          <w:p>
            <w:pPr>
              <w:spacing w:after="0"/>
              <w:rPr>
                <w:sz w:val="23"/>
                <w:szCs w:val="23"/>
                <w:color w:val="auto"/>
              </w:rPr>
            </w:pPr>
          </w:p>
        </w:tc>
        <w:tc>
          <w:tcPr>
            <w:tcW w:w="980" w:type="dxa"/>
            <w:vAlign w:val="bottom"/>
          </w:tcPr>
          <w:p>
            <w:pPr>
              <w:jc w:val="right"/>
              <w:ind w:right="79"/>
              <w:spacing w:after="0"/>
              <w:rPr>
                <w:sz w:val="20"/>
                <w:szCs w:val="20"/>
                <w:color w:val="auto"/>
              </w:rPr>
            </w:pPr>
            <w:r>
              <w:rPr>
                <w:rFonts w:ascii="Arial" w:cs="Arial" w:eastAsia="Arial" w:hAnsi="Arial"/>
                <w:sz w:val="16"/>
                <w:szCs w:val="16"/>
                <w:b w:val="1"/>
                <w:bCs w:val="1"/>
                <w:color w:val="auto"/>
              </w:rPr>
              <w:t>12,758</w:t>
            </w:r>
          </w:p>
        </w:tc>
        <w:tc>
          <w:tcPr>
            <w:tcW w:w="280" w:type="dxa"/>
            <w:vAlign w:val="bottom"/>
          </w:tcPr>
          <w:p>
            <w:pPr>
              <w:spacing w:after="0"/>
              <w:rPr>
                <w:sz w:val="23"/>
                <w:szCs w:val="23"/>
                <w:color w:val="auto"/>
              </w:rPr>
            </w:pPr>
          </w:p>
        </w:tc>
        <w:tc>
          <w:tcPr>
            <w:tcW w:w="960" w:type="dxa"/>
            <w:vAlign w:val="bottom"/>
          </w:tcPr>
          <w:p>
            <w:pPr>
              <w:jc w:val="right"/>
              <w:ind w:right="79"/>
              <w:spacing w:after="0"/>
              <w:rPr>
                <w:sz w:val="20"/>
                <w:szCs w:val="20"/>
                <w:color w:val="auto"/>
              </w:rPr>
            </w:pPr>
            <w:r>
              <w:rPr>
                <w:rFonts w:ascii="Arial" w:cs="Arial" w:eastAsia="Arial" w:hAnsi="Arial"/>
                <w:sz w:val="16"/>
                <w:szCs w:val="16"/>
                <w:color w:val="auto"/>
              </w:rPr>
              <w:t>16,047</w:t>
            </w:r>
          </w:p>
        </w:tc>
        <w:tc>
          <w:tcPr>
            <w:tcW w:w="320" w:type="dxa"/>
            <w:vAlign w:val="bottom"/>
          </w:tcPr>
          <w:p>
            <w:pPr>
              <w:spacing w:after="0"/>
              <w:rPr>
                <w:sz w:val="23"/>
                <w:szCs w:val="23"/>
                <w:color w:val="auto"/>
              </w:rPr>
            </w:pPr>
          </w:p>
        </w:tc>
        <w:tc>
          <w:tcPr>
            <w:tcW w:w="880" w:type="dxa"/>
            <w:vAlign w:val="bottom"/>
          </w:tcPr>
          <w:p>
            <w:pPr>
              <w:jc w:val="right"/>
              <w:ind w:right="19"/>
              <w:spacing w:after="0"/>
              <w:rPr>
                <w:sz w:val="20"/>
                <w:szCs w:val="20"/>
                <w:color w:val="auto"/>
              </w:rPr>
            </w:pPr>
            <w:r>
              <w:rPr>
                <w:rFonts w:ascii="Arial" w:cs="Arial" w:eastAsia="Arial" w:hAnsi="Arial"/>
                <w:sz w:val="16"/>
                <w:szCs w:val="16"/>
                <w:color w:val="auto"/>
              </w:rPr>
              <w:t>9,504</w:t>
            </w:r>
          </w:p>
        </w:tc>
        <w:tc>
          <w:tcPr>
            <w:tcW w:w="0" w:type="dxa"/>
            <w:vAlign w:val="bottom"/>
          </w:tcPr>
          <w:p>
            <w:pPr>
              <w:spacing w:after="0"/>
              <w:rPr>
                <w:sz w:val="1"/>
                <w:szCs w:val="1"/>
                <w:color w:val="auto"/>
              </w:rPr>
            </w:pPr>
          </w:p>
        </w:tc>
      </w:tr>
      <w:tr>
        <w:trPr>
          <w:trHeight w:val="283"/>
        </w:trPr>
        <w:tc>
          <w:tcPr>
            <w:tcW w:w="7780" w:type="dxa"/>
            <w:vAlign w:val="bottom"/>
          </w:tcPr>
          <w:p>
            <w:pPr>
              <w:ind w:left="280"/>
              <w:spacing w:after="0"/>
              <w:rPr>
                <w:sz w:val="20"/>
                <w:szCs w:val="20"/>
                <w:color w:val="auto"/>
              </w:rPr>
            </w:pPr>
            <w:r>
              <w:rPr>
                <w:rFonts w:ascii="Arial" w:cs="Arial" w:eastAsia="Arial" w:hAnsi="Arial"/>
                <w:sz w:val="16"/>
                <w:szCs w:val="16"/>
                <w:color w:val="auto"/>
              </w:rPr>
              <w:t>Corporate office</w:t>
            </w:r>
          </w:p>
        </w:tc>
        <w:tc>
          <w:tcPr>
            <w:tcW w:w="22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b w:val="1"/>
                <w:bCs w:val="1"/>
                <w:color w:val="auto"/>
              </w:rPr>
              <w:t>—</w:t>
            </w:r>
          </w:p>
        </w:tc>
        <w:tc>
          <w:tcPr>
            <w:tcW w:w="28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715</w:t>
            </w:r>
          </w:p>
        </w:tc>
        <w:tc>
          <w:tcPr>
            <w:tcW w:w="32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311</w:t>
            </w:r>
          </w:p>
        </w:tc>
        <w:tc>
          <w:tcPr>
            <w:tcW w:w="0" w:type="dxa"/>
            <w:vAlign w:val="bottom"/>
          </w:tcPr>
          <w:p>
            <w:pPr>
              <w:spacing w:after="0"/>
              <w:rPr>
                <w:sz w:val="1"/>
                <w:szCs w:val="1"/>
                <w:color w:val="auto"/>
              </w:rPr>
            </w:pPr>
          </w:p>
        </w:tc>
      </w:tr>
      <w:tr>
        <w:trPr>
          <w:trHeight w:val="264"/>
        </w:trPr>
        <w:tc>
          <w:tcPr>
            <w:tcW w:w="7780" w:type="dxa"/>
            <w:vAlign w:val="bottom"/>
          </w:tcPr>
          <w:p>
            <w:pPr>
              <w:spacing w:after="0"/>
              <w:rPr>
                <w:sz w:val="22"/>
                <w:szCs w:val="22"/>
                <w:color w:val="auto"/>
              </w:rPr>
            </w:pPr>
          </w:p>
        </w:tc>
        <w:tc>
          <w:tcPr>
            <w:tcW w:w="2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b w:val="1"/>
                <w:bCs w:val="1"/>
                <w:color w:val="auto"/>
              </w:rPr>
              <w:t>$</w:t>
            </w:r>
          </w:p>
        </w:tc>
        <w:tc>
          <w:tcPr>
            <w:tcW w:w="98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b w:val="1"/>
                <w:bCs w:val="1"/>
                <w:color w:val="auto"/>
              </w:rPr>
              <w:t>57,080</w:t>
            </w:r>
          </w:p>
        </w:tc>
        <w:tc>
          <w:tcPr>
            <w:tcW w:w="28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w:t>
            </w:r>
          </w:p>
        </w:tc>
        <w:tc>
          <w:tcPr>
            <w:tcW w:w="96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70,712</w:t>
            </w:r>
          </w:p>
        </w:tc>
        <w:tc>
          <w:tcPr>
            <w:tcW w:w="32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w:t>
            </w:r>
          </w:p>
        </w:tc>
        <w:tc>
          <w:tcPr>
            <w:tcW w:w="88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62,033</w:t>
            </w:r>
          </w:p>
        </w:tc>
        <w:tc>
          <w:tcPr>
            <w:tcW w:w="0" w:type="dxa"/>
            <w:vAlign w:val="bottom"/>
          </w:tcPr>
          <w:p>
            <w:pPr>
              <w:spacing w:after="0"/>
              <w:rPr>
                <w:sz w:val="1"/>
                <w:szCs w:val="1"/>
                <w:color w:val="auto"/>
              </w:rPr>
            </w:pPr>
          </w:p>
        </w:tc>
      </w:tr>
    </w:tbl>
    <w:p>
      <w:pPr>
        <w:spacing w:after="0" w:line="148" w:lineRule="exact"/>
        <w:rPr>
          <w:sz w:val="20"/>
          <w:szCs w:val="20"/>
          <w:color w:val="auto"/>
        </w:rPr>
      </w:pPr>
    </w:p>
    <w:p>
      <w:pPr>
        <w:spacing w:after="0"/>
        <w:rPr>
          <w:sz w:val="20"/>
          <w:szCs w:val="20"/>
          <w:color w:val="auto"/>
        </w:rPr>
      </w:pPr>
      <w:r>
        <w:rPr>
          <w:rFonts w:ascii="Arial" w:cs="Arial" w:eastAsia="Arial" w:hAnsi="Arial"/>
          <w:sz w:val="18"/>
          <w:szCs w:val="18"/>
          <w:color w:val="auto"/>
        </w:rPr>
        <w:t>Asset information for the Company’s business segments is as follows:</w:t>
      </w:r>
    </w:p>
    <w:p>
      <w:pPr>
        <w:spacing w:after="0" w:line="145"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902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2180" w:type="dxa"/>
            <w:vAlign w:val="bottom"/>
            <w:tcBorders>
              <w:bottom w:val="single" w:sz="8" w:color="auto"/>
            </w:tcBorders>
            <w:gridSpan w:val="3"/>
          </w:tcPr>
          <w:p>
            <w:pPr>
              <w:jc w:val="right"/>
              <w:ind w:right="460"/>
              <w:spacing w:after="0"/>
              <w:rPr>
                <w:sz w:val="20"/>
                <w:szCs w:val="20"/>
                <w:color w:val="auto"/>
              </w:rPr>
            </w:pPr>
            <w:r>
              <w:rPr>
                <w:rFonts w:ascii="Arial" w:cs="Arial" w:eastAsia="Arial" w:hAnsi="Arial"/>
                <w:sz w:val="14"/>
                <w:szCs w:val="14"/>
                <w:b w:val="1"/>
                <w:bCs w:val="1"/>
                <w:color w:val="auto"/>
              </w:rPr>
              <w:t>As of December 31</w:t>
            </w:r>
          </w:p>
        </w:tc>
      </w:tr>
      <w:tr>
        <w:trPr>
          <w:trHeight w:val="264"/>
        </w:trPr>
        <w:tc>
          <w:tcPr>
            <w:tcW w:w="902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(in thousands)</w:t>
            </w:r>
          </w:p>
        </w:tc>
        <w:tc>
          <w:tcPr>
            <w:tcW w:w="22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361"/>
              <w:spacing w:after="0"/>
              <w:rPr>
                <w:sz w:val="20"/>
                <w:szCs w:val="20"/>
                <w:color w:val="auto"/>
              </w:rPr>
            </w:pPr>
            <w:r>
              <w:rPr>
                <w:rFonts w:ascii="Arial" w:cs="Arial" w:eastAsia="Arial" w:hAnsi="Arial"/>
                <w:sz w:val="14"/>
                <w:szCs w:val="14"/>
                <w:b w:val="1"/>
                <w:bCs w:val="1"/>
                <w:color w:val="auto"/>
              </w:rPr>
              <w:t>2017</w:t>
            </w:r>
          </w:p>
        </w:tc>
        <w:tc>
          <w:tcPr>
            <w:tcW w:w="30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jc w:val="right"/>
              <w:ind w:right="320"/>
              <w:spacing w:after="0"/>
              <w:rPr>
                <w:sz w:val="20"/>
                <w:szCs w:val="20"/>
                <w:color w:val="auto"/>
              </w:rPr>
            </w:pPr>
            <w:r>
              <w:rPr>
                <w:rFonts w:ascii="Arial" w:cs="Arial" w:eastAsia="Arial" w:hAnsi="Arial"/>
                <w:sz w:val="14"/>
                <w:szCs w:val="14"/>
                <w:color w:val="auto"/>
              </w:rPr>
              <w:t>2016</w:t>
            </w:r>
          </w:p>
        </w:tc>
      </w:tr>
      <w:tr>
        <w:trPr>
          <w:trHeight w:val="223"/>
        </w:trPr>
        <w:tc>
          <w:tcPr>
            <w:tcW w:w="9020" w:type="dxa"/>
            <w:vAlign w:val="bottom"/>
          </w:tcPr>
          <w:p>
            <w:pPr>
              <w:ind w:left="40"/>
              <w:spacing w:after="0"/>
              <w:rPr>
                <w:sz w:val="20"/>
                <w:szCs w:val="20"/>
                <w:color w:val="auto"/>
              </w:rPr>
            </w:pPr>
            <w:r>
              <w:rPr>
                <w:rFonts w:ascii="Arial" w:cs="Arial" w:eastAsia="Arial" w:hAnsi="Arial"/>
                <w:sz w:val="16"/>
                <w:szCs w:val="16"/>
                <w:b w:val="1"/>
                <w:bCs w:val="1"/>
                <w:color w:val="auto"/>
              </w:rPr>
              <w:t>Identifiable Assets</w:t>
            </w:r>
          </w:p>
        </w:tc>
        <w:tc>
          <w:tcPr>
            <w:tcW w:w="2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20" w:type="dxa"/>
            <w:vAlign w:val="bottom"/>
          </w:tcPr>
          <w:p>
            <w:pPr>
              <w:spacing w:after="0"/>
              <w:rPr>
                <w:sz w:val="19"/>
                <w:szCs w:val="19"/>
                <w:color w:val="auto"/>
              </w:rPr>
            </w:pPr>
          </w:p>
        </w:tc>
      </w:tr>
      <w:tr>
        <w:trPr>
          <w:trHeight w:val="297"/>
        </w:trPr>
        <w:tc>
          <w:tcPr>
            <w:tcW w:w="9020" w:type="dxa"/>
            <w:vAlign w:val="bottom"/>
          </w:tcPr>
          <w:p>
            <w:pPr>
              <w:ind w:left="280"/>
              <w:spacing w:after="0"/>
              <w:rPr>
                <w:sz w:val="20"/>
                <w:szCs w:val="20"/>
                <w:color w:val="auto"/>
              </w:rPr>
            </w:pPr>
            <w:r>
              <w:rPr>
                <w:rFonts w:ascii="Arial" w:cs="Arial" w:eastAsia="Arial" w:hAnsi="Arial"/>
                <w:sz w:val="16"/>
                <w:szCs w:val="16"/>
                <w:color w:val="auto"/>
              </w:rPr>
              <w:t>Education</w:t>
            </w:r>
          </w:p>
        </w:tc>
        <w:tc>
          <w:tcPr>
            <w:tcW w:w="220" w:type="dxa"/>
            <w:vAlign w:val="bottom"/>
          </w:tcPr>
          <w:p>
            <w:pPr>
              <w:jc w:val="right"/>
              <w:ind w:right="19"/>
              <w:spacing w:after="0"/>
              <w:rPr>
                <w:sz w:val="20"/>
                <w:szCs w:val="20"/>
                <w:color w:val="auto"/>
              </w:rPr>
            </w:pPr>
            <w:r>
              <w:rPr>
                <w:rFonts w:ascii="Arial" w:cs="Arial" w:eastAsia="Arial" w:hAnsi="Arial"/>
                <w:sz w:val="16"/>
                <w:szCs w:val="16"/>
                <w:b w:val="1"/>
                <w:bCs w:val="1"/>
                <w:color w:val="auto"/>
              </w:rPr>
              <w:t>$</w:t>
            </w:r>
          </w:p>
        </w:tc>
        <w:tc>
          <w:tcPr>
            <w:tcW w:w="960" w:type="dxa"/>
            <w:vAlign w:val="bottom"/>
          </w:tcPr>
          <w:p>
            <w:pPr>
              <w:jc w:val="right"/>
              <w:ind w:right="61"/>
              <w:spacing w:after="0"/>
              <w:rPr>
                <w:sz w:val="20"/>
                <w:szCs w:val="20"/>
                <w:color w:val="auto"/>
              </w:rPr>
            </w:pPr>
            <w:r>
              <w:rPr>
                <w:rFonts w:ascii="Arial" w:cs="Arial" w:eastAsia="Arial" w:hAnsi="Arial"/>
                <w:sz w:val="16"/>
                <w:szCs w:val="16"/>
                <w:b w:val="1"/>
                <w:bCs w:val="1"/>
                <w:color w:val="auto"/>
              </w:rPr>
              <w:t>1,592,097</w:t>
            </w:r>
          </w:p>
        </w:tc>
        <w:tc>
          <w:tcPr>
            <w:tcW w:w="30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920" w:type="dxa"/>
            <w:vAlign w:val="bottom"/>
          </w:tcPr>
          <w:p>
            <w:pPr>
              <w:jc w:val="right"/>
              <w:ind w:right="20"/>
              <w:spacing w:after="0"/>
              <w:rPr>
                <w:sz w:val="20"/>
                <w:szCs w:val="20"/>
                <w:color w:val="auto"/>
              </w:rPr>
            </w:pPr>
            <w:r>
              <w:rPr>
                <w:rFonts w:ascii="Arial" w:cs="Arial" w:eastAsia="Arial" w:hAnsi="Arial"/>
                <w:sz w:val="16"/>
                <w:szCs w:val="16"/>
                <w:color w:val="auto"/>
              </w:rPr>
              <w:t>1,479,267</w:t>
            </w:r>
          </w:p>
        </w:tc>
      </w:tr>
      <w:tr>
        <w:trPr>
          <w:trHeight w:val="270"/>
        </w:trPr>
        <w:tc>
          <w:tcPr>
            <w:tcW w:w="9020" w:type="dxa"/>
            <w:vAlign w:val="bottom"/>
          </w:tcPr>
          <w:p>
            <w:pPr>
              <w:ind w:left="280"/>
              <w:spacing w:after="0"/>
              <w:rPr>
                <w:sz w:val="20"/>
                <w:szCs w:val="20"/>
                <w:color w:val="auto"/>
              </w:rPr>
            </w:pPr>
            <w:r>
              <w:rPr>
                <w:rFonts w:ascii="Arial" w:cs="Arial" w:eastAsia="Arial" w:hAnsi="Arial"/>
                <w:sz w:val="16"/>
                <w:szCs w:val="16"/>
                <w:color w:val="auto"/>
              </w:rPr>
              <w:t>Television broadcasting</w:t>
            </w:r>
          </w:p>
        </w:tc>
        <w:tc>
          <w:tcPr>
            <w:tcW w:w="220" w:type="dxa"/>
            <w:vAlign w:val="bottom"/>
          </w:tcPr>
          <w:p>
            <w:pPr>
              <w:spacing w:after="0"/>
              <w:rPr>
                <w:sz w:val="23"/>
                <w:szCs w:val="23"/>
                <w:color w:val="auto"/>
              </w:rPr>
            </w:pPr>
          </w:p>
        </w:tc>
        <w:tc>
          <w:tcPr>
            <w:tcW w:w="960" w:type="dxa"/>
            <w:vAlign w:val="bottom"/>
          </w:tcPr>
          <w:p>
            <w:pPr>
              <w:jc w:val="right"/>
              <w:ind w:right="61"/>
              <w:spacing w:after="0"/>
              <w:rPr>
                <w:sz w:val="20"/>
                <w:szCs w:val="20"/>
                <w:color w:val="auto"/>
              </w:rPr>
            </w:pPr>
            <w:r>
              <w:rPr>
                <w:rFonts w:ascii="Arial" w:cs="Arial" w:eastAsia="Arial" w:hAnsi="Arial"/>
                <w:sz w:val="16"/>
                <w:szCs w:val="16"/>
                <w:b w:val="1"/>
                <w:bCs w:val="1"/>
                <w:color w:val="auto"/>
              </w:rPr>
              <w:t>455,884</w:t>
            </w:r>
          </w:p>
        </w:tc>
        <w:tc>
          <w:tcPr>
            <w:tcW w:w="300" w:type="dxa"/>
            <w:vAlign w:val="bottom"/>
          </w:tcPr>
          <w:p>
            <w:pPr>
              <w:spacing w:after="0"/>
              <w:rPr>
                <w:sz w:val="23"/>
                <w:szCs w:val="23"/>
                <w:color w:val="auto"/>
              </w:rPr>
            </w:pPr>
          </w:p>
        </w:tc>
        <w:tc>
          <w:tcPr>
            <w:tcW w:w="920" w:type="dxa"/>
            <w:vAlign w:val="bottom"/>
          </w:tcPr>
          <w:p>
            <w:pPr>
              <w:jc w:val="right"/>
              <w:ind w:right="20"/>
              <w:spacing w:after="0"/>
              <w:rPr>
                <w:sz w:val="20"/>
                <w:szCs w:val="20"/>
                <w:color w:val="auto"/>
              </w:rPr>
            </w:pPr>
            <w:r>
              <w:rPr>
                <w:rFonts w:ascii="Arial" w:cs="Arial" w:eastAsia="Arial" w:hAnsi="Arial"/>
                <w:sz w:val="16"/>
                <w:szCs w:val="16"/>
                <w:color w:val="auto"/>
              </w:rPr>
              <w:t>336,631</w:t>
            </w:r>
          </w:p>
        </w:tc>
      </w:tr>
      <w:tr>
        <w:trPr>
          <w:trHeight w:val="270"/>
        </w:trPr>
        <w:tc>
          <w:tcPr>
            <w:tcW w:w="9020" w:type="dxa"/>
            <w:vAlign w:val="bottom"/>
          </w:tcPr>
          <w:p>
            <w:pPr>
              <w:ind w:left="280"/>
              <w:spacing w:after="0"/>
              <w:rPr>
                <w:sz w:val="20"/>
                <w:szCs w:val="20"/>
                <w:color w:val="auto"/>
              </w:rPr>
            </w:pPr>
            <w:r>
              <w:rPr>
                <w:rFonts w:ascii="Arial" w:cs="Arial" w:eastAsia="Arial" w:hAnsi="Arial"/>
                <w:sz w:val="16"/>
                <w:szCs w:val="16"/>
                <w:color w:val="auto"/>
              </w:rPr>
              <w:t>Other businesses</w:t>
            </w:r>
          </w:p>
        </w:tc>
        <w:tc>
          <w:tcPr>
            <w:tcW w:w="220" w:type="dxa"/>
            <w:vAlign w:val="bottom"/>
          </w:tcPr>
          <w:p>
            <w:pPr>
              <w:spacing w:after="0"/>
              <w:rPr>
                <w:sz w:val="23"/>
                <w:szCs w:val="23"/>
                <w:color w:val="auto"/>
              </w:rPr>
            </w:pPr>
          </w:p>
        </w:tc>
        <w:tc>
          <w:tcPr>
            <w:tcW w:w="960" w:type="dxa"/>
            <w:vAlign w:val="bottom"/>
          </w:tcPr>
          <w:p>
            <w:pPr>
              <w:jc w:val="right"/>
              <w:ind w:right="61"/>
              <w:spacing w:after="0"/>
              <w:rPr>
                <w:sz w:val="20"/>
                <w:szCs w:val="20"/>
                <w:color w:val="auto"/>
              </w:rPr>
            </w:pPr>
            <w:r>
              <w:rPr>
                <w:rFonts w:ascii="Arial" w:cs="Arial" w:eastAsia="Arial" w:hAnsi="Arial"/>
                <w:sz w:val="16"/>
                <w:szCs w:val="16"/>
                <w:b w:val="1"/>
                <w:bCs w:val="1"/>
                <w:color w:val="auto"/>
              </w:rPr>
              <w:t>985,255</w:t>
            </w:r>
          </w:p>
        </w:tc>
        <w:tc>
          <w:tcPr>
            <w:tcW w:w="300" w:type="dxa"/>
            <w:vAlign w:val="bottom"/>
          </w:tcPr>
          <w:p>
            <w:pPr>
              <w:spacing w:after="0"/>
              <w:rPr>
                <w:sz w:val="23"/>
                <w:szCs w:val="23"/>
                <w:color w:val="auto"/>
              </w:rPr>
            </w:pPr>
          </w:p>
        </w:tc>
        <w:tc>
          <w:tcPr>
            <w:tcW w:w="920" w:type="dxa"/>
            <w:vAlign w:val="bottom"/>
          </w:tcPr>
          <w:p>
            <w:pPr>
              <w:jc w:val="right"/>
              <w:ind w:right="20"/>
              <w:spacing w:after="0"/>
              <w:rPr>
                <w:sz w:val="20"/>
                <w:szCs w:val="20"/>
                <w:color w:val="auto"/>
              </w:rPr>
            </w:pPr>
            <w:r>
              <w:rPr>
                <w:rFonts w:ascii="Arial" w:cs="Arial" w:eastAsia="Arial" w:hAnsi="Arial"/>
                <w:sz w:val="16"/>
                <w:szCs w:val="16"/>
                <w:color w:val="auto"/>
              </w:rPr>
              <w:t>796,935</w:t>
            </w:r>
          </w:p>
        </w:tc>
      </w:tr>
      <w:tr>
        <w:trPr>
          <w:trHeight w:val="283"/>
        </w:trPr>
        <w:tc>
          <w:tcPr>
            <w:tcW w:w="9020" w:type="dxa"/>
            <w:vAlign w:val="bottom"/>
          </w:tcPr>
          <w:p>
            <w:pPr>
              <w:ind w:left="280"/>
              <w:spacing w:after="0"/>
              <w:rPr>
                <w:sz w:val="20"/>
                <w:szCs w:val="20"/>
                <w:color w:val="auto"/>
              </w:rPr>
            </w:pPr>
            <w:r>
              <w:rPr>
                <w:rFonts w:ascii="Arial" w:cs="Arial" w:eastAsia="Arial" w:hAnsi="Arial"/>
                <w:sz w:val="16"/>
                <w:szCs w:val="16"/>
                <w:color w:val="auto"/>
              </w:rPr>
              <w:t>Corporate office</w:t>
            </w:r>
          </w:p>
        </w:tc>
        <w:tc>
          <w:tcPr>
            <w:tcW w:w="22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jc w:val="right"/>
              <w:ind w:right="61"/>
              <w:spacing w:after="0"/>
              <w:rPr>
                <w:sz w:val="20"/>
                <w:szCs w:val="20"/>
                <w:color w:val="auto"/>
              </w:rPr>
            </w:pPr>
            <w:r>
              <w:rPr>
                <w:rFonts w:ascii="Arial" w:cs="Arial" w:eastAsia="Arial" w:hAnsi="Arial"/>
                <w:sz w:val="16"/>
                <w:szCs w:val="16"/>
                <w:b w:val="1"/>
                <w:bCs w:val="1"/>
                <w:color w:val="auto"/>
              </w:rPr>
              <w:t>182,905</w:t>
            </w:r>
          </w:p>
        </w:tc>
        <w:tc>
          <w:tcPr>
            <w:tcW w:w="30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455,209</w:t>
            </w:r>
          </w:p>
        </w:tc>
      </w:tr>
      <w:tr>
        <w:trPr>
          <w:trHeight w:val="264"/>
        </w:trPr>
        <w:tc>
          <w:tcPr>
            <w:tcW w:w="9020" w:type="dxa"/>
            <w:vAlign w:val="bottom"/>
          </w:tcPr>
          <w:p>
            <w:pPr>
              <w:spacing w:after="0"/>
              <w:rPr>
                <w:sz w:val="22"/>
                <w:szCs w:val="22"/>
                <w:color w:val="auto"/>
              </w:rPr>
            </w:pPr>
          </w:p>
        </w:tc>
        <w:tc>
          <w:tcPr>
            <w:tcW w:w="2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b w:val="1"/>
                <w:bCs w:val="1"/>
                <w:color w:val="auto"/>
              </w:rPr>
              <w:t>$</w:t>
            </w:r>
          </w:p>
        </w:tc>
        <w:tc>
          <w:tcPr>
            <w:tcW w:w="960" w:type="dxa"/>
            <w:vAlign w:val="bottom"/>
            <w:tcBorders>
              <w:bottom w:val="single" w:sz="8" w:color="auto"/>
            </w:tcBorders>
          </w:tcPr>
          <w:p>
            <w:pPr>
              <w:jc w:val="right"/>
              <w:ind w:right="61"/>
              <w:spacing w:after="0"/>
              <w:rPr>
                <w:sz w:val="20"/>
                <w:szCs w:val="20"/>
                <w:color w:val="auto"/>
              </w:rPr>
            </w:pPr>
            <w:r>
              <w:rPr>
                <w:rFonts w:ascii="Arial" w:cs="Arial" w:eastAsia="Arial" w:hAnsi="Arial"/>
                <w:sz w:val="16"/>
                <w:szCs w:val="16"/>
                <w:b w:val="1"/>
                <w:bCs w:val="1"/>
                <w:color w:val="auto"/>
              </w:rPr>
              <w:t>3,216,141</w:t>
            </w:r>
          </w:p>
        </w:tc>
        <w:tc>
          <w:tcPr>
            <w:tcW w:w="3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w:t>
            </w:r>
          </w:p>
        </w:tc>
        <w:tc>
          <w:tcPr>
            <w:tcW w:w="92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3,068,042</w:t>
            </w:r>
          </w:p>
        </w:tc>
      </w:tr>
      <w:tr>
        <w:trPr>
          <w:trHeight w:val="251"/>
        </w:trPr>
        <w:tc>
          <w:tcPr>
            <w:tcW w:w="9020" w:type="dxa"/>
            <w:vAlign w:val="bottom"/>
          </w:tcPr>
          <w:p>
            <w:pPr>
              <w:ind w:left="40"/>
              <w:spacing w:after="0"/>
              <w:rPr>
                <w:sz w:val="20"/>
                <w:szCs w:val="20"/>
                <w:color w:val="auto"/>
              </w:rPr>
            </w:pPr>
            <w:r>
              <w:rPr>
                <w:rFonts w:ascii="Arial" w:cs="Arial" w:eastAsia="Arial" w:hAnsi="Arial"/>
                <w:sz w:val="16"/>
                <w:szCs w:val="16"/>
                <w:b w:val="1"/>
                <w:bCs w:val="1"/>
                <w:color w:val="auto"/>
              </w:rPr>
              <w:t>Investments in Marketable Equity Securities</w:t>
            </w:r>
          </w:p>
        </w:tc>
        <w:tc>
          <w:tcPr>
            <w:tcW w:w="220" w:type="dxa"/>
            <w:vAlign w:val="bottom"/>
          </w:tcPr>
          <w:p>
            <w:pPr>
              <w:spacing w:after="0"/>
              <w:rPr>
                <w:sz w:val="21"/>
                <w:szCs w:val="21"/>
                <w:color w:val="auto"/>
              </w:rPr>
            </w:pPr>
          </w:p>
        </w:tc>
        <w:tc>
          <w:tcPr>
            <w:tcW w:w="960" w:type="dxa"/>
            <w:vAlign w:val="bottom"/>
          </w:tcPr>
          <w:p>
            <w:pPr>
              <w:jc w:val="right"/>
              <w:ind w:right="61"/>
              <w:spacing w:after="0"/>
              <w:rPr>
                <w:sz w:val="20"/>
                <w:szCs w:val="20"/>
                <w:color w:val="auto"/>
              </w:rPr>
            </w:pPr>
            <w:r>
              <w:rPr>
                <w:rFonts w:ascii="Arial" w:cs="Arial" w:eastAsia="Arial" w:hAnsi="Arial"/>
                <w:sz w:val="16"/>
                <w:szCs w:val="16"/>
                <w:b w:val="1"/>
                <w:bCs w:val="1"/>
                <w:color w:val="auto"/>
              </w:rPr>
              <w:t>536,315</w:t>
            </w:r>
          </w:p>
        </w:tc>
        <w:tc>
          <w:tcPr>
            <w:tcW w:w="300" w:type="dxa"/>
            <w:vAlign w:val="bottom"/>
          </w:tcPr>
          <w:p>
            <w:pPr>
              <w:spacing w:after="0"/>
              <w:rPr>
                <w:sz w:val="21"/>
                <w:szCs w:val="21"/>
                <w:color w:val="auto"/>
              </w:rPr>
            </w:pPr>
          </w:p>
        </w:tc>
        <w:tc>
          <w:tcPr>
            <w:tcW w:w="920" w:type="dxa"/>
            <w:vAlign w:val="bottom"/>
          </w:tcPr>
          <w:p>
            <w:pPr>
              <w:jc w:val="right"/>
              <w:ind w:right="20"/>
              <w:spacing w:after="0"/>
              <w:rPr>
                <w:sz w:val="20"/>
                <w:szCs w:val="20"/>
                <w:color w:val="auto"/>
              </w:rPr>
            </w:pPr>
            <w:r>
              <w:rPr>
                <w:rFonts w:ascii="Arial" w:cs="Arial" w:eastAsia="Arial" w:hAnsi="Arial"/>
                <w:sz w:val="16"/>
                <w:szCs w:val="16"/>
                <w:color w:val="auto"/>
              </w:rPr>
              <w:t>424,229</w:t>
            </w:r>
          </w:p>
        </w:tc>
      </w:tr>
      <w:tr>
        <w:trPr>
          <w:trHeight w:val="270"/>
        </w:trPr>
        <w:tc>
          <w:tcPr>
            <w:tcW w:w="9020" w:type="dxa"/>
            <w:vAlign w:val="bottom"/>
          </w:tcPr>
          <w:p>
            <w:pPr>
              <w:ind w:left="40"/>
              <w:spacing w:after="0"/>
              <w:rPr>
                <w:sz w:val="20"/>
                <w:szCs w:val="20"/>
                <w:color w:val="auto"/>
              </w:rPr>
            </w:pPr>
            <w:r>
              <w:rPr>
                <w:rFonts w:ascii="Arial" w:cs="Arial" w:eastAsia="Arial" w:hAnsi="Arial"/>
                <w:sz w:val="16"/>
                <w:szCs w:val="16"/>
                <w:b w:val="1"/>
                <w:bCs w:val="1"/>
                <w:color w:val="auto"/>
              </w:rPr>
              <w:t>Investments in Affiliates</w:t>
            </w:r>
          </w:p>
        </w:tc>
        <w:tc>
          <w:tcPr>
            <w:tcW w:w="220" w:type="dxa"/>
            <w:vAlign w:val="bottom"/>
          </w:tcPr>
          <w:p>
            <w:pPr>
              <w:spacing w:after="0"/>
              <w:rPr>
                <w:sz w:val="23"/>
                <w:szCs w:val="23"/>
                <w:color w:val="auto"/>
              </w:rPr>
            </w:pPr>
          </w:p>
        </w:tc>
        <w:tc>
          <w:tcPr>
            <w:tcW w:w="960" w:type="dxa"/>
            <w:vAlign w:val="bottom"/>
          </w:tcPr>
          <w:p>
            <w:pPr>
              <w:jc w:val="right"/>
              <w:ind w:right="61"/>
              <w:spacing w:after="0"/>
              <w:rPr>
                <w:sz w:val="20"/>
                <w:szCs w:val="20"/>
                <w:color w:val="auto"/>
              </w:rPr>
            </w:pPr>
            <w:r>
              <w:rPr>
                <w:rFonts w:ascii="Arial" w:cs="Arial" w:eastAsia="Arial" w:hAnsi="Arial"/>
                <w:sz w:val="16"/>
                <w:szCs w:val="16"/>
                <w:b w:val="1"/>
                <w:bCs w:val="1"/>
                <w:color w:val="auto"/>
              </w:rPr>
              <w:t>128,590</w:t>
            </w:r>
          </w:p>
        </w:tc>
        <w:tc>
          <w:tcPr>
            <w:tcW w:w="300" w:type="dxa"/>
            <w:vAlign w:val="bottom"/>
          </w:tcPr>
          <w:p>
            <w:pPr>
              <w:spacing w:after="0"/>
              <w:rPr>
                <w:sz w:val="23"/>
                <w:szCs w:val="23"/>
                <w:color w:val="auto"/>
              </w:rPr>
            </w:pPr>
          </w:p>
        </w:tc>
        <w:tc>
          <w:tcPr>
            <w:tcW w:w="920" w:type="dxa"/>
            <w:vAlign w:val="bottom"/>
          </w:tcPr>
          <w:p>
            <w:pPr>
              <w:jc w:val="right"/>
              <w:ind w:right="20"/>
              <w:spacing w:after="0"/>
              <w:rPr>
                <w:sz w:val="20"/>
                <w:szCs w:val="20"/>
                <w:color w:val="auto"/>
              </w:rPr>
            </w:pPr>
            <w:r>
              <w:rPr>
                <w:rFonts w:ascii="Arial" w:cs="Arial" w:eastAsia="Arial" w:hAnsi="Arial"/>
                <w:sz w:val="16"/>
                <w:szCs w:val="16"/>
                <w:color w:val="auto"/>
              </w:rPr>
              <w:t>58,806</w:t>
            </w:r>
          </w:p>
        </w:tc>
      </w:tr>
      <w:tr>
        <w:trPr>
          <w:trHeight w:val="283"/>
        </w:trPr>
        <w:tc>
          <w:tcPr>
            <w:tcW w:w="9020" w:type="dxa"/>
            <w:vAlign w:val="bottom"/>
          </w:tcPr>
          <w:p>
            <w:pPr>
              <w:ind w:left="40"/>
              <w:spacing w:after="0"/>
              <w:rPr>
                <w:sz w:val="20"/>
                <w:szCs w:val="20"/>
                <w:color w:val="auto"/>
              </w:rPr>
            </w:pPr>
            <w:r>
              <w:rPr>
                <w:rFonts w:ascii="Arial" w:cs="Arial" w:eastAsia="Arial" w:hAnsi="Arial"/>
                <w:sz w:val="16"/>
                <w:szCs w:val="16"/>
                <w:b w:val="1"/>
                <w:bCs w:val="1"/>
                <w:color w:val="auto"/>
              </w:rPr>
              <w:t>Prepaid Pension Cost</w:t>
            </w:r>
          </w:p>
        </w:tc>
        <w:tc>
          <w:tcPr>
            <w:tcW w:w="22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jc w:val="right"/>
              <w:ind w:right="61"/>
              <w:spacing w:after="0"/>
              <w:rPr>
                <w:sz w:val="20"/>
                <w:szCs w:val="20"/>
                <w:color w:val="auto"/>
              </w:rPr>
            </w:pPr>
            <w:r>
              <w:rPr>
                <w:rFonts w:ascii="Arial" w:cs="Arial" w:eastAsia="Arial" w:hAnsi="Arial"/>
                <w:sz w:val="16"/>
                <w:szCs w:val="16"/>
                <w:b w:val="1"/>
                <w:bCs w:val="1"/>
                <w:color w:val="auto"/>
              </w:rPr>
              <w:t>1,056,777</w:t>
            </w:r>
          </w:p>
        </w:tc>
        <w:tc>
          <w:tcPr>
            <w:tcW w:w="30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881,593</w:t>
            </w:r>
          </w:p>
        </w:tc>
      </w:tr>
    </w:tbl>
    <w:p>
      <w:pPr>
        <w:sectPr>
          <w:pgSz w:w="11900" w:h="16884" w:orient="portrait"/>
          <w:cols w:equalWidth="0" w:num="1">
            <w:col w:w="11420"/>
          </w:cols>
          <w:pgMar w:left="240" w:top="746" w:right="239" w:bottom="0" w:gutter="0" w:footer="0" w:header="0"/>
        </w:sectPr>
      </w:pPr>
    </w:p>
    <w:bookmarkStart w:id="123" w:name="page124"/>
    <w:bookmarkEnd w:id="123"/>
    <w:p>
      <w:pPr>
        <w:spacing w:after="0"/>
        <w:tabs>
          <w:tab w:leader="none" w:pos="9000" w:val="left"/>
          <w:tab w:leader="none" w:pos="9280" w:val="left"/>
          <w:tab w:leader="none" w:pos="10260" w:val="left"/>
          <w:tab w:leader="none" w:pos="10540" w:val="left"/>
        </w:tabs>
        <w:rPr>
          <w:sz w:val="20"/>
          <w:szCs w:val="20"/>
          <w:color w:val="auto"/>
        </w:rPr>
      </w:pPr>
      <w:r>
        <w:rPr>
          <w:rFonts w:ascii="Arial" w:cs="Arial" w:eastAsia="Arial" w:hAnsi="Arial"/>
          <w:sz w:val="16"/>
          <w:szCs w:val="16"/>
          <w:b w:val="1"/>
          <w:bCs w:val="1"/>
          <w:color w:val="auto"/>
        </w:rPr>
        <w:t>Total Assets</w:t>
      </w:r>
      <w:r>
        <w:rPr>
          <w:sz w:val="20"/>
          <w:szCs w:val="20"/>
          <w:color w:val="auto"/>
        </w:rPr>
        <w:tab/>
      </w:r>
      <w:r>
        <w:rPr>
          <w:rFonts w:ascii="Arial" w:cs="Arial" w:eastAsia="Arial" w:hAnsi="Arial"/>
          <w:sz w:val="16"/>
          <w:szCs w:val="16"/>
          <w:b w:val="1"/>
          <w:bCs w:val="1"/>
          <w:color w:val="auto"/>
        </w:rPr>
        <w:t>$</w:t>
        <w:tab/>
        <w:t>4,937,823</w:t>
      </w:r>
      <w:r>
        <w:rPr>
          <w:sz w:val="20"/>
          <w:szCs w:val="20"/>
          <w:color w:val="auto"/>
        </w:rPr>
        <w:tab/>
      </w:r>
      <w:r>
        <w:rPr>
          <w:rFonts w:ascii="Arial" w:cs="Arial" w:eastAsia="Arial" w:hAnsi="Arial"/>
          <w:sz w:val="16"/>
          <w:szCs w:val="16"/>
          <w:color w:val="auto"/>
        </w:rPr>
        <w:t>$</w:t>
        <w:tab/>
        <w:t>4,432,670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5708650</wp:posOffset>
            </wp:positionH>
            <wp:positionV relativeFrom="paragraph">
              <wp:posOffset>48895</wp:posOffset>
            </wp:positionV>
            <wp:extent cx="1517650" cy="88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58">
                      <a:extLst>
                        <a:ext uri="{28A0092B-C50C-407E-A947-70E740481C1C}"/>
                      </a:extLst>
                    </a:blip>
                    <a:srcRect/>
                    <a:stretch>
                      <a:fillRect/>
                    </a:stretch>
                  </pic:blipFill>
                  <pic:spPr bwMode="auto">
                    <a:xfrm>
                      <a:off x="0" y="0"/>
                      <a:ext cx="1517650" cy="8890"/>
                    </a:xfrm>
                    <a:prstGeom prst="rect">
                      <a:avLst/>
                    </a:prstGeom>
                    <a:noFill/>
                  </pic:spPr>
                </pic:pic>
              </a:graphicData>
            </a:graphic>
          </wp:anchor>
        </w:drawing>
        <w:drawing>
          <wp:anchor simplePos="0" relativeHeight="251657728" behindDoc="1" locked="0" layoutInCell="0" allowOverlap="1">
            <wp:simplePos x="0" y="0"/>
            <wp:positionH relativeFrom="column">
              <wp:posOffset>5708650</wp:posOffset>
            </wp:positionH>
            <wp:positionV relativeFrom="paragraph">
              <wp:posOffset>66040</wp:posOffset>
            </wp:positionV>
            <wp:extent cx="1517650" cy="88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59">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ectPr>
          <w:pgSz w:w="11900" w:h="16838" w:orient="portrait"/>
          <w:cols w:equalWidth="0" w:num="1">
            <w:col w:w="11280"/>
          </w:cols>
          <w:pgMar w:left="280" w:top="12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ind w:right="-59"/>
        <w:spacing w:after="0"/>
        <w:rPr>
          <w:sz w:val="20"/>
          <w:szCs w:val="20"/>
          <w:color w:val="auto"/>
        </w:rPr>
      </w:pPr>
      <w:r>
        <w:rPr>
          <w:rFonts w:ascii="Arial" w:cs="Arial" w:eastAsia="Arial" w:hAnsi="Arial"/>
          <w:sz w:val="17"/>
          <w:szCs w:val="17"/>
          <w:color w:val="auto"/>
        </w:rPr>
        <w:t>119</w:t>
      </w:r>
    </w:p>
    <w:p>
      <w:pPr>
        <w:sectPr>
          <w:pgSz w:w="11900" w:h="16838" w:orient="portrait"/>
          <w:cols w:equalWidth="0" w:num="1">
            <w:col w:w="11280"/>
          </w:cols>
          <w:pgMar w:left="280" w:top="121" w:right="339" w:bottom="1440" w:gutter="0" w:footer="0" w:header="0"/>
          <w:type w:val="continuous"/>
        </w:sectPr>
      </w:pPr>
    </w:p>
    <w:bookmarkStart w:id="124" w:name="page125"/>
    <w:bookmarkEnd w:id="124"/>
    <w:p>
      <w:pPr>
        <w:spacing w:after="0"/>
        <w:rPr>
          <w:sz w:val="20"/>
          <w:szCs w:val="20"/>
          <w:color w:val="auto"/>
        </w:rPr>
      </w:pPr>
      <w:r>
        <w:rPr>
          <w:rFonts w:ascii="Arial" w:cs="Arial" w:eastAsia="Arial" w:hAnsi="Arial"/>
          <w:sz w:val="18"/>
          <w:szCs w:val="18"/>
          <w:color w:val="auto"/>
        </w:rPr>
        <w:t>The Company’s education division comprises the following operating segments:</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778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2580" w:type="dxa"/>
            <w:vAlign w:val="bottom"/>
            <w:tcBorders>
              <w:bottom w:val="single" w:sz="8" w:color="auto"/>
            </w:tcBorders>
            <w:gridSpan w:val="4"/>
          </w:tcPr>
          <w:p>
            <w:pPr>
              <w:jc w:val="right"/>
              <w:spacing w:after="0"/>
              <w:rPr>
                <w:sz w:val="20"/>
                <w:szCs w:val="20"/>
                <w:color w:val="auto"/>
              </w:rPr>
            </w:pPr>
            <w:r>
              <w:rPr>
                <w:rFonts w:ascii="Arial" w:cs="Arial" w:eastAsia="Arial" w:hAnsi="Arial"/>
                <w:sz w:val="16"/>
                <w:szCs w:val="16"/>
                <w:b w:val="1"/>
                <w:bCs w:val="1"/>
                <w:color w:val="auto"/>
              </w:rPr>
              <w:t>Year Ended December 31</w:t>
            </w:r>
          </w:p>
        </w:tc>
        <w:tc>
          <w:tcPr>
            <w:tcW w:w="840" w:type="dxa"/>
            <w:vAlign w:val="bottom"/>
            <w:tcBorders>
              <w:bottom w:val="single" w:sz="8" w:color="auto"/>
            </w:tcBorders>
          </w:tcPr>
          <w:p>
            <w:pPr>
              <w:spacing w:after="0"/>
              <w:rPr>
                <w:sz w:val="19"/>
                <w:szCs w:val="19"/>
                <w:color w:val="auto"/>
              </w:rPr>
            </w:pPr>
          </w:p>
        </w:tc>
      </w:tr>
      <w:tr>
        <w:trPr>
          <w:trHeight w:val="264"/>
        </w:trPr>
        <w:tc>
          <w:tcPr>
            <w:tcW w:w="7780" w:type="dxa"/>
            <w:vAlign w:val="bottom"/>
            <w:tcBorders>
              <w:bottom w:val="single" w:sz="8" w:color="auto"/>
            </w:tcBorders>
          </w:tcPr>
          <w:p>
            <w:pPr>
              <w:ind w:left="40"/>
              <w:spacing w:after="0"/>
              <w:rPr>
                <w:sz w:val="20"/>
                <w:szCs w:val="20"/>
                <w:color w:val="auto"/>
              </w:rPr>
            </w:pPr>
            <w:r>
              <w:rPr>
                <w:rFonts w:ascii="Arial" w:cs="Arial" w:eastAsia="Arial" w:hAnsi="Arial"/>
                <w:sz w:val="16"/>
                <w:szCs w:val="16"/>
                <w:color w:val="auto"/>
              </w:rPr>
              <w:t>(in thousands)</w:t>
            </w:r>
          </w:p>
        </w:tc>
        <w:tc>
          <w:tcPr>
            <w:tcW w:w="22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ind w:right="359"/>
              <w:spacing w:after="0"/>
              <w:rPr>
                <w:sz w:val="20"/>
                <w:szCs w:val="20"/>
                <w:color w:val="auto"/>
              </w:rPr>
            </w:pPr>
            <w:r>
              <w:rPr>
                <w:rFonts w:ascii="Arial" w:cs="Arial" w:eastAsia="Arial" w:hAnsi="Arial"/>
                <w:sz w:val="16"/>
                <w:szCs w:val="16"/>
                <w:b w:val="1"/>
                <w:bCs w:val="1"/>
                <w:color w:val="auto"/>
              </w:rPr>
              <w:t>2017</w:t>
            </w:r>
          </w:p>
        </w:tc>
        <w:tc>
          <w:tcPr>
            <w:tcW w:w="28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339"/>
              <w:spacing w:after="0"/>
              <w:rPr>
                <w:sz w:val="20"/>
                <w:szCs w:val="20"/>
                <w:color w:val="auto"/>
              </w:rPr>
            </w:pPr>
            <w:r>
              <w:rPr>
                <w:rFonts w:ascii="Arial" w:cs="Arial" w:eastAsia="Arial" w:hAnsi="Arial"/>
                <w:sz w:val="16"/>
                <w:szCs w:val="16"/>
                <w:color w:val="auto"/>
              </w:rPr>
              <w:t>2016</w:t>
            </w:r>
          </w:p>
        </w:tc>
        <w:tc>
          <w:tcPr>
            <w:tcW w:w="360" w:type="dxa"/>
            <w:vAlign w:val="bottom"/>
            <w:tcBorders>
              <w:bottom w:val="single" w:sz="8" w:color="auto"/>
            </w:tcBorders>
          </w:tcPr>
          <w:p>
            <w:pPr>
              <w:spacing w:after="0"/>
              <w:rPr>
                <w:sz w:val="22"/>
                <w:szCs w:val="22"/>
                <w:color w:val="auto"/>
              </w:rPr>
            </w:pPr>
          </w:p>
        </w:tc>
        <w:tc>
          <w:tcPr>
            <w:tcW w:w="840" w:type="dxa"/>
            <w:vAlign w:val="bottom"/>
            <w:tcBorders>
              <w:bottom w:val="single" w:sz="8" w:color="auto"/>
            </w:tcBorders>
          </w:tcPr>
          <w:p>
            <w:pPr>
              <w:jc w:val="right"/>
              <w:ind w:right="299"/>
              <w:spacing w:after="0"/>
              <w:rPr>
                <w:sz w:val="20"/>
                <w:szCs w:val="20"/>
                <w:color w:val="auto"/>
              </w:rPr>
            </w:pPr>
            <w:r>
              <w:rPr>
                <w:rFonts w:ascii="Arial" w:cs="Arial" w:eastAsia="Arial" w:hAnsi="Arial"/>
                <w:sz w:val="16"/>
                <w:szCs w:val="16"/>
                <w:color w:val="auto"/>
              </w:rPr>
              <w:t>2015</w:t>
            </w:r>
          </w:p>
        </w:tc>
      </w:tr>
      <w:tr>
        <w:trPr>
          <w:trHeight w:val="251"/>
        </w:trPr>
        <w:tc>
          <w:tcPr>
            <w:tcW w:w="7780" w:type="dxa"/>
            <w:vAlign w:val="bottom"/>
          </w:tcPr>
          <w:p>
            <w:pPr>
              <w:ind w:left="40"/>
              <w:spacing w:after="0"/>
              <w:rPr>
                <w:sz w:val="20"/>
                <w:szCs w:val="20"/>
                <w:color w:val="auto"/>
              </w:rPr>
            </w:pPr>
            <w:r>
              <w:rPr>
                <w:rFonts w:ascii="Arial" w:cs="Arial" w:eastAsia="Arial" w:hAnsi="Arial"/>
                <w:sz w:val="16"/>
                <w:szCs w:val="16"/>
                <w:b w:val="1"/>
                <w:bCs w:val="1"/>
                <w:color w:val="auto"/>
              </w:rPr>
              <w:t>Operating Revenues</w:t>
            </w:r>
          </w:p>
        </w:tc>
        <w:tc>
          <w:tcPr>
            <w:tcW w:w="22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840" w:type="dxa"/>
            <w:vAlign w:val="bottom"/>
          </w:tcPr>
          <w:p>
            <w:pPr>
              <w:spacing w:after="0"/>
              <w:rPr>
                <w:sz w:val="21"/>
                <w:szCs w:val="21"/>
                <w:color w:val="auto"/>
              </w:rPr>
            </w:pPr>
          </w:p>
        </w:tc>
      </w:tr>
      <w:tr>
        <w:trPr>
          <w:trHeight w:val="270"/>
        </w:trPr>
        <w:tc>
          <w:tcPr>
            <w:tcW w:w="7780" w:type="dxa"/>
            <w:vAlign w:val="bottom"/>
          </w:tcPr>
          <w:p>
            <w:pPr>
              <w:ind w:left="280"/>
              <w:spacing w:after="0"/>
              <w:rPr>
                <w:sz w:val="20"/>
                <w:szCs w:val="20"/>
                <w:color w:val="auto"/>
              </w:rPr>
            </w:pPr>
            <w:r>
              <w:rPr>
                <w:rFonts w:ascii="Arial" w:cs="Arial" w:eastAsia="Arial" w:hAnsi="Arial"/>
                <w:sz w:val="16"/>
                <w:szCs w:val="16"/>
                <w:color w:val="auto"/>
              </w:rPr>
              <w:t>Higher education</w:t>
            </w:r>
          </w:p>
        </w:tc>
        <w:tc>
          <w:tcPr>
            <w:tcW w:w="220" w:type="dxa"/>
            <w:vAlign w:val="bottom"/>
          </w:tcPr>
          <w:p>
            <w:pPr>
              <w:jc w:val="right"/>
              <w:ind w:right="19"/>
              <w:spacing w:after="0"/>
              <w:rPr>
                <w:sz w:val="20"/>
                <w:szCs w:val="20"/>
                <w:color w:val="auto"/>
              </w:rPr>
            </w:pPr>
            <w:r>
              <w:rPr>
                <w:rFonts w:ascii="Arial" w:cs="Arial" w:eastAsia="Arial" w:hAnsi="Arial"/>
                <w:sz w:val="16"/>
                <w:szCs w:val="16"/>
                <w:b w:val="1"/>
                <w:bCs w:val="1"/>
                <w:color w:val="auto"/>
              </w:rPr>
              <w:t>$</w:t>
            </w:r>
          </w:p>
        </w:tc>
        <w:tc>
          <w:tcPr>
            <w:tcW w:w="980" w:type="dxa"/>
            <w:vAlign w:val="bottom"/>
          </w:tcPr>
          <w:p>
            <w:pPr>
              <w:jc w:val="right"/>
              <w:ind w:right="79"/>
              <w:spacing w:after="0"/>
              <w:rPr>
                <w:sz w:val="20"/>
                <w:szCs w:val="20"/>
                <w:color w:val="auto"/>
              </w:rPr>
            </w:pPr>
            <w:r>
              <w:rPr>
                <w:rFonts w:ascii="Arial" w:cs="Arial" w:eastAsia="Arial" w:hAnsi="Arial"/>
                <w:sz w:val="16"/>
                <w:szCs w:val="16"/>
                <w:b w:val="1"/>
                <w:bCs w:val="1"/>
                <w:color w:val="auto"/>
              </w:rPr>
              <w:t>547,264</w:t>
            </w:r>
          </w:p>
        </w:tc>
        <w:tc>
          <w:tcPr>
            <w:tcW w:w="28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960" w:type="dxa"/>
            <w:vAlign w:val="bottom"/>
          </w:tcPr>
          <w:p>
            <w:pPr>
              <w:jc w:val="right"/>
              <w:ind w:right="79"/>
              <w:spacing w:after="0"/>
              <w:rPr>
                <w:sz w:val="20"/>
                <w:szCs w:val="20"/>
                <w:color w:val="auto"/>
              </w:rPr>
            </w:pPr>
            <w:r>
              <w:rPr>
                <w:rFonts w:ascii="Arial" w:cs="Arial" w:eastAsia="Arial" w:hAnsi="Arial"/>
                <w:sz w:val="16"/>
                <w:szCs w:val="16"/>
                <w:color w:val="auto"/>
              </w:rPr>
              <w:t>617,047</w:t>
            </w:r>
          </w:p>
        </w:tc>
        <w:tc>
          <w:tcPr>
            <w:tcW w:w="360" w:type="dxa"/>
            <w:vAlign w:val="bottom"/>
          </w:tcPr>
          <w:p>
            <w:pPr>
              <w:jc w:val="right"/>
              <w:ind w:right="99"/>
              <w:spacing w:after="0"/>
              <w:rPr>
                <w:sz w:val="20"/>
                <w:szCs w:val="20"/>
                <w:color w:val="auto"/>
              </w:rPr>
            </w:pPr>
            <w:r>
              <w:rPr>
                <w:rFonts w:ascii="Arial" w:cs="Arial" w:eastAsia="Arial" w:hAnsi="Arial"/>
                <w:sz w:val="16"/>
                <w:szCs w:val="16"/>
                <w:color w:val="auto"/>
              </w:rPr>
              <w:t>$</w:t>
            </w:r>
          </w:p>
        </w:tc>
        <w:tc>
          <w:tcPr>
            <w:tcW w:w="840" w:type="dxa"/>
            <w:vAlign w:val="bottom"/>
          </w:tcPr>
          <w:p>
            <w:pPr>
              <w:jc w:val="right"/>
              <w:ind w:right="19"/>
              <w:spacing w:after="0"/>
              <w:rPr>
                <w:sz w:val="20"/>
                <w:szCs w:val="20"/>
                <w:color w:val="auto"/>
              </w:rPr>
            </w:pPr>
            <w:r>
              <w:rPr>
                <w:rFonts w:ascii="Arial" w:cs="Arial" w:eastAsia="Arial" w:hAnsi="Arial"/>
                <w:sz w:val="16"/>
                <w:szCs w:val="16"/>
                <w:color w:val="auto"/>
              </w:rPr>
              <w:t>849,625</w:t>
            </w:r>
          </w:p>
        </w:tc>
      </w:tr>
      <w:tr>
        <w:trPr>
          <w:trHeight w:val="270"/>
        </w:trPr>
        <w:tc>
          <w:tcPr>
            <w:tcW w:w="7780" w:type="dxa"/>
            <w:vAlign w:val="bottom"/>
          </w:tcPr>
          <w:p>
            <w:pPr>
              <w:ind w:left="280"/>
              <w:spacing w:after="0"/>
              <w:rPr>
                <w:sz w:val="20"/>
                <w:szCs w:val="20"/>
                <w:color w:val="auto"/>
              </w:rPr>
            </w:pPr>
            <w:r>
              <w:rPr>
                <w:rFonts w:ascii="Arial" w:cs="Arial" w:eastAsia="Arial" w:hAnsi="Arial"/>
                <w:sz w:val="16"/>
                <w:szCs w:val="16"/>
                <w:color w:val="auto"/>
              </w:rPr>
              <w:t>Test preparation</w:t>
            </w:r>
          </w:p>
        </w:tc>
        <w:tc>
          <w:tcPr>
            <w:tcW w:w="220" w:type="dxa"/>
            <w:vAlign w:val="bottom"/>
          </w:tcPr>
          <w:p>
            <w:pPr>
              <w:spacing w:after="0"/>
              <w:rPr>
                <w:sz w:val="23"/>
                <w:szCs w:val="23"/>
                <w:color w:val="auto"/>
              </w:rPr>
            </w:pPr>
          </w:p>
        </w:tc>
        <w:tc>
          <w:tcPr>
            <w:tcW w:w="980" w:type="dxa"/>
            <w:vAlign w:val="bottom"/>
          </w:tcPr>
          <w:p>
            <w:pPr>
              <w:jc w:val="right"/>
              <w:ind w:right="79"/>
              <w:spacing w:after="0"/>
              <w:rPr>
                <w:sz w:val="20"/>
                <w:szCs w:val="20"/>
                <w:color w:val="auto"/>
              </w:rPr>
            </w:pPr>
            <w:r>
              <w:rPr>
                <w:rFonts w:ascii="Arial" w:cs="Arial" w:eastAsia="Arial" w:hAnsi="Arial"/>
                <w:sz w:val="16"/>
                <w:szCs w:val="16"/>
                <w:b w:val="1"/>
                <w:bCs w:val="1"/>
                <w:color w:val="auto"/>
              </w:rPr>
              <w:t>273,298</w:t>
            </w:r>
          </w:p>
        </w:tc>
        <w:tc>
          <w:tcPr>
            <w:tcW w:w="280" w:type="dxa"/>
            <w:vAlign w:val="bottom"/>
          </w:tcPr>
          <w:p>
            <w:pPr>
              <w:spacing w:after="0"/>
              <w:rPr>
                <w:sz w:val="23"/>
                <w:szCs w:val="23"/>
                <w:color w:val="auto"/>
              </w:rPr>
            </w:pPr>
          </w:p>
        </w:tc>
        <w:tc>
          <w:tcPr>
            <w:tcW w:w="960" w:type="dxa"/>
            <w:vAlign w:val="bottom"/>
          </w:tcPr>
          <w:p>
            <w:pPr>
              <w:jc w:val="right"/>
              <w:ind w:right="79"/>
              <w:spacing w:after="0"/>
              <w:rPr>
                <w:sz w:val="20"/>
                <w:szCs w:val="20"/>
                <w:color w:val="auto"/>
              </w:rPr>
            </w:pPr>
            <w:r>
              <w:rPr>
                <w:rFonts w:ascii="Arial" w:cs="Arial" w:eastAsia="Arial" w:hAnsi="Arial"/>
                <w:sz w:val="16"/>
                <w:szCs w:val="16"/>
                <w:color w:val="auto"/>
              </w:rPr>
              <w:t>286,556</w:t>
            </w:r>
          </w:p>
        </w:tc>
        <w:tc>
          <w:tcPr>
            <w:tcW w:w="360" w:type="dxa"/>
            <w:vAlign w:val="bottom"/>
          </w:tcPr>
          <w:p>
            <w:pPr>
              <w:spacing w:after="0"/>
              <w:rPr>
                <w:sz w:val="23"/>
                <w:szCs w:val="23"/>
                <w:color w:val="auto"/>
              </w:rPr>
            </w:pPr>
          </w:p>
        </w:tc>
        <w:tc>
          <w:tcPr>
            <w:tcW w:w="840" w:type="dxa"/>
            <w:vAlign w:val="bottom"/>
          </w:tcPr>
          <w:p>
            <w:pPr>
              <w:jc w:val="right"/>
              <w:ind w:right="19"/>
              <w:spacing w:after="0"/>
              <w:rPr>
                <w:sz w:val="20"/>
                <w:szCs w:val="20"/>
                <w:color w:val="auto"/>
              </w:rPr>
            </w:pPr>
            <w:r>
              <w:rPr>
                <w:rFonts w:ascii="Arial" w:cs="Arial" w:eastAsia="Arial" w:hAnsi="Arial"/>
                <w:sz w:val="16"/>
                <w:szCs w:val="16"/>
                <w:color w:val="auto"/>
              </w:rPr>
              <w:t>301,607</w:t>
            </w:r>
          </w:p>
        </w:tc>
      </w:tr>
      <w:tr>
        <w:trPr>
          <w:trHeight w:val="270"/>
        </w:trPr>
        <w:tc>
          <w:tcPr>
            <w:tcW w:w="7780" w:type="dxa"/>
            <w:vAlign w:val="bottom"/>
          </w:tcPr>
          <w:p>
            <w:pPr>
              <w:ind w:left="280"/>
              <w:spacing w:after="0"/>
              <w:rPr>
                <w:sz w:val="20"/>
                <w:szCs w:val="20"/>
                <w:color w:val="auto"/>
              </w:rPr>
            </w:pPr>
            <w:r>
              <w:rPr>
                <w:rFonts w:ascii="Arial" w:cs="Arial" w:eastAsia="Arial" w:hAnsi="Arial"/>
                <w:sz w:val="16"/>
                <w:szCs w:val="16"/>
                <w:color w:val="auto"/>
              </w:rPr>
              <w:t>Kaplan international</w:t>
            </w:r>
          </w:p>
        </w:tc>
        <w:tc>
          <w:tcPr>
            <w:tcW w:w="220" w:type="dxa"/>
            <w:vAlign w:val="bottom"/>
          </w:tcPr>
          <w:p>
            <w:pPr>
              <w:spacing w:after="0"/>
              <w:rPr>
                <w:sz w:val="23"/>
                <w:szCs w:val="23"/>
                <w:color w:val="auto"/>
              </w:rPr>
            </w:pPr>
          </w:p>
        </w:tc>
        <w:tc>
          <w:tcPr>
            <w:tcW w:w="980" w:type="dxa"/>
            <w:vAlign w:val="bottom"/>
          </w:tcPr>
          <w:p>
            <w:pPr>
              <w:jc w:val="right"/>
              <w:ind w:right="79"/>
              <w:spacing w:after="0"/>
              <w:rPr>
                <w:sz w:val="20"/>
                <w:szCs w:val="20"/>
                <w:color w:val="auto"/>
              </w:rPr>
            </w:pPr>
            <w:r>
              <w:rPr>
                <w:rFonts w:ascii="Arial" w:cs="Arial" w:eastAsia="Arial" w:hAnsi="Arial"/>
                <w:sz w:val="16"/>
                <w:szCs w:val="16"/>
                <w:b w:val="1"/>
                <w:bCs w:val="1"/>
                <w:color w:val="auto"/>
              </w:rPr>
              <w:t>697,999</w:t>
            </w:r>
          </w:p>
        </w:tc>
        <w:tc>
          <w:tcPr>
            <w:tcW w:w="280" w:type="dxa"/>
            <w:vAlign w:val="bottom"/>
          </w:tcPr>
          <w:p>
            <w:pPr>
              <w:spacing w:after="0"/>
              <w:rPr>
                <w:sz w:val="23"/>
                <w:szCs w:val="23"/>
                <w:color w:val="auto"/>
              </w:rPr>
            </w:pPr>
          </w:p>
        </w:tc>
        <w:tc>
          <w:tcPr>
            <w:tcW w:w="960" w:type="dxa"/>
            <w:vAlign w:val="bottom"/>
          </w:tcPr>
          <w:p>
            <w:pPr>
              <w:jc w:val="right"/>
              <w:ind w:right="79"/>
              <w:spacing w:after="0"/>
              <w:rPr>
                <w:sz w:val="20"/>
                <w:szCs w:val="20"/>
                <w:color w:val="auto"/>
              </w:rPr>
            </w:pPr>
            <w:r>
              <w:rPr>
                <w:rFonts w:ascii="Arial" w:cs="Arial" w:eastAsia="Arial" w:hAnsi="Arial"/>
                <w:sz w:val="16"/>
                <w:szCs w:val="16"/>
                <w:color w:val="auto"/>
              </w:rPr>
              <w:t>696,362</w:t>
            </w:r>
          </w:p>
        </w:tc>
        <w:tc>
          <w:tcPr>
            <w:tcW w:w="360" w:type="dxa"/>
            <w:vAlign w:val="bottom"/>
          </w:tcPr>
          <w:p>
            <w:pPr>
              <w:spacing w:after="0"/>
              <w:rPr>
                <w:sz w:val="23"/>
                <w:szCs w:val="23"/>
                <w:color w:val="auto"/>
              </w:rPr>
            </w:pPr>
          </w:p>
        </w:tc>
        <w:tc>
          <w:tcPr>
            <w:tcW w:w="840" w:type="dxa"/>
            <w:vAlign w:val="bottom"/>
          </w:tcPr>
          <w:p>
            <w:pPr>
              <w:jc w:val="right"/>
              <w:ind w:right="19"/>
              <w:spacing w:after="0"/>
              <w:rPr>
                <w:sz w:val="20"/>
                <w:szCs w:val="20"/>
                <w:color w:val="auto"/>
              </w:rPr>
            </w:pPr>
            <w:r>
              <w:rPr>
                <w:rFonts w:ascii="Arial" w:cs="Arial" w:eastAsia="Arial" w:hAnsi="Arial"/>
                <w:sz w:val="16"/>
                <w:szCs w:val="16"/>
                <w:color w:val="auto"/>
              </w:rPr>
              <w:t>770,273</w:t>
            </w:r>
          </w:p>
        </w:tc>
      </w:tr>
      <w:tr>
        <w:trPr>
          <w:trHeight w:val="270"/>
        </w:trPr>
        <w:tc>
          <w:tcPr>
            <w:tcW w:w="7780" w:type="dxa"/>
            <w:vAlign w:val="bottom"/>
          </w:tcPr>
          <w:p>
            <w:pPr>
              <w:ind w:left="280"/>
              <w:spacing w:after="0"/>
              <w:rPr>
                <w:sz w:val="20"/>
                <w:szCs w:val="20"/>
                <w:color w:val="auto"/>
              </w:rPr>
            </w:pPr>
            <w:r>
              <w:rPr>
                <w:rFonts w:ascii="Arial" w:cs="Arial" w:eastAsia="Arial" w:hAnsi="Arial"/>
                <w:sz w:val="16"/>
                <w:szCs w:val="16"/>
                <w:color w:val="auto"/>
              </w:rPr>
              <w:t>Kaplan corporate and other</w:t>
            </w:r>
          </w:p>
        </w:tc>
        <w:tc>
          <w:tcPr>
            <w:tcW w:w="220" w:type="dxa"/>
            <w:vAlign w:val="bottom"/>
          </w:tcPr>
          <w:p>
            <w:pPr>
              <w:spacing w:after="0"/>
              <w:rPr>
                <w:sz w:val="23"/>
                <w:szCs w:val="23"/>
                <w:color w:val="auto"/>
              </w:rPr>
            </w:pPr>
          </w:p>
        </w:tc>
        <w:tc>
          <w:tcPr>
            <w:tcW w:w="980" w:type="dxa"/>
            <w:vAlign w:val="bottom"/>
          </w:tcPr>
          <w:p>
            <w:pPr>
              <w:jc w:val="right"/>
              <w:ind w:right="79"/>
              <w:spacing w:after="0"/>
              <w:rPr>
                <w:sz w:val="20"/>
                <w:szCs w:val="20"/>
                <w:color w:val="auto"/>
              </w:rPr>
            </w:pPr>
            <w:r>
              <w:rPr>
                <w:rFonts w:ascii="Arial" w:cs="Arial" w:eastAsia="Arial" w:hAnsi="Arial"/>
                <w:sz w:val="16"/>
                <w:szCs w:val="16"/>
                <w:b w:val="1"/>
                <w:bCs w:val="1"/>
                <w:color w:val="auto"/>
              </w:rPr>
              <w:t>294</w:t>
            </w:r>
          </w:p>
        </w:tc>
        <w:tc>
          <w:tcPr>
            <w:tcW w:w="280" w:type="dxa"/>
            <w:vAlign w:val="bottom"/>
          </w:tcPr>
          <w:p>
            <w:pPr>
              <w:spacing w:after="0"/>
              <w:rPr>
                <w:sz w:val="23"/>
                <w:szCs w:val="23"/>
                <w:color w:val="auto"/>
              </w:rPr>
            </w:pPr>
          </w:p>
        </w:tc>
        <w:tc>
          <w:tcPr>
            <w:tcW w:w="960" w:type="dxa"/>
            <w:vAlign w:val="bottom"/>
          </w:tcPr>
          <w:p>
            <w:pPr>
              <w:jc w:val="right"/>
              <w:ind w:right="79"/>
              <w:spacing w:after="0"/>
              <w:rPr>
                <w:sz w:val="20"/>
                <w:szCs w:val="20"/>
                <w:color w:val="auto"/>
              </w:rPr>
            </w:pPr>
            <w:r>
              <w:rPr>
                <w:rFonts w:ascii="Arial" w:cs="Arial" w:eastAsia="Arial" w:hAnsi="Arial"/>
                <w:sz w:val="16"/>
                <w:szCs w:val="16"/>
                <w:color w:val="auto"/>
              </w:rPr>
              <w:t>214</w:t>
            </w:r>
          </w:p>
        </w:tc>
        <w:tc>
          <w:tcPr>
            <w:tcW w:w="360" w:type="dxa"/>
            <w:vAlign w:val="bottom"/>
          </w:tcPr>
          <w:p>
            <w:pPr>
              <w:spacing w:after="0"/>
              <w:rPr>
                <w:sz w:val="23"/>
                <w:szCs w:val="23"/>
                <w:color w:val="auto"/>
              </w:rPr>
            </w:pPr>
          </w:p>
        </w:tc>
        <w:tc>
          <w:tcPr>
            <w:tcW w:w="840" w:type="dxa"/>
            <w:vAlign w:val="bottom"/>
          </w:tcPr>
          <w:p>
            <w:pPr>
              <w:jc w:val="right"/>
              <w:ind w:right="19"/>
              <w:spacing w:after="0"/>
              <w:rPr>
                <w:sz w:val="20"/>
                <w:szCs w:val="20"/>
                <w:color w:val="auto"/>
              </w:rPr>
            </w:pPr>
            <w:r>
              <w:rPr>
                <w:rFonts w:ascii="Arial" w:cs="Arial" w:eastAsia="Arial" w:hAnsi="Arial"/>
                <w:sz w:val="16"/>
                <w:szCs w:val="16"/>
                <w:color w:val="auto"/>
              </w:rPr>
              <w:t>6,502</w:t>
            </w:r>
          </w:p>
        </w:tc>
      </w:tr>
      <w:tr>
        <w:trPr>
          <w:trHeight w:val="283"/>
        </w:trPr>
        <w:tc>
          <w:tcPr>
            <w:tcW w:w="7780" w:type="dxa"/>
            <w:vAlign w:val="bottom"/>
          </w:tcPr>
          <w:p>
            <w:pPr>
              <w:ind w:left="280"/>
              <w:spacing w:after="0"/>
              <w:rPr>
                <w:sz w:val="20"/>
                <w:szCs w:val="20"/>
                <w:color w:val="auto"/>
              </w:rPr>
            </w:pPr>
            <w:r>
              <w:rPr>
                <w:rFonts w:ascii="Arial" w:cs="Arial" w:eastAsia="Arial" w:hAnsi="Arial"/>
                <w:sz w:val="16"/>
                <w:szCs w:val="16"/>
                <w:color w:val="auto"/>
              </w:rPr>
              <w:t>Intersegment elimination</w:t>
            </w:r>
          </w:p>
        </w:tc>
        <w:tc>
          <w:tcPr>
            <w:tcW w:w="22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b w:val="1"/>
                <w:bCs w:val="1"/>
                <w:color w:val="auto"/>
              </w:rPr>
              <w:t>(2,079)</w:t>
            </w:r>
          </w:p>
        </w:tc>
        <w:tc>
          <w:tcPr>
            <w:tcW w:w="28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(1,718)</w:t>
            </w:r>
          </w:p>
        </w:tc>
        <w:tc>
          <w:tcPr>
            <w:tcW w:w="36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(486)</w:t>
            </w:r>
          </w:p>
        </w:tc>
      </w:tr>
      <w:tr>
        <w:trPr>
          <w:trHeight w:val="264"/>
        </w:trPr>
        <w:tc>
          <w:tcPr>
            <w:tcW w:w="7780" w:type="dxa"/>
            <w:vAlign w:val="bottom"/>
          </w:tcPr>
          <w:p>
            <w:pPr>
              <w:spacing w:after="0"/>
              <w:rPr>
                <w:sz w:val="22"/>
                <w:szCs w:val="22"/>
                <w:color w:val="auto"/>
              </w:rPr>
            </w:pPr>
          </w:p>
        </w:tc>
        <w:tc>
          <w:tcPr>
            <w:tcW w:w="2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b w:val="1"/>
                <w:bCs w:val="1"/>
                <w:color w:val="auto"/>
              </w:rPr>
              <w:t>$</w:t>
            </w:r>
          </w:p>
        </w:tc>
        <w:tc>
          <w:tcPr>
            <w:tcW w:w="98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b w:val="1"/>
                <w:bCs w:val="1"/>
                <w:color w:val="auto"/>
              </w:rPr>
              <w:t>1,516,776</w:t>
            </w:r>
          </w:p>
        </w:tc>
        <w:tc>
          <w:tcPr>
            <w:tcW w:w="28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w:t>
            </w:r>
          </w:p>
        </w:tc>
        <w:tc>
          <w:tcPr>
            <w:tcW w:w="96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1,598,461</w:t>
            </w:r>
          </w:p>
        </w:tc>
        <w:tc>
          <w:tcPr>
            <w:tcW w:w="36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rPr>
              <w:t>$</w:t>
            </w:r>
          </w:p>
        </w:tc>
        <w:tc>
          <w:tcPr>
            <w:tcW w:w="84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1,927,521</w:t>
            </w:r>
          </w:p>
        </w:tc>
      </w:tr>
      <w:tr>
        <w:trPr>
          <w:trHeight w:val="251"/>
        </w:trPr>
        <w:tc>
          <w:tcPr>
            <w:tcW w:w="7780" w:type="dxa"/>
            <w:vAlign w:val="bottom"/>
          </w:tcPr>
          <w:p>
            <w:pPr>
              <w:ind w:left="40"/>
              <w:spacing w:after="0"/>
              <w:rPr>
                <w:sz w:val="20"/>
                <w:szCs w:val="20"/>
                <w:color w:val="auto"/>
              </w:rPr>
            </w:pPr>
            <w:r>
              <w:rPr>
                <w:rFonts w:ascii="Arial" w:cs="Arial" w:eastAsia="Arial" w:hAnsi="Arial"/>
                <w:sz w:val="16"/>
                <w:szCs w:val="16"/>
                <w:b w:val="1"/>
                <w:bCs w:val="1"/>
                <w:color w:val="auto"/>
              </w:rPr>
              <w:t>Income (Loss) from Operations</w:t>
            </w:r>
          </w:p>
        </w:tc>
        <w:tc>
          <w:tcPr>
            <w:tcW w:w="22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840" w:type="dxa"/>
            <w:vAlign w:val="bottom"/>
          </w:tcPr>
          <w:p>
            <w:pPr>
              <w:spacing w:after="0"/>
              <w:rPr>
                <w:sz w:val="21"/>
                <w:szCs w:val="21"/>
                <w:color w:val="auto"/>
              </w:rPr>
            </w:pPr>
          </w:p>
        </w:tc>
      </w:tr>
      <w:tr>
        <w:trPr>
          <w:trHeight w:val="270"/>
        </w:trPr>
        <w:tc>
          <w:tcPr>
            <w:tcW w:w="7780" w:type="dxa"/>
            <w:vAlign w:val="bottom"/>
          </w:tcPr>
          <w:p>
            <w:pPr>
              <w:ind w:left="280"/>
              <w:spacing w:after="0"/>
              <w:rPr>
                <w:sz w:val="20"/>
                <w:szCs w:val="20"/>
                <w:color w:val="auto"/>
              </w:rPr>
            </w:pPr>
            <w:r>
              <w:rPr>
                <w:rFonts w:ascii="Arial" w:cs="Arial" w:eastAsia="Arial" w:hAnsi="Arial"/>
                <w:sz w:val="16"/>
                <w:szCs w:val="16"/>
                <w:color w:val="auto"/>
              </w:rPr>
              <w:t>Higher education</w:t>
            </w:r>
          </w:p>
        </w:tc>
        <w:tc>
          <w:tcPr>
            <w:tcW w:w="220" w:type="dxa"/>
            <w:vAlign w:val="bottom"/>
          </w:tcPr>
          <w:p>
            <w:pPr>
              <w:jc w:val="right"/>
              <w:ind w:right="19"/>
              <w:spacing w:after="0"/>
              <w:rPr>
                <w:sz w:val="20"/>
                <w:szCs w:val="20"/>
                <w:color w:val="auto"/>
              </w:rPr>
            </w:pPr>
            <w:r>
              <w:rPr>
                <w:rFonts w:ascii="Arial" w:cs="Arial" w:eastAsia="Arial" w:hAnsi="Arial"/>
                <w:sz w:val="16"/>
                <w:szCs w:val="16"/>
                <w:b w:val="1"/>
                <w:bCs w:val="1"/>
                <w:color w:val="auto"/>
              </w:rPr>
              <w:t>$</w:t>
            </w:r>
          </w:p>
        </w:tc>
        <w:tc>
          <w:tcPr>
            <w:tcW w:w="980" w:type="dxa"/>
            <w:vAlign w:val="bottom"/>
          </w:tcPr>
          <w:p>
            <w:pPr>
              <w:jc w:val="right"/>
              <w:ind w:right="79"/>
              <w:spacing w:after="0"/>
              <w:rPr>
                <w:sz w:val="20"/>
                <w:szCs w:val="20"/>
                <w:color w:val="auto"/>
              </w:rPr>
            </w:pPr>
            <w:r>
              <w:rPr>
                <w:rFonts w:ascii="Arial" w:cs="Arial" w:eastAsia="Arial" w:hAnsi="Arial"/>
                <w:sz w:val="16"/>
                <w:szCs w:val="16"/>
                <w:b w:val="1"/>
                <w:bCs w:val="1"/>
                <w:color w:val="auto"/>
              </w:rPr>
              <w:t>44,277</w:t>
            </w:r>
          </w:p>
        </w:tc>
        <w:tc>
          <w:tcPr>
            <w:tcW w:w="28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960" w:type="dxa"/>
            <w:vAlign w:val="bottom"/>
          </w:tcPr>
          <w:p>
            <w:pPr>
              <w:jc w:val="right"/>
              <w:ind w:right="79"/>
              <w:spacing w:after="0"/>
              <w:rPr>
                <w:sz w:val="20"/>
                <w:szCs w:val="20"/>
                <w:color w:val="auto"/>
              </w:rPr>
            </w:pPr>
            <w:r>
              <w:rPr>
                <w:rFonts w:ascii="Arial" w:cs="Arial" w:eastAsia="Arial" w:hAnsi="Arial"/>
                <w:sz w:val="16"/>
                <w:szCs w:val="16"/>
                <w:color w:val="auto"/>
              </w:rPr>
              <w:t>66,632</w:t>
            </w:r>
          </w:p>
        </w:tc>
        <w:tc>
          <w:tcPr>
            <w:tcW w:w="360" w:type="dxa"/>
            <w:vAlign w:val="bottom"/>
          </w:tcPr>
          <w:p>
            <w:pPr>
              <w:jc w:val="right"/>
              <w:ind w:right="99"/>
              <w:spacing w:after="0"/>
              <w:rPr>
                <w:sz w:val="20"/>
                <w:szCs w:val="20"/>
                <w:color w:val="auto"/>
              </w:rPr>
            </w:pPr>
            <w:r>
              <w:rPr>
                <w:rFonts w:ascii="Arial" w:cs="Arial" w:eastAsia="Arial" w:hAnsi="Arial"/>
                <w:sz w:val="16"/>
                <w:szCs w:val="16"/>
                <w:color w:val="auto"/>
              </w:rPr>
              <w:t>$</w:t>
            </w:r>
          </w:p>
        </w:tc>
        <w:tc>
          <w:tcPr>
            <w:tcW w:w="840" w:type="dxa"/>
            <w:vAlign w:val="bottom"/>
          </w:tcPr>
          <w:p>
            <w:pPr>
              <w:jc w:val="right"/>
              <w:ind w:right="19"/>
              <w:spacing w:after="0"/>
              <w:rPr>
                <w:sz w:val="20"/>
                <w:szCs w:val="20"/>
                <w:color w:val="auto"/>
              </w:rPr>
            </w:pPr>
            <w:r>
              <w:rPr>
                <w:rFonts w:ascii="Arial" w:cs="Arial" w:eastAsia="Arial" w:hAnsi="Arial"/>
                <w:sz w:val="16"/>
                <w:szCs w:val="16"/>
                <w:color w:val="auto"/>
              </w:rPr>
              <w:t>55,572</w:t>
            </w:r>
          </w:p>
        </w:tc>
      </w:tr>
      <w:tr>
        <w:trPr>
          <w:trHeight w:val="270"/>
        </w:trPr>
        <w:tc>
          <w:tcPr>
            <w:tcW w:w="7780" w:type="dxa"/>
            <w:vAlign w:val="bottom"/>
          </w:tcPr>
          <w:p>
            <w:pPr>
              <w:ind w:left="280"/>
              <w:spacing w:after="0"/>
              <w:rPr>
                <w:sz w:val="20"/>
                <w:szCs w:val="20"/>
                <w:color w:val="auto"/>
              </w:rPr>
            </w:pPr>
            <w:r>
              <w:rPr>
                <w:rFonts w:ascii="Arial" w:cs="Arial" w:eastAsia="Arial" w:hAnsi="Arial"/>
                <w:sz w:val="16"/>
                <w:szCs w:val="16"/>
                <w:color w:val="auto"/>
              </w:rPr>
              <w:t>Test preparation</w:t>
            </w:r>
          </w:p>
        </w:tc>
        <w:tc>
          <w:tcPr>
            <w:tcW w:w="220" w:type="dxa"/>
            <w:vAlign w:val="bottom"/>
          </w:tcPr>
          <w:p>
            <w:pPr>
              <w:spacing w:after="0"/>
              <w:rPr>
                <w:sz w:val="23"/>
                <w:szCs w:val="23"/>
                <w:color w:val="auto"/>
              </w:rPr>
            </w:pPr>
          </w:p>
        </w:tc>
        <w:tc>
          <w:tcPr>
            <w:tcW w:w="980" w:type="dxa"/>
            <w:vAlign w:val="bottom"/>
          </w:tcPr>
          <w:p>
            <w:pPr>
              <w:jc w:val="right"/>
              <w:ind w:right="79"/>
              <w:spacing w:after="0"/>
              <w:rPr>
                <w:sz w:val="20"/>
                <w:szCs w:val="20"/>
                <w:color w:val="auto"/>
              </w:rPr>
            </w:pPr>
            <w:r>
              <w:rPr>
                <w:rFonts w:ascii="Arial" w:cs="Arial" w:eastAsia="Arial" w:hAnsi="Arial"/>
                <w:sz w:val="16"/>
                <w:szCs w:val="16"/>
                <w:b w:val="1"/>
                <w:bCs w:val="1"/>
                <w:color w:val="auto"/>
              </w:rPr>
              <w:t>11,507</w:t>
            </w:r>
          </w:p>
        </w:tc>
        <w:tc>
          <w:tcPr>
            <w:tcW w:w="280" w:type="dxa"/>
            <w:vAlign w:val="bottom"/>
          </w:tcPr>
          <w:p>
            <w:pPr>
              <w:spacing w:after="0"/>
              <w:rPr>
                <w:sz w:val="23"/>
                <w:szCs w:val="23"/>
                <w:color w:val="auto"/>
              </w:rPr>
            </w:pPr>
          </w:p>
        </w:tc>
        <w:tc>
          <w:tcPr>
            <w:tcW w:w="960" w:type="dxa"/>
            <w:vAlign w:val="bottom"/>
          </w:tcPr>
          <w:p>
            <w:pPr>
              <w:jc w:val="right"/>
              <w:ind w:right="79"/>
              <w:spacing w:after="0"/>
              <w:rPr>
                <w:sz w:val="20"/>
                <w:szCs w:val="20"/>
                <w:color w:val="auto"/>
              </w:rPr>
            </w:pPr>
            <w:r>
              <w:rPr>
                <w:rFonts w:ascii="Arial" w:cs="Arial" w:eastAsia="Arial" w:hAnsi="Arial"/>
                <w:sz w:val="16"/>
                <w:szCs w:val="16"/>
                <w:color w:val="auto"/>
              </w:rPr>
              <w:t>9,599</w:t>
            </w:r>
          </w:p>
        </w:tc>
        <w:tc>
          <w:tcPr>
            <w:tcW w:w="360" w:type="dxa"/>
            <w:vAlign w:val="bottom"/>
          </w:tcPr>
          <w:p>
            <w:pPr>
              <w:spacing w:after="0"/>
              <w:rPr>
                <w:sz w:val="23"/>
                <w:szCs w:val="23"/>
                <w:color w:val="auto"/>
              </w:rPr>
            </w:pPr>
          </w:p>
        </w:tc>
        <w:tc>
          <w:tcPr>
            <w:tcW w:w="840" w:type="dxa"/>
            <w:vAlign w:val="bottom"/>
          </w:tcPr>
          <w:p>
            <w:pPr>
              <w:jc w:val="right"/>
              <w:ind w:right="19"/>
              <w:spacing w:after="0"/>
              <w:rPr>
                <w:sz w:val="20"/>
                <w:szCs w:val="20"/>
                <w:color w:val="auto"/>
              </w:rPr>
            </w:pPr>
            <w:r>
              <w:rPr>
                <w:rFonts w:ascii="Arial" w:cs="Arial" w:eastAsia="Arial" w:hAnsi="Arial"/>
                <w:sz w:val="16"/>
                <w:szCs w:val="16"/>
                <w:color w:val="auto"/>
              </w:rPr>
              <w:t>16,798</w:t>
            </w:r>
          </w:p>
        </w:tc>
      </w:tr>
      <w:tr>
        <w:trPr>
          <w:trHeight w:val="270"/>
        </w:trPr>
        <w:tc>
          <w:tcPr>
            <w:tcW w:w="7780" w:type="dxa"/>
            <w:vAlign w:val="bottom"/>
          </w:tcPr>
          <w:p>
            <w:pPr>
              <w:ind w:left="280"/>
              <w:spacing w:after="0"/>
              <w:rPr>
                <w:sz w:val="20"/>
                <w:szCs w:val="20"/>
                <w:color w:val="auto"/>
              </w:rPr>
            </w:pPr>
            <w:r>
              <w:rPr>
                <w:rFonts w:ascii="Arial" w:cs="Arial" w:eastAsia="Arial" w:hAnsi="Arial"/>
                <w:sz w:val="16"/>
                <w:szCs w:val="16"/>
                <w:color w:val="auto"/>
              </w:rPr>
              <w:t>Kaplan international</w:t>
            </w:r>
          </w:p>
        </w:tc>
        <w:tc>
          <w:tcPr>
            <w:tcW w:w="220" w:type="dxa"/>
            <w:vAlign w:val="bottom"/>
          </w:tcPr>
          <w:p>
            <w:pPr>
              <w:spacing w:after="0"/>
              <w:rPr>
                <w:sz w:val="23"/>
                <w:szCs w:val="23"/>
                <w:color w:val="auto"/>
              </w:rPr>
            </w:pPr>
          </w:p>
        </w:tc>
        <w:tc>
          <w:tcPr>
            <w:tcW w:w="980" w:type="dxa"/>
            <w:vAlign w:val="bottom"/>
          </w:tcPr>
          <w:p>
            <w:pPr>
              <w:jc w:val="right"/>
              <w:ind w:right="79"/>
              <w:spacing w:after="0"/>
              <w:rPr>
                <w:sz w:val="20"/>
                <w:szCs w:val="20"/>
                <w:color w:val="auto"/>
              </w:rPr>
            </w:pPr>
            <w:r>
              <w:rPr>
                <w:rFonts w:ascii="Arial" w:cs="Arial" w:eastAsia="Arial" w:hAnsi="Arial"/>
                <w:sz w:val="16"/>
                <w:szCs w:val="16"/>
                <w:b w:val="1"/>
                <w:bCs w:val="1"/>
                <w:color w:val="auto"/>
              </w:rPr>
              <w:t>50,730</w:t>
            </w:r>
          </w:p>
        </w:tc>
        <w:tc>
          <w:tcPr>
            <w:tcW w:w="280" w:type="dxa"/>
            <w:vAlign w:val="bottom"/>
          </w:tcPr>
          <w:p>
            <w:pPr>
              <w:spacing w:after="0"/>
              <w:rPr>
                <w:sz w:val="23"/>
                <w:szCs w:val="23"/>
                <w:color w:val="auto"/>
              </w:rPr>
            </w:pPr>
          </w:p>
        </w:tc>
        <w:tc>
          <w:tcPr>
            <w:tcW w:w="960" w:type="dxa"/>
            <w:vAlign w:val="bottom"/>
          </w:tcPr>
          <w:p>
            <w:pPr>
              <w:jc w:val="right"/>
              <w:ind w:right="79"/>
              <w:spacing w:after="0"/>
              <w:rPr>
                <w:sz w:val="20"/>
                <w:szCs w:val="20"/>
                <w:color w:val="auto"/>
              </w:rPr>
            </w:pPr>
            <w:r>
              <w:rPr>
                <w:rFonts w:ascii="Arial" w:cs="Arial" w:eastAsia="Arial" w:hAnsi="Arial"/>
                <w:sz w:val="16"/>
                <w:szCs w:val="16"/>
                <w:color w:val="auto"/>
              </w:rPr>
              <w:t>48,398</w:t>
            </w:r>
          </w:p>
        </w:tc>
        <w:tc>
          <w:tcPr>
            <w:tcW w:w="360" w:type="dxa"/>
            <w:vAlign w:val="bottom"/>
          </w:tcPr>
          <w:p>
            <w:pPr>
              <w:spacing w:after="0"/>
              <w:rPr>
                <w:sz w:val="23"/>
                <w:szCs w:val="23"/>
                <w:color w:val="auto"/>
              </w:rPr>
            </w:pPr>
          </w:p>
        </w:tc>
        <w:tc>
          <w:tcPr>
            <w:tcW w:w="840" w:type="dxa"/>
            <w:vAlign w:val="bottom"/>
          </w:tcPr>
          <w:p>
            <w:pPr>
              <w:jc w:val="right"/>
              <w:ind w:right="19"/>
              <w:spacing w:after="0"/>
              <w:rPr>
                <w:sz w:val="20"/>
                <w:szCs w:val="20"/>
                <w:color w:val="auto"/>
              </w:rPr>
            </w:pPr>
            <w:r>
              <w:rPr>
                <w:rFonts w:ascii="Arial" w:cs="Arial" w:eastAsia="Arial" w:hAnsi="Arial"/>
                <w:sz w:val="16"/>
                <w:szCs w:val="16"/>
                <w:color w:val="auto"/>
              </w:rPr>
              <w:t>53,661</w:t>
            </w:r>
          </w:p>
        </w:tc>
      </w:tr>
      <w:tr>
        <w:trPr>
          <w:trHeight w:val="270"/>
        </w:trPr>
        <w:tc>
          <w:tcPr>
            <w:tcW w:w="7780" w:type="dxa"/>
            <w:vAlign w:val="bottom"/>
          </w:tcPr>
          <w:p>
            <w:pPr>
              <w:ind w:left="280"/>
              <w:spacing w:after="0"/>
              <w:rPr>
                <w:sz w:val="20"/>
                <w:szCs w:val="20"/>
                <w:color w:val="auto"/>
              </w:rPr>
            </w:pPr>
            <w:r>
              <w:rPr>
                <w:rFonts w:ascii="Arial" w:cs="Arial" w:eastAsia="Arial" w:hAnsi="Arial"/>
                <w:sz w:val="16"/>
                <w:szCs w:val="16"/>
                <w:color w:val="auto"/>
              </w:rPr>
              <w:t>Kaplan corporate and other</w:t>
            </w:r>
          </w:p>
        </w:tc>
        <w:tc>
          <w:tcPr>
            <w:tcW w:w="220" w:type="dxa"/>
            <w:vAlign w:val="bottom"/>
          </w:tcPr>
          <w:p>
            <w:pPr>
              <w:spacing w:after="0"/>
              <w:rPr>
                <w:sz w:val="23"/>
                <w:szCs w:val="23"/>
                <w:color w:val="auto"/>
              </w:rPr>
            </w:pPr>
          </w:p>
        </w:tc>
        <w:tc>
          <w:tcPr>
            <w:tcW w:w="980" w:type="dxa"/>
            <w:vAlign w:val="bottom"/>
          </w:tcPr>
          <w:p>
            <w:pPr>
              <w:jc w:val="right"/>
              <w:ind w:right="19"/>
              <w:spacing w:after="0"/>
              <w:rPr>
                <w:sz w:val="20"/>
                <w:szCs w:val="20"/>
                <w:color w:val="auto"/>
              </w:rPr>
            </w:pPr>
            <w:r>
              <w:rPr>
                <w:rFonts w:ascii="Arial" w:cs="Arial" w:eastAsia="Arial" w:hAnsi="Arial"/>
                <w:sz w:val="16"/>
                <w:szCs w:val="16"/>
                <w:b w:val="1"/>
                <w:bCs w:val="1"/>
                <w:color w:val="auto"/>
              </w:rPr>
              <w:t>(31,488)</w:t>
            </w:r>
          </w:p>
        </w:tc>
        <w:tc>
          <w:tcPr>
            <w:tcW w:w="280" w:type="dxa"/>
            <w:vAlign w:val="bottom"/>
          </w:tcPr>
          <w:p>
            <w:pPr>
              <w:spacing w:after="0"/>
              <w:rPr>
                <w:sz w:val="23"/>
                <w:szCs w:val="23"/>
                <w:color w:val="auto"/>
              </w:rPr>
            </w:pPr>
          </w:p>
        </w:tc>
        <w:tc>
          <w:tcPr>
            <w:tcW w:w="960" w:type="dxa"/>
            <w:vAlign w:val="bottom"/>
          </w:tcPr>
          <w:p>
            <w:pPr>
              <w:jc w:val="right"/>
              <w:ind w:right="19"/>
              <w:spacing w:after="0"/>
              <w:rPr>
                <w:sz w:val="20"/>
                <w:szCs w:val="20"/>
                <w:color w:val="auto"/>
              </w:rPr>
            </w:pPr>
            <w:r>
              <w:rPr>
                <w:rFonts w:ascii="Arial" w:cs="Arial" w:eastAsia="Arial" w:hAnsi="Arial"/>
                <w:sz w:val="16"/>
                <w:szCs w:val="16"/>
                <w:color w:val="auto"/>
              </w:rPr>
              <w:t>(30,968)</w:t>
            </w:r>
          </w:p>
        </w:tc>
        <w:tc>
          <w:tcPr>
            <w:tcW w:w="360" w:type="dxa"/>
            <w:vAlign w:val="bottom"/>
          </w:tcPr>
          <w:p>
            <w:pPr>
              <w:spacing w:after="0"/>
              <w:rPr>
                <w:sz w:val="23"/>
                <w:szCs w:val="23"/>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(349,583)</w:t>
            </w:r>
          </w:p>
        </w:tc>
      </w:tr>
      <w:tr>
        <w:trPr>
          <w:trHeight w:val="283"/>
        </w:trPr>
        <w:tc>
          <w:tcPr>
            <w:tcW w:w="7780" w:type="dxa"/>
            <w:vAlign w:val="bottom"/>
          </w:tcPr>
          <w:p>
            <w:pPr>
              <w:ind w:left="280"/>
              <w:spacing w:after="0"/>
              <w:rPr>
                <w:sz w:val="20"/>
                <w:szCs w:val="20"/>
                <w:color w:val="auto"/>
              </w:rPr>
            </w:pPr>
            <w:r>
              <w:rPr>
                <w:rFonts w:ascii="Arial" w:cs="Arial" w:eastAsia="Arial" w:hAnsi="Arial"/>
                <w:sz w:val="16"/>
                <w:szCs w:val="16"/>
                <w:color w:val="auto"/>
              </w:rPr>
              <w:t>Intersegment elimination</w:t>
            </w:r>
          </w:p>
        </w:tc>
        <w:tc>
          <w:tcPr>
            <w:tcW w:w="22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b w:val="1"/>
                <w:bCs w:val="1"/>
                <w:color w:val="auto"/>
              </w:rPr>
              <w:t>143</w:t>
            </w:r>
          </w:p>
        </w:tc>
        <w:tc>
          <w:tcPr>
            <w:tcW w:w="28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(29)</w:t>
            </w:r>
          </w:p>
        </w:tc>
        <w:tc>
          <w:tcPr>
            <w:tcW w:w="36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96</w:t>
            </w:r>
          </w:p>
        </w:tc>
      </w:tr>
      <w:tr>
        <w:trPr>
          <w:trHeight w:val="264"/>
        </w:trPr>
        <w:tc>
          <w:tcPr>
            <w:tcW w:w="7780" w:type="dxa"/>
            <w:vAlign w:val="bottom"/>
          </w:tcPr>
          <w:p>
            <w:pPr>
              <w:spacing w:after="0"/>
              <w:rPr>
                <w:sz w:val="22"/>
                <w:szCs w:val="22"/>
                <w:color w:val="auto"/>
              </w:rPr>
            </w:pPr>
          </w:p>
        </w:tc>
        <w:tc>
          <w:tcPr>
            <w:tcW w:w="2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b w:val="1"/>
                <w:bCs w:val="1"/>
                <w:color w:val="auto"/>
              </w:rPr>
              <w:t>$</w:t>
            </w:r>
          </w:p>
        </w:tc>
        <w:tc>
          <w:tcPr>
            <w:tcW w:w="98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b w:val="1"/>
                <w:bCs w:val="1"/>
                <w:color w:val="auto"/>
              </w:rPr>
              <w:t>75,169</w:t>
            </w:r>
          </w:p>
        </w:tc>
        <w:tc>
          <w:tcPr>
            <w:tcW w:w="28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w:t>
            </w:r>
          </w:p>
        </w:tc>
        <w:tc>
          <w:tcPr>
            <w:tcW w:w="96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93,632</w:t>
            </w:r>
          </w:p>
        </w:tc>
        <w:tc>
          <w:tcPr>
            <w:tcW w:w="36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(223,456)</w:t>
            </w:r>
          </w:p>
        </w:tc>
      </w:tr>
      <w:tr>
        <w:trPr>
          <w:trHeight w:val="251"/>
        </w:trPr>
        <w:tc>
          <w:tcPr>
            <w:tcW w:w="7780" w:type="dxa"/>
            <w:vAlign w:val="bottom"/>
          </w:tcPr>
          <w:p>
            <w:pPr>
              <w:ind w:left="40"/>
              <w:spacing w:after="0"/>
              <w:rPr>
                <w:sz w:val="20"/>
                <w:szCs w:val="20"/>
                <w:color w:val="auto"/>
              </w:rPr>
            </w:pPr>
            <w:r>
              <w:rPr>
                <w:rFonts w:ascii="Arial" w:cs="Arial" w:eastAsia="Arial" w:hAnsi="Arial"/>
                <w:sz w:val="16"/>
                <w:szCs w:val="16"/>
                <w:b w:val="1"/>
                <w:bCs w:val="1"/>
                <w:color w:val="auto"/>
              </w:rPr>
              <w:t>Depreciation of Property, Plant and Equipment</w:t>
            </w:r>
          </w:p>
        </w:tc>
        <w:tc>
          <w:tcPr>
            <w:tcW w:w="22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840" w:type="dxa"/>
            <w:vAlign w:val="bottom"/>
          </w:tcPr>
          <w:p>
            <w:pPr>
              <w:spacing w:after="0"/>
              <w:rPr>
                <w:sz w:val="21"/>
                <w:szCs w:val="21"/>
                <w:color w:val="auto"/>
              </w:rPr>
            </w:pPr>
          </w:p>
        </w:tc>
      </w:tr>
      <w:tr>
        <w:trPr>
          <w:trHeight w:val="270"/>
        </w:trPr>
        <w:tc>
          <w:tcPr>
            <w:tcW w:w="7780" w:type="dxa"/>
            <w:vAlign w:val="bottom"/>
          </w:tcPr>
          <w:p>
            <w:pPr>
              <w:ind w:left="280"/>
              <w:spacing w:after="0"/>
              <w:rPr>
                <w:sz w:val="20"/>
                <w:szCs w:val="20"/>
                <w:color w:val="auto"/>
              </w:rPr>
            </w:pPr>
            <w:r>
              <w:rPr>
                <w:rFonts w:ascii="Arial" w:cs="Arial" w:eastAsia="Arial" w:hAnsi="Arial"/>
                <w:sz w:val="16"/>
                <w:szCs w:val="16"/>
                <w:color w:val="auto"/>
              </w:rPr>
              <w:t>Higher education</w:t>
            </w:r>
          </w:p>
        </w:tc>
        <w:tc>
          <w:tcPr>
            <w:tcW w:w="220" w:type="dxa"/>
            <w:vAlign w:val="bottom"/>
          </w:tcPr>
          <w:p>
            <w:pPr>
              <w:jc w:val="right"/>
              <w:ind w:right="19"/>
              <w:spacing w:after="0"/>
              <w:rPr>
                <w:sz w:val="20"/>
                <w:szCs w:val="20"/>
                <w:color w:val="auto"/>
              </w:rPr>
            </w:pPr>
            <w:r>
              <w:rPr>
                <w:rFonts w:ascii="Arial" w:cs="Arial" w:eastAsia="Arial" w:hAnsi="Arial"/>
                <w:sz w:val="16"/>
                <w:szCs w:val="16"/>
                <w:b w:val="1"/>
                <w:bCs w:val="1"/>
                <w:color w:val="auto"/>
              </w:rPr>
              <w:t>$</w:t>
            </w:r>
          </w:p>
        </w:tc>
        <w:tc>
          <w:tcPr>
            <w:tcW w:w="980" w:type="dxa"/>
            <w:vAlign w:val="bottom"/>
          </w:tcPr>
          <w:p>
            <w:pPr>
              <w:jc w:val="right"/>
              <w:ind w:right="79"/>
              <w:spacing w:after="0"/>
              <w:rPr>
                <w:sz w:val="20"/>
                <w:szCs w:val="20"/>
                <w:color w:val="auto"/>
              </w:rPr>
            </w:pPr>
            <w:r>
              <w:rPr>
                <w:rFonts w:ascii="Arial" w:cs="Arial" w:eastAsia="Arial" w:hAnsi="Arial"/>
                <w:sz w:val="16"/>
                <w:szCs w:val="16"/>
                <w:b w:val="1"/>
                <w:bCs w:val="1"/>
                <w:color w:val="auto"/>
              </w:rPr>
              <w:t>12,158</w:t>
            </w:r>
          </w:p>
        </w:tc>
        <w:tc>
          <w:tcPr>
            <w:tcW w:w="28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960" w:type="dxa"/>
            <w:vAlign w:val="bottom"/>
          </w:tcPr>
          <w:p>
            <w:pPr>
              <w:jc w:val="right"/>
              <w:ind w:right="79"/>
              <w:spacing w:after="0"/>
              <w:rPr>
                <w:sz w:val="20"/>
                <w:szCs w:val="20"/>
                <w:color w:val="auto"/>
              </w:rPr>
            </w:pPr>
            <w:r>
              <w:rPr>
                <w:rFonts w:ascii="Arial" w:cs="Arial" w:eastAsia="Arial" w:hAnsi="Arial"/>
                <w:sz w:val="16"/>
                <w:szCs w:val="16"/>
                <w:color w:val="auto"/>
              </w:rPr>
              <w:t>16,822</w:t>
            </w:r>
          </w:p>
        </w:tc>
        <w:tc>
          <w:tcPr>
            <w:tcW w:w="360" w:type="dxa"/>
            <w:vAlign w:val="bottom"/>
          </w:tcPr>
          <w:p>
            <w:pPr>
              <w:jc w:val="right"/>
              <w:ind w:right="99"/>
              <w:spacing w:after="0"/>
              <w:rPr>
                <w:sz w:val="20"/>
                <w:szCs w:val="20"/>
                <w:color w:val="auto"/>
              </w:rPr>
            </w:pPr>
            <w:r>
              <w:rPr>
                <w:rFonts w:ascii="Arial" w:cs="Arial" w:eastAsia="Arial" w:hAnsi="Arial"/>
                <w:sz w:val="16"/>
                <w:szCs w:val="16"/>
                <w:color w:val="auto"/>
              </w:rPr>
              <w:t>$</w:t>
            </w:r>
          </w:p>
        </w:tc>
        <w:tc>
          <w:tcPr>
            <w:tcW w:w="840" w:type="dxa"/>
            <w:vAlign w:val="bottom"/>
          </w:tcPr>
          <w:p>
            <w:pPr>
              <w:jc w:val="right"/>
              <w:ind w:right="19"/>
              <w:spacing w:after="0"/>
              <w:rPr>
                <w:sz w:val="20"/>
                <w:szCs w:val="20"/>
                <w:color w:val="auto"/>
              </w:rPr>
            </w:pPr>
            <w:r>
              <w:rPr>
                <w:rFonts w:ascii="Arial" w:cs="Arial" w:eastAsia="Arial" w:hAnsi="Arial"/>
                <w:sz w:val="16"/>
                <w:szCs w:val="16"/>
                <w:color w:val="auto"/>
              </w:rPr>
              <w:t>17,937</w:t>
            </w:r>
          </w:p>
        </w:tc>
      </w:tr>
      <w:tr>
        <w:trPr>
          <w:trHeight w:val="270"/>
        </w:trPr>
        <w:tc>
          <w:tcPr>
            <w:tcW w:w="7780" w:type="dxa"/>
            <w:vAlign w:val="bottom"/>
          </w:tcPr>
          <w:p>
            <w:pPr>
              <w:ind w:left="280"/>
              <w:spacing w:after="0"/>
              <w:rPr>
                <w:sz w:val="20"/>
                <w:szCs w:val="20"/>
                <w:color w:val="auto"/>
              </w:rPr>
            </w:pPr>
            <w:r>
              <w:rPr>
                <w:rFonts w:ascii="Arial" w:cs="Arial" w:eastAsia="Arial" w:hAnsi="Arial"/>
                <w:sz w:val="16"/>
                <w:szCs w:val="16"/>
                <w:color w:val="auto"/>
              </w:rPr>
              <w:t>Test preparation</w:t>
            </w:r>
          </w:p>
        </w:tc>
        <w:tc>
          <w:tcPr>
            <w:tcW w:w="220" w:type="dxa"/>
            <w:vAlign w:val="bottom"/>
          </w:tcPr>
          <w:p>
            <w:pPr>
              <w:spacing w:after="0"/>
              <w:rPr>
                <w:sz w:val="23"/>
                <w:szCs w:val="23"/>
                <w:color w:val="auto"/>
              </w:rPr>
            </w:pPr>
          </w:p>
        </w:tc>
        <w:tc>
          <w:tcPr>
            <w:tcW w:w="980" w:type="dxa"/>
            <w:vAlign w:val="bottom"/>
          </w:tcPr>
          <w:p>
            <w:pPr>
              <w:jc w:val="right"/>
              <w:ind w:right="79"/>
              <w:spacing w:after="0"/>
              <w:rPr>
                <w:sz w:val="20"/>
                <w:szCs w:val="20"/>
                <w:color w:val="auto"/>
              </w:rPr>
            </w:pPr>
            <w:r>
              <w:rPr>
                <w:rFonts w:ascii="Arial" w:cs="Arial" w:eastAsia="Arial" w:hAnsi="Arial"/>
                <w:sz w:val="16"/>
                <w:szCs w:val="16"/>
                <w:b w:val="1"/>
                <w:bCs w:val="1"/>
                <w:color w:val="auto"/>
              </w:rPr>
              <w:t>5,286</w:t>
            </w:r>
          </w:p>
        </w:tc>
        <w:tc>
          <w:tcPr>
            <w:tcW w:w="280" w:type="dxa"/>
            <w:vAlign w:val="bottom"/>
          </w:tcPr>
          <w:p>
            <w:pPr>
              <w:spacing w:after="0"/>
              <w:rPr>
                <w:sz w:val="23"/>
                <w:szCs w:val="23"/>
                <w:color w:val="auto"/>
              </w:rPr>
            </w:pPr>
          </w:p>
        </w:tc>
        <w:tc>
          <w:tcPr>
            <w:tcW w:w="960" w:type="dxa"/>
            <w:vAlign w:val="bottom"/>
          </w:tcPr>
          <w:p>
            <w:pPr>
              <w:jc w:val="right"/>
              <w:ind w:right="79"/>
              <w:spacing w:after="0"/>
              <w:rPr>
                <w:sz w:val="20"/>
                <w:szCs w:val="20"/>
                <w:color w:val="auto"/>
              </w:rPr>
            </w:pPr>
            <w:r>
              <w:rPr>
                <w:rFonts w:ascii="Arial" w:cs="Arial" w:eastAsia="Arial" w:hAnsi="Arial"/>
                <w:sz w:val="16"/>
                <w:szCs w:val="16"/>
                <w:color w:val="auto"/>
              </w:rPr>
              <w:t>6,287</w:t>
            </w:r>
          </w:p>
        </w:tc>
        <w:tc>
          <w:tcPr>
            <w:tcW w:w="360" w:type="dxa"/>
            <w:vAlign w:val="bottom"/>
          </w:tcPr>
          <w:p>
            <w:pPr>
              <w:spacing w:after="0"/>
              <w:rPr>
                <w:sz w:val="23"/>
                <w:szCs w:val="23"/>
                <w:color w:val="auto"/>
              </w:rPr>
            </w:pPr>
          </w:p>
        </w:tc>
        <w:tc>
          <w:tcPr>
            <w:tcW w:w="840" w:type="dxa"/>
            <w:vAlign w:val="bottom"/>
          </w:tcPr>
          <w:p>
            <w:pPr>
              <w:jc w:val="right"/>
              <w:ind w:right="19"/>
              <w:spacing w:after="0"/>
              <w:rPr>
                <w:sz w:val="20"/>
                <w:szCs w:val="20"/>
                <w:color w:val="auto"/>
              </w:rPr>
            </w:pPr>
            <w:r>
              <w:rPr>
                <w:rFonts w:ascii="Arial" w:cs="Arial" w:eastAsia="Arial" w:hAnsi="Arial"/>
                <w:sz w:val="16"/>
                <w:szCs w:val="16"/>
                <w:color w:val="auto"/>
              </w:rPr>
              <w:t>9,045</w:t>
            </w:r>
          </w:p>
        </w:tc>
      </w:tr>
      <w:tr>
        <w:trPr>
          <w:trHeight w:val="270"/>
        </w:trPr>
        <w:tc>
          <w:tcPr>
            <w:tcW w:w="7780" w:type="dxa"/>
            <w:vAlign w:val="bottom"/>
          </w:tcPr>
          <w:p>
            <w:pPr>
              <w:ind w:left="280"/>
              <w:spacing w:after="0"/>
              <w:rPr>
                <w:sz w:val="20"/>
                <w:szCs w:val="20"/>
                <w:color w:val="auto"/>
              </w:rPr>
            </w:pPr>
            <w:r>
              <w:rPr>
                <w:rFonts w:ascii="Arial" w:cs="Arial" w:eastAsia="Arial" w:hAnsi="Arial"/>
                <w:sz w:val="16"/>
                <w:szCs w:val="16"/>
                <w:color w:val="auto"/>
              </w:rPr>
              <w:t>Kaplan international</w:t>
            </w:r>
          </w:p>
        </w:tc>
        <w:tc>
          <w:tcPr>
            <w:tcW w:w="220" w:type="dxa"/>
            <w:vAlign w:val="bottom"/>
          </w:tcPr>
          <w:p>
            <w:pPr>
              <w:spacing w:after="0"/>
              <w:rPr>
                <w:sz w:val="23"/>
                <w:szCs w:val="23"/>
                <w:color w:val="auto"/>
              </w:rPr>
            </w:pPr>
          </w:p>
        </w:tc>
        <w:tc>
          <w:tcPr>
            <w:tcW w:w="980" w:type="dxa"/>
            <w:vAlign w:val="bottom"/>
          </w:tcPr>
          <w:p>
            <w:pPr>
              <w:jc w:val="right"/>
              <w:ind w:right="79"/>
              <w:spacing w:after="0"/>
              <w:rPr>
                <w:sz w:val="20"/>
                <w:szCs w:val="20"/>
                <w:color w:val="auto"/>
              </w:rPr>
            </w:pPr>
            <w:r>
              <w:rPr>
                <w:rFonts w:ascii="Arial" w:cs="Arial" w:eastAsia="Arial" w:hAnsi="Arial"/>
                <w:sz w:val="16"/>
                <w:szCs w:val="16"/>
                <w:b w:val="1"/>
                <w:bCs w:val="1"/>
                <w:color w:val="auto"/>
              </w:rPr>
              <w:t>14,892</w:t>
            </w:r>
          </w:p>
        </w:tc>
        <w:tc>
          <w:tcPr>
            <w:tcW w:w="280" w:type="dxa"/>
            <w:vAlign w:val="bottom"/>
          </w:tcPr>
          <w:p>
            <w:pPr>
              <w:spacing w:after="0"/>
              <w:rPr>
                <w:sz w:val="23"/>
                <w:szCs w:val="23"/>
                <w:color w:val="auto"/>
              </w:rPr>
            </w:pPr>
          </w:p>
        </w:tc>
        <w:tc>
          <w:tcPr>
            <w:tcW w:w="960" w:type="dxa"/>
            <w:vAlign w:val="bottom"/>
          </w:tcPr>
          <w:p>
            <w:pPr>
              <w:jc w:val="right"/>
              <w:ind w:right="79"/>
              <w:spacing w:after="0"/>
              <w:rPr>
                <w:sz w:val="20"/>
                <w:szCs w:val="20"/>
                <w:color w:val="auto"/>
              </w:rPr>
            </w:pPr>
            <w:r>
              <w:rPr>
                <w:rFonts w:ascii="Arial" w:cs="Arial" w:eastAsia="Arial" w:hAnsi="Arial"/>
                <w:sz w:val="16"/>
                <w:szCs w:val="16"/>
                <w:color w:val="auto"/>
              </w:rPr>
              <w:t>17,523</w:t>
            </w:r>
          </w:p>
        </w:tc>
        <w:tc>
          <w:tcPr>
            <w:tcW w:w="360" w:type="dxa"/>
            <w:vAlign w:val="bottom"/>
          </w:tcPr>
          <w:p>
            <w:pPr>
              <w:spacing w:after="0"/>
              <w:rPr>
                <w:sz w:val="23"/>
                <w:szCs w:val="23"/>
                <w:color w:val="auto"/>
              </w:rPr>
            </w:pPr>
          </w:p>
        </w:tc>
        <w:tc>
          <w:tcPr>
            <w:tcW w:w="840" w:type="dxa"/>
            <w:vAlign w:val="bottom"/>
          </w:tcPr>
          <w:p>
            <w:pPr>
              <w:jc w:val="right"/>
              <w:ind w:right="19"/>
              <w:spacing w:after="0"/>
              <w:rPr>
                <w:sz w:val="20"/>
                <w:szCs w:val="20"/>
                <w:color w:val="auto"/>
              </w:rPr>
            </w:pPr>
            <w:r>
              <w:rPr>
                <w:rFonts w:ascii="Arial" w:cs="Arial" w:eastAsia="Arial" w:hAnsi="Arial"/>
                <w:sz w:val="16"/>
                <w:szCs w:val="16"/>
                <w:color w:val="auto"/>
              </w:rPr>
              <w:t>17,811</w:t>
            </w:r>
          </w:p>
        </w:tc>
      </w:tr>
      <w:tr>
        <w:trPr>
          <w:trHeight w:val="283"/>
        </w:trPr>
        <w:tc>
          <w:tcPr>
            <w:tcW w:w="7780" w:type="dxa"/>
            <w:vAlign w:val="bottom"/>
          </w:tcPr>
          <w:p>
            <w:pPr>
              <w:ind w:left="280"/>
              <w:spacing w:after="0"/>
              <w:rPr>
                <w:sz w:val="20"/>
                <w:szCs w:val="20"/>
                <w:color w:val="auto"/>
              </w:rPr>
            </w:pPr>
            <w:r>
              <w:rPr>
                <w:rFonts w:ascii="Arial" w:cs="Arial" w:eastAsia="Arial" w:hAnsi="Arial"/>
                <w:sz w:val="16"/>
                <w:szCs w:val="16"/>
                <w:color w:val="auto"/>
              </w:rPr>
              <w:t>Kaplan corporate and other</w:t>
            </w:r>
          </w:p>
        </w:tc>
        <w:tc>
          <w:tcPr>
            <w:tcW w:w="22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b w:val="1"/>
                <w:bCs w:val="1"/>
                <w:color w:val="auto"/>
              </w:rPr>
              <w:t>570</w:t>
            </w:r>
          </w:p>
        </w:tc>
        <w:tc>
          <w:tcPr>
            <w:tcW w:w="28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555</w:t>
            </w:r>
          </w:p>
        </w:tc>
        <w:tc>
          <w:tcPr>
            <w:tcW w:w="36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16,384</w:t>
            </w:r>
          </w:p>
        </w:tc>
      </w:tr>
      <w:tr>
        <w:trPr>
          <w:trHeight w:val="264"/>
        </w:trPr>
        <w:tc>
          <w:tcPr>
            <w:tcW w:w="7780" w:type="dxa"/>
            <w:vAlign w:val="bottom"/>
          </w:tcPr>
          <w:p>
            <w:pPr>
              <w:spacing w:after="0"/>
              <w:rPr>
                <w:sz w:val="22"/>
                <w:szCs w:val="22"/>
                <w:color w:val="auto"/>
              </w:rPr>
            </w:pPr>
          </w:p>
        </w:tc>
        <w:tc>
          <w:tcPr>
            <w:tcW w:w="2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b w:val="1"/>
                <w:bCs w:val="1"/>
                <w:color w:val="auto"/>
              </w:rPr>
              <w:t>$</w:t>
            </w:r>
          </w:p>
        </w:tc>
        <w:tc>
          <w:tcPr>
            <w:tcW w:w="98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b w:val="1"/>
                <w:bCs w:val="1"/>
                <w:color w:val="auto"/>
              </w:rPr>
              <w:t>32,906</w:t>
            </w:r>
          </w:p>
        </w:tc>
        <w:tc>
          <w:tcPr>
            <w:tcW w:w="28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w:t>
            </w:r>
          </w:p>
        </w:tc>
        <w:tc>
          <w:tcPr>
            <w:tcW w:w="96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41,187</w:t>
            </w:r>
          </w:p>
        </w:tc>
        <w:tc>
          <w:tcPr>
            <w:tcW w:w="36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rPr>
              <w:t>$</w:t>
            </w:r>
          </w:p>
        </w:tc>
        <w:tc>
          <w:tcPr>
            <w:tcW w:w="84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61,177</w:t>
            </w:r>
          </w:p>
        </w:tc>
      </w:tr>
      <w:tr>
        <w:trPr>
          <w:trHeight w:val="251"/>
        </w:trPr>
        <w:tc>
          <w:tcPr>
            <w:tcW w:w="7780" w:type="dxa"/>
            <w:vAlign w:val="bottom"/>
          </w:tcPr>
          <w:p>
            <w:pPr>
              <w:ind w:left="40"/>
              <w:spacing w:after="0"/>
              <w:rPr>
                <w:sz w:val="20"/>
                <w:szCs w:val="20"/>
                <w:color w:val="auto"/>
              </w:rPr>
            </w:pPr>
            <w:r>
              <w:rPr>
                <w:rFonts w:ascii="Arial" w:cs="Arial" w:eastAsia="Arial" w:hAnsi="Arial"/>
                <w:sz w:val="16"/>
                <w:szCs w:val="16"/>
                <w:b w:val="1"/>
                <w:bCs w:val="1"/>
                <w:color w:val="auto"/>
              </w:rPr>
              <w:t>Amortization of Intangible Assets</w:t>
            </w:r>
          </w:p>
        </w:tc>
        <w:tc>
          <w:tcPr>
            <w:tcW w:w="220" w:type="dxa"/>
            <w:vAlign w:val="bottom"/>
          </w:tcPr>
          <w:p>
            <w:pPr>
              <w:jc w:val="right"/>
              <w:ind w:right="19"/>
              <w:spacing w:after="0"/>
              <w:rPr>
                <w:sz w:val="20"/>
                <w:szCs w:val="20"/>
                <w:color w:val="auto"/>
              </w:rPr>
            </w:pPr>
            <w:r>
              <w:rPr>
                <w:rFonts w:ascii="Arial" w:cs="Arial" w:eastAsia="Arial" w:hAnsi="Arial"/>
                <w:sz w:val="16"/>
                <w:szCs w:val="16"/>
                <w:b w:val="1"/>
                <w:bCs w:val="1"/>
                <w:color w:val="auto"/>
              </w:rPr>
              <w:t>$</w:t>
            </w:r>
          </w:p>
        </w:tc>
        <w:tc>
          <w:tcPr>
            <w:tcW w:w="980" w:type="dxa"/>
            <w:vAlign w:val="bottom"/>
          </w:tcPr>
          <w:p>
            <w:pPr>
              <w:jc w:val="right"/>
              <w:ind w:right="79"/>
              <w:spacing w:after="0"/>
              <w:rPr>
                <w:sz w:val="20"/>
                <w:szCs w:val="20"/>
                <w:color w:val="auto"/>
              </w:rPr>
            </w:pPr>
            <w:r>
              <w:rPr>
                <w:rFonts w:ascii="Arial" w:cs="Arial" w:eastAsia="Arial" w:hAnsi="Arial"/>
                <w:sz w:val="16"/>
                <w:szCs w:val="16"/>
                <w:b w:val="1"/>
                <w:bCs w:val="1"/>
                <w:color w:val="auto"/>
              </w:rPr>
              <w:t>5,162</w:t>
            </w:r>
          </w:p>
        </w:tc>
        <w:tc>
          <w:tcPr>
            <w:tcW w:w="28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960" w:type="dxa"/>
            <w:vAlign w:val="bottom"/>
          </w:tcPr>
          <w:p>
            <w:pPr>
              <w:jc w:val="right"/>
              <w:ind w:right="79"/>
              <w:spacing w:after="0"/>
              <w:rPr>
                <w:sz w:val="20"/>
                <w:szCs w:val="20"/>
                <w:color w:val="auto"/>
              </w:rPr>
            </w:pPr>
            <w:r>
              <w:rPr>
                <w:rFonts w:ascii="Arial" w:cs="Arial" w:eastAsia="Arial" w:hAnsi="Arial"/>
                <w:sz w:val="16"/>
                <w:szCs w:val="16"/>
                <w:color w:val="auto"/>
              </w:rPr>
              <w:t>7,516</w:t>
            </w:r>
          </w:p>
        </w:tc>
        <w:tc>
          <w:tcPr>
            <w:tcW w:w="360" w:type="dxa"/>
            <w:vAlign w:val="bottom"/>
          </w:tcPr>
          <w:p>
            <w:pPr>
              <w:jc w:val="right"/>
              <w:ind w:right="99"/>
              <w:spacing w:after="0"/>
              <w:rPr>
                <w:sz w:val="20"/>
                <w:szCs w:val="20"/>
                <w:color w:val="auto"/>
              </w:rPr>
            </w:pPr>
            <w:r>
              <w:rPr>
                <w:rFonts w:ascii="Arial" w:cs="Arial" w:eastAsia="Arial" w:hAnsi="Arial"/>
                <w:sz w:val="16"/>
                <w:szCs w:val="16"/>
                <w:color w:val="auto"/>
              </w:rPr>
              <w:t>$</w:t>
            </w:r>
          </w:p>
        </w:tc>
        <w:tc>
          <w:tcPr>
            <w:tcW w:w="840" w:type="dxa"/>
            <w:vAlign w:val="bottom"/>
          </w:tcPr>
          <w:p>
            <w:pPr>
              <w:jc w:val="right"/>
              <w:ind w:right="19"/>
              <w:spacing w:after="0"/>
              <w:rPr>
                <w:sz w:val="20"/>
                <w:szCs w:val="20"/>
                <w:color w:val="auto"/>
              </w:rPr>
            </w:pPr>
            <w:r>
              <w:rPr>
                <w:rFonts w:ascii="Arial" w:cs="Arial" w:eastAsia="Arial" w:hAnsi="Arial"/>
                <w:sz w:val="16"/>
                <w:szCs w:val="16"/>
                <w:color w:val="auto"/>
              </w:rPr>
              <w:t>5,523</w:t>
            </w:r>
          </w:p>
        </w:tc>
      </w:tr>
      <w:tr>
        <w:trPr>
          <w:trHeight w:val="270"/>
        </w:trPr>
        <w:tc>
          <w:tcPr>
            <w:tcW w:w="7780" w:type="dxa"/>
            <w:vAlign w:val="bottom"/>
          </w:tcPr>
          <w:p>
            <w:pPr>
              <w:ind w:left="40"/>
              <w:spacing w:after="0"/>
              <w:rPr>
                <w:sz w:val="20"/>
                <w:szCs w:val="20"/>
                <w:color w:val="auto"/>
              </w:rPr>
            </w:pPr>
            <w:r>
              <w:rPr>
                <w:rFonts w:ascii="Arial" w:cs="Arial" w:eastAsia="Arial" w:hAnsi="Arial"/>
                <w:sz w:val="16"/>
                <w:szCs w:val="16"/>
                <w:b w:val="1"/>
                <w:bCs w:val="1"/>
                <w:color w:val="auto"/>
              </w:rPr>
              <w:t>Impairment of Goodwill and Other Long-Lived Assets</w:t>
            </w:r>
          </w:p>
        </w:tc>
        <w:tc>
          <w:tcPr>
            <w:tcW w:w="220" w:type="dxa"/>
            <w:vAlign w:val="bottom"/>
          </w:tcPr>
          <w:p>
            <w:pPr>
              <w:jc w:val="right"/>
              <w:ind w:right="19"/>
              <w:spacing w:after="0"/>
              <w:rPr>
                <w:sz w:val="20"/>
                <w:szCs w:val="20"/>
                <w:color w:val="auto"/>
              </w:rPr>
            </w:pPr>
            <w:r>
              <w:rPr>
                <w:rFonts w:ascii="Arial" w:cs="Arial" w:eastAsia="Arial" w:hAnsi="Arial"/>
                <w:sz w:val="16"/>
                <w:szCs w:val="16"/>
                <w:b w:val="1"/>
                <w:bCs w:val="1"/>
                <w:color w:val="auto"/>
              </w:rPr>
              <w:t>$</w:t>
            </w:r>
          </w:p>
        </w:tc>
        <w:tc>
          <w:tcPr>
            <w:tcW w:w="980" w:type="dxa"/>
            <w:vAlign w:val="bottom"/>
          </w:tcPr>
          <w:p>
            <w:pPr>
              <w:jc w:val="right"/>
              <w:ind w:right="79"/>
              <w:spacing w:after="0"/>
              <w:rPr>
                <w:sz w:val="20"/>
                <w:szCs w:val="20"/>
                <w:color w:val="auto"/>
              </w:rPr>
            </w:pPr>
            <w:r>
              <w:rPr>
                <w:rFonts w:ascii="Arial" w:cs="Arial" w:eastAsia="Arial" w:hAnsi="Arial"/>
                <w:sz w:val="16"/>
                <w:szCs w:val="16"/>
                <w:b w:val="1"/>
                <w:bCs w:val="1"/>
                <w:color w:val="auto"/>
              </w:rPr>
              <w:t>—</w:t>
            </w:r>
          </w:p>
        </w:tc>
        <w:tc>
          <w:tcPr>
            <w:tcW w:w="28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96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360" w:type="dxa"/>
            <w:vAlign w:val="bottom"/>
          </w:tcPr>
          <w:p>
            <w:pPr>
              <w:jc w:val="right"/>
              <w:ind w:right="99"/>
              <w:spacing w:after="0"/>
              <w:rPr>
                <w:sz w:val="20"/>
                <w:szCs w:val="20"/>
                <w:color w:val="auto"/>
              </w:rPr>
            </w:pPr>
            <w:r>
              <w:rPr>
                <w:rFonts w:ascii="Arial" w:cs="Arial" w:eastAsia="Arial" w:hAnsi="Arial"/>
                <w:sz w:val="16"/>
                <w:szCs w:val="16"/>
                <w:color w:val="auto"/>
              </w:rPr>
              <w:t>$</w:t>
            </w:r>
          </w:p>
        </w:tc>
        <w:tc>
          <w:tcPr>
            <w:tcW w:w="840" w:type="dxa"/>
            <w:vAlign w:val="bottom"/>
          </w:tcPr>
          <w:p>
            <w:pPr>
              <w:jc w:val="right"/>
              <w:ind w:right="19"/>
              <w:spacing w:after="0"/>
              <w:rPr>
                <w:sz w:val="20"/>
                <w:szCs w:val="20"/>
                <w:color w:val="auto"/>
              </w:rPr>
            </w:pPr>
            <w:r>
              <w:rPr>
                <w:rFonts w:ascii="Arial" w:cs="Arial" w:eastAsia="Arial" w:hAnsi="Arial"/>
                <w:sz w:val="16"/>
                <w:szCs w:val="16"/>
                <w:color w:val="auto"/>
              </w:rPr>
              <w:t>256,830</w:t>
            </w:r>
          </w:p>
        </w:tc>
      </w:tr>
      <w:tr>
        <w:trPr>
          <w:trHeight w:val="270"/>
        </w:trPr>
        <w:tc>
          <w:tcPr>
            <w:tcW w:w="7780" w:type="dxa"/>
            <w:vAlign w:val="bottom"/>
          </w:tcPr>
          <w:p>
            <w:pPr>
              <w:ind w:left="40"/>
              <w:spacing w:after="0"/>
              <w:rPr>
                <w:sz w:val="20"/>
                <w:szCs w:val="20"/>
                <w:color w:val="auto"/>
              </w:rPr>
            </w:pPr>
            <w:r>
              <w:rPr>
                <w:rFonts w:ascii="Arial" w:cs="Arial" w:eastAsia="Arial" w:hAnsi="Arial"/>
                <w:sz w:val="16"/>
                <w:szCs w:val="16"/>
                <w:b w:val="1"/>
                <w:bCs w:val="1"/>
                <w:color w:val="auto"/>
              </w:rPr>
              <w:t>Pension Expense</w:t>
            </w:r>
          </w:p>
        </w:tc>
        <w:tc>
          <w:tcPr>
            <w:tcW w:w="22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96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840" w:type="dxa"/>
            <w:vAlign w:val="bottom"/>
          </w:tcPr>
          <w:p>
            <w:pPr>
              <w:spacing w:after="0"/>
              <w:rPr>
                <w:sz w:val="23"/>
                <w:szCs w:val="23"/>
                <w:color w:val="auto"/>
              </w:rPr>
            </w:pPr>
          </w:p>
        </w:tc>
      </w:tr>
      <w:tr>
        <w:trPr>
          <w:trHeight w:val="270"/>
        </w:trPr>
        <w:tc>
          <w:tcPr>
            <w:tcW w:w="7780" w:type="dxa"/>
            <w:vAlign w:val="bottom"/>
          </w:tcPr>
          <w:p>
            <w:pPr>
              <w:ind w:left="280"/>
              <w:spacing w:after="0"/>
              <w:rPr>
                <w:sz w:val="20"/>
                <w:szCs w:val="20"/>
                <w:color w:val="auto"/>
              </w:rPr>
            </w:pPr>
            <w:r>
              <w:rPr>
                <w:rFonts w:ascii="Arial" w:cs="Arial" w:eastAsia="Arial" w:hAnsi="Arial"/>
                <w:sz w:val="16"/>
                <w:szCs w:val="16"/>
                <w:color w:val="auto"/>
              </w:rPr>
              <w:t>Higher education</w:t>
            </w:r>
          </w:p>
        </w:tc>
        <w:tc>
          <w:tcPr>
            <w:tcW w:w="220" w:type="dxa"/>
            <w:vAlign w:val="bottom"/>
          </w:tcPr>
          <w:p>
            <w:pPr>
              <w:jc w:val="right"/>
              <w:ind w:right="19"/>
              <w:spacing w:after="0"/>
              <w:rPr>
                <w:sz w:val="20"/>
                <w:szCs w:val="20"/>
                <w:color w:val="auto"/>
              </w:rPr>
            </w:pPr>
            <w:r>
              <w:rPr>
                <w:rFonts w:ascii="Arial" w:cs="Arial" w:eastAsia="Arial" w:hAnsi="Arial"/>
                <w:sz w:val="16"/>
                <w:szCs w:val="16"/>
                <w:b w:val="1"/>
                <w:bCs w:val="1"/>
                <w:color w:val="auto"/>
              </w:rPr>
              <w:t>$</w:t>
            </w:r>
          </w:p>
        </w:tc>
        <w:tc>
          <w:tcPr>
            <w:tcW w:w="980" w:type="dxa"/>
            <w:vAlign w:val="bottom"/>
          </w:tcPr>
          <w:p>
            <w:pPr>
              <w:jc w:val="right"/>
              <w:ind w:right="79"/>
              <w:spacing w:after="0"/>
              <w:rPr>
                <w:sz w:val="20"/>
                <w:szCs w:val="20"/>
                <w:color w:val="auto"/>
              </w:rPr>
            </w:pPr>
            <w:r>
              <w:rPr>
                <w:rFonts w:ascii="Arial" w:cs="Arial" w:eastAsia="Arial" w:hAnsi="Arial"/>
                <w:sz w:val="16"/>
                <w:szCs w:val="16"/>
                <w:b w:val="1"/>
                <w:bCs w:val="1"/>
                <w:color w:val="auto"/>
              </w:rPr>
              <w:t>6,182</w:t>
            </w:r>
          </w:p>
        </w:tc>
        <w:tc>
          <w:tcPr>
            <w:tcW w:w="28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960" w:type="dxa"/>
            <w:vAlign w:val="bottom"/>
          </w:tcPr>
          <w:p>
            <w:pPr>
              <w:jc w:val="right"/>
              <w:ind w:right="79"/>
              <w:spacing w:after="0"/>
              <w:rPr>
                <w:sz w:val="20"/>
                <w:szCs w:val="20"/>
                <w:color w:val="auto"/>
              </w:rPr>
            </w:pPr>
            <w:r>
              <w:rPr>
                <w:rFonts w:ascii="Arial" w:cs="Arial" w:eastAsia="Arial" w:hAnsi="Arial"/>
                <w:sz w:val="16"/>
                <w:szCs w:val="16"/>
                <w:color w:val="auto"/>
              </w:rPr>
              <w:t>7,620</w:t>
            </w:r>
          </w:p>
        </w:tc>
        <w:tc>
          <w:tcPr>
            <w:tcW w:w="360" w:type="dxa"/>
            <w:vAlign w:val="bottom"/>
          </w:tcPr>
          <w:p>
            <w:pPr>
              <w:jc w:val="right"/>
              <w:ind w:right="99"/>
              <w:spacing w:after="0"/>
              <w:rPr>
                <w:sz w:val="20"/>
                <w:szCs w:val="20"/>
                <w:color w:val="auto"/>
              </w:rPr>
            </w:pPr>
            <w:r>
              <w:rPr>
                <w:rFonts w:ascii="Arial" w:cs="Arial" w:eastAsia="Arial" w:hAnsi="Arial"/>
                <w:sz w:val="16"/>
                <w:szCs w:val="16"/>
                <w:color w:val="auto"/>
              </w:rPr>
              <w:t>$</w:t>
            </w:r>
          </w:p>
        </w:tc>
        <w:tc>
          <w:tcPr>
            <w:tcW w:w="840" w:type="dxa"/>
            <w:vAlign w:val="bottom"/>
          </w:tcPr>
          <w:p>
            <w:pPr>
              <w:jc w:val="right"/>
              <w:ind w:right="19"/>
              <w:spacing w:after="0"/>
              <w:rPr>
                <w:sz w:val="20"/>
                <w:szCs w:val="20"/>
                <w:color w:val="auto"/>
              </w:rPr>
            </w:pPr>
            <w:r>
              <w:rPr>
                <w:rFonts w:ascii="Arial" w:cs="Arial" w:eastAsia="Arial" w:hAnsi="Arial"/>
                <w:sz w:val="16"/>
                <w:szCs w:val="16"/>
                <w:color w:val="auto"/>
              </w:rPr>
              <w:t>10,849</w:t>
            </w:r>
          </w:p>
        </w:tc>
      </w:tr>
      <w:tr>
        <w:trPr>
          <w:trHeight w:val="270"/>
        </w:trPr>
        <w:tc>
          <w:tcPr>
            <w:tcW w:w="7780" w:type="dxa"/>
            <w:vAlign w:val="bottom"/>
          </w:tcPr>
          <w:p>
            <w:pPr>
              <w:ind w:left="280"/>
              <w:spacing w:after="0"/>
              <w:rPr>
                <w:sz w:val="20"/>
                <w:szCs w:val="20"/>
                <w:color w:val="auto"/>
              </w:rPr>
            </w:pPr>
            <w:r>
              <w:rPr>
                <w:rFonts w:ascii="Arial" w:cs="Arial" w:eastAsia="Arial" w:hAnsi="Arial"/>
                <w:sz w:val="16"/>
                <w:szCs w:val="16"/>
                <w:color w:val="auto"/>
              </w:rPr>
              <w:t>Test preparation</w:t>
            </w:r>
          </w:p>
        </w:tc>
        <w:tc>
          <w:tcPr>
            <w:tcW w:w="220" w:type="dxa"/>
            <w:vAlign w:val="bottom"/>
          </w:tcPr>
          <w:p>
            <w:pPr>
              <w:spacing w:after="0"/>
              <w:rPr>
                <w:sz w:val="23"/>
                <w:szCs w:val="23"/>
                <w:color w:val="auto"/>
              </w:rPr>
            </w:pPr>
          </w:p>
        </w:tc>
        <w:tc>
          <w:tcPr>
            <w:tcW w:w="980" w:type="dxa"/>
            <w:vAlign w:val="bottom"/>
          </w:tcPr>
          <w:p>
            <w:pPr>
              <w:jc w:val="right"/>
              <w:ind w:right="79"/>
              <w:spacing w:after="0"/>
              <w:rPr>
                <w:sz w:val="20"/>
                <w:szCs w:val="20"/>
                <w:color w:val="auto"/>
              </w:rPr>
            </w:pPr>
            <w:r>
              <w:rPr>
                <w:rFonts w:ascii="Arial" w:cs="Arial" w:eastAsia="Arial" w:hAnsi="Arial"/>
                <w:sz w:val="16"/>
                <w:szCs w:val="16"/>
                <w:b w:val="1"/>
                <w:bCs w:val="1"/>
                <w:color w:val="auto"/>
              </w:rPr>
              <w:t>2,755</w:t>
            </w:r>
          </w:p>
        </w:tc>
        <w:tc>
          <w:tcPr>
            <w:tcW w:w="280" w:type="dxa"/>
            <w:vAlign w:val="bottom"/>
          </w:tcPr>
          <w:p>
            <w:pPr>
              <w:spacing w:after="0"/>
              <w:rPr>
                <w:sz w:val="23"/>
                <w:szCs w:val="23"/>
                <w:color w:val="auto"/>
              </w:rPr>
            </w:pPr>
          </w:p>
        </w:tc>
        <w:tc>
          <w:tcPr>
            <w:tcW w:w="960" w:type="dxa"/>
            <w:vAlign w:val="bottom"/>
          </w:tcPr>
          <w:p>
            <w:pPr>
              <w:jc w:val="right"/>
              <w:ind w:right="79"/>
              <w:spacing w:after="0"/>
              <w:rPr>
                <w:sz w:val="20"/>
                <w:szCs w:val="20"/>
                <w:color w:val="auto"/>
              </w:rPr>
            </w:pPr>
            <w:r>
              <w:rPr>
                <w:rFonts w:ascii="Arial" w:cs="Arial" w:eastAsia="Arial" w:hAnsi="Arial"/>
                <w:sz w:val="16"/>
                <w:szCs w:val="16"/>
                <w:color w:val="auto"/>
              </w:rPr>
              <w:t>3,072</w:t>
            </w:r>
          </w:p>
        </w:tc>
        <w:tc>
          <w:tcPr>
            <w:tcW w:w="360" w:type="dxa"/>
            <w:vAlign w:val="bottom"/>
          </w:tcPr>
          <w:p>
            <w:pPr>
              <w:spacing w:after="0"/>
              <w:rPr>
                <w:sz w:val="23"/>
                <w:szCs w:val="23"/>
                <w:color w:val="auto"/>
              </w:rPr>
            </w:pPr>
          </w:p>
        </w:tc>
        <w:tc>
          <w:tcPr>
            <w:tcW w:w="840" w:type="dxa"/>
            <w:vAlign w:val="bottom"/>
          </w:tcPr>
          <w:p>
            <w:pPr>
              <w:jc w:val="right"/>
              <w:ind w:right="19"/>
              <w:spacing w:after="0"/>
              <w:rPr>
                <w:sz w:val="20"/>
                <w:szCs w:val="20"/>
                <w:color w:val="auto"/>
              </w:rPr>
            </w:pPr>
            <w:r>
              <w:rPr>
                <w:rFonts w:ascii="Arial" w:cs="Arial" w:eastAsia="Arial" w:hAnsi="Arial"/>
                <w:sz w:val="16"/>
                <w:szCs w:val="16"/>
                <w:color w:val="auto"/>
              </w:rPr>
              <w:t>3,101</w:t>
            </w:r>
          </w:p>
        </w:tc>
      </w:tr>
      <w:tr>
        <w:trPr>
          <w:trHeight w:val="270"/>
        </w:trPr>
        <w:tc>
          <w:tcPr>
            <w:tcW w:w="7780" w:type="dxa"/>
            <w:vAlign w:val="bottom"/>
          </w:tcPr>
          <w:p>
            <w:pPr>
              <w:ind w:left="280"/>
              <w:spacing w:after="0"/>
              <w:rPr>
                <w:sz w:val="20"/>
                <w:szCs w:val="20"/>
                <w:color w:val="auto"/>
              </w:rPr>
            </w:pPr>
            <w:r>
              <w:rPr>
                <w:rFonts w:ascii="Arial" w:cs="Arial" w:eastAsia="Arial" w:hAnsi="Arial"/>
                <w:sz w:val="16"/>
                <w:szCs w:val="16"/>
                <w:color w:val="auto"/>
              </w:rPr>
              <w:t>Kaplan international</w:t>
            </w:r>
          </w:p>
        </w:tc>
        <w:tc>
          <w:tcPr>
            <w:tcW w:w="220" w:type="dxa"/>
            <w:vAlign w:val="bottom"/>
          </w:tcPr>
          <w:p>
            <w:pPr>
              <w:spacing w:after="0"/>
              <w:rPr>
                <w:sz w:val="23"/>
                <w:szCs w:val="23"/>
                <w:color w:val="auto"/>
              </w:rPr>
            </w:pPr>
          </w:p>
        </w:tc>
        <w:tc>
          <w:tcPr>
            <w:tcW w:w="980" w:type="dxa"/>
            <w:vAlign w:val="bottom"/>
          </w:tcPr>
          <w:p>
            <w:pPr>
              <w:jc w:val="right"/>
              <w:ind w:right="79"/>
              <w:spacing w:after="0"/>
              <w:rPr>
                <w:sz w:val="20"/>
                <w:szCs w:val="20"/>
                <w:color w:val="auto"/>
              </w:rPr>
            </w:pPr>
            <w:r>
              <w:rPr>
                <w:rFonts w:ascii="Arial" w:cs="Arial" w:eastAsia="Arial" w:hAnsi="Arial"/>
                <w:sz w:val="16"/>
                <w:szCs w:val="16"/>
                <w:b w:val="1"/>
                <w:bCs w:val="1"/>
                <w:color w:val="auto"/>
              </w:rPr>
              <w:t>1,157</w:t>
            </w:r>
          </w:p>
        </w:tc>
        <w:tc>
          <w:tcPr>
            <w:tcW w:w="280" w:type="dxa"/>
            <w:vAlign w:val="bottom"/>
          </w:tcPr>
          <w:p>
            <w:pPr>
              <w:spacing w:after="0"/>
              <w:rPr>
                <w:sz w:val="23"/>
                <w:szCs w:val="23"/>
                <w:color w:val="auto"/>
              </w:rPr>
            </w:pPr>
          </w:p>
        </w:tc>
        <w:tc>
          <w:tcPr>
            <w:tcW w:w="960" w:type="dxa"/>
            <w:vAlign w:val="bottom"/>
          </w:tcPr>
          <w:p>
            <w:pPr>
              <w:jc w:val="right"/>
              <w:ind w:right="79"/>
              <w:spacing w:after="0"/>
              <w:rPr>
                <w:sz w:val="20"/>
                <w:szCs w:val="20"/>
                <w:color w:val="auto"/>
              </w:rPr>
            </w:pPr>
            <w:r>
              <w:rPr>
                <w:rFonts w:ascii="Arial" w:cs="Arial" w:eastAsia="Arial" w:hAnsi="Arial"/>
                <w:sz w:val="16"/>
                <w:szCs w:val="16"/>
                <w:color w:val="auto"/>
              </w:rPr>
              <w:t>268</w:t>
            </w:r>
          </w:p>
        </w:tc>
        <w:tc>
          <w:tcPr>
            <w:tcW w:w="360" w:type="dxa"/>
            <w:vAlign w:val="bottom"/>
          </w:tcPr>
          <w:p>
            <w:pPr>
              <w:spacing w:after="0"/>
              <w:rPr>
                <w:sz w:val="23"/>
                <w:szCs w:val="23"/>
                <w:color w:val="auto"/>
              </w:rPr>
            </w:pPr>
          </w:p>
        </w:tc>
        <w:tc>
          <w:tcPr>
            <w:tcW w:w="840" w:type="dxa"/>
            <w:vAlign w:val="bottom"/>
          </w:tcPr>
          <w:p>
            <w:pPr>
              <w:jc w:val="right"/>
              <w:ind w:right="19"/>
              <w:spacing w:after="0"/>
              <w:rPr>
                <w:sz w:val="20"/>
                <w:szCs w:val="20"/>
                <w:color w:val="auto"/>
              </w:rPr>
            </w:pPr>
            <w:r>
              <w:rPr>
                <w:rFonts w:ascii="Arial" w:cs="Arial" w:eastAsia="Arial" w:hAnsi="Arial"/>
                <w:sz w:val="16"/>
                <w:szCs w:val="16"/>
                <w:color w:val="auto"/>
              </w:rPr>
              <w:t>424</w:t>
            </w:r>
          </w:p>
        </w:tc>
      </w:tr>
      <w:tr>
        <w:trPr>
          <w:trHeight w:val="283"/>
        </w:trPr>
        <w:tc>
          <w:tcPr>
            <w:tcW w:w="7780" w:type="dxa"/>
            <w:vAlign w:val="bottom"/>
          </w:tcPr>
          <w:p>
            <w:pPr>
              <w:ind w:left="280"/>
              <w:spacing w:after="0"/>
              <w:rPr>
                <w:sz w:val="20"/>
                <w:szCs w:val="20"/>
                <w:color w:val="auto"/>
              </w:rPr>
            </w:pPr>
            <w:r>
              <w:rPr>
                <w:rFonts w:ascii="Arial" w:cs="Arial" w:eastAsia="Arial" w:hAnsi="Arial"/>
                <w:sz w:val="16"/>
                <w:szCs w:val="16"/>
                <w:color w:val="auto"/>
              </w:rPr>
              <w:t>Kaplan corporate and other</w:t>
            </w:r>
          </w:p>
        </w:tc>
        <w:tc>
          <w:tcPr>
            <w:tcW w:w="22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b w:val="1"/>
                <w:bCs w:val="1"/>
                <w:color w:val="auto"/>
              </w:rPr>
              <w:t>519</w:t>
            </w:r>
          </w:p>
        </w:tc>
        <w:tc>
          <w:tcPr>
            <w:tcW w:w="28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843</w:t>
            </w:r>
          </w:p>
        </w:tc>
        <w:tc>
          <w:tcPr>
            <w:tcW w:w="36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4,430</w:t>
            </w:r>
          </w:p>
        </w:tc>
      </w:tr>
      <w:tr>
        <w:trPr>
          <w:trHeight w:val="264"/>
        </w:trPr>
        <w:tc>
          <w:tcPr>
            <w:tcW w:w="7780" w:type="dxa"/>
            <w:vAlign w:val="bottom"/>
          </w:tcPr>
          <w:p>
            <w:pPr>
              <w:spacing w:after="0"/>
              <w:rPr>
                <w:sz w:val="22"/>
                <w:szCs w:val="22"/>
                <w:color w:val="auto"/>
              </w:rPr>
            </w:pPr>
          </w:p>
        </w:tc>
        <w:tc>
          <w:tcPr>
            <w:tcW w:w="2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b w:val="1"/>
                <w:bCs w:val="1"/>
                <w:color w:val="auto"/>
              </w:rPr>
              <w:t>$</w:t>
            </w:r>
          </w:p>
        </w:tc>
        <w:tc>
          <w:tcPr>
            <w:tcW w:w="98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b w:val="1"/>
                <w:bCs w:val="1"/>
                <w:color w:val="auto"/>
              </w:rPr>
              <w:t>10,613</w:t>
            </w:r>
          </w:p>
        </w:tc>
        <w:tc>
          <w:tcPr>
            <w:tcW w:w="28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w:t>
            </w:r>
          </w:p>
        </w:tc>
        <w:tc>
          <w:tcPr>
            <w:tcW w:w="96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11,803</w:t>
            </w:r>
          </w:p>
        </w:tc>
        <w:tc>
          <w:tcPr>
            <w:tcW w:w="36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rPr>
              <w:t>$</w:t>
            </w:r>
          </w:p>
        </w:tc>
        <w:tc>
          <w:tcPr>
            <w:tcW w:w="84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18,804</w:t>
            </w:r>
          </w:p>
        </w:tc>
      </w:tr>
      <w:tr>
        <w:trPr>
          <w:trHeight w:val="251"/>
        </w:trPr>
        <w:tc>
          <w:tcPr>
            <w:tcW w:w="7780" w:type="dxa"/>
            <w:vAlign w:val="bottom"/>
          </w:tcPr>
          <w:p>
            <w:pPr>
              <w:ind w:left="40"/>
              <w:spacing w:after="0"/>
              <w:rPr>
                <w:sz w:val="20"/>
                <w:szCs w:val="20"/>
                <w:color w:val="auto"/>
              </w:rPr>
            </w:pPr>
            <w:r>
              <w:rPr>
                <w:rFonts w:ascii="Arial" w:cs="Arial" w:eastAsia="Arial" w:hAnsi="Arial"/>
                <w:sz w:val="16"/>
                <w:szCs w:val="16"/>
                <w:b w:val="1"/>
                <w:bCs w:val="1"/>
                <w:color w:val="auto"/>
              </w:rPr>
              <w:t>Capital Expenditures</w:t>
            </w:r>
          </w:p>
        </w:tc>
        <w:tc>
          <w:tcPr>
            <w:tcW w:w="22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840" w:type="dxa"/>
            <w:vAlign w:val="bottom"/>
          </w:tcPr>
          <w:p>
            <w:pPr>
              <w:spacing w:after="0"/>
              <w:rPr>
                <w:sz w:val="21"/>
                <w:szCs w:val="21"/>
                <w:color w:val="auto"/>
              </w:rPr>
            </w:pPr>
          </w:p>
        </w:tc>
      </w:tr>
      <w:tr>
        <w:trPr>
          <w:trHeight w:val="270"/>
        </w:trPr>
        <w:tc>
          <w:tcPr>
            <w:tcW w:w="7780" w:type="dxa"/>
            <w:vAlign w:val="bottom"/>
          </w:tcPr>
          <w:p>
            <w:pPr>
              <w:ind w:left="280"/>
              <w:spacing w:after="0"/>
              <w:rPr>
                <w:sz w:val="20"/>
                <w:szCs w:val="20"/>
                <w:color w:val="auto"/>
              </w:rPr>
            </w:pPr>
            <w:r>
              <w:rPr>
                <w:rFonts w:ascii="Arial" w:cs="Arial" w:eastAsia="Arial" w:hAnsi="Arial"/>
                <w:sz w:val="16"/>
                <w:szCs w:val="16"/>
                <w:color w:val="auto"/>
              </w:rPr>
              <w:t>Higher education</w:t>
            </w:r>
          </w:p>
        </w:tc>
        <w:tc>
          <w:tcPr>
            <w:tcW w:w="220" w:type="dxa"/>
            <w:vAlign w:val="bottom"/>
          </w:tcPr>
          <w:p>
            <w:pPr>
              <w:jc w:val="right"/>
              <w:ind w:right="19"/>
              <w:spacing w:after="0"/>
              <w:rPr>
                <w:sz w:val="20"/>
                <w:szCs w:val="20"/>
                <w:color w:val="auto"/>
              </w:rPr>
            </w:pPr>
            <w:r>
              <w:rPr>
                <w:rFonts w:ascii="Arial" w:cs="Arial" w:eastAsia="Arial" w:hAnsi="Arial"/>
                <w:sz w:val="16"/>
                <w:szCs w:val="16"/>
                <w:b w:val="1"/>
                <w:bCs w:val="1"/>
                <w:color w:val="auto"/>
              </w:rPr>
              <w:t>$</w:t>
            </w:r>
          </w:p>
        </w:tc>
        <w:tc>
          <w:tcPr>
            <w:tcW w:w="980" w:type="dxa"/>
            <w:vAlign w:val="bottom"/>
          </w:tcPr>
          <w:p>
            <w:pPr>
              <w:jc w:val="right"/>
              <w:ind w:right="79"/>
              <w:spacing w:after="0"/>
              <w:rPr>
                <w:sz w:val="20"/>
                <w:szCs w:val="20"/>
                <w:color w:val="auto"/>
              </w:rPr>
            </w:pPr>
            <w:r>
              <w:rPr>
                <w:rFonts w:ascii="Arial" w:cs="Arial" w:eastAsia="Arial" w:hAnsi="Arial"/>
                <w:sz w:val="16"/>
                <w:szCs w:val="16"/>
                <w:b w:val="1"/>
                <w:bCs w:val="1"/>
                <w:color w:val="auto"/>
              </w:rPr>
              <w:t>4,633</w:t>
            </w:r>
          </w:p>
        </w:tc>
        <w:tc>
          <w:tcPr>
            <w:tcW w:w="28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960" w:type="dxa"/>
            <w:vAlign w:val="bottom"/>
          </w:tcPr>
          <w:p>
            <w:pPr>
              <w:jc w:val="right"/>
              <w:ind w:right="79"/>
              <w:spacing w:after="0"/>
              <w:rPr>
                <w:sz w:val="20"/>
                <w:szCs w:val="20"/>
                <w:color w:val="auto"/>
              </w:rPr>
            </w:pPr>
            <w:r>
              <w:rPr>
                <w:rFonts w:ascii="Arial" w:cs="Arial" w:eastAsia="Arial" w:hAnsi="Arial"/>
                <w:sz w:val="16"/>
                <w:szCs w:val="16"/>
                <w:color w:val="auto"/>
              </w:rPr>
              <w:t>5,364</w:t>
            </w:r>
          </w:p>
        </w:tc>
        <w:tc>
          <w:tcPr>
            <w:tcW w:w="360" w:type="dxa"/>
            <w:vAlign w:val="bottom"/>
          </w:tcPr>
          <w:p>
            <w:pPr>
              <w:jc w:val="right"/>
              <w:ind w:right="99"/>
              <w:spacing w:after="0"/>
              <w:rPr>
                <w:sz w:val="20"/>
                <w:szCs w:val="20"/>
                <w:color w:val="auto"/>
              </w:rPr>
            </w:pPr>
            <w:r>
              <w:rPr>
                <w:rFonts w:ascii="Arial" w:cs="Arial" w:eastAsia="Arial" w:hAnsi="Arial"/>
                <w:sz w:val="16"/>
                <w:szCs w:val="16"/>
                <w:color w:val="auto"/>
              </w:rPr>
              <w:t>$</w:t>
            </w:r>
          </w:p>
        </w:tc>
        <w:tc>
          <w:tcPr>
            <w:tcW w:w="840" w:type="dxa"/>
            <w:vAlign w:val="bottom"/>
          </w:tcPr>
          <w:p>
            <w:pPr>
              <w:jc w:val="right"/>
              <w:ind w:right="19"/>
              <w:spacing w:after="0"/>
              <w:rPr>
                <w:sz w:val="20"/>
                <w:szCs w:val="20"/>
                <w:color w:val="auto"/>
              </w:rPr>
            </w:pPr>
            <w:r>
              <w:rPr>
                <w:rFonts w:ascii="Arial" w:cs="Arial" w:eastAsia="Arial" w:hAnsi="Arial"/>
                <w:sz w:val="16"/>
                <w:szCs w:val="16"/>
                <w:color w:val="auto"/>
              </w:rPr>
              <w:t>10,202</w:t>
            </w:r>
          </w:p>
        </w:tc>
      </w:tr>
      <w:tr>
        <w:trPr>
          <w:trHeight w:val="270"/>
        </w:trPr>
        <w:tc>
          <w:tcPr>
            <w:tcW w:w="7780" w:type="dxa"/>
            <w:vAlign w:val="bottom"/>
          </w:tcPr>
          <w:p>
            <w:pPr>
              <w:ind w:left="280"/>
              <w:spacing w:after="0"/>
              <w:rPr>
                <w:sz w:val="20"/>
                <w:szCs w:val="20"/>
                <w:color w:val="auto"/>
              </w:rPr>
            </w:pPr>
            <w:r>
              <w:rPr>
                <w:rFonts w:ascii="Arial" w:cs="Arial" w:eastAsia="Arial" w:hAnsi="Arial"/>
                <w:sz w:val="16"/>
                <w:szCs w:val="16"/>
                <w:color w:val="auto"/>
              </w:rPr>
              <w:t>Test preparation</w:t>
            </w:r>
          </w:p>
        </w:tc>
        <w:tc>
          <w:tcPr>
            <w:tcW w:w="220" w:type="dxa"/>
            <w:vAlign w:val="bottom"/>
          </w:tcPr>
          <w:p>
            <w:pPr>
              <w:spacing w:after="0"/>
              <w:rPr>
                <w:sz w:val="23"/>
                <w:szCs w:val="23"/>
                <w:color w:val="auto"/>
              </w:rPr>
            </w:pPr>
          </w:p>
        </w:tc>
        <w:tc>
          <w:tcPr>
            <w:tcW w:w="980" w:type="dxa"/>
            <w:vAlign w:val="bottom"/>
          </w:tcPr>
          <w:p>
            <w:pPr>
              <w:jc w:val="right"/>
              <w:ind w:right="79"/>
              <w:spacing w:after="0"/>
              <w:rPr>
                <w:sz w:val="20"/>
                <w:szCs w:val="20"/>
                <w:color w:val="auto"/>
              </w:rPr>
            </w:pPr>
            <w:r>
              <w:rPr>
                <w:rFonts w:ascii="Arial" w:cs="Arial" w:eastAsia="Arial" w:hAnsi="Arial"/>
                <w:sz w:val="16"/>
                <w:szCs w:val="16"/>
                <w:b w:val="1"/>
                <w:bCs w:val="1"/>
                <w:color w:val="auto"/>
              </w:rPr>
              <w:t>1,038</w:t>
            </w:r>
          </w:p>
        </w:tc>
        <w:tc>
          <w:tcPr>
            <w:tcW w:w="280" w:type="dxa"/>
            <w:vAlign w:val="bottom"/>
          </w:tcPr>
          <w:p>
            <w:pPr>
              <w:spacing w:after="0"/>
              <w:rPr>
                <w:sz w:val="23"/>
                <w:szCs w:val="23"/>
                <w:color w:val="auto"/>
              </w:rPr>
            </w:pPr>
          </w:p>
        </w:tc>
        <w:tc>
          <w:tcPr>
            <w:tcW w:w="960" w:type="dxa"/>
            <w:vAlign w:val="bottom"/>
          </w:tcPr>
          <w:p>
            <w:pPr>
              <w:jc w:val="right"/>
              <w:ind w:right="79"/>
              <w:spacing w:after="0"/>
              <w:rPr>
                <w:sz w:val="20"/>
                <w:szCs w:val="20"/>
                <w:color w:val="auto"/>
              </w:rPr>
            </w:pPr>
            <w:r>
              <w:rPr>
                <w:rFonts w:ascii="Arial" w:cs="Arial" w:eastAsia="Arial" w:hAnsi="Arial"/>
                <w:sz w:val="16"/>
                <w:szCs w:val="16"/>
                <w:color w:val="auto"/>
              </w:rPr>
              <w:t>4,672</w:t>
            </w:r>
          </w:p>
        </w:tc>
        <w:tc>
          <w:tcPr>
            <w:tcW w:w="360" w:type="dxa"/>
            <w:vAlign w:val="bottom"/>
          </w:tcPr>
          <w:p>
            <w:pPr>
              <w:spacing w:after="0"/>
              <w:rPr>
                <w:sz w:val="23"/>
                <w:szCs w:val="23"/>
                <w:color w:val="auto"/>
              </w:rPr>
            </w:pPr>
          </w:p>
        </w:tc>
        <w:tc>
          <w:tcPr>
            <w:tcW w:w="840" w:type="dxa"/>
            <w:vAlign w:val="bottom"/>
          </w:tcPr>
          <w:p>
            <w:pPr>
              <w:jc w:val="right"/>
              <w:ind w:right="19"/>
              <w:spacing w:after="0"/>
              <w:rPr>
                <w:sz w:val="20"/>
                <w:szCs w:val="20"/>
                <w:color w:val="auto"/>
              </w:rPr>
            </w:pPr>
            <w:r>
              <w:rPr>
                <w:rFonts w:ascii="Arial" w:cs="Arial" w:eastAsia="Arial" w:hAnsi="Arial"/>
                <w:sz w:val="16"/>
                <w:szCs w:val="16"/>
                <w:color w:val="auto"/>
              </w:rPr>
              <w:t>8,720</w:t>
            </w:r>
          </w:p>
        </w:tc>
      </w:tr>
      <w:tr>
        <w:trPr>
          <w:trHeight w:val="270"/>
        </w:trPr>
        <w:tc>
          <w:tcPr>
            <w:tcW w:w="7780" w:type="dxa"/>
            <w:vAlign w:val="bottom"/>
          </w:tcPr>
          <w:p>
            <w:pPr>
              <w:ind w:left="280"/>
              <w:spacing w:after="0"/>
              <w:rPr>
                <w:sz w:val="20"/>
                <w:szCs w:val="20"/>
                <w:color w:val="auto"/>
              </w:rPr>
            </w:pPr>
            <w:r>
              <w:rPr>
                <w:rFonts w:ascii="Arial" w:cs="Arial" w:eastAsia="Arial" w:hAnsi="Arial"/>
                <w:sz w:val="16"/>
                <w:szCs w:val="16"/>
                <w:color w:val="auto"/>
              </w:rPr>
              <w:t>Kaplan international</w:t>
            </w:r>
          </w:p>
        </w:tc>
        <w:tc>
          <w:tcPr>
            <w:tcW w:w="220" w:type="dxa"/>
            <w:vAlign w:val="bottom"/>
          </w:tcPr>
          <w:p>
            <w:pPr>
              <w:spacing w:after="0"/>
              <w:rPr>
                <w:sz w:val="23"/>
                <w:szCs w:val="23"/>
                <w:color w:val="auto"/>
              </w:rPr>
            </w:pPr>
          </w:p>
        </w:tc>
        <w:tc>
          <w:tcPr>
            <w:tcW w:w="980" w:type="dxa"/>
            <w:vAlign w:val="bottom"/>
          </w:tcPr>
          <w:p>
            <w:pPr>
              <w:jc w:val="right"/>
              <w:ind w:right="79"/>
              <w:spacing w:after="0"/>
              <w:rPr>
                <w:sz w:val="20"/>
                <w:szCs w:val="20"/>
                <w:color w:val="auto"/>
              </w:rPr>
            </w:pPr>
            <w:r>
              <w:rPr>
                <w:rFonts w:ascii="Arial" w:cs="Arial" w:eastAsia="Arial" w:hAnsi="Arial"/>
                <w:sz w:val="16"/>
                <w:szCs w:val="16"/>
                <w:b w:val="1"/>
                <w:bCs w:val="1"/>
                <w:color w:val="auto"/>
              </w:rPr>
              <w:t>21,667</w:t>
            </w:r>
          </w:p>
        </w:tc>
        <w:tc>
          <w:tcPr>
            <w:tcW w:w="280" w:type="dxa"/>
            <w:vAlign w:val="bottom"/>
          </w:tcPr>
          <w:p>
            <w:pPr>
              <w:spacing w:after="0"/>
              <w:rPr>
                <w:sz w:val="23"/>
                <w:szCs w:val="23"/>
                <w:color w:val="auto"/>
              </w:rPr>
            </w:pPr>
          </w:p>
        </w:tc>
        <w:tc>
          <w:tcPr>
            <w:tcW w:w="960" w:type="dxa"/>
            <w:vAlign w:val="bottom"/>
          </w:tcPr>
          <w:p>
            <w:pPr>
              <w:jc w:val="right"/>
              <w:ind w:right="79"/>
              <w:spacing w:after="0"/>
              <w:rPr>
                <w:sz w:val="20"/>
                <w:szCs w:val="20"/>
                <w:color w:val="auto"/>
              </w:rPr>
            </w:pPr>
            <w:r>
              <w:rPr>
                <w:rFonts w:ascii="Arial" w:cs="Arial" w:eastAsia="Arial" w:hAnsi="Arial"/>
                <w:sz w:val="16"/>
                <w:szCs w:val="16"/>
                <w:color w:val="auto"/>
              </w:rPr>
              <w:t>16,252</w:t>
            </w:r>
          </w:p>
        </w:tc>
        <w:tc>
          <w:tcPr>
            <w:tcW w:w="360" w:type="dxa"/>
            <w:vAlign w:val="bottom"/>
          </w:tcPr>
          <w:p>
            <w:pPr>
              <w:spacing w:after="0"/>
              <w:rPr>
                <w:sz w:val="23"/>
                <w:szCs w:val="23"/>
                <w:color w:val="auto"/>
              </w:rPr>
            </w:pPr>
          </w:p>
        </w:tc>
        <w:tc>
          <w:tcPr>
            <w:tcW w:w="840" w:type="dxa"/>
            <w:vAlign w:val="bottom"/>
          </w:tcPr>
          <w:p>
            <w:pPr>
              <w:jc w:val="right"/>
              <w:ind w:right="19"/>
              <w:spacing w:after="0"/>
              <w:rPr>
                <w:sz w:val="20"/>
                <w:szCs w:val="20"/>
                <w:color w:val="auto"/>
              </w:rPr>
            </w:pPr>
            <w:r>
              <w:rPr>
                <w:rFonts w:ascii="Arial" w:cs="Arial" w:eastAsia="Arial" w:hAnsi="Arial"/>
                <w:sz w:val="16"/>
                <w:szCs w:val="16"/>
                <w:color w:val="auto"/>
              </w:rPr>
              <w:t>22,673</w:t>
            </w:r>
          </w:p>
        </w:tc>
      </w:tr>
      <w:tr>
        <w:trPr>
          <w:trHeight w:val="283"/>
        </w:trPr>
        <w:tc>
          <w:tcPr>
            <w:tcW w:w="7780" w:type="dxa"/>
            <w:vAlign w:val="bottom"/>
          </w:tcPr>
          <w:p>
            <w:pPr>
              <w:ind w:left="280"/>
              <w:spacing w:after="0"/>
              <w:rPr>
                <w:sz w:val="20"/>
                <w:szCs w:val="20"/>
                <w:color w:val="auto"/>
              </w:rPr>
            </w:pPr>
            <w:r>
              <w:rPr>
                <w:rFonts w:ascii="Arial" w:cs="Arial" w:eastAsia="Arial" w:hAnsi="Arial"/>
                <w:sz w:val="16"/>
                <w:szCs w:val="16"/>
                <w:color w:val="auto"/>
              </w:rPr>
              <w:t>Kaplan corporate and other</w:t>
            </w:r>
          </w:p>
        </w:tc>
        <w:tc>
          <w:tcPr>
            <w:tcW w:w="22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b w:val="1"/>
                <w:bCs w:val="1"/>
                <w:color w:val="auto"/>
              </w:rPr>
              <w:t>182</w:t>
            </w:r>
          </w:p>
        </w:tc>
        <w:tc>
          <w:tcPr>
            <w:tcW w:w="28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209</w:t>
            </w:r>
          </w:p>
        </w:tc>
        <w:tc>
          <w:tcPr>
            <w:tcW w:w="36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625</w:t>
            </w:r>
          </w:p>
        </w:tc>
      </w:tr>
      <w:tr>
        <w:trPr>
          <w:trHeight w:val="264"/>
        </w:trPr>
        <w:tc>
          <w:tcPr>
            <w:tcW w:w="7780" w:type="dxa"/>
            <w:vAlign w:val="bottom"/>
          </w:tcPr>
          <w:p>
            <w:pPr>
              <w:spacing w:after="0"/>
              <w:rPr>
                <w:sz w:val="22"/>
                <w:szCs w:val="22"/>
                <w:color w:val="auto"/>
              </w:rPr>
            </w:pPr>
          </w:p>
        </w:tc>
        <w:tc>
          <w:tcPr>
            <w:tcW w:w="2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b w:val="1"/>
                <w:bCs w:val="1"/>
                <w:color w:val="auto"/>
              </w:rPr>
              <w:t>$</w:t>
            </w:r>
          </w:p>
        </w:tc>
        <w:tc>
          <w:tcPr>
            <w:tcW w:w="98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b w:val="1"/>
                <w:bCs w:val="1"/>
                <w:color w:val="auto"/>
              </w:rPr>
              <w:t>27,520</w:t>
            </w:r>
          </w:p>
        </w:tc>
        <w:tc>
          <w:tcPr>
            <w:tcW w:w="28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w:t>
            </w:r>
          </w:p>
        </w:tc>
        <w:tc>
          <w:tcPr>
            <w:tcW w:w="96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26,497</w:t>
            </w:r>
          </w:p>
        </w:tc>
        <w:tc>
          <w:tcPr>
            <w:tcW w:w="36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rPr>
              <w:t>$</w:t>
            </w:r>
          </w:p>
        </w:tc>
        <w:tc>
          <w:tcPr>
            <w:tcW w:w="84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42,220</w:t>
            </w:r>
          </w:p>
        </w:tc>
      </w:tr>
    </w:tbl>
    <w:p>
      <w:pPr>
        <w:spacing w:after="0" w:line="148" w:lineRule="exact"/>
        <w:rPr>
          <w:sz w:val="20"/>
          <w:szCs w:val="20"/>
          <w:color w:val="auto"/>
        </w:rPr>
      </w:pPr>
    </w:p>
    <w:p>
      <w:pPr>
        <w:spacing w:after="0" w:line="227" w:lineRule="auto"/>
        <w:rPr>
          <w:sz w:val="20"/>
          <w:szCs w:val="20"/>
          <w:color w:val="auto"/>
        </w:rPr>
      </w:pPr>
      <w:r>
        <w:rPr>
          <w:rFonts w:ascii="Arial" w:cs="Arial" w:eastAsia="Arial" w:hAnsi="Arial"/>
          <w:sz w:val="18"/>
          <w:szCs w:val="18"/>
          <w:color w:val="auto"/>
        </w:rPr>
        <w:t>In the third quarter of 2015, a favorable $3.0 million out of period revenue adjustment was included at the test preparation segment that related to prior periods from 2011 through the second quarter of 2015. With respect to this error, the Company has concluded that it was not material to the Company’s financial position or results of operations for 2015 and prior years and the related interim periods, based on its consideration of quantitative and qualitative factors.</w:t>
      </w:r>
    </w:p>
    <w:p>
      <w:pPr>
        <w:spacing w:after="0" w:line="135" w:lineRule="exact"/>
        <w:rPr>
          <w:sz w:val="20"/>
          <w:szCs w:val="20"/>
          <w:color w:val="auto"/>
        </w:rPr>
      </w:pPr>
    </w:p>
    <w:p>
      <w:pPr>
        <w:ind w:left="40"/>
        <w:spacing w:after="0"/>
        <w:rPr>
          <w:sz w:val="20"/>
          <w:szCs w:val="20"/>
          <w:color w:val="auto"/>
        </w:rPr>
      </w:pPr>
      <w:r>
        <w:rPr>
          <w:rFonts w:ascii="Arial" w:cs="Arial" w:eastAsia="Arial" w:hAnsi="Arial"/>
          <w:sz w:val="18"/>
          <w:szCs w:val="18"/>
          <w:color w:val="auto"/>
        </w:rPr>
        <w:t>Asset information for the Company’s education division is as follows:</w:t>
      </w:r>
    </w:p>
    <w:p>
      <w:pPr>
        <w:spacing w:after="0" w:line="145"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902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2180" w:type="dxa"/>
            <w:vAlign w:val="bottom"/>
            <w:tcBorders>
              <w:bottom w:val="single" w:sz="8" w:color="auto"/>
            </w:tcBorders>
            <w:gridSpan w:val="3"/>
          </w:tcPr>
          <w:p>
            <w:pPr>
              <w:jc w:val="right"/>
              <w:ind w:right="460"/>
              <w:spacing w:after="0"/>
              <w:rPr>
                <w:sz w:val="20"/>
                <w:szCs w:val="20"/>
                <w:color w:val="auto"/>
              </w:rPr>
            </w:pPr>
            <w:r>
              <w:rPr>
                <w:rFonts w:ascii="Arial" w:cs="Arial" w:eastAsia="Arial" w:hAnsi="Arial"/>
                <w:sz w:val="14"/>
                <w:szCs w:val="14"/>
                <w:b w:val="1"/>
                <w:bCs w:val="1"/>
                <w:color w:val="auto"/>
              </w:rPr>
              <w:t>As of December 31</w:t>
            </w:r>
          </w:p>
        </w:tc>
      </w:tr>
      <w:tr>
        <w:trPr>
          <w:trHeight w:val="264"/>
        </w:trPr>
        <w:tc>
          <w:tcPr>
            <w:tcW w:w="902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(in thousands)</w:t>
            </w:r>
          </w:p>
        </w:tc>
        <w:tc>
          <w:tcPr>
            <w:tcW w:w="22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362"/>
              <w:spacing w:after="0"/>
              <w:rPr>
                <w:sz w:val="20"/>
                <w:szCs w:val="20"/>
                <w:color w:val="auto"/>
              </w:rPr>
            </w:pPr>
            <w:r>
              <w:rPr>
                <w:rFonts w:ascii="Arial" w:cs="Arial" w:eastAsia="Arial" w:hAnsi="Arial"/>
                <w:sz w:val="14"/>
                <w:szCs w:val="14"/>
                <w:b w:val="1"/>
                <w:bCs w:val="1"/>
                <w:color w:val="auto"/>
              </w:rPr>
              <w:t>2017</w:t>
            </w:r>
          </w:p>
        </w:tc>
        <w:tc>
          <w:tcPr>
            <w:tcW w:w="30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jc w:val="right"/>
              <w:ind w:right="320"/>
              <w:spacing w:after="0"/>
              <w:rPr>
                <w:sz w:val="20"/>
                <w:szCs w:val="20"/>
                <w:color w:val="auto"/>
              </w:rPr>
            </w:pPr>
            <w:r>
              <w:rPr>
                <w:rFonts w:ascii="Arial" w:cs="Arial" w:eastAsia="Arial" w:hAnsi="Arial"/>
                <w:sz w:val="14"/>
                <w:szCs w:val="14"/>
                <w:color w:val="auto"/>
              </w:rPr>
              <w:t>2016</w:t>
            </w:r>
          </w:p>
        </w:tc>
      </w:tr>
      <w:tr>
        <w:trPr>
          <w:trHeight w:val="250"/>
        </w:trPr>
        <w:tc>
          <w:tcPr>
            <w:tcW w:w="9020" w:type="dxa"/>
            <w:vAlign w:val="bottom"/>
          </w:tcPr>
          <w:p>
            <w:pPr>
              <w:ind w:left="40"/>
              <w:spacing w:after="0"/>
              <w:rPr>
                <w:sz w:val="20"/>
                <w:szCs w:val="20"/>
                <w:color w:val="auto"/>
              </w:rPr>
            </w:pPr>
            <w:r>
              <w:rPr>
                <w:rFonts w:ascii="Arial" w:cs="Arial" w:eastAsia="Arial" w:hAnsi="Arial"/>
                <w:sz w:val="16"/>
                <w:szCs w:val="16"/>
                <w:b w:val="1"/>
                <w:bCs w:val="1"/>
                <w:color w:val="auto"/>
              </w:rPr>
              <w:t>Identifiable Assets</w:t>
            </w:r>
          </w:p>
        </w:tc>
        <w:tc>
          <w:tcPr>
            <w:tcW w:w="22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20" w:type="dxa"/>
            <w:vAlign w:val="bottom"/>
          </w:tcPr>
          <w:p>
            <w:pPr>
              <w:spacing w:after="0"/>
              <w:rPr>
                <w:sz w:val="21"/>
                <w:szCs w:val="21"/>
                <w:color w:val="auto"/>
              </w:rPr>
            </w:pPr>
          </w:p>
        </w:tc>
      </w:tr>
      <w:tr>
        <w:trPr>
          <w:trHeight w:val="270"/>
        </w:trPr>
        <w:tc>
          <w:tcPr>
            <w:tcW w:w="9020" w:type="dxa"/>
            <w:vAlign w:val="bottom"/>
          </w:tcPr>
          <w:p>
            <w:pPr>
              <w:ind w:left="280"/>
              <w:spacing w:after="0"/>
              <w:rPr>
                <w:sz w:val="20"/>
                <w:szCs w:val="20"/>
                <w:color w:val="auto"/>
              </w:rPr>
            </w:pPr>
            <w:r>
              <w:rPr>
                <w:rFonts w:ascii="Arial" w:cs="Arial" w:eastAsia="Arial" w:hAnsi="Arial"/>
                <w:sz w:val="16"/>
                <w:szCs w:val="16"/>
                <w:color w:val="auto"/>
              </w:rPr>
              <w:t>Higher education</w:t>
            </w:r>
          </w:p>
        </w:tc>
        <w:tc>
          <w:tcPr>
            <w:tcW w:w="220" w:type="dxa"/>
            <w:vAlign w:val="bottom"/>
          </w:tcPr>
          <w:p>
            <w:pPr>
              <w:jc w:val="right"/>
              <w:ind w:right="19"/>
              <w:spacing w:after="0"/>
              <w:rPr>
                <w:sz w:val="20"/>
                <w:szCs w:val="20"/>
                <w:color w:val="auto"/>
              </w:rPr>
            </w:pPr>
            <w:r>
              <w:rPr>
                <w:rFonts w:ascii="Arial" w:cs="Arial" w:eastAsia="Arial" w:hAnsi="Arial"/>
                <w:sz w:val="16"/>
                <w:szCs w:val="16"/>
                <w:b w:val="1"/>
                <w:bCs w:val="1"/>
                <w:color w:val="auto"/>
              </w:rPr>
              <w:t>$</w:t>
            </w:r>
          </w:p>
        </w:tc>
        <w:tc>
          <w:tcPr>
            <w:tcW w:w="960" w:type="dxa"/>
            <w:vAlign w:val="bottom"/>
          </w:tcPr>
          <w:p>
            <w:pPr>
              <w:jc w:val="right"/>
              <w:ind w:right="62"/>
              <w:spacing w:after="0"/>
              <w:rPr>
                <w:sz w:val="20"/>
                <w:szCs w:val="20"/>
                <w:color w:val="auto"/>
              </w:rPr>
            </w:pPr>
            <w:r>
              <w:rPr>
                <w:rFonts w:ascii="Arial" w:cs="Arial" w:eastAsia="Arial" w:hAnsi="Arial"/>
                <w:sz w:val="16"/>
                <w:szCs w:val="16"/>
                <w:b w:val="1"/>
                <w:bCs w:val="1"/>
                <w:color w:val="auto"/>
              </w:rPr>
              <w:t>323,616</w:t>
            </w:r>
          </w:p>
        </w:tc>
        <w:tc>
          <w:tcPr>
            <w:tcW w:w="30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920" w:type="dxa"/>
            <w:vAlign w:val="bottom"/>
          </w:tcPr>
          <w:p>
            <w:pPr>
              <w:jc w:val="right"/>
              <w:ind w:right="20"/>
              <w:spacing w:after="0"/>
              <w:rPr>
                <w:sz w:val="20"/>
                <w:szCs w:val="20"/>
                <w:color w:val="auto"/>
              </w:rPr>
            </w:pPr>
            <w:r>
              <w:rPr>
                <w:rFonts w:ascii="Arial" w:cs="Arial" w:eastAsia="Arial" w:hAnsi="Arial"/>
                <w:sz w:val="16"/>
                <w:szCs w:val="16"/>
                <w:color w:val="auto"/>
              </w:rPr>
              <w:t>373,127</w:t>
            </w:r>
          </w:p>
        </w:tc>
      </w:tr>
      <w:tr>
        <w:trPr>
          <w:trHeight w:val="270"/>
        </w:trPr>
        <w:tc>
          <w:tcPr>
            <w:tcW w:w="9020" w:type="dxa"/>
            <w:vAlign w:val="bottom"/>
          </w:tcPr>
          <w:p>
            <w:pPr>
              <w:ind w:left="280"/>
              <w:spacing w:after="0"/>
              <w:rPr>
                <w:sz w:val="20"/>
                <w:szCs w:val="20"/>
                <w:color w:val="auto"/>
              </w:rPr>
            </w:pPr>
            <w:r>
              <w:rPr>
                <w:rFonts w:ascii="Arial" w:cs="Arial" w:eastAsia="Arial" w:hAnsi="Arial"/>
                <w:sz w:val="16"/>
                <w:szCs w:val="16"/>
                <w:color w:val="auto"/>
              </w:rPr>
              <w:t>Test preparation</w:t>
            </w:r>
          </w:p>
        </w:tc>
        <w:tc>
          <w:tcPr>
            <w:tcW w:w="220" w:type="dxa"/>
            <w:vAlign w:val="bottom"/>
          </w:tcPr>
          <w:p>
            <w:pPr>
              <w:spacing w:after="0"/>
              <w:rPr>
                <w:sz w:val="23"/>
                <w:szCs w:val="23"/>
                <w:color w:val="auto"/>
              </w:rPr>
            </w:pPr>
          </w:p>
        </w:tc>
        <w:tc>
          <w:tcPr>
            <w:tcW w:w="960" w:type="dxa"/>
            <w:vAlign w:val="bottom"/>
          </w:tcPr>
          <w:p>
            <w:pPr>
              <w:jc w:val="right"/>
              <w:ind w:right="62"/>
              <w:spacing w:after="0"/>
              <w:rPr>
                <w:sz w:val="20"/>
                <w:szCs w:val="20"/>
                <w:color w:val="auto"/>
              </w:rPr>
            </w:pPr>
            <w:r>
              <w:rPr>
                <w:rFonts w:ascii="Arial" w:cs="Arial" w:eastAsia="Arial" w:hAnsi="Arial"/>
                <w:sz w:val="16"/>
                <w:szCs w:val="16"/>
                <w:b w:val="1"/>
                <w:bCs w:val="1"/>
                <w:color w:val="auto"/>
              </w:rPr>
              <w:t>130,938</w:t>
            </w:r>
          </w:p>
        </w:tc>
        <w:tc>
          <w:tcPr>
            <w:tcW w:w="300" w:type="dxa"/>
            <w:vAlign w:val="bottom"/>
          </w:tcPr>
          <w:p>
            <w:pPr>
              <w:spacing w:after="0"/>
              <w:rPr>
                <w:sz w:val="23"/>
                <w:szCs w:val="23"/>
                <w:color w:val="auto"/>
              </w:rPr>
            </w:pPr>
          </w:p>
        </w:tc>
        <w:tc>
          <w:tcPr>
            <w:tcW w:w="920" w:type="dxa"/>
            <w:vAlign w:val="bottom"/>
          </w:tcPr>
          <w:p>
            <w:pPr>
              <w:jc w:val="right"/>
              <w:ind w:right="20"/>
              <w:spacing w:after="0"/>
              <w:rPr>
                <w:sz w:val="20"/>
                <w:szCs w:val="20"/>
                <w:color w:val="auto"/>
              </w:rPr>
            </w:pPr>
            <w:r>
              <w:rPr>
                <w:rFonts w:ascii="Arial" w:cs="Arial" w:eastAsia="Arial" w:hAnsi="Arial"/>
                <w:sz w:val="16"/>
                <w:szCs w:val="16"/>
                <w:color w:val="auto"/>
              </w:rPr>
              <w:t>133,709</w:t>
            </w:r>
          </w:p>
        </w:tc>
      </w:tr>
      <w:tr>
        <w:trPr>
          <w:trHeight w:val="270"/>
        </w:trPr>
        <w:tc>
          <w:tcPr>
            <w:tcW w:w="9020" w:type="dxa"/>
            <w:vAlign w:val="bottom"/>
          </w:tcPr>
          <w:p>
            <w:pPr>
              <w:ind w:left="280"/>
              <w:spacing w:after="0"/>
              <w:rPr>
                <w:sz w:val="20"/>
                <w:szCs w:val="20"/>
                <w:color w:val="auto"/>
              </w:rPr>
            </w:pPr>
            <w:r>
              <w:rPr>
                <w:rFonts w:ascii="Arial" w:cs="Arial" w:eastAsia="Arial" w:hAnsi="Arial"/>
                <w:sz w:val="16"/>
                <w:szCs w:val="16"/>
                <w:color w:val="auto"/>
              </w:rPr>
              <w:t>Kaplan international</w:t>
            </w:r>
          </w:p>
        </w:tc>
        <w:tc>
          <w:tcPr>
            <w:tcW w:w="220" w:type="dxa"/>
            <w:vAlign w:val="bottom"/>
          </w:tcPr>
          <w:p>
            <w:pPr>
              <w:spacing w:after="0"/>
              <w:rPr>
                <w:sz w:val="23"/>
                <w:szCs w:val="23"/>
                <w:color w:val="auto"/>
              </w:rPr>
            </w:pPr>
          </w:p>
        </w:tc>
        <w:tc>
          <w:tcPr>
            <w:tcW w:w="960" w:type="dxa"/>
            <w:vAlign w:val="bottom"/>
          </w:tcPr>
          <w:p>
            <w:pPr>
              <w:jc w:val="right"/>
              <w:ind w:right="62"/>
              <w:spacing w:after="0"/>
              <w:rPr>
                <w:sz w:val="20"/>
                <w:szCs w:val="20"/>
                <w:color w:val="auto"/>
              </w:rPr>
            </w:pPr>
            <w:r>
              <w:rPr>
                <w:rFonts w:ascii="Arial" w:cs="Arial" w:eastAsia="Arial" w:hAnsi="Arial"/>
                <w:sz w:val="16"/>
                <w:szCs w:val="16"/>
                <w:b w:val="1"/>
                <w:bCs w:val="1"/>
                <w:color w:val="auto"/>
              </w:rPr>
              <w:t>1,115,919</w:t>
            </w:r>
          </w:p>
        </w:tc>
        <w:tc>
          <w:tcPr>
            <w:tcW w:w="300" w:type="dxa"/>
            <w:vAlign w:val="bottom"/>
          </w:tcPr>
          <w:p>
            <w:pPr>
              <w:spacing w:after="0"/>
              <w:rPr>
                <w:sz w:val="23"/>
                <w:szCs w:val="23"/>
                <w:color w:val="auto"/>
              </w:rPr>
            </w:pPr>
          </w:p>
        </w:tc>
        <w:tc>
          <w:tcPr>
            <w:tcW w:w="920" w:type="dxa"/>
            <w:vAlign w:val="bottom"/>
          </w:tcPr>
          <w:p>
            <w:pPr>
              <w:jc w:val="right"/>
              <w:ind w:right="20"/>
              <w:spacing w:after="0"/>
              <w:rPr>
                <w:sz w:val="20"/>
                <w:szCs w:val="20"/>
                <w:color w:val="auto"/>
              </w:rPr>
            </w:pPr>
            <w:r>
              <w:rPr>
                <w:rFonts w:ascii="Arial" w:cs="Arial" w:eastAsia="Arial" w:hAnsi="Arial"/>
                <w:sz w:val="16"/>
                <w:szCs w:val="16"/>
                <w:color w:val="auto"/>
              </w:rPr>
              <w:t>950,922</w:t>
            </w:r>
          </w:p>
        </w:tc>
      </w:tr>
      <w:tr>
        <w:trPr>
          <w:trHeight w:val="283"/>
        </w:trPr>
        <w:tc>
          <w:tcPr>
            <w:tcW w:w="9020" w:type="dxa"/>
            <w:vAlign w:val="bottom"/>
          </w:tcPr>
          <w:p>
            <w:pPr>
              <w:ind w:left="280"/>
              <w:spacing w:after="0"/>
              <w:rPr>
                <w:sz w:val="20"/>
                <w:szCs w:val="20"/>
                <w:color w:val="auto"/>
              </w:rPr>
            </w:pPr>
            <w:r>
              <w:rPr>
                <w:rFonts w:ascii="Arial" w:cs="Arial" w:eastAsia="Arial" w:hAnsi="Arial"/>
                <w:sz w:val="16"/>
                <w:szCs w:val="16"/>
                <w:color w:val="auto"/>
              </w:rPr>
              <w:t>Kaplan corporate and other</w:t>
            </w:r>
          </w:p>
        </w:tc>
        <w:tc>
          <w:tcPr>
            <w:tcW w:w="22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jc w:val="right"/>
              <w:ind w:right="62"/>
              <w:spacing w:after="0"/>
              <w:rPr>
                <w:sz w:val="20"/>
                <w:szCs w:val="20"/>
                <w:color w:val="auto"/>
              </w:rPr>
            </w:pPr>
            <w:r>
              <w:rPr>
                <w:rFonts w:ascii="Arial" w:cs="Arial" w:eastAsia="Arial" w:hAnsi="Arial"/>
                <w:sz w:val="16"/>
                <w:szCs w:val="16"/>
                <w:b w:val="1"/>
                <w:bCs w:val="1"/>
                <w:color w:val="auto"/>
              </w:rPr>
              <w:t>21,624</w:t>
            </w:r>
          </w:p>
        </w:tc>
        <w:tc>
          <w:tcPr>
            <w:tcW w:w="30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21,509</w:t>
            </w:r>
          </w:p>
        </w:tc>
      </w:tr>
      <w:tr>
        <w:trPr>
          <w:trHeight w:val="264"/>
        </w:trPr>
        <w:tc>
          <w:tcPr>
            <w:tcW w:w="9020" w:type="dxa"/>
            <w:vAlign w:val="bottom"/>
          </w:tcPr>
          <w:p>
            <w:pPr>
              <w:spacing w:after="0"/>
              <w:rPr>
                <w:sz w:val="22"/>
                <w:szCs w:val="22"/>
                <w:color w:val="auto"/>
              </w:rPr>
            </w:pPr>
          </w:p>
        </w:tc>
        <w:tc>
          <w:tcPr>
            <w:tcW w:w="2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b w:val="1"/>
                <w:bCs w:val="1"/>
                <w:color w:val="auto"/>
              </w:rPr>
              <w:t>$</w:t>
            </w:r>
          </w:p>
        </w:tc>
        <w:tc>
          <w:tcPr>
            <w:tcW w:w="960" w:type="dxa"/>
            <w:vAlign w:val="bottom"/>
            <w:tcBorders>
              <w:bottom w:val="single" w:sz="8" w:color="auto"/>
            </w:tcBorders>
          </w:tcPr>
          <w:p>
            <w:pPr>
              <w:jc w:val="right"/>
              <w:ind w:right="62"/>
              <w:spacing w:after="0"/>
              <w:rPr>
                <w:sz w:val="20"/>
                <w:szCs w:val="20"/>
                <w:color w:val="auto"/>
              </w:rPr>
            </w:pPr>
            <w:r>
              <w:rPr>
                <w:rFonts w:ascii="Arial" w:cs="Arial" w:eastAsia="Arial" w:hAnsi="Arial"/>
                <w:sz w:val="16"/>
                <w:szCs w:val="16"/>
                <w:b w:val="1"/>
                <w:bCs w:val="1"/>
                <w:color w:val="auto"/>
              </w:rPr>
              <w:t>1,592,097</w:t>
            </w:r>
          </w:p>
        </w:tc>
        <w:tc>
          <w:tcPr>
            <w:tcW w:w="3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w:t>
            </w:r>
          </w:p>
        </w:tc>
        <w:tc>
          <w:tcPr>
            <w:tcW w:w="92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1,479,267</w:t>
            </w:r>
          </w:p>
        </w:tc>
      </w:tr>
      <w:tr>
        <w:trPr>
          <w:trHeight w:val="20"/>
        </w:trPr>
        <w:tc>
          <w:tcPr>
            <w:tcW w:w="90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746" w:right="239" w:bottom="1003" w:gutter="0" w:footer="0" w:header="0"/>
        </w:sectPr>
      </w:pPr>
    </w:p>
    <w:p>
      <w:pPr>
        <w:spacing w:after="0" w:line="31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120</w:t>
      </w:r>
    </w:p>
    <w:p>
      <w:pPr>
        <w:sectPr>
          <w:pgSz w:w="11900" w:h="16838" w:orient="portrait"/>
          <w:cols w:equalWidth="0" w:num="1">
            <w:col w:w="11420"/>
          </w:cols>
          <w:pgMar w:left="240" w:top="746" w:right="239" w:bottom="1003" w:gutter="0" w:footer="0" w:header="0"/>
          <w:type w:val="continuous"/>
        </w:sectPr>
      </w:pPr>
    </w:p>
    <w:bookmarkStart w:id="125" w:name="page126"/>
    <w:bookmarkEnd w:id="125"/>
    <w:p>
      <w:pPr>
        <w:ind w:left="500" w:hanging="492"/>
        <w:spacing w:after="0"/>
        <w:tabs>
          <w:tab w:leader="none" w:pos="500" w:val="left"/>
        </w:tabs>
        <w:numPr>
          <w:ilvl w:val="0"/>
          <w:numId w:val="86"/>
        </w:numPr>
        <w:rPr>
          <w:rFonts w:ascii="Arial" w:cs="Arial" w:eastAsia="Arial" w:hAnsi="Arial"/>
          <w:sz w:val="18"/>
          <w:szCs w:val="18"/>
          <w:b w:val="1"/>
          <w:bCs w:val="1"/>
          <w:color w:val="auto"/>
        </w:rPr>
      </w:pPr>
      <w:r>
        <w:rPr>
          <w:rFonts w:ascii="Arial" w:cs="Arial" w:eastAsia="Arial" w:hAnsi="Arial"/>
          <w:sz w:val="18"/>
          <w:szCs w:val="18"/>
          <w:b w:val="1"/>
          <w:bCs w:val="1"/>
          <w:color w:val="auto"/>
        </w:rPr>
        <w:t>SUMMARY OF QUARTERLY OPERATING RESULTS AND COMPREHENSIVE INCOME (UNAUDITED)</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color w:val="auto"/>
        </w:rPr>
        <w:t>Quarterly results of operations and comprehensive income for the year ended December 31, 2017, is as follows:</w:t>
      </w:r>
    </w:p>
    <w:p>
      <w:pPr>
        <w:spacing w:after="0" w:line="145"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69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00" w:type="dxa"/>
            <w:vAlign w:val="bottom"/>
          </w:tcPr>
          <w:p>
            <w:pPr>
              <w:jc w:val="right"/>
              <w:ind w:right="320"/>
              <w:spacing w:after="0"/>
              <w:rPr>
                <w:sz w:val="20"/>
                <w:szCs w:val="20"/>
                <w:color w:val="auto"/>
              </w:rPr>
            </w:pPr>
            <w:r>
              <w:rPr>
                <w:rFonts w:ascii="Arial" w:cs="Arial" w:eastAsia="Arial" w:hAnsi="Arial"/>
                <w:sz w:val="14"/>
                <w:szCs w:val="14"/>
                <w:b w:val="1"/>
                <w:bCs w:val="1"/>
                <w:color w:val="auto"/>
              </w:rPr>
              <w:t>First</w:t>
            </w:r>
          </w:p>
        </w:tc>
        <w:tc>
          <w:tcPr>
            <w:tcW w:w="240" w:type="dxa"/>
            <w:vAlign w:val="bottom"/>
          </w:tcPr>
          <w:p>
            <w:pPr>
              <w:spacing w:after="0"/>
              <w:rPr>
                <w:sz w:val="14"/>
                <w:szCs w:val="14"/>
                <w:color w:val="auto"/>
              </w:rPr>
            </w:pPr>
          </w:p>
        </w:tc>
        <w:tc>
          <w:tcPr>
            <w:tcW w:w="900" w:type="dxa"/>
            <w:vAlign w:val="bottom"/>
          </w:tcPr>
          <w:p>
            <w:pPr>
              <w:jc w:val="right"/>
              <w:ind w:right="220"/>
              <w:spacing w:after="0"/>
              <w:rPr>
                <w:sz w:val="20"/>
                <w:szCs w:val="20"/>
                <w:color w:val="auto"/>
              </w:rPr>
            </w:pPr>
            <w:r>
              <w:rPr>
                <w:rFonts w:ascii="Arial" w:cs="Arial" w:eastAsia="Arial" w:hAnsi="Arial"/>
                <w:sz w:val="14"/>
                <w:szCs w:val="14"/>
                <w:b w:val="1"/>
                <w:bCs w:val="1"/>
                <w:color w:val="auto"/>
              </w:rPr>
              <w:t>Second</w:t>
            </w:r>
          </w:p>
        </w:tc>
        <w:tc>
          <w:tcPr>
            <w:tcW w:w="240" w:type="dxa"/>
            <w:vAlign w:val="bottom"/>
          </w:tcPr>
          <w:p>
            <w:pPr>
              <w:spacing w:after="0"/>
              <w:rPr>
                <w:sz w:val="14"/>
                <w:szCs w:val="14"/>
                <w:color w:val="auto"/>
              </w:rPr>
            </w:pPr>
          </w:p>
        </w:tc>
        <w:tc>
          <w:tcPr>
            <w:tcW w:w="880" w:type="dxa"/>
            <w:vAlign w:val="bottom"/>
          </w:tcPr>
          <w:p>
            <w:pPr>
              <w:jc w:val="right"/>
              <w:ind w:right="280"/>
              <w:spacing w:after="0"/>
              <w:rPr>
                <w:sz w:val="20"/>
                <w:szCs w:val="20"/>
                <w:color w:val="auto"/>
              </w:rPr>
            </w:pPr>
            <w:r>
              <w:rPr>
                <w:rFonts w:ascii="Arial" w:cs="Arial" w:eastAsia="Arial" w:hAnsi="Arial"/>
                <w:sz w:val="14"/>
                <w:szCs w:val="14"/>
                <w:b w:val="1"/>
                <w:bCs w:val="1"/>
                <w:color w:val="auto"/>
              </w:rPr>
              <w:t>Third</w:t>
            </w:r>
          </w:p>
        </w:tc>
        <w:tc>
          <w:tcPr>
            <w:tcW w:w="260" w:type="dxa"/>
            <w:vAlign w:val="bottom"/>
          </w:tcPr>
          <w:p>
            <w:pPr>
              <w:spacing w:after="0"/>
              <w:rPr>
                <w:sz w:val="14"/>
                <w:szCs w:val="14"/>
                <w:color w:val="auto"/>
              </w:rPr>
            </w:pPr>
          </w:p>
        </w:tc>
        <w:tc>
          <w:tcPr>
            <w:tcW w:w="840" w:type="dxa"/>
            <w:vAlign w:val="bottom"/>
          </w:tcPr>
          <w:p>
            <w:pPr>
              <w:jc w:val="right"/>
              <w:ind w:right="200"/>
              <w:spacing w:after="0"/>
              <w:rPr>
                <w:sz w:val="20"/>
                <w:szCs w:val="20"/>
                <w:color w:val="auto"/>
              </w:rPr>
            </w:pPr>
            <w:r>
              <w:rPr>
                <w:rFonts w:ascii="Arial" w:cs="Arial" w:eastAsia="Arial" w:hAnsi="Arial"/>
                <w:sz w:val="14"/>
                <w:szCs w:val="14"/>
                <w:b w:val="1"/>
                <w:bCs w:val="1"/>
                <w:color w:val="auto"/>
              </w:rPr>
              <w:t>Fourth</w:t>
            </w:r>
          </w:p>
        </w:tc>
        <w:tc>
          <w:tcPr>
            <w:tcW w:w="0" w:type="dxa"/>
            <w:vAlign w:val="bottom"/>
          </w:tcPr>
          <w:p>
            <w:pPr>
              <w:spacing w:after="0"/>
              <w:rPr>
                <w:sz w:val="1"/>
                <w:szCs w:val="1"/>
                <w:color w:val="auto"/>
              </w:rPr>
            </w:pPr>
          </w:p>
        </w:tc>
      </w:tr>
      <w:tr>
        <w:trPr>
          <w:trHeight w:val="196"/>
        </w:trPr>
        <w:tc>
          <w:tcPr>
            <w:tcW w:w="698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(in thousands, except per share amounts)</w:t>
            </w:r>
          </w:p>
        </w:tc>
        <w:tc>
          <w:tcPr>
            <w:tcW w:w="18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ind w:right="220"/>
              <w:spacing w:after="0"/>
              <w:rPr>
                <w:sz w:val="20"/>
                <w:szCs w:val="20"/>
                <w:color w:val="auto"/>
              </w:rPr>
            </w:pPr>
            <w:r>
              <w:rPr>
                <w:rFonts w:ascii="Arial" w:cs="Arial" w:eastAsia="Arial" w:hAnsi="Arial"/>
                <w:sz w:val="14"/>
                <w:szCs w:val="14"/>
                <w:b w:val="1"/>
                <w:bCs w:val="1"/>
                <w:color w:val="auto"/>
              </w:rPr>
              <w:t>Quarter</w:t>
            </w:r>
          </w:p>
        </w:tc>
        <w:tc>
          <w:tcPr>
            <w:tcW w:w="24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ind w:right="220"/>
              <w:spacing w:after="0"/>
              <w:rPr>
                <w:sz w:val="20"/>
                <w:szCs w:val="20"/>
                <w:color w:val="auto"/>
              </w:rPr>
            </w:pPr>
            <w:r>
              <w:rPr>
                <w:rFonts w:ascii="Arial" w:cs="Arial" w:eastAsia="Arial" w:hAnsi="Arial"/>
                <w:sz w:val="14"/>
                <w:szCs w:val="14"/>
                <w:b w:val="1"/>
                <w:bCs w:val="1"/>
                <w:color w:val="auto"/>
              </w:rPr>
              <w:t>Quarter</w:t>
            </w:r>
          </w:p>
        </w:tc>
        <w:tc>
          <w:tcPr>
            <w:tcW w:w="24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ind w:right="200"/>
              <w:spacing w:after="0"/>
              <w:rPr>
                <w:sz w:val="20"/>
                <w:szCs w:val="20"/>
                <w:color w:val="auto"/>
              </w:rPr>
            </w:pPr>
            <w:r>
              <w:rPr>
                <w:rFonts w:ascii="Arial" w:cs="Arial" w:eastAsia="Arial" w:hAnsi="Arial"/>
                <w:sz w:val="14"/>
                <w:szCs w:val="14"/>
                <w:b w:val="1"/>
                <w:bCs w:val="1"/>
                <w:color w:val="auto"/>
              </w:rPr>
              <w:t>Quarter</w:t>
            </w:r>
          </w:p>
        </w:tc>
        <w:tc>
          <w:tcPr>
            <w:tcW w:w="26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ind w:right="180"/>
              <w:spacing w:after="0"/>
              <w:rPr>
                <w:sz w:val="20"/>
                <w:szCs w:val="20"/>
                <w:color w:val="auto"/>
              </w:rPr>
            </w:pPr>
            <w:r>
              <w:rPr>
                <w:rFonts w:ascii="Arial" w:cs="Arial" w:eastAsia="Arial" w:hAnsi="Arial"/>
                <w:sz w:val="14"/>
                <w:szCs w:val="14"/>
                <w:b w:val="1"/>
                <w:bCs w:val="1"/>
                <w:color w:val="auto"/>
              </w:rPr>
              <w:t>Quarter</w:t>
            </w:r>
          </w:p>
        </w:tc>
        <w:tc>
          <w:tcPr>
            <w:tcW w:w="0" w:type="dxa"/>
            <w:vAlign w:val="bottom"/>
          </w:tcPr>
          <w:p>
            <w:pPr>
              <w:spacing w:after="0"/>
              <w:rPr>
                <w:sz w:val="1"/>
                <w:szCs w:val="1"/>
                <w:color w:val="auto"/>
              </w:rPr>
            </w:pPr>
          </w:p>
        </w:tc>
      </w:tr>
      <w:tr>
        <w:trPr>
          <w:trHeight w:val="250"/>
        </w:trPr>
        <w:tc>
          <w:tcPr>
            <w:tcW w:w="6980" w:type="dxa"/>
            <w:vAlign w:val="bottom"/>
          </w:tcPr>
          <w:p>
            <w:pPr>
              <w:ind w:left="40"/>
              <w:spacing w:after="0"/>
              <w:rPr>
                <w:sz w:val="20"/>
                <w:szCs w:val="20"/>
                <w:color w:val="auto"/>
              </w:rPr>
            </w:pPr>
            <w:r>
              <w:rPr>
                <w:rFonts w:ascii="Arial" w:cs="Arial" w:eastAsia="Arial" w:hAnsi="Arial"/>
                <w:sz w:val="16"/>
                <w:szCs w:val="16"/>
                <w:b w:val="1"/>
                <w:bCs w:val="1"/>
                <w:color w:val="auto"/>
              </w:rPr>
              <w:t>Operating Revenues</w:t>
            </w:r>
          </w:p>
        </w:tc>
        <w:tc>
          <w:tcPr>
            <w:tcW w:w="18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0"/>
        </w:trPr>
        <w:tc>
          <w:tcPr>
            <w:tcW w:w="6980" w:type="dxa"/>
            <w:vAlign w:val="bottom"/>
          </w:tcPr>
          <w:p>
            <w:pPr>
              <w:ind w:left="280"/>
              <w:spacing w:after="0"/>
              <w:rPr>
                <w:sz w:val="20"/>
                <w:szCs w:val="20"/>
                <w:color w:val="auto"/>
              </w:rPr>
            </w:pPr>
            <w:r>
              <w:rPr>
                <w:rFonts w:ascii="Arial" w:cs="Arial" w:eastAsia="Arial" w:hAnsi="Arial"/>
                <w:sz w:val="16"/>
                <w:szCs w:val="16"/>
                <w:color w:val="auto"/>
              </w:rPr>
              <w:t>Education</w:t>
            </w:r>
          </w:p>
        </w:tc>
        <w:tc>
          <w:tcPr>
            <w:tcW w:w="180" w:type="dxa"/>
            <w:vAlign w:val="bottom"/>
          </w:tcPr>
          <w:p>
            <w:pPr>
              <w:jc w:val="right"/>
              <w:spacing w:after="0"/>
              <w:rPr>
                <w:sz w:val="20"/>
                <w:szCs w:val="20"/>
                <w:color w:val="auto"/>
              </w:rPr>
            </w:pPr>
            <w:r>
              <w:rPr>
                <w:rFonts w:ascii="Arial" w:cs="Arial" w:eastAsia="Arial" w:hAnsi="Arial"/>
                <w:sz w:val="16"/>
                <w:szCs w:val="16"/>
                <w:color w:val="auto"/>
              </w:rPr>
              <w:t>$</w:t>
            </w:r>
          </w:p>
        </w:tc>
        <w:tc>
          <w:tcPr>
            <w:tcW w:w="900" w:type="dxa"/>
            <w:vAlign w:val="bottom"/>
          </w:tcPr>
          <w:p>
            <w:pPr>
              <w:jc w:val="right"/>
              <w:ind w:right="80"/>
              <w:spacing w:after="0"/>
              <w:rPr>
                <w:sz w:val="20"/>
                <w:szCs w:val="20"/>
                <w:color w:val="auto"/>
              </w:rPr>
            </w:pPr>
            <w:r>
              <w:rPr>
                <w:rFonts w:ascii="Arial" w:cs="Arial" w:eastAsia="Arial" w:hAnsi="Arial"/>
                <w:sz w:val="16"/>
                <w:szCs w:val="16"/>
                <w:color w:val="auto"/>
              </w:rPr>
              <w:t>372,975</w:t>
            </w:r>
          </w:p>
        </w:tc>
        <w:tc>
          <w:tcPr>
            <w:tcW w:w="240" w:type="dxa"/>
            <w:vAlign w:val="bottom"/>
          </w:tcPr>
          <w:p>
            <w:pPr>
              <w:jc w:val="right"/>
              <w:spacing w:after="0"/>
              <w:rPr>
                <w:sz w:val="20"/>
                <w:szCs w:val="20"/>
                <w:color w:val="auto"/>
              </w:rPr>
            </w:pPr>
            <w:r>
              <w:rPr>
                <w:rFonts w:ascii="Arial" w:cs="Arial" w:eastAsia="Arial" w:hAnsi="Arial"/>
                <w:sz w:val="16"/>
                <w:szCs w:val="16"/>
                <w:color w:val="auto"/>
              </w:rPr>
              <w:t>$</w:t>
            </w:r>
          </w:p>
        </w:tc>
        <w:tc>
          <w:tcPr>
            <w:tcW w:w="900" w:type="dxa"/>
            <w:vAlign w:val="bottom"/>
          </w:tcPr>
          <w:p>
            <w:pPr>
              <w:jc w:val="right"/>
              <w:ind w:right="80"/>
              <w:spacing w:after="0"/>
              <w:rPr>
                <w:sz w:val="20"/>
                <w:szCs w:val="20"/>
                <w:color w:val="auto"/>
              </w:rPr>
            </w:pPr>
            <w:r>
              <w:rPr>
                <w:rFonts w:ascii="Arial" w:cs="Arial" w:eastAsia="Arial" w:hAnsi="Arial"/>
                <w:sz w:val="16"/>
                <w:szCs w:val="16"/>
                <w:color w:val="auto"/>
              </w:rPr>
              <w:t>386,698</w:t>
            </w:r>
          </w:p>
        </w:tc>
        <w:tc>
          <w:tcPr>
            <w:tcW w:w="240" w:type="dxa"/>
            <w:vAlign w:val="bottom"/>
          </w:tcPr>
          <w:p>
            <w:pPr>
              <w:jc w:val="right"/>
              <w:spacing w:after="0"/>
              <w:rPr>
                <w:sz w:val="20"/>
                <w:szCs w:val="20"/>
                <w:color w:val="auto"/>
              </w:rPr>
            </w:pPr>
            <w:r>
              <w:rPr>
                <w:rFonts w:ascii="Arial" w:cs="Arial" w:eastAsia="Arial" w:hAnsi="Arial"/>
                <w:sz w:val="16"/>
                <w:szCs w:val="16"/>
                <w:color w:val="auto"/>
              </w:rPr>
              <w:t>$</w:t>
            </w:r>
          </w:p>
        </w:tc>
        <w:tc>
          <w:tcPr>
            <w:tcW w:w="880" w:type="dxa"/>
            <w:vAlign w:val="bottom"/>
          </w:tcPr>
          <w:p>
            <w:pPr>
              <w:jc w:val="right"/>
              <w:ind w:right="60"/>
              <w:spacing w:after="0"/>
              <w:rPr>
                <w:sz w:val="20"/>
                <w:szCs w:val="20"/>
                <w:color w:val="auto"/>
              </w:rPr>
            </w:pPr>
            <w:r>
              <w:rPr>
                <w:rFonts w:ascii="Arial" w:cs="Arial" w:eastAsia="Arial" w:hAnsi="Arial"/>
                <w:sz w:val="16"/>
                <w:szCs w:val="16"/>
                <w:color w:val="auto"/>
              </w:rPr>
              <w:t>377,033</w:t>
            </w:r>
          </w:p>
        </w:tc>
        <w:tc>
          <w:tcPr>
            <w:tcW w:w="260" w:type="dxa"/>
            <w:vAlign w:val="bottom"/>
          </w:tcPr>
          <w:p>
            <w:pPr>
              <w:jc w:val="right"/>
              <w:spacing w:after="0"/>
              <w:rPr>
                <w:sz w:val="20"/>
                <w:szCs w:val="20"/>
                <w:color w:val="auto"/>
              </w:rPr>
            </w:pPr>
            <w:r>
              <w:rPr>
                <w:rFonts w:ascii="Arial" w:cs="Arial" w:eastAsia="Arial" w:hAnsi="Arial"/>
                <w:sz w:val="16"/>
                <w:szCs w:val="16"/>
                <w:color w:val="auto"/>
              </w:rPr>
              <w:t>$</w:t>
            </w:r>
          </w:p>
        </w:tc>
        <w:tc>
          <w:tcPr>
            <w:tcW w:w="840" w:type="dxa"/>
            <w:vAlign w:val="bottom"/>
          </w:tcPr>
          <w:p>
            <w:pPr>
              <w:jc w:val="right"/>
              <w:ind w:right="20"/>
              <w:spacing w:after="0"/>
              <w:rPr>
                <w:sz w:val="20"/>
                <w:szCs w:val="20"/>
                <w:color w:val="auto"/>
              </w:rPr>
            </w:pPr>
            <w:r>
              <w:rPr>
                <w:rFonts w:ascii="Arial" w:cs="Arial" w:eastAsia="Arial" w:hAnsi="Arial"/>
                <w:sz w:val="16"/>
                <w:szCs w:val="16"/>
                <w:color w:val="auto"/>
              </w:rPr>
              <w:t>380,953</w:t>
            </w:r>
          </w:p>
        </w:tc>
        <w:tc>
          <w:tcPr>
            <w:tcW w:w="0" w:type="dxa"/>
            <w:vAlign w:val="bottom"/>
          </w:tcPr>
          <w:p>
            <w:pPr>
              <w:spacing w:after="0"/>
              <w:rPr>
                <w:sz w:val="1"/>
                <w:szCs w:val="1"/>
                <w:color w:val="auto"/>
              </w:rPr>
            </w:pPr>
          </w:p>
        </w:tc>
      </w:tr>
      <w:tr>
        <w:trPr>
          <w:trHeight w:val="270"/>
        </w:trPr>
        <w:tc>
          <w:tcPr>
            <w:tcW w:w="6980" w:type="dxa"/>
            <w:vAlign w:val="bottom"/>
          </w:tcPr>
          <w:p>
            <w:pPr>
              <w:ind w:left="280"/>
              <w:spacing w:after="0"/>
              <w:rPr>
                <w:sz w:val="20"/>
                <w:szCs w:val="20"/>
                <w:color w:val="auto"/>
              </w:rPr>
            </w:pPr>
            <w:r>
              <w:rPr>
                <w:rFonts w:ascii="Arial" w:cs="Arial" w:eastAsia="Arial" w:hAnsi="Arial"/>
                <w:sz w:val="16"/>
                <w:szCs w:val="16"/>
                <w:color w:val="auto"/>
              </w:rPr>
              <w:t>Advertising</w:t>
            </w:r>
          </w:p>
        </w:tc>
        <w:tc>
          <w:tcPr>
            <w:tcW w:w="180" w:type="dxa"/>
            <w:vAlign w:val="bottom"/>
          </w:tcPr>
          <w:p>
            <w:pPr>
              <w:spacing w:after="0"/>
              <w:rPr>
                <w:sz w:val="23"/>
                <w:szCs w:val="23"/>
                <w:color w:val="auto"/>
              </w:rPr>
            </w:pPr>
          </w:p>
        </w:tc>
        <w:tc>
          <w:tcPr>
            <w:tcW w:w="900" w:type="dxa"/>
            <w:vAlign w:val="bottom"/>
          </w:tcPr>
          <w:p>
            <w:pPr>
              <w:jc w:val="right"/>
              <w:ind w:right="80"/>
              <w:spacing w:after="0"/>
              <w:rPr>
                <w:sz w:val="20"/>
                <w:szCs w:val="20"/>
                <w:color w:val="auto"/>
              </w:rPr>
            </w:pPr>
            <w:r>
              <w:rPr>
                <w:rFonts w:ascii="Arial" w:cs="Arial" w:eastAsia="Arial" w:hAnsi="Arial"/>
                <w:sz w:val="16"/>
                <w:szCs w:val="16"/>
                <w:color w:val="auto"/>
              </w:rPr>
              <w:t>69,221</w:t>
            </w:r>
          </w:p>
        </w:tc>
        <w:tc>
          <w:tcPr>
            <w:tcW w:w="240" w:type="dxa"/>
            <w:vAlign w:val="bottom"/>
          </w:tcPr>
          <w:p>
            <w:pPr>
              <w:spacing w:after="0"/>
              <w:rPr>
                <w:sz w:val="23"/>
                <w:szCs w:val="23"/>
                <w:color w:val="auto"/>
              </w:rPr>
            </w:pPr>
          </w:p>
        </w:tc>
        <w:tc>
          <w:tcPr>
            <w:tcW w:w="900" w:type="dxa"/>
            <w:vAlign w:val="bottom"/>
          </w:tcPr>
          <w:p>
            <w:pPr>
              <w:jc w:val="right"/>
              <w:ind w:right="80"/>
              <w:spacing w:after="0"/>
              <w:rPr>
                <w:sz w:val="20"/>
                <w:szCs w:val="20"/>
                <w:color w:val="auto"/>
              </w:rPr>
            </w:pPr>
            <w:r>
              <w:rPr>
                <w:rFonts w:ascii="Arial" w:cs="Arial" w:eastAsia="Arial" w:hAnsi="Arial"/>
                <w:sz w:val="16"/>
                <w:szCs w:val="16"/>
                <w:color w:val="auto"/>
              </w:rPr>
              <w:t>77,437</w:t>
            </w:r>
          </w:p>
        </w:tc>
        <w:tc>
          <w:tcPr>
            <w:tcW w:w="240" w:type="dxa"/>
            <w:vAlign w:val="bottom"/>
          </w:tcPr>
          <w:p>
            <w:pPr>
              <w:spacing w:after="0"/>
              <w:rPr>
                <w:sz w:val="23"/>
                <w:szCs w:val="23"/>
                <w:color w:val="auto"/>
              </w:rPr>
            </w:pPr>
          </w:p>
        </w:tc>
        <w:tc>
          <w:tcPr>
            <w:tcW w:w="880" w:type="dxa"/>
            <w:vAlign w:val="bottom"/>
          </w:tcPr>
          <w:p>
            <w:pPr>
              <w:jc w:val="right"/>
              <w:ind w:right="60"/>
              <w:spacing w:after="0"/>
              <w:rPr>
                <w:sz w:val="20"/>
                <w:szCs w:val="20"/>
                <w:color w:val="auto"/>
              </w:rPr>
            </w:pPr>
            <w:r>
              <w:rPr>
                <w:rFonts w:ascii="Arial" w:cs="Arial" w:eastAsia="Arial" w:hAnsi="Arial"/>
                <w:sz w:val="16"/>
                <w:szCs w:val="16"/>
                <w:color w:val="auto"/>
              </w:rPr>
              <w:t>74,198</w:t>
            </w:r>
          </w:p>
        </w:tc>
        <w:tc>
          <w:tcPr>
            <w:tcW w:w="260" w:type="dxa"/>
            <w:vAlign w:val="bottom"/>
          </w:tcPr>
          <w:p>
            <w:pPr>
              <w:spacing w:after="0"/>
              <w:rPr>
                <w:sz w:val="23"/>
                <w:szCs w:val="23"/>
                <w:color w:val="auto"/>
              </w:rPr>
            </w:pPr>
          </w:p>
        </w:tc>
        <w:tc>
          <w:tcPr>
            <w:tcW w:w="840" w:type="dxa"/>
            <w:vAlign w:val="bottom"/>
          </w:tcPr>
          <w:p>
            <w:pPr>
              <w:jc w:val="right"/>
              <w:ind w:right="20"/>
              <w:spacing w:after="0"/>
              <w:rPr>
                <w:sz w:val="20"/>
                <w:szCs w:val="20"/>
                <w:color w:val="auto"/>
              </w:rPr>
            </w:pPr>
            <w:r>
              <w:rPr>
                <w:rFonts w:ascii="Arial" w:cs="Arial" w:eastAsia="Arial" w:hAnsi="Arial"/>
                <w:sz w:val="16"/>
                <w:szCs w:val="16"/>
                <w:color w:val="auto"/>
              </w:rPr>
              <w:t>84,517</w:t>
            </w:r>
          </w:p>
        </w:tc>
        <w:tc>
          <w:tcPr>
            <w:tcW w:w="0" w:type="dxa"/>
            <w:vAlign w:val="bottom"/>
          </w:tcPr>
          <w:p>
            <w:pPr>
              <w:spacing w:after="0"/>
              <w:rPr>
                <w:sz w:val="1"/>
                <w:szCs w:val="1"/>
                <w:color w:val="auto"/>
              </w:rPr>
            </w:pPr>
          </w:p>
        </w:tc>
      </w:tr>
      <w:tr>
        <w:trPr>
          <w:trHeight w:val="283"/>
        </w:trPr>
        <w:tc>
          <w:tcPr>
            <w:tcW w:w="6980" w:type="dxa"/>
            <w:vAlign w:val="bottom"/>
          </w:tcPr>
          <w:p>
            <w:pPr>
              <w:ind w:left="280"/>
              <w:spacing w:after="0"/>
              <w:rPr>
                <w:sz w:val="20"/>
                <w:szCs w:val="20"/>
                <w:color w:val="auto"/>
              </w:rPr>
            </w:pPr>
            <w:r>
              <w:rPr>
                <w:rFonts w:ascii="Arial" w:cs="Arial" w:eastAsia="Arial" w:hAnsi="Arial"/>
                <w:sz w:val="16"/>
                <w:szCs w:val="16"/>
                <w:color w:val="auto"/>
              </w:rPr>
              <w:t>Other</w:t>
            </w:r>
          </w:p>
        </w:tc>
        <w:tc>
          <w:tcPr>
            <w:tcW w:w="18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jc w:val="right"/>
              <w:ind w:right="80"/>
              <w:spacing w:after="0"/>
              <w:rPr>
                <w:sz w:val="20"/>
                <w:szCs w:val="20"/>
                <w:color w:val="auto"/>
              </w:rPr>
            </w:pPr>
            <w:r>
              <w:rPr>
                <w:rFonts w:ascii="Arial" w:cs="Arial" w:eastAsia="Arial" w:hAnsi="Arial"/>
                <w:sz w:val="16"/>
                <w:szCs w:val="16"/>
                <w:color w:val="auto"/>
              </w:rPr>
              <w:t>140,521</w:t>
            </w:r>
          </w:p>
        </w:tc>
        <w:tc>
          <w:tcPr>
            <w:tcW w:w="24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jc w:val="right"/>
              <w:ind w:right="80"/>
              <w:spacing w:after="0"/>
              <w:rPr>
                <w:sz w:val="20"/>
                <w:szCs w:val="20"/>
                <w:color w:val="auto"/>
              </w:rPr>
            </w:pPr>
            <w:r>
              <w:rPr>
                <w:rFonts w:ascii="Arial" w:cs="Arial" w:eastAsia="Arial" w:hAnsi="Arial"/>
                <w:sz w:val="16"/>
                <w:szCs w:val="16"/>
                <w:color w:val="auto"/>
              </w:rPr>
              <w:t>211,952</w:t>
            </w:r>
          </w:p>
        </w:tc>
        <w:tc>
          <w:tcPr>
            <w:tcW w:w="24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jc w:val="right"/>
              <w:ind w:right="60"/>
              <w:spacing w:after="0"/>
              <w:rPr>
                <w:sz w:val="20"/>
                <w:szCs w:val="20"/>
                <w:color w:val="auto"/>
              </w:rPr>
            </w:pPr>
            <w:r>
              <w:rPr>
                <w:rFonts w:ascii="Arial" w:cs="Arial" w:eastAsia="Arial" w:hAnsi="Arial"/>
                <w:sz w:val="16"/>
                <w:szCs w:val="16"/>
                <w:color w:val="auto"/>
              </w:rPr>
              <w:t>205,994</w:t>
            </w:r>
          </w:p>
        </w:tc>
        <w:tc>
          <w:tcPr>
            <w:tcW w:w="26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210,347</w:t>
            </w:r>
          </w:p>
        </w:tc>
        <w:tc>
          <w:tcPr>
            <w:tcW w:w="0" w:type="dxa"/>
            <w:vAlign w:val="bottom"/>
          </w:tcPr>
          <w:p>
            <w:pPr>
              <w:spacing w:after="0"/>
              <w:rPr>
                <w:sz w:val="1"/>
                <w:szCs w:val="1"/>
                <w:color w:val="auto"/>
              </w:rPr>
            </w:pPr>
          </w:p>
        </w:tc>
      </w:tr>
      <w:tr>
        <w:trPr>
          <w:trHeight w:val="264"/>
        </w:trPr>
        <w:tc>
          <w:tcPr>
            <w:tcW w:w="6980" w:type="dxa"/>
            <w:vAlign w:val="bottom"/>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ind w:right="80"/>
              <w:spacing w:after="0"/>
              <w:rPr>
                <w:sz w:val="20"/>
                <w:szCs w:val="20"/>
                <w:color w:val="auto"/>
              </w:rPr>
            </w:pPr>
            <w:r>
              <w:rPr>
                <w:rFonts w:ascii="Arial" w:cs="Arial" w:eastAsia="Arial" w:hAnsi="Arial"/>
                <w:sz w:val="16"/>
                <w:szCs w:val="16"/>
                <w:color w:val="auto"/>
              </w:rPr>
              <w:t>582,717</w:t>
            </w:r>
          </w:p>
        </w:tc>
        <w:tc>
          <w:tcPr>
            <w:tcW w:w="24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ind w:right="80"/>
              <w:spacing w:after="0"/>
              <w:rPr>
                <w:sz w:val="20"/>
                <w:szCs w:val="20"/>
                <w:color w:val="auto"/>
              </w:rPr>
            </w:pPr>
            <w:r>
              <w:rPr>
                <w:rFonts w:ascii="Arial" w:cs="Arial" w:eastAsia="Arial" w:hAnsi="Arial"/>
                <w:sz w:val="16"/>
                <w:szCs w:val="16"/>
                <w:color w:val="auto"/>
              </w:rPr>
              <w:t>676,087</w:t>
            </w:r>
          </w:p>
        </w:tc>
        <w:tc>
          <w:tcPr>
            <w:tcW w:w="24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ind w:right="60"/>
              <w:spacing w:after="0"/>
              <w:rPr>
                <w:sz w:val="20"/>
                <w:szCs w:val="20"/>
                <w:color w:val="auto"/>
              </w:rPr>
            </w:pPr>
            <w:r>
              <w:rPr>
                <w:rFonts w:ascii="Arial" w:cs="Arial" w:eastAsia="Arial" w:hAnsi="Arial"/>
                <w:sz w:val="16"/>
                <w:szCs w:val="16"/>
                <w:color w:val="auto"/>
              </w:rPr>
              <w:t>657,225</w:t>
            </w:r>
          </w:p>
        </w:tc>
        <w:tc>
          <w:tcPr>
            <w:tcW w:w="260" w:type="dxa"/>
            <w:vAlign w:val="bottom"/>
            <w:tcBorders>
              <w:bottom w:val="single" w:sz="8" w:color="auto"/>
            </w:tcBorders>
          </w:tcPr>
          <w:p>
            <w:pPr>
              <w:spacing w:after="0"/>
              <w:rPr>
                <w:sz w:val="22"/>
                <w:szCs w:val="22"/>
                <w:color w:val="auto"/>
              </w:rPr>
            </w:pPr>
          </w:p>
        </w:tc>
        <w:tc>
          <w:tcPr>
            <w:tcW w:w="84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675,817</w:t>
            </w:r>
          </w:p>
        </w:tc>
        <w:tc>
          <w:tcPr>
            <w:tcW w:w="0" w:type="dxa"/>
            <w:vAlign w:val="bottom"/>
          </w:tcPr>
          <w:p>
            <w:pPr>
              <w:spacing w:after="0"/>
              <w:rPr>
                <w:sz w:val="1"/>
                <w:szCs w:val="1"/>
                <w:color w:val="auto"/>
              </w:rPr>
            </w:pPr>
          </w:p>
        </w:tc>
      </w:tr>
      <w:tr>
        <w:trPr>
          <w:trHeight w:val="251"/>
        </w:trPr>
        <w:tc>
          <w:tcPr>
            <w:tcW w:w="6980" w:type="dxa"/>
            <w:vAlign w:val="bottom"/>
          </w:tcPr>
          <w:p>
            <w:pPr>
              <w:ind w:left="40"/>
              <w:spacing w:after="0"/>
              <w:rPr>
                <w:sz w:val="20"/>
                <w:szCs w:val="20"/>
                <w:color w:val="auto"/>
              </w:rPr>
            </w:pPr>
            <w:r>
              <w:rPr>
                <w:rFonts w:ascii="Arial" w:cs="Arial" w:eastAsia="Arial" w:hAnsi="Arial"/>
                <w:sz w:val="16"/>
                <w:szCs w:val="16"/>
                <w:b w:val="1"/>
                <w:bCs w:val="1"/>
                <w:color w:val="auto"/>
              </w:rPr>
              <w:t>Operating Costs and Expenses</w:t>
            </w:r>
          </w:p>
        </w:tc>
        <w:tc>
          <w:tcPr>
            <w:tcW w:w="18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0"/>
        </w:trPr>
        <w:tc>
          <w:tcPr>
            <w:tcW w:w="6980" w:type="dxa"/>
            <w:vAlign w:val="bottom"/>
          </w:tcPr>
          <w:p>
            <w:pPr>
              <w:ind w:left="280"/>
              <w:spacing w:after="0"/>
              <w:rPr>
                <w:sz w:val="20"/>
                <w:szCs w:val="20"/>
                <w:color w:val="auto"/>
              </w:rPr>
            </w:pPr>
            <w:r>
              <w:rPr>
                <w:rFonts w:ascii="Arial" w:cs="Arial" w:eastAsia="Arial" w:hAnsi="Arial"/>
                <w:sz w:val="16"/>
                <w:szCs w:val="16"/>
                <w:color w:val="auto"/>
              </w:rPr>
              <w:t>Operating</w:t>
            </w:r>
          </w:p>
        </w:tc>
        <w:tc>
          <w:tcPr>
            <w:tcW w:w="180" w:type="dxa"/>
            <w:vAlign w:val="bottom"/>
          </w:tcPr>
          <w:p>
            <w:pPr>
              <w:spacing w:after="0"/>
              <w:rPr>
                <w:sz w:val="23"/>
                <w:szCs w:val="23"/>
                <w:color w:val="auto"/>
              </w:rPr>
            </w:pPr>
          </w:p>
        </w:tc>
        <w:tc>
          <w:tcPr>
            <w:tcW w:w="900" w:type="dxa"/>
            <w:vAlign w:val="bottom"/>
          </w:tcPr>
          <w:p>
            <w:pPr>
              <w:jc w:val="right"/>
              <w:ind w:right="80"/>
              <w:spacing w:after="0"/>
              <w:rPr>
                <w:sz w:val="20"/>
                <w:szCs w:val="20"/>
                <w:color w:val="auto"/>
              </w:rPr>
            </w:pPr>
            <w:r>
              <w:rPr>
                <w:rFonts w:ascii="Arial" w:cs="Arial" w:eastAsia="Arial" w:hAnsi="Arial"/>
                <w:sz w:val="16"/>
                <w:szCs w:val="16"/>
                <w:color w:val="auto"/>
              </w:rPr>
              <w:t>300,666</w:t>
            </w:r>
          </w:p>
        </w:tc>
        <w:tc>
          <w:tcPr>
            <w:tcW w:w="240" w:type="dxa"/>
            <w:vAlign w:val="bottom"/>
          </w:tcPr>
          <w:p>
            <w:pPr>
              <w:spacing w:after="0"/>
              <w:rPr>
                <w:sz w:val="23"/>
                <w:szCs w:val="23"/>
                <w:color w:val="auto"/>
              </w:rPr>
            </w:pPr>
          </w:p>
        </w:tc>
        <w:tc>
          <w:tcPr>
            <w:tcW w:w="900" w:type="dxa"/>
            <w:vAlign w:val="bottom"/>
          </w:tcPr>
          <w:p>
            <w:pPr>
              <w:jc w:val="right"/>
              <w:ind w:right="80"/>
              <w:spacing w:after="0"/>
              <w:rPr>
                <w:sz w:val="20"/>
                <w:szCs w:val="20"/>
                <w:color w:val="auto"/>
              </w:rPr>
            </w:pPr>
            <w:r>
              <w:rPr>
                <w:rFonts w:ascii="Arial" w:cs="Arial" w:eastAsia="Arial" w:hAnsi="Arial"/>
                <w:sz w:val="16"/>
                <w:szCs w:val="16"/>
                <w:color w:val="auto"/>
              </w:rPr>
              <w:t>358,252</w:t>
            </w:r>
          </w:p>
        </w:tc>
        <w:tc>
          <w:tcPr>
            <w:tcW w:w="240" w:type="dxa"/>
            <w:vAlign w:val="bottom"/>
          </w:tcPr>
          <w:p>
            <w:pPr>
              <w:spacing w:after="0"/>
              <w:rPr>
                <w:sz w:val="23"/>
                <w:szCs w:val="23"/>
                <w:color w:val="auto"/>
              </w:rPr>
            </w:pPr>
          </w:p>
        </w:tc>
        <w:tc>
          <w:tcPr>
            <w:tcW w:w="880" w:type="dxa"/>
            <w:vAlign w:val="bottom"/>
          </w:tcPr>
          <w:p>
            <w:pPr>
              <w:jc w:val="right"/>
              <w:ind w:right="60"/>
              <w:spacing w:after="0"/>
              <w:rPr>
                <w:sz w:val="20"/>
                <w:szCs w:val="20"/>
                <w:color w:val="auto"/>
              </w:rPr>
            </w:pPr>
            <w:r>
              <w:rPr>
                <w:rFonts w:ascii="Arial" w:cs="Arial" w:eastAsia="Arial" w:hAnsi="Arial"/>
                <w:sz w:val="16"/>
                <w:szCs w:val="16"/>
                <w:color w:val="auto"/>
              </w:rPr>
              <w:t>352,635</w:t>
            </w:r>
          </w:p>
        </w:tc>
        <w:tc>
          <w:tcPr>
            <w:tcW w:w="260" w:type="dxa"/>
            <w:vAlign w:val="bottom"/>
          </w:tcPr>
          <w:p>
            <w:pPr>
              <w:spacing w:after="0"/>
              <w:rPr>
                <w:sz w:val="23"/>
                <w:szCs w:val="23"/>
                <w:color w:val="auto"/>
              </w:rPr>
            </w:pPr>
          </w:p>
        </w:tc>
        <w:tc>
          <w:tcPr>
            <w:tcW w:w="840" w:type="dxa"/>
            <w:vAlign w:val="bottom"/>
          </w:tcPr>
          <w:p>
            <w:pPr>
              <w:jc w:val="right"/>
              <w:ind w:right="20"/>
              <w:spacing w:after="0"/>
              <w:rPr>
                <w:sz w:val="20"/>
                <w:szCs w:val="20"/>
                <w:color w:val="auto"/>
              </w:rPr>
            </w:pPr>
            <w:r>
              <w:rPr>
                <w:rFonts w:ascii="Arial" w:cs="Arial" w:eastAsia="Arial" w:hAnsi="Arial"/>
                <w:sz w:val="16"/>
                <w:szCs w:val="16"/>
                <w:color w:val="auto"/>
              </w:rPr>
              <w:t>348,289</w:t>
            </w:r>
          </w:p>
        </w:tc>
        <w:tc>
          <w:tcPr>
            <w:tcW w:w="0" w:type="dxa"/>
            <w:vAlign w:val="bottom"/>
          </w:tcPr>
          <w:p>
            <w:pPr>
              <w:spacing w:after="0"/>
              <w:rPr>
                <w:sz w:val="1"/>
                <w:szCs w:val="1"/>
                <w:color w:val="auto"/>
              </w:rPr>
            </w:pPr>
          </w:p>
        </w:tc>
      </w:tr>
      <w:tr>
        <w:trPr>
          <w:trHeight w:val="270"/>
        </w:trPr>
        <w:tc>
          <w:tcPr>
            <w:tcW w:w="6980" w:type="dxa"/>
            <w:vAlign w:val="bottom"/>
          </w:tcPr>
          <w:p>
            <w:pPr>
              <w:ind w:left="280"/>
              <w:spacing w:after="0"/>
              <w:rPr>
                <w:sz w:val="20"/>
                <w:szCs w:val="20"/>
                <w:color w:val="auto"/>
              </w:rPr>
            </w:pPr>
            <w:r>
              <w:rPr>
                <w:rFonts w:ascii="Arial" w:cs="Arial" w:eastAsia="Arial" w:hAnsi="Arial"/>
                <w:sz w:val="16"/>
                <w:szCs w:val="16"/>
                <w:color w:val="auto"/>
              </w:rPr>
              <w:t>Selling, general and administrative</w:t>
            </w:r>
          </w:p>
        </w:tc>
        <w:tc>
          <w:tcPr>
            <w:tcW w:w="180" w:type="dxa"/>
            <w:vAlign w:val="bottom"/>
          </w:tcPr>
          <w:p>
            <w:pPr>
              <w:spacing w:after="0"/>
              <w:rPr>
                <w:sz w:val="23"/>
                <w:szCs w:val="23"/>
                <w:color w:val="auto"/>
              </w:rPr>
            </w:pPr>
          </w:p>
        </w:tc>
        <w:tc>
          <w:tcPr>
            <w:tcW w:w="900" w:type="dxa"/>
            <w:vAlign w:val="bottom"/>
          </w:tcPr>
          <w:p>
            <w:pPr>
              <w:jc w:val="right"/>
              <w:ind w:right="80"/>
              <w:spacing w:after="0"/>
              <w:rPr>
                <w:sz w:val="20"/>
                <w:szCs w:val="20"/>
                <w:color w:val="auto"/>
              </w:rPr>
            </w:pPr>
            <w:r>
              <w:rPr>
                <w:rFonts w:ascii="Arial" w:cs="Arial" w:eastAsia="Arial" w:hAnsi="Arial"/>
                <w:sz w:val="16"/>
                <w:szCs w:val="16"/>
                <w:color w:val="auto"/>
              </w:rPr>
              <w:t>231,509</w:t>
            </w:r>
          </w:p>
        </w:tc>
        <w:tc>
          <w:tcPr>
            <w:tcW w:w="240" w:type="dxa"/>
            <w:vAlign w:val="bottom"/>
          </w:tcPr>
          <w:p>
            <w:pPr>
              <w:spacing w:after="0"/>
              <w:rPr>
                <w:sz w:val="23"/>
                <w:szCs w:val="23"/>
                <w:color w:val="auto"/>
              </w:rPr>
            </w:pPr>
          </w:p>
        </w:tc>
        <w:tc>
          <w:tcPr>
            <w:tcW w:w="900" w:type="dxa"/>
            <w:vAlign w:val="bottom"/>
          </w:tcPr>
          <w:p>
            <w:pPr>
              <w:jc w:val="right"/>
              <w:ind w:right="80"/>
              <w:spacing w:after="0"/>
              <w:rPr>
                <w:sz w:val="20"/>
                <w:szCs w:val="20"/>
                <w:color w:val="auto"/>
              </w:rPr>
            </w:pPr>
            <w:r>
              <w:rPr>
                <w:rFonts w:ascii="Arial" w:cs="Arial" w:eastAsia="Arial" w:hAnsi="Arial"/>
                <w:sz w:val="16"/>
                <w:szCs w:val="16"/>
                <w:color w:val="auto"/>
              </w:rPr>
              <w:t>213,848</w:t>
            </w:r>
          </w:p>
        </w:tc>
        <w:tc>
          <w:tcPr>
            <w:tcW w:w="240" w:type="dxa"/>
            <w:vAlign w:val="bottom"/>
          </w:tcPr>
          <w:p>
            <w:pPr>
              <w:spacing w:after="0"/>
              <w:rPr>
                <w:sz w:val="23"/>
                <w:szCs w:val="23"/>
                <w:color w:val="auto"/>
              </w:rPr>
            </w:pPr>
          </w:p>
        </w:tc>
        <w:tc>
          <w:tcPr>
            <w:tcW w:w="880" w:type="dxa"/>
            <w:vAlign w:val="bottom"/>
          </w:tcPr>
          <w:p>
            <w:pPr>
              <w:jc w:val="right"/>
              <w:ind w:right="60"/>
              <w:spacing w:after="0"/>
              <w:rPr>
                <w:sz w:val="20"/>
                <w:szCs w:val="20"/>
                <w:color w:val="auto"/>
              </w:rPr>
            </w:pPr>
            <w:r>
              <w:rPr>
                <w:rFonts w:ascii="Arial" w:cs="Arial" w:eastAsia="Arial" w:hAnsi="Arial"/>
                <w:sz w:val="16"/>
                <w:szCs w:val="16"/>
                <w:color w:val="auto"/>
              </w:rPr>
              <w:t>232,782</w:t>
            </w:r>
          </w:p>
        </w:tc>
        <w:tc>
          <w:tcPr>
            <w:tcW w:w="260" w:type="dxa"/>
            <w:vAlign w:val="bottom"/>
          </w:tcPr>
          <w:p>
            <w:pPr>
              <w:spacing w:after="0"/>
              <w:rPr>
                <w:sz w:val="23"/>
                <w:szCs w:val="23"/>
                <w:color w:val="auto"/>
              </w:rPr>
            </w:pPr>
          </w:p>
        </w:tc>
        <w:tc>
          <w:tcPr>
            <w:tcW w:w="840" w:type="dxa"/>
            <w:vAlign w:val="bottom"/>
          </w:tcPr>
          <w:p>
            <w:pPr>
              <w:jc w:val="right"/>
              <w:ind w:right="20"/>
              <w:spacing w:after="0"/>
              <w:rPr>
                <w:sz w:val="20"/>
                <w:szCs w:val="20"/>
                <w:color w:val="auto"/>
              </w:rPr>
            </w:pPr>
            <w:r>
              <w:rPr>
                <w:rFonts w:ascii="Arial" w:cs="Arial" w:eastAsia="Arial" w:hAnsi="Arial"/>
                <w:sz w:val="16"/>
                <w:szCs w:val="16"/>
                <w:color w:val="auto"/>
              </w:rPr>
              <w:t>231,453</w:t>
            </w:r>
          </w:p>
        </w:tc>
        <w:tc>
          <w:tcPr>
            <w:tcW w:w="0" w:type="dxa"/>
            <w:vAlign w:val="bottom"/>
          </w:tcPr>
          <w:p>
            <w:pPr>
              <w:spacing w:after="0"/>
              <w:rPr>
                <w:sz w:val="1"/>
                <w:szCs w:val="1"/>
                <w:color w:val="auto"/>
              </w:rPr>
            </w:pPr>
          </w:p>
        </w:tc>
      </w:tr>
      <w:tr>
        <w:trPr>
          <w:trHeight w:val="270"/>
        </w:trPr>
        <w:tc>
          <w:tcPr>
            <w:tcW w:w="6980" w:type="dxa"/>
            <w:vAlign w:val="bottom"/>
          </w:tcPr>
          <w:p>
            <w:pPr>
              <w:ind w:left="280"/>
              <w:spacing w:after="0"/>
              <w:rPr>
                <w:sz w:val="20"/>
                <w:szCs w:val="20"/>
                <w:color w:val="auto"/>
              </w:rPr>
            </w:pPr>
            <w:r>
              <w:rPr>
                <w:rFonts w:ascii="Arial" w:cs="Arial" w:eastAsia="Arial" w:hAnsi="Arial"/>
                <w:sz w:val="16"/>
                <w:szCs w:val="16"/>
                <w:color w:val="auto"/>
              </w:rPr>
              <w:t>Depreciation of property, plant and equipment</w:t>
            </w:r>
          </w:p>
        </w:tc>
        <w:tc>
          <w:tcPr>
            <w:tcW w:w="180" w:type="dxa"/>
            <w:vAlign w:val="bottom"/>
          </w:tcPr>
          <w:p>
            <w:pPr>
              <w:spacing w:after="0"/>
              <w:rPr>
                <w:sz w:val="23"/>
                <w:szCs w:val="23"/>
                <w:color w:val="auto"/>
              </w:rPr>
            </w:pPr>
          </w:p>
        </w:tc>
        <w:tc>
          <w:tcPr>
            <w:tcW w:w="900" w:type="dxa"/>
            <w:vAlign w:val="bottom"/>
          </w:tcPr>
          <w:p>
            <w:pPr>
              <w:jc w:val="right"/>
              <w:ind w:right="80"/>
              <w:spacing w:after="0"/>
              <w:rPr>
                <w:sz w:val="20"/>
                <w:szCs w:val="20"/>
                <w:color w:val="auto"/>
              </w:rPr>
            </w:pPr>
            <w:r>
              <w:rPr>
                <w:rFonts w:ascii="Arial" w:cs="Arial" w:eastAsia="Arial" w:hAnsi="Arial"/>
                <w:sz w:val="16"/>
                <w:szCs w:val="16"/>
                <w:color w:val="auto"/>
              </w:rPr>
              <w:t>14,652</w:t>
            </w:r>
          </w:p>
        </w:tc>
        <w:tc>
          <w:tcPr>
            <w:tcW w:w="240" w:type="dxa"/>
            <w:vAlign w:val="bottom"/>
          </w:tcPr>
          <w:p>
            <w:pPr>
              <w:spacing w:after="0"/>
              <w:rPr>
                <w:sz w:val="23"/>
                <w:szCs w:val="23"/>
                <w:color w:val="auto"/>
              </w:rPr>
            </w:pPr>
          </w:p>
        </w:tc>
        <w:tc>
          <w:tcPr>
            <w:tcW w:w="900" w:type="dxa"/>
            <w:vAlign w:val="bottom"/>
          </w:tcPr>
          <w:p>
            <w:pPr>
              <w:jc w:val="right"/>
              <w:ind w:right="80"/>
              <w:spacing w:after="0"/>
              <w:rPr>
                <w:sz w:val="20"/>
                <w:szCs w:val="20"/>
                <w:color w:val="auto"/>
              </w:rPr>
            </w:pPr>
            <w:r>
              <w:rPr>
                <w:rFonts w:ascii="Arial" w:cs="Arial" w:eastAsia="Arial" w:hAnsi="Arial"/>
                <w:sz w:val="16"/>
                <w:szCs w:val="16"/>
                <w:color w:val="auto"/>
              </w:rPr>
              <w:t>15,871</w:t>
            </w:r>
          </w:p>
        </w:tc>
        <w:tc>
          <w:tcPr>
            <w:tcW w:w="240" w:type="dxa"/>
            <w:vAlign w:val="bottom"/>
          </w:tcPr>
          <w:p>
            <w:pPr>
              <w:spacing w:after="0"/>
              <w:rPr>
                <w:sz w:val="23"/>
                <w:szCs w:val="23"/>
                <w:color w:val="auto"/>
              </w:rPr>
            </w:pPr>
          </w:p>
        </w:tc>
        <w:tc>
          <w:tcPr>
            <w:tcW w:w="880" w:type="dxa"/>
            <w:vAlign w:val="bottom"/>
          </w:tcPr>
          <w:p>
            <w:pPr>
              <w:jc w:val="right"/>
              <w:ind w:right="60"/>
              <w:spacing w:after="0"/>
              <w:rPr>
                <w:sz w:val="20"/>
                <w:szCs w:val="20"/>
                <w:color w:val="auto"/>
              </w:rPr>
            </w:pPr>
            <w:r>
              <w:rPr>
                <w:rFonts w:ascii="Arial" w:cs="Arial" w:eastAsia="Arial" w:hAnsi="Arial"/>
                <w:sz w:val="16"/>
                <w:szCs w:val="16"/>
                <w:color w:val="auto"/>
              </w:rPr>
              <w:t>16,002</w:t>
            </w:r>
          </w:p>
        </w:tc>
        <w:tc>
          <w:tcPr>
            <w:tcW w:w="260" w:type="dxa"/>
            <w:vAlign w:val="bottom"/>
          </w:tcPr>
          <w:p>
            <w:pPr>
              <w:spacing w:after="0"/>
              <w:rPr>
                <w:sz w:val="23"/>
                <w:szCs w:val="23"/>
                <w:color w:val="auto"/>
              </w:rPr>
            </w:pPr>
          </w:p>
        </w:tc>
        <w:tc>
          <w:tcPr>
            <w:tcW w:w="840" w:type="dxa"/>
            <w:vAlign w:val="bottom"/>
          </w:tcPr>
          <w:p>
            <w:pPr>
              <w:jc w:val="right"/>
              <w:ind w:right="20"/>
              <w:spacing w:after="0"/>
              <w:rPr>
                <w:sz w:val="20"/>
                <w:szCs w:val="20"/>
                <w:color w:val="auto"/>
              </w:rPr>
            </w:pPr>
            <w:r>
              <w:rPr>
                <w:rFonts w:ascii="Arial" w:cs="Arial" w:eastAsia="Arial" w:hAnsi="Arial"/>
                <w:sz w:val="16"/>
                <w:szCs w:val="16"/>
                <w:color w:val="auto"/>
              </w:rPr>
              <w:t>15,984</w:t>
            </w:r>
          </w:p>
        </w:tc>
        <w:tc>
          <w:tcPr>
            <w:tcW w:w="0" w:type="dxa"/>
            <w:vAlign w:val="bottom"/>
          </w:tcPr>
          <w:p>
            <w:pPr>
              <w:spacing w:after="0"/>
              <w:rPr>
                <w:sz w:val="1"/>
                <w:szCs w:val="1"/>
                <w:color w:val="auto"/>
              </w:rPr>
            </w:pPr>
          </w:p>
        </w:tc>
      </w:tr>
      <w:tr>
        <w:trPr>
          <w:trHeight w:val="270"/>
        </w:trPr>
        <w:tc>
          <w:tcPr>
            <w:tcW w:w="6980" w:type="dxa"/>
            <w:vAlign w:val="bottom"/>
          </w:tcPr>
          <w:p>
            <w:pPr>
              <w:ind w:left="280"/>
              <w:spacing w:after="0"/>
              <w:rPr>
                <w:sz w:val="20"/>
                <w:szCs w:val="20"/>
                <w:color w:val="auto"/>
              </w:rPr>
            </w:pPr>
            <w:r>
              <w:rPr>
                <w:rFonts w:ascii="Arial" w:cs="Arial" w:eastAsia="Arial" w:hAnsi="Arial"/>
                <w:sz w:val="16"/>
                <w:szCs w:val="16"/>
                <w:color w:val="auto"/>
              </w:rPr>
              <w:t>Amortization of intangible assets</w:t>
            </w:r>
          </w:p>
        </w:tc>
        <w:tc>
          <w:tcPr>
            <w:tcW w:w="180" w:type="dxa"/>
            <w:vAlign w:val="bottom"/>
          </w:tcPr>
          <w:p>
            <w:pPr>
              <w:spacing w:after="0"/>
              <w:rPr>
                <w:sz w:val="23"/>
                <w:szCs w:val="23"/>
                <w:color w:val="auto"/>
              </w:rPr>
            </w:pPr>
          </w:p>
        </w:tc>
        <w:tc>
          <w:tcPr>
            <w:tcW w:w="900" w:type="dxa"/>
            <w:vAlign w:val="bottom"/>
          </w:tcPr>
          <w:p>
            <w:pPr>
              <w:jc w:val="right"/>
              <w:ind w:right="80"/>
              <w:spacing w:after="0"/>
              <w:rPr>
                <w:sz w:val="20"/>
                <w:szCs w:val="20"/>
                <w:color w:val="auto"/>
              </w:rPr>
            </w:pPr>
            <w:r>
              <w:rPr>
                <w:rFonts w:ascii="Arial" w:cs="Arial" w:eastAsia="Arial" w:hAnsi="Arial"/>
                <w:sz w:val="16"/>
                <w:szCs w:val="16"/>
                <w:color w:val="auto"/>
              </w:rPr>
              <w:t>6,836</w:t>
            </w:r>
          </w:p>
        </w:tc>
        <w:tc>
          <w:tcPr>
            <w:tcW w:w="240" w:type="dxa"/>
            <w:vAlign w:val="bottom"/>
          </w:tcPr>
          <w:p>
            <w:pPr>
              <w:spacing w:after="0"/>
              <w:rPr>
                <w:sz w:val="23"/>
                <w:szCs w:val="23"/>
                <w:color w:val="auto"/>
              </w:rPr>
            </w:pPr>
          </w:p>
        </w:tc>
        <w:tc>
          <w:tcPr>
            <w:tcW w:w="900" w:type="dxa"/>
            <w:vAlign w:val="bottom"/>
          </w:tcPr>
          <w:p>
            <w:pPr>
              <w:jc w:val="right"/>
              <w:ind w:right="80"/>
              <w:spacing w:after="0"/>
              <w:rPr>
                <w:sz w:val="20"/>
                <w:szCs w:val="20"/>
                <w:color w:val="auto"/>
              </w:rPr>
            </w:pPr>
            <w:r>
              <w:rPr>
                <w:rFonts w:ascii="Arial" w:cs="Arial" w:eastAsia="Arial" w:hAnsi="Arial"/>
                <w:sz w:val="16"/>
                <w:szCs w:val="16"/>
                <w:color w:val="auto"/>
              </w:rPr>
              <w:t>10,531</w:t>
            </w:r>
          </w:p>
        </w:tc>
        <w:tc>
          <w:tcPr>
            <w:tcW w:w="240" w:type="dxa"/>
            <w:vAlign w:val="bottom"/>
          </w:tcPr>
          <w:p>
            <w:pPr>
              <w:spacing w:after="0"/>
              <w:rPr>
                <w:sz w:val="23"/>
                <w:szCs w:val="23"/>
                <w:color w:val="auto"/>
              </w:rPr>
            </w:pPr>
          </w:p>
        </w:tc>
        <w:tc>
          <w:tcPr>
            <w:tcW w:w="880" w:type="dxa"/>
            <w:vAlign w:val="bottom"/>
          </w:tcPr>
          <w:p>
            <w:pPr>
              <w:jc w:val="right"/>
              <w:ind w:right="60"/>
              <w:spacing w:after="0"/>
              <w:rPr>
                <w:sz w:val="20"/>
                <w:szCs w:val="20"/>
                <w:color w:val="auto"/>
              </w:rPr>
            </w:pPr>
            <w:r>
              <w:rPr>
                <w:rFonts w:ascii="Arial" w:cs="Arial" w:eastAsia="Arial" w:hAnsi="Arial"/>
                <w:sz w:val="16"/>
                <w:szCs w:val="16"/>
                <w:color w:val="auto"/>
              </w:rPr>
              <w:t>10,923</w:t>
            </w:r>
          </w:p>
        </w:tc>
        <w:tc>
          <w:tcPr>
            <w:tcW w:w="260" w:type="dxa"/>
            <w:vAlign w:val="bottom"/>
          </w:tcPr>
          <w:p>
            <w:pPr>
              <w:spacing w:after="0"/>
              <w:rPr>
                <w:sz w:val="23"/>
                <w:szCs w:val="23"/>
                <w:color w:val="auto"/>
              </w:rPr>
            </w:pPr>
          </w:p>
        </w:tc>
        <w:tc>
          <w:tcPr>
            <w:tcW w:w="840" w:type="dxa"/>
            <w:vAlign w:val="bottom"/>
          </w:tcPr>
          <w:p>
            <w:pPr>
              <w:jc w:val="right"/>
              <w:ind w:right="20"/>
              <w:spacing w:after="0"/>
              <w:rPr>
                <w:sz w:val="20"/>
                <w:szCs w:val="20"/>
                <w:color w:val="auto"/>
              </w:rPr>
            </w:pPr>
            <w:r>
              <w:rPr>
                <w:rFonts w:ascii="Arial" w:cs="Arial" w:eastAsia="Arial" w:hAnsi="Arial"/>
                <w:sz w:val="16"/>
                <w:szCs w:val="16"/>
                <w:color w:val="auto"/>
              </w:rPr>
              <w:t>12,897</w:t>
            </w:r>
          </w:p>
        </w:tc>
        <w:tc>
          <w:tcPr>
            <w:tcW w:w="0" w:type="dxa"/>
            <w:vAlign w:val="bottom"/>
          </w:tcPr>
          <w:p>
            <w:pPr>
              <w:spacing w:after="0"/>
              <w:rPr>
                <w:sz w:val="1"/>
                <w:szCs w:val="1"/>
                <w:color w:val="auto"/>
              </w:rPr>
            </w:pPr>
          </w:p>
        </w:tc>
      </w:tr>
      <w:tr>
        <w:trPr>
          <w:trHeight w:val="283"/>
        </w:trPr>
        <w:tc>
          <w:tcPr>
            <w:tcW w:w="6980" w:type="dxa"/>
            <w:vAlign w:val="bottom"/>
          </w:tcPr>
          <w:p>
            <w:pPr>
              <w:ind w:left="280"/>
              <w:spacing w:after="0"/>
              <w:rPr>
                <w:sz w:val="20"/>
                <w:szCs w:val="20"/>
                <w:color w:val="auto"/>
              </w:rPr>
            </w:pPr>
            <w:r>
              <w:rPr>
                <w:rFonts w:ascii="Arial" w:cs="Arial" w:eastAsia="Arial" w:hAnsi="Arial"/>
                <w:sz w:val="16"/>
                <w:szCs w:val="16"/>
                <w:color w:val="auto"/>
              </w:rPr>
              <w:t>Impairment of goodwill and other long-lived assets</w:t>
            </w:r>
          </w:p>
        </w:tc>
        <w:tc>
          <w:tcPr>
            <w:tcW w:w="18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jc w:val="right"/>
              <w:ind w:right="80"/>
              <w:spacing w:after="0"/>
              <w:rPr>
                <w:sz w:val="20"/>
                <w:szCs w:val="20"/>
                <w:color w:val="auto"/>
              </w:rPr>
            </w:pPr>
            <w:r>
              <w:rPr>
                <w:rFonts w:ascii="Arial" w:cs="Arial" w:eastAsia="Arial" w:hAnsi="Arial"/>
                <w:sz w:val="16"/>
                <w:szCs w:val="16"/>
                <w:color w:val="auto"/>
              </w:rPr>
              <w:t>—</w:t>
            </w:r>
          </w:p>
        </w:tc>
        <w:tc>
          <w:tcPr>
            <w:tcW w:w="24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jc w:val="right"/>
              <w:ind w:right="80"/>
              <w:spacing w:after="0"/>
              <w:rPr>
                <w:sz w:val="20"/>
                <w:szCs w:val="20"/>
                <w:color w:val="auto"/>
              </w:rPr>
            </w:pPr>
            <w:r>
              <w:rPr>
                <w:rFonts w:ascii="Arial" w:cs="Arial" w:eastAsia="Arial" w:hAnsi="Arial"/>
                <w:sz w:val="16"/>
                <w:szCs w:val="16"/>
                <w:color w:val="auto"/>
              </w:rPr>
              <w:t>9,224</w:t>
            </w:r>
          </w:p>
        </w:tc>
        <w:tc>
          <w:tcPr>
            <w:tcW w:w="24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jc w:val="right"/>
              <w:ind w:right="60"/>
              <w:spacing w:after="0"/>
              <w:rPr>
                <w:sz w:val="20"/>
                <w:szCs w:val="20"/>
                <w:color w:val="auto"/>
              </w:rPr>
            </w:pPr>
            <w:r>
              <w:rPr>
                <w:rFonts w:ascii="Arial" w:cs="Arial" w:eastAsia="Arial" w:hAnsi="Arial"/>
                <w:sz w:val="16"/>
                <w:szCs w:val="16"/>
                <w:color w:val="auto"/>
              </w:rPr>
              <w:t>312</w:t>
            </w:r>
          </w:p>
        </w:tc>
        <w:tc>
          <w:tcPr>
            <w:tcW w:w="26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78</w:t>
            </w:r>
          </w:p>
        </w:tc>
        <w:tc>
          <w:tcPr>
            <w:tcW w:w="0" w:type="dxa"/>
            <w:vAlign w:val="bottom"/>
          </w:tcPr>
          <w:p>
            <w:pPr>
              <w:spacing w:after="0"/>
              <w:rPr>
                <w:sz w:val="1"/>
                <w:szCs w:val="1"/>
                <w:color w:val="auto"/>
              </w:rPr>
            </w:pPr>
          </w:p>
        </w:tc>
      </w:tr>
      <w:tr>
        <w:trPr>
          <w:trHeight w:val="264"/>
        </w:trPr>
        <w:tc>
          <w:tcPr>
            <w:tcW w:w="6980" w:type="dxa"/>
            <w:vAlign w:val="bottom"/>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ind w:right="80"/>
              <w:spacing w:after="0"/>
              <w:rPr>
                <w:sz w:val="20"/>
                <w:szCs w:val="20"/>
                <w:color w:val="auto"/>
              </w:rPr>
            </w:pPr>
            <w:r>
              <w:rPr>
                <w:rFonts w:ascii="Arial" w:cs="Arial" w:eastAsia="Arial" w:hAnsi="Arial"/>
                <w:sz w:val="16"/>
                <w:szCs w:val="16"/>
                <w:color w:val="auto"/>
              </w:rPr>
              <w:t>553,663</w:t>
            </w:r>
          </w:p>
        </w:tc>
        <w:tc>
          <w:tcPr>
            <w:tcW w:w="24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ind w:right="80"/>
              <w:spacing w:after="0"/>
              <w:rPr>
                <w:sz w:val="20"/>
                <w:szCs w:val="20"/>
                <w:color w:val="auto"/>
              </w:rPr>
            </w:pPr>
            <w:r>
              <w:rPr>
                <w:rFonts w:ascii="Arial" w:cs="Arial" w:eastAsia="Arial" w:hAnsi="Arial"/>
                <w:sz w:val="16"/>
                <w:szCs w:val="16"/>
                <w:color w:val="auto"/>
              </w:rPr>
              <w:t>607,726</w:t>
            </w:r>
          </w:p>
        </w:tc>
        <w:tc>
          <w:tcPr>
            <w:tcW w:w="24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ind w:right="60"/>
              <w:spacing w:after="0"/>
              <w:rPr>
                <w:sz w:val="20"/>
                <w:szCs w:val="20"/>
                <w:color w:val="auto"/>
              </w:rPr>
            </w:pPr>
            <w:r>
              <w:rPr>
                <w:rFonts w:ascii="Arial" w:cs="Arial" w:eastAsia="Arial" w:hAnsi="Arial"/>
                <w:sz w:val="16"/>
                <w:szCs w:val="16"/>
                <w:color w:val="auto"/>
              </w:rPr>
              <w:t>612,654</w:t>
            </w:r>
          </w:p>
        </w:tc>
        <w:tc>
          <w:tcPr>
            <w:tcW w:w="260" w:type="dxa"/>
            <w:vAlign w:val="bottom"/>
            <w:tcBorders>
              <w:bottom w:val="single" w:sz="8" w:color="auto"/>
            </w:tcBorders>
          </w:tcPr>
          <w:p>
            <w:pPr>
              <w:spacing w:after="0"/>
              <w:rPr>
                <w:sz w:val="22"/>
                <w:szCs w:val="22"/>
                <w:color w:val="auto"/>
              </w:rPr>
            </w:pPr>
          </w:p>
        </w:tc>
        <w:tc>
          <w:tcPr>
            <w:tcW w:w="84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608,701</w:t>
            </w:r>
          </w:p>
        </w:tc>
        <w:tc>
          <w:tcPr>
            <w:tcW w:w="0" w:type="dxa"/>
            <w:vAlign w:val="bottom"/>
          </w:tcPr>
          <w:p>
            <w:pPr>
              <w:spacing w:after="0"/>
              <w:rPr>
                <w:sz w:val="1"/>
                <w:szCs w:val="1"/>
                <w:color w:val="auto"/>
              </w:rPr>
            </w:pPr>
          </w:p>
        </w:tc>
      </w:tr>
      <w:tr>
        <w:trPr>
          <w:trHeight w:val="251"/>
        </w:trPr>
        <w:tc>
          <w:tcPr>
            <w:tcW w:w="6980" w:type="dxa"/>
            <w:vAlign w:val="bottom"/>
          </w:tcPr>
          <w:p>
            <w:pPr>
              <w:ind w:left="40"/>
              <w:spacing w:after="0"/>
              <w:rPr>
                <w:sz w:val="20"/>
                <w:szCs w:val="20"/>
                <w:color w:val="auto"/>
              </w:rPr>
            </w:pPr>
            <w:r>
              <w:rPr>
                <w:rFonts w:ascii="Arial" w:cs="Arial" w:eastAsia="Arial" w:hAnsi="Arial"/>
                <w:sz w:val="16"/>
                <w:szCs w:val="16"/>
                <w:b w:val="1"/>
                <w:bCs w:val="1"/>
                <w:color w:val="auto"/>
              </w:rPr>
              <w:t>Income from Operations</w:t>
            </w:r>
          </w:p>
        </w:tc>
        <w:tc>
          <w:tcPr>
            <w:tcW w:w="180" w:type="dxa"/>
            <w:vAlign w:val="bottom"/>
          </w:tcPr>
          <w:p>
            <w:pPr>
              <w:spacing w:after="0"/>
              <w:rPr>
                <w:sz w:val="21"/>
                <w:szCs w:val="21"/>
                <w:color w:val="auto"/>
              </w:rPr>
            </w:pPr>
          </w:p>
        </w:tc>
        <w:tc>
          <w:tcPr>
            <w:tcW w:w="900" w:type="dxa"/>
            <w:vAlign w:val="bottom"/>
          </w:tcPr>
          <w:p>
            <w:pPr>
              <w:jc w:val="right"/>
              <w:ind w:right="80"/>
              <w:spacing w:after="0"/>
              <w:rPr>
                <w:sz w:val="20"/>
                <w:szCs w:val="20"/>
                <w:color w:val="auto"/>
              </w:rPr>
            </w:pPr>
            <w:r>
              <w:rPr>
                <w:rFonts w:ascii="Arial" w:cs="Arial" w:eastAsia="Arial" w:hAnsi="Arial"/>
                <w:sz w:val="16"/>
                <w:szCs w:val="16"/>
                <w:color w:val="auto"/>
              </w:rPr>
              <w:t>29,054</w:t>
            </w:r>
          </w:p>
        </w:tc>
        <w:tc>
          <w:tcPr>
            <w:tcW w:w="240" w:type="dxa"/>
            <w:vAlign w:val="bottom"/>
          </w:tcPr>
          <w:p>
            <w:pPr>
              <w:spacing w:after="0"/>
              <w:rPr>
                <w:sz w:val="21"/>
                <w:szCs w:val="21"/>
                <w:color w:val="auto"/>
              </w:rPr>
            </w:pPr>
          </w:p>
        </w:tc>
        <w:tc>
          <w:tcPr>
            <w:tcW w:w="900" w:type="dxa"/>
            <w:vAlign w:val="bottom"/>
          </w:tcPr>
          <w:p>
            <w:pPr>
              <w:jc w:val="right"/>
              <w:ind w:right="80"/>
              <w:spacing w:after="0"/>
              <w:rPr>
                <w:sz w:val="20"/>
                <w:szCs w:val="20"/>
                <w:color w:val="auto"/>
              </w:rPr>
            </w:pPr>
            <w:r>
              <w:rPr>
                <w:rFonts w:ascii="Arial" w:cs="Arial" w:eastAsia="Arial" w:hAnsi="Arial"/>
                <w:sz w:val="16"/>
                <w:szCs w:val="16"/>
                <w:color w:val="auto"/>
              </w:rPr>
              <w:t>68,361</w:t>
            </w:r>
          </w:p>
        </w:tc>
        <w:tc>
          <w:tcPr>
            <w:tcW w:w="240" w:type="dxa"/>
            <w:vAlign w:val="bottom"/>
          </w:tcPr>
          <w:p>
            <w:pPr>
              <w:spacing w:after="0"/>
              <w:rPr>
                <w:sz w:val="21"/>
                <w:szCs w:val="21"/>
                <w:color w:val="auto"/>
              </w:rPr>
            </w:pPr>
          </w:p>
        </w:tc>
        <w:tc>
          <w:tcPr>
            <w:tcW w:w="880" w:type="dxa"/>
            <w:vAlign w:val="bottom"/>
          </w:tcPr>
          <w:p>
            <w:pPr>
              <w:jc w:val="right"/>
              <w:ind w:right="60"/>
              <w:spacing w:after="0"/>
              <w:rPr>
                <w:sz w:val="20"/>
                <w:szCs w:val="20"/>
                <w:color w:val="auto"/>
              </w:rPr>
            </w:pPr>
            <w:r>
              <w:rPr>
                <w:rFonts w:ascii="Arial" w:cs="Arial" w:eastAsia="Arial" w:hAnsi="Arial"/>
                <w:sz w:val="16"/>
                <w:szCs w:val="16"/>
                <w:color w:val="auto"/>
              </w:rPr>
              <w:t>44,571</w:t>
            </w:r>
          </w:p>
        </w:tc>
        <w:tc>
          <w:tcPr>
            <w:tcW w:w="260" w:type="dxa"/>
            <w:vAlign w:val="bottom"/>
          </w:tcPr>
          <w:p>
            <w:pPr>
              <w:spacing w:after="0"/>
              <w:rPr>
                <w:sz w:val="21"/>
                <w:szCs w:val="21"/>
                <w:color w:val="auto"/>
              </w:rPr>
            </w:pPr>
          </w:p>
        </w:tc>
        <w:tc>
          <w:tcPr>
            <w:tcW w:w="840" w:type="dxa"/>
            <w:vAlign w:val="bottom"/>
          </w:tcPr>
          <w:p>
            <w:pPr>
              <w:jc w:val="right"/>
              <w:ind w:right="20"/>
              <w:spacing w:after="0"/>
              <w:rPr>
                <w:sz w:val="20"/>
                <w:szCs w:val="20"/>
                <w:color w:val="auto"/>
              </w:rPr>
            </w:pPr>
            <w:r>
              <w:rPr>
                <w:rFonts w:ascii="Arial" w:cs="Arial" w:eastAsia="Arial" w:hAnsi="Arial"/>
                <w:sz w:val="16"/>
                <w:szCs w:val="16"/>
                <w:color w:val="auto"/>
              </w:rPr>
              <w:t>67,116</w:t>
            </w:r>
          </w:p>
        </w:tc>
        <w:tc>
          <w:tcPr>
            <w:tcW w:w="0" w:type="dxa"/>
            <w:vAlign w:val="bottom"/>
          </w:tcPr>
          <w:p>
            <w:pPr>
              <w:spacing w:after="0"/>
              <w:rPr>
                <w:sz w:val="1"/>
                <w:szCs w:val="1"/>
                <w:color w:val="auto"/>
              </w:rPr>
            </w:pPr>
          </w:p>
        </w:tc>
      </w:tr>
      <w:tr>
        <w:trPr>
          <w:trHeight w:val="270"/>
        </w:trPr>
        <w:tc>
          <w:tcPr>
            <w:tcW w:w="6980" w:type="dxa"/>
            <w:vAlign w:val="bottom"/>
          </w:tcPr>
          <w:p>
            <w:pPr>
              <w:ind w:left="280"/>
              <w:spacing w:after="0"/>
              <w:rPr>
                <w:sz w:val="20"/>
                <w:szCs w:val="20"/>
                <w:color w:val="auto"/>
              </w:rPr>
            </w:pPr>
            <w:r>
              <w:rPr>
                <w:rFonts w:ascii="Arial" w:cs="Arial" w:eastAsia="Arial" w:hAnsi="Arial"/>
                <w:sz w:val="16"/>
                <w:szCs w:val="16"/>
                <w:color w:val="auto"/>
              </w:rPr>
              <w:t>Equity in earnings (losses) of affiliates, net</w:t>
            </w:r>
          </w:p>
        </w:tc>
        <w:tc>
          <w:tcPr>
            <w:tcW w:w="180" w:type="dxa"/>
            <w:vAlign w:val="bottom"/>
          </w:tcPr>
          <w:p>
            <w:pPr>
              <w:spacing w:after="0"/>
              <w:rPr>
                <w:sz w:val="23"/>
                <w:szCs w:val="23"/>
                <w:color w:val="auto"/>
              </w:rPr>
            </w:pPr>
          </w:p>
        </w:tc>
        <w:tc>
          <w:tcPr>
            <w:tcW w:w="900" w:type="dxa"/>
            <w:vAlign w:val="bottom"/>
          </w:tcPr>
          <w:p>
            <w:pPr>
              <w:jc w:val="right"/>
              <w:ind w:right="80"/>
              <w:spacing w:after="0"/>
              <w:rPr>
                <w:sz w:val="20"/>
                <w:szCs w:val="20"/>
                <w:color w:val="auto"/>
              </w:rPr>
            </w:pPr>
            <w:r>
              <w:rPr>
                <w:rFonts w:ascii="Arial" w:cs="Arial" w:eastAsia="Arial" w:hAnsi="Arial"/>
                <w:sz w:val="16"/>
                <w:szCs w:val="16"/>
                <w:color w:val="auto"/>
              </w:rPr>
              <w:t>649</w:t>
            </w:r>
          </w:p>
        </w:tc>
        <w:tc>
          <w:tcPr>
            <w:tcW w:w="240" w:type="dxa"/>
            <w:vAlign w:val="bottom"/>
          </w:tcPr>
          <w:p>
            <w:pPr>
              <w:spacing w:after="0"/>
              <w:rPr>
                <w:sz w:val="23"/>
                <w:szCs w:val="23"/>
                <w:color w:val="auto"/>
              </w:rPr>
            </w:pPr>
          </w:p>
        </w:tc>
        <w:tc>
          <w:tcPr>
            <w:tcW w:w="900" w:type="dxa"/>
            <w:vAlign w:val="bottom"/>
          </w:tcPr>
          <w:p>
            <w:pPr>
              <w:jc w:val="right"/>
              <w:ind w:right="80"/>
              <w:spacing w:after="0"/>
              <w:rPr>
                <w:sz w:val="20"/>
                <w:szCs w:val="20"/>
                <w:color w:val="auto"/>
              </w:rPr>
            </w:pPr>
            <w:r>
              <w:rPr>
                <w:rFonts w:ascii="Arial" w:cs="Arial" w:eastAsia="Arial" w:hAnsi="Arial"/>
                <w:sz w:val="16"/>
                <w:szCs w:val="16"/>
                <w:color w:val="auto"/>
              </w:rPr>
              <w:t>1,331</w:t>
            </w:r>
          </w:p>
        </w:tc>
        <w:tc>
          <w:tcPr>
            <w:tcW w:w="240" w:type="dxa"/>
            <w:vAlign w:val="bottom"/>
          </w:tcPr>
          <w:p>
            <w:pPr>
              <w:spacing w:after="0"/>
              <w:rPr>
                <w:sz w:val="23"/>
                <w:szCs w:val="23"/>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(532)</w:t>
            </w:r>
          </w:p>
        </w:tc>
        <w:tc>
          <w:tcPr>
            <w:tcW w:w="260" w:type="dxa"/>
            <w:vAlign w:val="bottom"/>
          </w:tcPr>
          <w:p>
            <w:pPr>
              <w:spacing w:after="0"/>
              <w:rPr>
                <w:sz w:val="23"/>
                <w:szCs w:val="23"/>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(4,697)</w:t>
            </w:r>
          </w:p>
        </w:tc>
        <w:tc>
          <w:tcPr>
            <w:tcW w:w="0" w:type="dxa"/>
            <w:vAlign w:val="bottom"/>
          </w:tcPr>
          <w:p>
            <w:pPr>
              <w:spacing w:after="0"/>
              <w:rPr>
                <w:sz w:val="1"/>
                <w:szCs w:val="1"/>
                <w:color w:val="auto"/>
              </w:rPr>
            </w:pPr>
          </w:p>
        </w:tc>
      </w:tr>
      <w:tr>
        <w:trPr>
          <w:trHeight w:val="270"/>
        </w:trPr>
        <w:tc>
          <w:tcPr>
            <w:tcW w:w="6980" w:type="dxa"/>
            <w:vAlign w:val="bottom"/>
          </w:tcPr>
          <w:p>
            <w:pPr>
              <w:ind w:left="280"/>
              <w:spacing w:after="0"/>
              <w:rPr>
                <w:sz w:val="20"/>
                <w:szCs w:val="20"/>
                <w:color w:val="auto"/>
              </w:rPr>
            </w:pPr>
            <w:r>
              <w:rPr>
                <w:rFonts w:ascii="Arial" w:cs="Arial" w:eastAsia="Arial" w:hAnsi="Arial"/>
                <w:sz w:val="16"/>
                <w:szCs w:val="16"/>
                <w:color w:val="auto"/>
              </w:rPr>
              <w:t>Interest income</w:t>
            </w:r>
          </w:p>
        </w:tc>
        <w:tc>
          <w:tcPr>
            <w:tcW w:w="180" w:type="dxa"/>
            <w:vAlign w:val="bottom"/>
          </w:tcPr>
          <w:p>
            <w:pPr>
              <w:spacing w:after="0"/>
              <w:rPr>
                <w:sz w:val="23"/>
                <w:szCs w:val="23"/>
                <w:color w:val="auto"/>
              </w:rPr>
            </w:pPr>
          </w:p>
        </w:tc>
        <w:tc>
          <w:tcPr>
            <w:tcW w:w="900" w:type="dxa"/>
            <w:vAlign w:val="bottom"/>
          </w:tcPr>
          <w:p>
            <w:pPr>
              <w:jc w:val="right"/>
              <w:ind w:right="80"/>
              <w:spacing w:after="0"/>
              <w:rPr>
                <w:sz w:val="20"/>
                <w:szCs w:val="20"/>
                <w:color w:val="auto"/>
              </w:rPr>
            </w:pPr>
            <w:r>
              <w:rPr>
                <w:rFonts w:ascii="Arial" w:cs="Arial" w:eastAsia="Arial" w:hAnsi="Arial"/>
                <w:sz w:val="16"/>
                <w:szCs w:val="16"/>
                <w:color w:val="auto"/>
              </w:rPr>
              <w:t>1,363</w:t>
            </w:r>
          </w:p>
        </w:tc>
        <w:tc>
          <w:tcPr>
            <w:tcW w:w="240" w:type="dxa"/>
            <w:vAlign w:val="bottom"/>
          </w:tcPr>
          <w:p>
            <w:pPr>
              <w:spacing w:after="0"/>
              <w:rPr>
                <w:sz w:val="23"/>
                <w:szCs w:val="23"/>
                <w:color w:val="auto"/>
              </w:rPr>
            </w:pPr>
          </w:p>
        </w:tc>
        <w:tc>
          <w:tcPr>
            <w:tcW w:w="900" w:type="dxa"/>
            <w:vAlign w:val="bottom"/>
          </w:tcPr>
          <w:p>
            <w:pPr>
              <w:jc w:val="right"/>
              <w:ind w:right="80"/>
              <w:spacing w:after="0"/>
              <w:rPr>
                <w:sz w:val="20"/>
                <w:szCs w:val="20"/>
                <w:color w:val="auto"/>
              </w:rPr>
            </w:pPr>
            <w:r>
              <w:rPr>
                <w:rFonts w:ascii="Arial" w:cs="Arial" w:eastAsia="Arial" w:hAnsi="Arial"/>
                <w:sz w:val="16"/>
                <w:szCs w:val="16"/>
                <w:color w:val="auto"/>
              </w:rPr>
              <w:t>1,173</w:t>
            </w:r>
          </w:p>
        </w:tc>
        <w:tc>
          <w:tcPr>
            <w:tcW w:w="240" w:type="dxa"/>
            <w:vAlign w:val="bottom"/>
          </w:tcPr>
          <w:p>
            <w:pPr>
              <w:spacing w:after="0"/>
              <w:rPr>
                <w:sz w:val="23"/>
                <w:szCs w:val="23"/>
                <w:color w:val="auto"/>
              </w:rPr>
            </w:pPr>
          </w:p>
        </w:tc>
        <w:tc>
          <w:tcPr>
            <w:tcW w:w="880" w:type="dxa"/>
            <w:vAlign w:val="bottom"/>
          </w:tcPr>
          <w:p>
            <w:pPr>
              <w:jc w:val="right"/>
              <w:ind w:right="60"/>
              <w:spacing w:after="0"/>
              <w:rPr>
                <w:sz w:val="20"/>
                <w:szCs w:val="20"/>
                <w:color w:val="auto"/>
              </w:rPr>
            </w:pPr>
            <w:r>
              <w:rPr>
                <w:rFonts w:ascii="Arial" w:cs="Arial" w:eastAsia="Arial" w:hAnsi="Arial"/>
                <w:sz w:val="16"/>
                <w:szCs w:val="16"/>
                <w:color w:val="auto"/>
              </w:rPr>
              <w:t>861</w:t>
            </w:r>
          </w:p>
        </w:tc>
        <w:tc>
          <w:tcPr>
            <w:tcW w:w="260" w:type="dxa"/>
            <w:vAlign w:val="bottom"/>
          </w:tcPr>
          <w:p>
            <w:pPr>
              <w:spacing w:after="0"/>
              <w:rPr>
                <w:sz w:val="23"/>
                <w:szCs w:val="23"/>
                <w:color w:val="auto"/>
              </w:rPr>
            </w:pPr>
          </w:p>
        </w:tc>
        <w:tc>
          <w:tcPr>
            <w:tcW w:w="840" w:type="dxa"/>
            <w:vAlign w:val="bottom"/>
          </w:tcPr>
          <w:p>
            <w:pPr>
              <w:jc w:val="right"/>
              <w:ind w:right="20"/>
              <w:spacing w:after="0"/>
              <w:rPr>
                <w:sz w:val="20"/>
                <w:szCs w:val="20"/>
                <w:color w:val="auto"/>
              </w:rPr>
            </w:pPr>
            <w:r>
              <w:rPr>
                <w:rFonts w:ascii="Arial" w:cs="Arial" w:eastAsia="Arial" w:hAnsi="Arial"/>
                <w:sz w:val="16"/>
                <w:szCs w:val="16"/>
                <w:color w:val="auto"/>
              </w:rPr>
              <w:t>3,184</w:t>
            </w:r>
          </w:p>
        </w:tc>
        <w:tc>
          <w:tcPr>
            <w:tcW w:w="0" w:type="dxa"/>
            <w:vAlign w:val="bottom"/>
          </w:tcPr>
          <w:p>
            <w:pPr>
              <w:spacing w:after="0"/>
              <w:rPr>
                <w:sz w:val="1"/>
                <w:szCs w:val="1"/>
                <w:color w:val="auto"/>
              </w:rPr>
            </w:pPr>
          </w:p>
        </w:tc>
      </w:tr>
      <w:tr>
        <w:trPr>
          <w:trHeight w:val="270"/>
        </w:trPr>
        <w:tc>
          <w:tcPr>
            <w:tcW w:w="6980" w:type="dxa"/>
            <w:vAlign w:val="bottom"/>
          </w:tcPr>
          <w:p>
            <w:pPr>
              <w:ind w:left="280"/>
              <w:spacing w:after="0"/>
              <w:rPr>
                <w:sz w:val="20"/>
                <w:szCs w:val="20"/>
                <w:color w:val="auto"/>
              </w:rPr>
            </w:pPr>
            <w:r>
              <w:rPr>
                <w:rFonts w:ascii="Arial" w:cs="Arial" w:eastAsia="Arial" w:hAnsi="Arial"/>
                <w:sz w:val="16"/>
                <w:szCs w:val="16"/>
                <w:color w:val="auto"/>
              </w:rPr>
              <w:t>Interest expense</w:t>
            </w:r>
          </w:p>
        </w:tc>
        <w:tc>
          <w:tcPr>
            <w:tcW w:w="180" w:type="dxa"/>
            <w:vAlign w:val="bottom"/>
          </w:tcPr>
          <w:p>
            <w:pPr>
              <w:spacing w:after="0"/>
              <w:rPr>
                <w:sz w:val="23"/>
                <w:szCs w:val="23"/>
                <w:color w:val="auto"/>
              </w:rPr>
            </w:pPr>
          </w:p>
        </w:tc>
        <w:tc>
          <w:tcPr>
            <w:tcW w:w="900" w:type="dxa"/>
            <w:vAlign w:val="bottom"/>
          </w:tcPr>
          <w:p>
            <w:pPr>
              <w:jc w:val="right"/>
              <w:ind w:right="20"/>
              <w:spacing w:after="0"/>
              <w:rPr>
                <w:sz w:val="20"/>
                <w:szCs w:val="20"/>
                <w:color w:val="auto"/>
              </w:rPr>
            </w:pPr>
            <w:r>
              <w:rPr>
                <w:rFonts w:ascii="Arial" w:cs="Arial" w:eastAsia="Arial" w:hAnsi="Arial"/>
                <w:sz w:val="16"/>
                <w:szCs w:val="16"/>
                <w:color w:val="auto"/>
              </w:rPr>
              <w:t>(8,129)</w:t>
            </w:r>
          </w:p>
        </w:tc>
        <w:tc>
          <w:tcPr>
            <w:tcW w:w="240" w:type="dxa"/>
            <w:vAlign w:val="bottom"/>
          </w:tcPr>
          <w:p>
            <w:pPr>
              <w:spacing w:after="0"/>
              <w:rPr>
                <w:sz w:val="23"/>
                <w:szCs w:val="23"/>
                <w:color w:val="auto"/>
              </w:rPr>
            </w:pPr>
          </w:p>
        </w:tc>
        <w:tc>
          <w:tcPr>
            <w:tcW w:w="900" w:type="dxa"/>
            <w:vAlign w:val="bottom"/>
          </w:tcPr>
          <w:p>
            <w:pPr>
              <w:jc w:val="right"/>
              <w:ind w:right="20"/>
              <w:spacing w:after="0"/>
              <w:rPr>
                <w:sz w:val="20"/>
                <w:szCs w:val="20"/>
                <w:color w:val="auto"/>
              </w:rPr>
            </w:pPr>
            <w:r>
              <w:rPr>
                <w:rFonts w:ascii="Arial" w:cs="Arial" w:eastAsia="Arial" w:hAnsi="Arial"/>
                <w:sz w:val="16"/>
                <w:szCs w:val="16"/>
                <w:color w:val="auto"/>
              </w:rPr>
              <w:t>(9,035)</w:t>
            </w:r>
          </w:p>
        </w:tc>
        <w:tc>
          <w:tcPr>
            <w:tcW w:w="240" w:type="dxa"/>
            <w:vAlign w:val="bottom"/>
          </w:tcPr>
          <w:p>
            <w:pPr>
              <w:spacing w:after="0"/>
              <w:rPr>
                <w:sz w:val="23"/>
                <w:szCs w:val="23"/>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(8,619)</w:t>
            </w:r>
          </w:p>
        </w:tc>
        <w:tc>
          <w:tcPr>
            <w:tcW w:w="260" w:type="dxa"/>
            <w:vAlign w:val="bottom"/>
          </w:tcPr>
          <w:p>
            <w:pPr>
              <w:spacing w:after="0"/>
              <w:rPr>
                <w:sz w:val="23"/>
                <w:szCs w:val="23"/>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(8,103)</w:t>
            </w:r>
          </w:p>
        </w:tc>
        <w:tc>
          <w:tcPr>
            <w:tcW w:w="0" w:type="dxa"/>
            <w:vAlign w:val="bottom"/>
          </w:tcPr>
          <w:p>
            <w:pPr>
              <w:spacing w:after="0"/>
              <w:rPr>
                <w:sz w:val="1"/>
                <w:szCs w:val="1"/>
                <w:color w:val="auto"/>
              </w:rPr>
            </w:pPr>
          </w:p>
        </w:tc>
      </w:tr>
      <w:tr>
        <w:trPr>
          <w:trHeight w:val="283"/>
        </w:trPr>
        <w:tc>
          <w:tcPr>
            <w:tcW w:w="6980" w:type="dxa"/>
            <w:vAlign w:val="bottom"/>
          </w:tcPr>
          <w:p>
            <w:pPr>
              <w:ind w:left="280"/>
              <w:spacing w:after="0"/>
              <w:rPr>
                <w:sz w:val="20"/>
                <w:szCs w:val="20"/>
                <w:color w:val="auto"/>
              </w:rPr>
            </w:pPr>
            <w:r>
              <w:rPr>
                <w:rFonts w:ascii="Arial" w:cs="Arial" w:eastAsia="Arial" w:hAnsi="Arial"/>
                <w:sz w:val="16"/>
                <w:szCs w:val="16"/>
                <w:color w:val="auto"/>
              </w:rPr>
              <w:t>Other income (expense), net</w:t>
            </w:r>
          </w:p>
        </w:tc>
        <w:tc>
          <w:tcPr>
            <w:tcW w:w="18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jc w:val="right"/>
              <w:ind w:right="80"/>
              <w:spacing w:after="0"/>
              <w:rPr>
                <w:sz w:val="20"/>
                <w:szCs w:val="20"/>
                <w:color w:val="auto"/>
              </w:rPr>
            </w:pPr>
            <w:r>
              <w:rPr>
                <w:rFonts w:ascii="Arial" w:cs="Arial" w:eastAsia="Arial" w:hAnsi="Arial"/>
                <w:sz w:val="16"/>
                <w:szCs w:val="16"/>
                <w:color w:val="auto"/>
              </w:rPr>
              <w:t>849</w:t>
            </w:r>
          </w:p>
        </w:tc>
        <w:tc>
          <w:tcPr>
            <w:tcW w:w="24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jc w:val="right"/>
              <w:ind w:right="80"/>
              <w:spacing w:after="0"/>
              <w:rPr>
                <w:sz w:val="20"/>
                <w:szCs w:val="20"/>
                <w:color w:val="auto"/>
              </w:rPr>
            </w:pPr>
            <w:r>
              <w:rPr>
                <w:rFonts w:ascii="Arial" w:cs="Arial" w:eastAsia="Arial" w:hAnsi="Arial"/>
                <w:sz w:val="16"/>
                <w:szCs w:val="16"/>
                <w:color w:val="auto"/>
              </w:rPr>
              <w:t>4,069</w:t>
            </w:r>
          </w:p>
        </w:tc>
        <w:tc>
          <w:tcPr>
            <w:tcW w:w="24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jc w:val="right"/>
              <w:ind w:right="60"/>
              <w:spacing w:after="0"/>
              <w:rPr>
                <w:sz w:val="20"/>
                <w:szCs w:val="20"/>
                <w:color w:val="auto"/>
              </w:rPr>
            </w:pPr>
            <w:r>
              <w:rPr>
                <w:rFonts w:ascii="Arial" w:cs="Arial" w:eastAsia="Arial" w:hAnsi="Arial"/>
                <w:sz w:val="16"/>
                <w:szCs w:val="16"/>
                <w:color w:val="auto"/>
              </w:rPr>
              <w:t>1,963</w:t>
            </w:r>
          </w:p>
        </w:tc>
        <w:tc>
          <w:tcPr>
            <w:tcW w:w="26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(2,640)</w:t>
            </w:r>
          </w:p>
        </w:tc>
        <w:tc>
          <w:tcPr>
            <w:tcW w:w="0" w:type="dxa"/>
            <w:vAlign w:val="bottom"/>
          </w:tcPr>
          <w:p>
            <w:pPr>
              <w:spacing w:after="0"/>
              <w:rPr>
                <w:sz w:val="1"/>
                <w:szCs w:val="1"/>
                <w:color w:val="auto"/>
              </w:rPr>
            </w:pPr>
          </w:p>
        </w:tc>
      </w:tr>
      <w:tr>
        <w:trPr>
          <w:trHeight w:val="251"/>
        </w:trPr>
        <w:tc>
          <w:tcPr>
            <w:tcW w:w="6980" w:type="dxa"/>
            <w:vAlign w:val="bottom"/>
          </w:tcPr>
          <w:p>
            <w:pPr>
              <w:ind w:left="40"/>
              <w:spacing w:after="0"/>
              <w:rPr>
                <w:sz w:val="20"/>
                <w:szCs w:val="20"/>
                <w:color w:val="auto"/>
              </w:rPr>
            </w:pPr>
            <w:r>
              <w:rPr>
                <w:rFonts w:ascii="Arial" w:cs="Arial" w:eastAsia="Arial" w:hAnsi="Arial"/>
                <w:sz w:val="16"/>
                <w:szCs w:val="16"/>
                <w:b w:val="1"/>
                <w:bCs w:val="1"/>
                <w:color w:val="auto"/>
              </w:rPr>
              <w:t>Income Before Income Taxes</w:t>
            </w:r>
          </w:p>
        </w:tc>
        <w:tc>
          <w:tcPr>
            <w:tcW w:w="180" w:type="dxa"/>
            <w:vAlign w:val="bottom"/>
          </w:tcPr>
          <w:p>
            <w:pPr>
              <w:spacing w:after="0"/>
              <w:rPr>
                <w:sz w:val="21"/>
                <w:szCs w:val="21"/>
                <w:color w:val="auto"/>
              </w:rPr>
            </w:pPr>
          </w:p>
        </w:tc>
        <w:tc>
          <w:tcPr>
            <w:tcW w:w="900" w:type="dxa"/>
            <w:vAlign w:val="bottom"/>
          </w:tcPr>
          <w:p>
            <w:pPr>
              <w:jc w:val="right"/>
              <w:ind w:right="80"/>
              <w:spacing w:after="0"/>
              <w:rPr>
                <w:sz w:val="20"/>
                <w:szCs w:val="20"/>
                <w:color w:val="auto"/>
              </w:rPr>
            </w:pPr>
            <w:r>
              <w:rPr>
                <w:rFonts w:ascii="Arial" w:cs="Arial" w:eastAsia="Arial" w:hAnsi="Arial"/>
                <w:sz w:val="16"/>
                <w:szCs w:val="16"/>
                <w:color w:val="auto"/>
              </w:rPr>
              <w:t>23,786</w:t>
            </w:r>
          </w:p>
        </w:tc>
        <w:tc>
          <w:tcPr>
            <w:tcW w:w="240" w:type="dxa"/>
            <w:vAlign w:val="bottom"/>
          </w:tcPr>
          <w:p>
            <w:pPr>
              <w:spacing w:after="0"/>
              <w:rPr>
                <w:sz w:val="21"/>
                <w:szCs w:val="21"/>
                <w:color w:val="auto"/>
              </w:rPr>
            </w:pPr>
          </w:p>
        </w:tc>
        <w:tc>
          <w:tcPr>
            <w:tcW w:w="900" w:type="dxa"/>
            <w:vAlign w:val="bottom"/>
          </w:tcPr>
          <w:p>
            <w:pPr>
              <w:jc w:val="right"/>
              <w:ind w:right="80"/>
              <w:spacing w:after="0"/>
              <w:rPr>
                <w:sz w:val="20"/>
                <w:szCs w:val="20"/>
                <w:color w:val="auto"/>
              </w:rPr>
            </w:pPr>
            <w:r>
              <w:rPr>
                <w:rFonts w:ascii="Arial" w:cs="Arial" w:eastAsia="Arial" w:hAnsi="Arial"/>
                <w:sz w:val="16"/>
                <w:szCs w:val="16"/>
                <w:color w:val="auto"/>
              </w:rPr>
              <w:t>65,899</w:t>
            </w:r>
          </w:p>
        </w:tc>
        <w:tc>
          <w:tcPr>
            <w:tcW w:w="240" w:type="dxa"/>
            <w:vAlign w:val="bottom"/>
          </w:tcPr>
          <w:p>
            <w:pPr>
              <w:spacing w:after="0"/>
              <w:rPr>
                <w:sz w:val="21"/>
                <w:szCs w:val="21"/>
                <w:color w:val="auto"/>
              </w:rPr>
            </w:pPr>
          </w:p>
        </w:tc>
        <w:tc>
          <w:tcPr>
            <w:tcW w:w="880" w:type="dxa"/>
            <w:vAlign w:val="bottom"/>
          </w:tcPr>
          <w:p>
            <w:pPr>
              <w:jc w:val="right"/>
              <w:ind w:right="60"/>
              <w:spacing w:after="0"/>
              <w:rPr>
                <w:sz w:val="20"/>
                <w:szCs w:val="20"/>
                <w:color w:val="auto"/>
              </w:rPr>
            </w:pPr>
            <w:r>
              <w:rPr>
                <w:rFonts w:ascii="Arial" w:cs="Arial" w:eastAsia="Arial" w:hAnsi="Arial"/>
                <w:sz w:val="16"/>
                <w:szCs w:val="16"/>
                <w:color w:val="auto"/>
              </w:rPr>
              <w:t>38,244</w:t>
            </w:r>
          </w:p>
        </w:tc>
        <w:tc>
          <w:tcPr>
            <w:tcW w:w="260" w:type="dxa"/>
            <w:vAlign w:val="bottom"/>
          </w:tcPr>
          <w:p>
            <w:pPr>
              <w:spacing w:after="0"/>
              <w:rPr>
                <w:sz w:val="21"/>
                <w:szCs w:val="21"/>
                <w:color w:val="auto"/>
              </w:rPr>
            </w:pPr>
          </w:p>
        </w:tc>
        <w:tc>
          <w:tcPr>
            <w:tcW w:w="840" w:type="dxa"/>
            <w:vAlign w:val="bottom"/>
          </w:tcPr>
          <w:p>
            <w:pPr>
              <w:jc w:val="right"/>
              <w:ind w:right="20"/>
              <w:spacing w:after="0"/>
              <w:rPr>
                <w:sz w:val="20"/>
                <w:szCs w:val="20"/>
                <w:color w:val="auto"/>
              </w:rPr>
            </w:pPr>
            <w:r>
              <w:rPr>
                <w:rFonts w:ascii="Arial" w:cs="Arial" w:eastAsia="Arial" w:hAnsi="Arial"/>
                <w:sz w:val="16"/>
                <w:szCs w:val="16"/>
                <w:color w:val="auto"/>
              </w:rPr>
              <w:t>54,860</w:t>
            </w:r>
          </w:p>
        </w:tc>
        <w:tc>
          <w:tcPr>
            <w:tcW w:w="0" w:type="dxa"/>
            <w:vAlign w:val="bottom"/>
          </w:tcPr>
          <w:p>
            <w:pPr>
              <w:spacing w:after="0"/>
              <w:rPr>
                <w:sz w:val="1"/>
                <w:szCs w:val="1"/>
                <w:color w:val="auto"/>
              </w:rPr>
            </w:pPr>
          </w:p>
        </w:tc>
      </w:tr>
      <w:tr>
        <w:trPr>
          <w:trHeight w:val="283"/>
        </w:trPr>
        <w:tc>
          <w:tcPr>
            <w:tcW w:w="6980" w:type="dxa"/>
            <w:vAlign w:val="bottom"/>
          </w:tcPr>
          <w:p>
            <w:pPr>
              <w:ind w:left="40"/>
              <w:spacing w:after="0"/>
              <w:rPr>
                <w:sz w:val="20"/>
                <w:szCs w:val="20"/>
                <w:color w:val="auto"/>
              </w:rPr>
            </w:pPr>
            <w:r>
              <w:rPr>
                <w:rFonts w:ascii="Arial" w:cs="Arial" w:eastAsia="Arial" w:hAnsi="Arial"/>
                <w:sz w:val="16"/>
                <w:szCs w:val="16"/>
                <w:b w:val="1"/>
                <w:bCs w:val="1"/>
                <w:color w:val="auto"/>
              </w:rPr>
              <w:t>Provision for (Benefit from) Income Taxes</w:t>
            </w:r>
          </w:p>
        </w:tc>
        <w:tc>
          <w:tcPr>
            <w:tcW w:w="18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jc w:val="right"/>
              <w:ind w:right="80"/>
              <w:spacing w:after="0"/>
              <w:rPr>
                <w:sz w:val="20"/>
                <w:szCs w:val="20"/>
                <w:color w:val="auto"/>
              </w:rPr>
            </w:pPr>
            <w:r>
              <w:rPr>
                <w:rFonts w:ascii="Arial" w:cs="Arial" w:eastAsia="Arial" w:hAnsi="Arial"/>
                <w:sz w:val="16"/>
                <w:szCs w:val="16"/>
                <w:color w:val="auto"/>
              </w:rPr>
              <w:t>2,700</w:t>
            </w:r>
          </w:p>
        </w:tc>
        <w:tc>
          <w:tcPr>
            <w:tcW w:w="24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jc w:val="right"/>
              <w:ind w:right="80"/>
              <w:spacing w:after="0"/>
              <w:rPr>
                <w:sz w:val="20"/>
                <w:szCs w:val="20"/>
                <w:color w:val="auto"/>
              </w:rPr>
            </w:pPr>
            <w:r>
              <w:rPr>
                <w:rFonts w:ascii="Arial" w:cs="Arial" w:eastAsia="Arial" w:hAnsi="Arial"/>
                <w:sz w:val="16"/>
                <w:szCs w:val="16"/>
                <w:color w:val="auto"/>
              </w:rPr>
              <w:t>23,900</w:t>
            </w:r>
          </w:p>
        </w:tc>
        <w:tc>
          <w:tcPr>
            <w:tcW w:w="24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jc w:val="right"/>
              <w:ind w:right="60"/>
              <w:spacing w:after="0"/>
              <w:rPr>
                <w:sz w:val="20"/>
                <w:szCs w:val="20"/>
                <w:color w:val="auto"/>
              </w:rPr>
            </w:pPr>
            <w:r>
              <w:rPr>
                <w:rFonts w:ascii="Arial" w:cs="Arial" w:eastAsia="Arial" w:hAnsi="Arial"/>
                <w:sz w:val="16"/>
                <w:szCs w:val="16"/>
                <w:color w:val="auto"/>
              </w:rPr>
              <w:t>13,400</w:t>
            </w:r>
          </w:p>
        </w:tc>
        <w:tc>
          <w:tcPr>
            <w:tcW w:w="26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(159,700)</w:t>
            </w:r>
          </w:p>
        </w:tc>
        <w:tc>
          <w:tcPr>
            <w:tcW w:w="0" w:type="dxa"/>
            <w:vAlign w:val="bottom"/>
          </w:tcPr>
          <w:p>
            <w:pPr>
              <w:spacing w:after="0"/>
              <w:rPr>
                <w:sz w:val="1"/>
                <w:szCs w:val="1"/>
                <w:color w:val="auto"/>
              </w:rPr>
            </w:pPr>
          </w:p>
        </w:tc>
      </w:tr>
      <w:tr>
        <w:trPr>
          <w:trHeight w:val="251"/>
        </w:trPr>
        <w:tc>
          <w:tcPr>
            <w:tcW w:w="6980" w:type="dxa"/>
            <w:vAlign w:val="bottom"/>
          </w:tcPr>
          <w:p>
            <w:pPr>
              <w:ind w:left="40"/>
              <w:spacing w:after="0"/>
              <w:rPr>
                <w:sz w:val="20"/>
                <w:szCs w:val="20"/>
                <w:color w:val="auto"/>
              </w:rPr>
            </w:pPr>
            <w:r>
              <w:rPr>
                <w:rFonts w:ascii="Arial" w:cs="Arial" w:eastAsia="Arial" w:hAnsi="Arial"/>
                <w:sz w:val="16"/>
                <w:szCs w:val="16"/>
                <w:b w:val="1"/>
                <w:bCs w:val="1"/>
                <w:color w:val="auto"/>
              </w:rPr>
              <w:t>Net Income</w:t>
            </w:r>
          </w:p>
        </w:tc>
        <w:tc>
          <w:tcPr>
            <w:tcW w:w="180" w:type="dxa"/>
            <w:vAlign w:val="bottom"/>
          </w:tcPr>
          <w:p>
            <w:pPr>
              <w:spacing w:after="0"/>
              <w:rPr>
                <w:sz w:val="21"/>
                <w:szCs w:val="21"/>
                <w:color w:val="auto"/>
              </w:rPr>
            </w:pPr>
          </w:p>
        </w:tc>
        <w:tc>
          <w:tcPr>
            <w:tcW w:w="900" w:type="dxa"/>
            <w:vAlign w:val="bottom"/>
          </w:tcPr>
          <w:p>
            <w:pPr>
              <w:jc w:val="right"/>
              <w:ind w:right="80"/>
              <w:spacing w:after="0"/>
              <w:rPr>
                <w:sz w:val="20"/>
                <w:szCs w:val="20"/>
                <w:color w:val="auto"/>
              </w:rPr>
            </w:pPr>
            <w:r>
              <w:rPr>
                <w:rFonts w:ascii="Arial" w:cs="Arial" w:eastAsia="Arial" w:hAnsi="Arial"/>
                <w:sz w:val="16"/>
                <w:szCs w:val="16"/>
                <w:color w:val="auto"/>
              </w:rPr>
              <w:t>21,086</w:t>
            </w:r>
          </w:p>
        </w:tc>
        <w:tc>
          <w:tcPr>
            <w:tcW w:w="240" w:type="dxa"/>
            <w:vAlign w:val="bottom"/>
          </w:tcPr>
          <w:p>
            <w:pPr>
              <w:spacing w:after="0"/>
              <w:rPr>
                <w:sz w:val="21"/>
                <w:szCs w:val="21"/>
                <w:color w:val="auto"/>
              </w:rPr>
            </w:pPr>
          </w:p>
        </w:tc>
        <w:tc>
          <w:tcPr>
            <w:tcW w:w="900" w:type="dxa"/>
            <w:vAlign w:val="bottom"/>
          </w:tcPr>
          <w:p>
            <w:pPr>
              <w:jc w:val="right"/>
              <w:ind w:right="80"/>
              <w:spacing w:after="0"/>
              <w:rPr>
                <w:sz w:val="20"/>
                <w:szCs w:val="20"/>
                <w:color w:val="auto"/>
              </w:rPr>
            </w:pPr>
            <w:r>
              <w:rPr>
                <w:rFonts w:ascii="Arial" w:cs="Arial" w:eastAsia="Arial" w:hAnsi="Arial"/>
                <w:sz w:val="16"/>
                <w:szCs w:val="16"/>
                <w:color w:val="auto"/>
              </w:rPr>
              <w:t>41,999</w:t>
            </w:r>
          </w:p>
        </w:tc>
        <w:tc>
          <w:tcPr>
            <w:tcW w:w="240" w:type="dxa"/>
            <w:vAlign w:val="bottom"/>
          </w:tcPr>
          <w:p>
            <w:pPr>
              <w:spacing w:after="0"/>
              <w:rPr>
                <w:sz w:val="21"/>
                <w:szCs w:val="21"/>
                <w:color w:val="auto"/>
              </w:rPr>
            </w:pPr>
          </w:p>
        </w:tc>
        <w:tc>
          <w:tcPr>
            <w:tcW w:w="880" w:type="dxa"/>
            <w:vAlign w:val="bottom"/>
          </w:tcPr>
          <w:p>
            <w:pPr>
              <w:jc w:val="right"/>
              <w:ind w:right="60"/>
              <w:spacing w:after="0"/>
              <w:rPr>
                <w:sz w:val="20"/>
                <w:szCs w:val="20"/>
                <w:color w:val="auto"/>
              </w:rPr>
            </w:pPr>
            <w:r>
              <w:rPr>
                <w:rFonts w:ascii="Arial" w:cs="Arial" w:eastAsia="Arial" w:hAnsi="Arial"/>
                <w:sz w:val="16"/>
                <w:szCs w:val="16"/>
                <w:color w:val="auto"/>
              </w:rPr>
              <w:t>24,844</w:t>
            </w:r>
          </w:p>
        </w:tc>
        <w:tc>
          <w:tcPr>
            <w:tcW w:w="260" w:type="dxa"/>
            <w:vAlign w:val="bottom"/>
          </w:tcPr>
          <w:p>
            <w:pPr>
              <w:spacing w:after="0"/>
              <w:rPr>
                <w:sz w:val="21"/>
                <w:szCs w:val="21"/>
                <w:color w:val="auto"/>
              </w:rPr>
            </w:pPr>
          </w:p>
        </w:tc>
        <w:tc>
          <w:tcPr>
            <w:tcW w:w="840" w:type="dxa"/>
            <w:vAlign w:val="bottom"/>
          </w:tcPr>
          <w:p>
            <w:pPr>
              <w:jc w:val="right"/>
              <w:ind w:right="20"/>
              <w:spacing w:after="0"/>
              <w:rPr>
                <w:sz w:val="20"/>
                <w:szCs w:val="20"/>
                <w:color w:val="auto"/>
              </w:rPr>
            </w:pPr>
            <w:r>
              <w:rPr>
                <w:rFonts w:ascii="Arial" w:cs="Arial" w:eastAsia="Arial" w:hAnsi="Arial"/>
                <w:sz w:val="16"/>
                <w:szCs w:val="16"/>
                <w:color w:val="auto"/>
              </w:rPr>
              <w:t>214,560</w:t>
            </w:r>
          </w:p>
        </w:tc>
        <w:tc>
          <w:tcPr>
            <w:tcW w:w="0" w:type="dxa"/>
            <w:vAlign w:val="bottom"/>
          </w:tcPr>
          <w:p>
            <w:pPr>
              <w:spacing w:after="0"/>
              <w:rPr>
                <w:sz w:val="1"/>
                <w:szCs w:val="1"/>
                <w:color w:val="auto"/>
              </w:rPr>
            </w:pPr>
          </w:p>
        </w:tc>
      </w:tr>
      <w:tr>
        <w:trPr>
          <w:trHeight w:val="283"/>
        </w:trPr>
        <w:tc>
          <w:tcPr>
            <w:tcW w:w="6980" w:type="dxa"/>
            <w:vAlign w:val="bottom"/>
          </w:tcPr>
          <w:p>
            <w:pPr>
              <w:ind w:left="40"/>
              <w:spacing w:after="0"/>
              <w:rPr>
                <w:sz w:val="20"/>
                <w:szCs w:val="20"/>
                <w:color w:val="auto"/>
              </w:rPr>
            </w:pPr>
            <w:r>
              <w:rPr>
                <w:rFonts w:ascii="Arial" w:cs="Arial" w:eastAsia="Arial" w:hAnsi="Arial"/>
                <w:sz w:val="16"/>
                <w:szCs w:val="16"/>
                <w:b w:val="1"/>
                <w:bCs w:val="1"/>
                <w:color w:val="auto"/>
              </w:rPr>
              <w:t>Net Income Attributable to Noncontrolling Interests</w:t>
            </w:r>
          </w:p>
        </w:tc>
        <w:tc>
          <w:tcPr>
            <w:tcW w:w="18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jc w:val="right"/>
              <w:ind w:right="80"/>
              <w:spacing w:after="0"/>
              <w:rPr>
                <w:sz w:val="20"/>
                <w:szCs w:val="20"/>
                <w:color w:val="auto"/>
              </w:rPr>
            </w:pPr>
            <w:r>
              <w:rPr>
                <w:rFonts w:ascii="Arial" w:cs="Arial" w:eastAsia="Arial" w:hAnsi="Arial"/>
                <w:sz w:val="16"/>
                <w:szCs w:val="16"/>
                <w:color w:val="auto"/>
              </w:rPr>
              <w:t>—</w:t>
            </w:r>
          </w:p>
        </w:tc>
        <w:tc>
          <w:tcPr>
            <w:tcW w:w="24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(3)</w:t>
            </w:r>
          </w:p>
        </w:tc>
        <w:tc>
          <w:tcPr>
            <w:tcW w:w="24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(60)</w:t>
            </w:r>
          </w:p>
        </w:tc>
        <w:tc>
          <w:tcPr>
            <w:tcW w:w="26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(382)</w:t>
            </w:r>
          </w:p>
        </w:tc>
        <w:tc>
          <w:tcPr>
            <w:tcW w:w="0" w:type="dxa"/>
            <w:vAlign w:val="bottom"/>
          </w:tcPr>
          <w:p>
            <w:pPr>
              <w:spacing w:after="0"/>
              <w:rPr>
                <w:sz w:val="1"/>
                <w:szCs w:val="1"/>
                <w:color w:val="auto"/>
              </w:rPr>
            </w:pPr>
          </w:p>
        </w:tc>
      </w:tr>
      <w:tr>
        <w:trPr>
          <w:trHeight w:val="264"/>
        </w:trPr>
        <w:tc>
          <w:tcPr>
            <w:tcW w:w="6980" w:type="dxa"/>
            <w:vAlign w:val="bottom"/>
          </w:tcPr>
          <w:p>
            <w:pPr>
              <w:ind w:left="40"/>
              <w:spacing w:after="0"/>
              <w:rPr>
                <w:sz w:val="20"/>
                <w:szCs w:val="20"/>
                <w:color w:val="auto"/>
              </w:rPr>
            </w:pPr>
            <w:r>
              <w:rPr>
                <w:rFonts w:ascii="Arial" w:cs="Arial" w:eastAsia="Arial" w:hAnsi="Arial"/>
                <w:sz w:val="16"/>
                <w:szCs w:val="16"/>
                <w:b w:val="1"/>
                <w:bCs w:val="1"/>
                <w:color w:val="auto"/>
              </w:rPr>
              <w:t>Net Income Attributable to Graham Holdings Company Common Stockholders</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900" w:type="dxa"/>
            <w:vAlign w:val="bottom"/>
            <w:tcBorders>
              <w:bottom w:val="single" w:sz="8" w:color="auto"/>
            </w:tcBorders>
          </w:tcPr>
          <w:p>
            <w:pPr>
              <w:jc w:val="right"/>
              <w:ind w:right="80"/>
              <w:spacing w:after="0"/>
              <w:rPr>
                <w:sz w:val="20"/>
                <w:szCs w:val="20"/>
                <w:color w:val="auto"/>
              </w:rPr>
            </w:pPr>
            <w:r>
              <w:rPr>
                <w:rFonts w:ascii="Arial" w:cs="Arial" w:eastAsia="Arial" w:hAnsi="Arial"/>
                <w:sz w:val="16"/>
                <w:szCs w:val="16"/>
                <w:color w:val="auto"/>
              </w:rPr>
              <w:t>21,086</w:t>
            </w:r>
          </w:p>
        </w:tc>
        <w:tc>
          <w:tcPr>
            <w:tcW w:w="2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900" w:type="dxa"/>
            <w:vAlign w:val="bottom"/>
            <w:tcBorders>
              <w:bottom w:val="single" w:sz="8" w:color="auto"/>
            </w:tcBorders>
          </w:tcPr>
          <w:p>
            <w:pPr>
              <w:jc w:val="right"/>
              <w:ind w:right="80"/>
              <w:spacing w:after="0"/>
              <w:rPr>
                <w:sz w:val="20"/>
                <w:szCs w:val="20"/>
                <w:color w:val="auto"/>
              </w:rPr>
            </w:pPr>
            <w:r>
              <w:rPr>
                <w:rFonts w:ascii="Arial" w:cs="Arial" w:eastAsia="Arial" w:hAnsi="Arial"/>
                <w:sz w:val="16"/>
                <w:szCs w:val="16"/>
                <w:color w:val="auto"/>
              </w:rPr>
              <w:t>41,996</w:t>
            </w:r>
          </w:p>
        </w:tc>
        <w:tc>
          <w:tcPr>
            <w:tcW w:w="2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880" w:type="dxa"/>
            <w:vAlign w:val="bottom"/>
            <w:tcBorders>
              <w:bottom w:val="single" w:sz="8" w:color="auto"/>
            </w:tcBorders>
          </w:tcPr>
          <w:p>
            <w:pPr>
              <w:jc w:val="right"/>
              <w:ind w:right="60"/>
              <w:spacing w:after="0"/>
              <w:rPr>
                <w:sz w:val="20"/>
                <w:szCs w:val="20"/>
                <w:color w:val="auto"/>
              </w:rPr>
            </w:pPr>
            <w:r>
              <w:rPr>
                <w:rFonts w:ascii="Arial" w:cs="Arial" w:eastAsia="Arial" w:hAnsi="Arial"/>
                <w:sz w:val="16"/>
                <w:szCs w:val="16"/>
                <w:color w:val="auto"/>
              </w:rPr>
              <w:t>24,784</w:t>
            </w:r>
          </w:p>
        </w:tc>
        <w:tc>
          <w:tcPr>
            <w:tcW w:w="2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84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214,178</w:t>
            </w:r>
          </w:p>
        </w:tc>
        <w:tc>
          <w:tcPr>
            <w:tcW w:w="0" w:type="dxa"/>
            <w:vAlign w:val="bottom"/>
          </w:tcPr>
          <w:p>
            <w:pPr>
              <w:spacing w:after="0"/>
              <w:rPr>
                <w:sz w:val="1"/>
                <w:szCs w:val="1"/>
                <w:color w:val="auto"/>
              </w:rPr>
            </w:pPr>
          </w:p>
        </w:tc>
      </w:tr>
      <w:tr>
        <w:trPr>
          <w:trHeight w:val="20"/>
        </w:trPr>
        <w:tc>
          <w:tcPr>
            <w:tcW w:w="6980" w:type="dxa"/>
            <w:vAlign w:val="bottom"/>
            <w:vMerge w:val="restart"/>
          </w:tcPr>
          <w:p>
            <w:pPr>
              <w:ind w:left="40"/>
              <w:spacing w:after="0"/>
              <w:rPr>
                <w:sz w:val="20"/>
                <w:szCs w:val="20"/>
                <w:color w:val="auto"/>
              </w:rPr>
            </w:pPr>
            <w:r>
              <w:rPr>
                <w:rFonts w:ascii="Arial" w:cs="Arial" w:eastAsia="Arial" w:hAnsi="Arial"/>
                <w:sz w:val="16"/>
                <w:szCs w:val="16"/>
                <w:b w:val="1"/>
                <w:bCs w:val="1"/>
                <w:color w:val="auto"/>
              </w:rPr>
              <w:t>Per Share Information Attributable to Graham Holdings Company Common Stockholders</w:t>
            </w:r>
          </w:p>
        </w:tc>
        <w:tc>
          <w:tcPr>
            <w:tcW w:w="1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2"/>
        </w:trPr>
        <w:tc>
          <w:tcPr>
            <w:tcW w:w="6980" w:type="dxa"/>
            <w:vAlign w:val="bottom"/>
            <w:vMerge w:val="continue"/>
          </w:tcPr>
          <w:p>
            <w:pPr>
              <w:spacing w:after="0"/>
              <w:rPr>
                <w:sz w:val="24"/>
                <w:szCs w:val="24"/>
                <w:color w:val="auto"/>
              </w:rPr>
            </w:pPr>
          </w:p>
        </w:tc>
        <w:tc>
          <w:tcPr>
            <w:tcW w:w="1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6980" w:type="dxa"/>
            <w:vAlign w:val="bottom"/>
          </w:tcPr>
          <w:p>
            <w:pPr>
              <w:ind w:left="40"/>
              <w:spacing w:after="0"/>
              <w:rPr>
                <w:sz w:val="20"/>
                <w:szCs w:val="20"/>
                <w:color w:val="auto"/>
              </w:rPr>
            </w:pPr>
            <w:r>
              <w:rPr>
                <w:rFonts w:ascii="Arial" w:cs="Arial" w:eastAsia="Arial" w:hAnsi="Arial"/>
                <w:sz w:val="16"/>
                <w:szCs w:val="16"/>
                <w:color w:val="auto"/>
              </w:rPr>
              <w:t>Basic net income per common share</w:t>
            </w:r>
          </w:p>
        </w:tc>
        <w:tc>
          <w:tcPr>
            <w:tcW w:w="180" w:type="dxa"/>
            <w:vAlign w:val="bottom"/>
          </w:tcPr>
          <w:p>
            <w:pPr>
              <w:jc w:val="right"/>
              <w:spacing w:after="0"/>
              <w:rPr>
                <w:sz w:val="20"/>
                <w:szCs w:val="20"/>
                <w:color w:val="auto"/>
              </w:rPr>
            </w:pPr>
            <w:r>
              <w:rPr>
                <w:rFonts w:ascii="Arial" w:cs="Arial" w:eastAsia="Arial" w:hAnsi="Arial"/>
                <w:sz w:val="16"/>
                <w:szCs w:val="16"/>
                <w:color w:val="auto"/>
              </w:rPr>
              <w:t>$</w:t>
            </w:r>
          </w:p>
        </w:tc>
        <w:tc>
          <w:tcPr>
            <w:tcW w:w="900" w:type="dxa"/>
            <w:vAlign w:val="bottom"/>
          </w:tcPr>
          <w:p>
            <w:pPr>
              <w:jc w:val="right"/>
              <w:ind w:right="80"/>
              <w:spacing w:after="0"/>
              <w:rPr>
                <w:sz w:val="20"/>
                <w:szCs w:val="20"/>
                <w:color w:val="auto"/>
              </w:rPr>
            </w:pPr>
            <w:r>
              <w:rPr>
                <w:rFonts w:ascii="Arial" w:cs="Arial" w:eastAsia="Arial" w:hAnsi="Arial"/>
                <w:sz w:val="16"/>
                <w:szCs w:val="16"/>
                <w:color w:val="auto"/>
              </w:rPr>
              <w:t>3.77</w:t>
            </w:r>
          </w:p>
        </w:tc>
        <w:tc>
          <w:tcPr>
            <w:tcW w:w="240" w:type="dxa"/>
            <w:vAlign w:val="bottom"/>
          </w:tcPr>
          <w:p>
            <w:pPr>
              <w:jc w:val="right"/>
              <w:spacing w:after="0"/>
              <w:rPr>
                <w:sz w:val="20"/>
                <w:szCs w:val="20"/>
                <w:color w:val="auto"/>
              </w:rPr>
            </w:pPr>
            <w:r>
              <w:rPr>
                <w:rFonts w:ascii="Arial" w:cs="Arial" w:eastAsia="Arial" w:hAnsi="Arial"/>
                <w:sz w:val="16"/>
                <w:szCs w:val="16"/>
                <w:color w:val="auto"/>
              </w:rPr>
              <w:t>$</w:t>
            </w:r>
          </w:p>
        </w:tc>
        <w:tc>
          <w:tcPr>
            <w:tcW w:w="900" w:type="dxa"/>
            <w:vAlign w:val="bottom"/>
          </w:tcPr>
          <w:p>
            <w:pPr>
              <w:jc w:val="right"/>
              <w:ind w:right="80"/>
              <w:spacing w:after="0"/>
              <w:rPr>
                <w:sz w:val="20"/>
                <w:szCs w:val="20"/>
                <w:color w:val="auto"/>
              </w:rPr>
            </w:pPr>
            <w:r>
              <w:rPr>
                <w:rFonts w:ascii="Arial" w:cs="Arial" w:eastAsia="Arial" w:hAnsi="Arial"/>
                <w:sz w:val="16"/>
                <w:szCs w:val="16"/>
                <w:color w:val="auto"/>
              </w:rPr>
              <w:t>7.51</w:t>
            </w:r>
          </w:p>
        </w:tc>
        <w:tc>
          <w:tcPr>
            <w:tcW w:w="240" w:type="dxa"/>
            <w:vAlign w:val="bottom"/>
          </w:tcPr>
          <w:p>
            <w:pPr>
              <w:jc w:val="right"/>
              <w:spacing w:after="0"/>
              <w:rPr>
                <w:sz w:val="20"/>
                <w:szCs w:val="20"/>
                <w:color w:val="auto"/>
              </w:rPr>
            </w:pPr>
            <w:r>
              <w:rPr>
                <w:rFonts w:ascii="Arial" w:cs="Arial" w:eastAsia="Arial" w:hAnsi="Arial"/>
                <w:sz w:val="16"/>
                <w:szCs w:val="16"/>
                <w:color w:val="auto"/>
              </w:rPr>
              <w:t>$</w:t>
            </w:r>
          </w:p>
        </w:tc>
        <w:tc>
          <w:tcPr>
            <w:tcW w:w="880" w:type="dxa"/>
            <w:vAlign w:val="bottom"/>
          </w:tcPr>
          <w:p>
            <w:pPr>
              <w:jc w:val="right"/>
              <w:ind w:right="60"/>
              <w:spacing w:after="0"/>
              <w:rPr>
                <w:sz w:val="20"/>
                <w:szCs w:val="20"/>
                <w:color w:val="auto"/>
              </w:rPr>
            </w:pPr>
            <w:r>
              <w:rPr>
                <w:rFonts w:ascii="Arial" w:cs="Arial" w:eastAsia="Arial" w:hAnsi="Arial"/>
                <w:sz w:val="16"/>
                <w:szCs w:val="16"/>
                <w:color w:val="auto"/>
              </w:rPr>
              <w:t>4.45</w:t>
            </w:r>
          </w:p>
        </w:tc>
        <w:tc>
          <w:tcPr>
            <w:tcW w:w="260" w:type="dxa"/>
            <w:vAlign w:val="bottom"/>
          </w:tcPr>
          <w:p>
            <w:pPr>
              <w:jc w:val="right"/>
              <w:spacing w:after="0"/>
              <w:rPr>
                <w:sz w:val="20"/>
                <w:szCs w:val="20"/>
                <w:color w:val="auto"/>
              </w:rPr>
            </w:pPr>
            <w:r>
              <w:rPr>
                <w:rFonts w:ascii="Arial" w:cs="Arial" w:eastAsia="Arial" w:hAnsi="Arial"/>
                <w:sz w:val="16"/>
                <w:szCs w:val="16"/>
                <w:color w:val="auto"/>
              </w:rPr>
              <w:t>$</w:t>
            </w:r>
          </w:p>
        </w:tc>
        <w:tc>
          <w:tcPr>
            <w:tcW w:w="840" w:type="dxa"/>
            <w:vAlign w:val="bottom"/>
          </w:tcPr>
          <w:p>
            <w:pPr>
              <w:jc w:val="right"/>
              <w:ind w:right="20"/>
              <w:spacing w:after="0"/>
              <w:rPr>
                <w:sz w:val="20"/>
                <w:szCs w:val="20"/>
                <w:color w:val="auto"/>
              </w:rPr>
            </w:pPr>
            <w:r>
              <w:rPr>
                <w:rFonts w:ascii="Arial" w:cs="Arial" w:eastAsia="Arial" w:hAnsi="Arial"/>
                <w:sz w:val="16"/>
                <w:szCs w:val="16"/>
                <w:color w:val="auto"/>
              </w:rPr>
              <w:t>38.76</w:t>
            </w:r>
          </w:p>
        </w:tc>
        <w:tc>
          <w:tcPr>
            <w:tcW w:w="0" w:type="dxa"/>
            <w:vAlign w:val="bottom"/>
          </w:tcPr>
          <w:p>
            <w:pPr>
              <w:spacing w:after="0"/>
              <w:rPr>
                <w:sz w:val="1"/>
                <w:szCs w:val="1"/>
                <w:color w:val="auto"/>
              </w:rPr>
            </w:pPr>
          </w:p>
        </w:tc>
      </w:tr>
      <w:tr>
        <w:trPr>
          <w:trHeight w:val="270"/>
        </w:trPr>
        <w:tc>
          <w:tcPr>
            <w:tcW w:w="6980" w:type="dxa"/>
            <w:vAlign w:val="bottom"/>
          </w:tcPr>
          <w:p>
            <w:pPr>
              <w:ind w:left="40"/>
              <w:spacing w:after="0"/>
              <w:rPr>
                <w:sz w:val="20"/>
                <w:szCs w:val="20"/>
                <w:color w:val="auto"/>
              </w:rPr>
            </w:pPr>
            <w:r>
              <w:rPr>
                <w:rFonts w:ascii="Arial" w:cs="Arial" w:eastAsia="Arial" w:hAnsi="Arial"/>
                <w:sz w:val="16"/>
                <w:szCs w:val="16"/>
                <w:color w:val="auto"/>
              </w:rPr>
              <w:t>Basic average number of common shares outstanding</w:t>
            </w:r>
          </w:p>
        </w:tc>
        <w:tc>
          <w:tcPr>
            <w:tcW w:w="180" w:type="dxa"/>
            <w:vAlign w:val="bottom"/>
          </w:tcPr>
          <w:p>
            <w:pPr>
              <w:spacing w:after="0"/>
              <w:rPr>
                <w:sz w:val="23"/>
                <w:szCs w:val="23"/>
                <w:color w:val="auto"/>
              </w:rPr>
            </w:pPr>
          </w:p>
        </w:tc>
        <w:tc>
          <w:tcPr>
            <w:tcW w:w="900" w:type="dxa"/>
            <w:vAlign w:val="bottom"/>
          </w:tcPr>
          <w:p>
            <w:pPr>
              <w:jc w:val="right"/>
              <w:ind w:right="80"/>
              <w:spacing w:after="0"/>
              <w:rPr>
                <w:sz w:val="20"/>
                <w:szCs w:val="20"/>
                <w:color w:val="auto"/>
              </w:rPr>
            </w:pPr>
            <w:r>
              <w:rPr>
                <w:rFonts w:ascii="Arial" w:cs="Arial" w:eastAsia="Arial" w:hAnsi="Arial"/>
                <w:sz w:val="16"/>
                <w:szCs w:val="16"/>
                <w:color w:val="auto"/>
              </w:rPr>
              <w:t>5,535</w:t>
            </w:r>
          </w:p>
        </w:tc>
        <w:tc>
          <w:tcPr>
            <w:tcW w:w="240" w:type="dxa"/>
            <w:vAlign w:val="bottom"/>
          </w:tcPr>
          <w:p>
            <w:pPr>
              <w:spacing w:after="0"/>
              <w:rPr>
                <w:sz w:val="23"/>
                <w:szCs w:val="23"/>
                <w:color w:val="auto"/>
              </w:rPr>
            </w:pPr>
          </w:p>
        </w:tc>
        <w:tc>
          <w:tcPr>
            <w:tcW w:w="900" w:type="dxa"/>
            <w:vAlign w:val="bottom"/>
          </w:tcPr>
          <w:p>
            <w:pPr>
              <w:jc w:val="right"/>
              <w:ind w:right="80"/>
              <w:spacing w:after="0"/>
              <w:rPr>
                <w:sz w:val="20"/>
                <w:szCs w:val="20"/>
                <w:color w:val="auto"/>
              </w:rPr>
            </w:pPr>
            <w:r>
              <w:rPr>
                <w:rFonts w:ascii="Arial" w:cs="Arial" w:eastAsia="Arial" w:hAnsi="Arial"/>
                <w:sz w:val="16"/>
                <w:szCs w:val="16"/>
                <w:color w:val="auto"/>
              </w:rPr>
              <w:t>5,539</w:t>
            </w:r>
          </w:p>
        </w:tc>
        <w:tc>
          <w:tcPr>
            <w:tcW w:w="240" w:type="dxa"/>
            <w:vAlign w:val="bottom"/>
          </w:tcPr>
          <w:p>
            <w:pPr>
              <w:spacing w:after="0"/>
              <w:rPr>
                <w:sz w:val="23"/>
                <w:szCs w:val="23"/>
                <w:color w:val="auto"/>
              </w:rPr>
            </w:pPr>
          </w:p>
        </w:tc>
        <w:tc>
          <w:tcPr>
            <w:tcW w:w="880" w:type="dxa"/>
            <w:vAlign w:val="bottom"/>
          </w:tcPr>
          <w:p>
            <w:pPr>
              <w:jc w:val="right"/>
              <w:ind w:right="60"/>
              <w:spacing w:after="0"/>
              <w:rPr>
                <w:sz w:val="20"/>
                <w:szCs w:val="20"/>
                <w:color w:val="auto"/>
              </w:rPr>
            </w:pPr>
            <w:r>
              <w:rPr>
                <w:rFonts w:ascii="Arial" w:cs="Arial" w:eastAsia="Arial" w:hAnsi="Arial"/>
                <w:sz w:val="16"/>
                <w:szCs w:val="16"/>
                <w:color w:val="auto"/>
              </w:rPr>
              <w:t>5,518</w:t>
            </w:r>
          </w:p>
        </w:tc>
        <w:tc>
          <w:tcPr>
            <w:tcW w:w="260" w:type="dxa"/>
            <w:vAlign w:val="bottom"/>
          </w:tcPr>
          <w:p>
            <w:pPr>
              <w:spacing w:after="0"/>
              <w:rPr>
                <w:sz w:val="23"/>
                <w:szCs w:val="23"/>
                <w:color w:val="auto"/>
              </w:rPr>
            </w:pPr>
          </w:p>
        </w:tc>
        <w:tc>
          <w:tcPr>
            <w:tcW w:w="840" w:type="dxa"/>
            <w:vAlign w:val="bottom"/>
          </w:tcPr>
          <w:p>
            <w:pPr>
              <w:jc w:val="right"/>
              <w:ind w:right="20"/>
              <w:spacing w:after="0"/>
              <w:rPr>
                <w:sz w:val="20"/>
                <w:szCs w:val="20"/>
                <w:color w:val="auto"/>
              </w:rPr>
            </w:pPr>
            <w:r>
              <w:rPr>
                <w:rFonts w:ascii="Arial" w:cs="Arial" w:eastAsia="Arial" w:hAnsi="Arial"/>
                <w:sz w:val="16"/>
                <w:szCs w:val="16"/>
                <w:color w:val="auto"/>
              </w:rPr>
              <w:t>5,473</w:t>
            </w:r>
          </w:p>
        </w:tc>
        <w:tc>
          <w:tcPr>
            <w:tcW w:w="0" w:type="dxa"/>
            <w:vAlign w:val="bottom"/>
          </w:tcPr>
          <w:p>
            <w:pPr>
              <w:spacing w:after="0"/>
              <w:rPr>
                <w:sz w:val="1"/>
                <w:szCs w:val="1"/>
                <w:color w:val="auto"/>
              </w:rPr>
            </w:pPr>
          </w:p>
        </w:tc>
      </w:tr>
      <w:tr>
        <w:trPr>
          <w:trHeight w:val="270"/>
        </w:trPr>
        <w:tc>
          <w:tcPr>
            <w:tcW w:w="6980" w:type="dxa"/>
            <w:vAlign w:val="bottom"/>
          </w:tcPr>
          <w:p>
            <w:pPr>
              <w:ind w:left="40"/>
              <w:spacing w:after="0"/>
              <w:rPr>
                <w:sz w:val="20"/>
                <w:szCs w:val="20"/>
                <w:color w:val="auto"/>
              </w:rPr>
            </w:pPr>
            <w:r>
              <w:rPr>
                <w:rFonts w:ascii="Arial" w:cs="Arial" w:eastAsia="Arial" w:hAnsi="Arial"/>
                <w:sz w:val="16"/>
                <w:szCs w:val="16"/>
                <w:color w:val="auto"/>
              </w:rPr>
              <w:t>Diluted net income per common share</w:t>
            </w:r>
          </w:p>
        </w:tc>
        <w:tc>
          <w:tcPr>
            <w:tcW w:w="180" w:type="dxa"/>
            <w:vAlign w:val="bottom"/>
          </w:tcPr>
          <w:p>
            <w:pPr>
              <w:jc w:val="right"/>
              <w:spacing w:after="0"/>
              <w:rPr>
                <w:sz w:val="20"/>
                <w:szCs w:val="20"/>
                <w:color w:val="auto"/>
              </w:rPr>
            </w:pPr>
            <w:r>
              <w:rPr>
                <w:rFonts w:ascii="Arial" w:cs="Arial" w:eastAsia="Arial" w:hAnsi="Arial"/>
                <w:sz w:val="16"/>
                <w:szCs w:val="16"/>
                <w:color w:val="auto"/>
              </w:rPr>
              <w:t>$</w:t>
            </w:r>
          </w:p>
        </w:tc>
        <w:tc>
          <w:tcPr>
            <w:tcW w:w="900" w:type="dxa"/>
            <w:vAlign w:val="bottom"/>
          </w:tcPr>
          <w:p>
            <w:pPr>
              <w:jc w:val="right"/>
              <w:ind w:right="80"/>
              <w:spacing w:after="0"/>
              <w:rPr>
                <w:sz w:val="20"/>
                <w:szCs w:val="20"/>
                <w:color w:val="auto"/>
              </w:rPr>
            </w:pPr>
            <w:r>
              <w:rPr>
                <w:rFonts w:ascii="Arial" w:cs="Arial" w:eastAsia="Arial" w:hAnsi="Arial"/>
                <w:sz w:val="16"/>
                <w:szCs w:val="16"/>
                <w:color w:val="auto"/>
              </w:rPr>
              <w:t>3.75</w:t>
            </w:r>
          </w:p>
        </w:tc>
        <w:tc>
          <w:tcPr>
            <w:tcW w:w="240" w:type="dxa"/>
            <w:vAlign w:val="bottom"/>
          </w:tcPr>
          <w:p>
            <w:pPr>
              <w:jc w:val="right"/>
              <w:spacing w:after="0"/>
              <w:rPr>
                <w:sz w:val="20"/>
                <w:szCs w:val="20"/>
                <w:color w:val="auto"/>
              </w:rPr>
            </w:pPr>
            <w:r>
              <w:rPr>
                <w:rFonts w:ascii="Arial" w:cs="Arial" w:eastAsia="Arial" w:hAnsi="Arial"/>
                <w:sz w:val="16"/>
                <w:szCs w:val="16"/>
                <w:color w:val="auto"/>
              </w:rPr>
              <w:t>$</w:t>
            </w:r>
          </w:p>
        </w:tc>
        <w:tc>
          <w:tcPr>
            <w:tcW w:w="900" w:type="dxa"/>
            <w:vAlign w:val="bottom"/>
          </w:tcPr>
          <w:p>
            <w:pPr>
              <w:jc w:val="right"/>
              <w:ind w:right="80"/>
              <w:spacing w:after="0"/>
              <w:rPr>
                <w:sz w:val="20"/>
                <w:szCs w:val="20"/>
                <w:color w:val="auto"/>
              </w:rPr>
            </w:pPr>
            <w:r>
              <w:rPr>
                <w:rFonts w:ascii="Arial" w:cs="Arial" w:eastAsia="Arial" w:hAnsi="Arial"/>
                <w:sz w:val="16"/>
                <w:szCs w:val="16"/>
                <w:color w:val="auto"/>
              </w:rPr>
              <w:t>7.46</w:t>
            </w:r>
          </w:p>
        </w:tc>
        <w:tc>
          <w:tcPr>
            <w:tcW w:w="240" w:type="dxa"/>
            <w:vAlign w:val="bottom"/>
          </w:tcPr>
          <w:p>
            <w:pPr>
              <w:jc w:val="right"/>
              <w:spacing w:after="0"/>
              <w:rPr>
                <w:sz w:val="20"/>
                <w:szCs w:val="20"/>
                <w:color w:val="auto"/>
              </w:rPr>
            </w:pPr>
            <w:r>
              <w:rPr>
                <w:rFonts w:ascii="Arial" w:cs="Arial" w:eastAsia="Arial" w:hAnsi="Arial"/>
                <w:sz w:val="16"/>
                <w:szCs w:val="16"/>
                <w:color w:val="auto"/>
              </w:rPr>
              <w:t>$</w:t>
            </w:r>
          </w:p>
        </w:tc>
        <w:tc>
          <w:tcPr>
            <w:tcW w:w="880" w:type="dxa"/>
            <w:vAlign w:val="bottom"/>
          </w:tcPr>
          <w:p>
            <w:pPr>
              <w:jc w:val="right"/>
              <w:ind w:right="60"/>
              <w:spacing w:after="0"/>
              <w:rPr>
                <w:sz w:val="20"/>
                <w:szCs w:val="20"/>
                <w:color w:val="auto"/>
              </w:rPr>
            </w:pPr>
            <w:r>
              <w:rPr>
                <w:rFonts w:ascii="Arial" w:cs="Arial" w:eastAsia="Arial" w:hAnsi="Arial"/>
                <w:sz w:val="16"/>
                <w:szCs w:val="16"/>
                <w:color w:val="auto"/>
              </w:rPr>
              <w:t>4.42</w:t>
            </w:r>
          </w:p>
        </w:tc>
        <w:tc>
          <w:tcPr>
            <w:tcW w:w="260" w:type="dxa"/>
            <w:vAlign w:val="bottom"/>
          </w:tcPr>
          <w:p>
            <w:pPr>
              <w:jc w:val="right"/>
              <w:spacing w:after="0"/>
              <w:rPr>
                <w:sz w:val="20"/>
                <w:szCs w:val="20"/>
                <w:color w:val="auto"/>
              </w:rPr>
            </w:pPr>
            <w:r>
              <w:rPr>
                <w:rFonts w:ascii="Arial" w:cs="Arial" w:eastAsia="Arial" w:hAnsi="Arial"/>
                <w:sz w:val="16"/>
                <w:szCs w:val="16"/>
                <w:color w:val="auto"/>
              </w:rPr>
              <w:t>$</w:t>
            </w:r>
          </w:p>
        </w:tc>
        <w:tc>
          <w:tcPr>
            <w:tcW w:w="840" w:type="dxa"/>
            <w:vAlign w:val="bottom"/>
          </w:tcPr>
          <w:p>
            <w:pPr>
              <w:jc w:val="right"/>
              <w:ind w:right="20"/>
              <w:spacing w:after="0"/>
              <w:rPr>
                <w:sz w:val="20"/>
                <w:szCs w:val="20"/>
                <w:color w:val="auto"/>
              </w:rPr>
            </w:pPr>
            <w:r>
              <w:rPr>
                <w:rFonts w:ascii="Arial" w:cs="Arial" w:eastAsia="Arial" w:hAnsi="Arial"/>
                <w:sz w:val="16"/>
                <w:szCs w:val="16"/>
                <w:color w:val="auto"/>
              </w:rPr>
              <w:t>38.52</w:t>
            </w:r>
          </w:p>
        </w:tc>
        <w:tc>
          <w:tcPr>
            <w:tcW w:w="0" w:type="dxa"/>
            <w:vAlign w:val="bottom"/>
          </w:tcPr>
          <w:p>
            <w:pPr>
              <w:spacing w:after="0"/>
              <w:rPr>
                <w:sz w:val="1"/>
                <w:szCs w:val="1"/>
                <w:color w:val="auto"/>
              </w:rPr>
            </w:pPr>
          </w:p>
        </w:tc>
      </w:tr>
      <w:tr>
        <w:trPr>
          <w:trHeight w:val="270"/>
        </w:trPr>
        <w:tc>
          <w:tcPr>
            <w:tcW w:w="6980" w:type="dxa"/>
            <w:vAlign w:val="bottom"/>
          </w:tcPr>
          <w:p>
            <w:pPr>
              <w:ind w:left="40"/>
              <w:spacing w:after="0"/>
              <w:rPr>
                <w:sz w:val="20"/>
                <w:szCs w:val="20"/>
                <w:color w:val="auto"/>
              </w:rPr>
            </w:pPr>
            <w:r>
              <w:rPr>
                <w:rFonts w:ascii="Arial" w:cs="Arial" w:eastAsia="Arial" w:hAnsi="Arial"/>
                <w:sz w:val="16"/>
                <w:szCs w:val="16"/>
                <w:color w:val="auto"/>
              </w:rPr>
              <w:t>Diluted average number of common shares outstanding</w:t>
            </w:r>
          </w:p>
        </w:tc>
        <w:tc>
          <w:tcPr>
            <w:tcW w:w="180" w:type="dxa"/>
            <w:vAlign w:val="bottom"/>
          </w:tcPr>
          <w:p>
            <w:pPr>
              <w:spacing w:after="0"/>
              <w:rPr>
                <w:sz w:val="23"/>
                <w:szCs w:val="23"/>
                <w:color w:val="auto"/>
              </w:rPr>
            </w:pPr>
          </w:p>
        </w:tc>
        <w:tc>
          <w:tcPr>
            <w:tcW w:w="900" w:type="dxa"/>
            <w:vAlign w:val="bottom"/>
          </w:tcPr>
          <w:p>
            <w:pPr>
              <w:jc w:val="right"/>
              <w:ind w:right="80"/>
              <w:spacing w:after="0"/>
              <w:rPr>
                <w:sz w:val="20"/>
                <w:szCs w:val="20"/>
                <w:color w:val="auto"/>
              </w:rPr>
            </w:pPr>
            <w:r>
              <w:rPr>
                <w:rFonts w:ascii="Arial" w:cs="Arial" w:eastAsia="Arial" w:hAnsi="Arial"/>
                <w:sz w:val="16"/>
                <w:szCs w:val="16"/>
                <w:color w:val="auto"/>
              </w:rPr>
              <w:t>5,569</w:t>
            </w:r>
          </w:p>
        </w:tc>
        <w:tc>
          <w:tcPr>
            <w:tcW w:w="240" w:type="dxa"/>
            <w:vAlign w:val="bottom"/>
          </w:tcPr>
          <w:p>
            <w:pPr>
              <w:spacing w:after="0"/>
              <w:rPr>
                <w:sz w:val="23"/>
                <w:szCs w:val="23"/>
                <w:color w:val="auto"/>
              </w:rPr>
            </w:pPr>
          </w:p>
        </w:tc>
        <w:tc>
          <w:tcPr>
            <w:tcW w:w="900" w:type="dxa"/>
            <w:vAlign w:val="bottom"/>
          </w:tcPr>
          <w:p>
            <w:pPr>
              <w:jc w:val="right"/>
              <w:ind w:right="80"/>
              <w:spacing w:after="0"/>
              <w:rPr>
                <w:sz w:val="20"/>
                <w:szCs w:val="20"/>
                <w:color w:val="auto"/>
              </w:rPr>
            </w:pPr>
            <w:r>
              <w:rPr>
                <w:rFonts w:ascii="Arial" w:cs="Arial" w:eastAsia="Arial" w:hAnsi="Arial"/>
                <w:sz w:val="16"/>
                <w:szCs w:val="16"/>
                <w:color w:val="auto"/>
              </w:rPr>
              <w:t>5,577</w:t>
            </w:r>
          </w:p>
        </w:tc>
        <w:tc>
          <w:tcPr>
            <w:tcW w:w="240" w:type="dxa"/>
            <w:vAlign w:val="bottom"/>
          </w:tcPr>
          <w:p>
            <w:pPr>
              <w:spacing w:after="0"/>
              <w:rPr>
                <w:sz w:val="23"/>
                <w:szCs w:val="23"/>
                <w:color w:val="auto"/>
              </w:rPr>
            </w:pPr>
          </w:p>
        </w:tc>
        <w:tc>
          <w:tcPr>
            <w:tcW w:w="880" w:type="dxa"/>
            <w:vAlign w:val="bottom"/>
          </w:tcPr>
          <w:p>
            <w:pPr>
              <w:jc w:val="right"/>
              <w:ind w:right="60"/>
              <w:spacing w:after="0"/>
              <w:rPr>
                <w:sz w:val="20"/>
                <w:szCs w:val="20"/>
                <w:color w:val="auto"/>
              </w:rPr>
            </w:pPr>
            <w:r>
              <w:rPr>
                <w:rFonts w:ascii="Arial" w:cs="Arial" w:eastAsia="Arial" w:hAnsi="Arial"/>
                <w:sz w:val="16"/>
                <w:szCs w:val="16"/>
                <w:color w:val="auto"/>
              </w:rPr>
              <w:t>5,554</w:t>
            </w:r>
          </w:p>
        </w:tc>
        <w:tc>
          <w:tcPr>
            <w:tcW w:w="260" w:type="dxa"/>
            <w:vAlign w:val="bottom"/>
          </w:tcPr>
          <w:p>
            <w:pPr>
              <w:spacing w:after="0"/>
              <w:rPr>
                <w:sz w:val="23"/>
                <w:szCs w:val="23"/>
                <w:color w:val="auto"/>
              </w:rPr>
            </w:pPr>
          </w:p>
        </w:tc>
        <w:tc>
          <w:tcPr>
            <w:tcW w:w="840" w:type="dxa"/>
            <w:vAlign w:val="bottom"/>
          </w:tcPr>
          <w:p>
            <w:pPr>
              <w:jc w:val="right"/>
              <w:ind w:right="20"/>
              <w:spacing w:after="0"/>
              <w:rPr>
                <w:sz w:val="20"/>
                <w:szCs w:val="20"/>
                <w:color w:val="auto"/>
              </w:rPr>
            </w:pPr>
            <w:r>
              <w:rPr>
                <w:rFonts w:ascii="Arial" w:cs="Arial" w:eastAsia="Arial" w:hAnsi="Arial"/>
                <w:sz w:val="16"/>
                <w:szCs w:val="16"/>
                <w:color w:val="auto"/>
              </w:rPr>
              <w:t>5,509</w:t>
            </w:r>
          </w:p>
        </w:tc>
        <w:tc>
          <w:tcPr>
            <w:tcW w:w="0" w:type="dxa"/>
            <w:vAlign w:val="bottom"/>
          </w:tcPr>
          <w:p>
            <w:pPr>
              <w:spacing w:after="0"/>
              <w:rPr>
                <w:sz w:val="1"/>
                <w:szCs w:val="1"/>
                <w:color w:val="auto"/>
              </w:rPr>
            </w:pPr>
          </w:p>
        </w:tc>
      </w:tr>
      <w:tr>
        <w:trPr>
          <w:trHeight w:val="270"/>
        </w:trPr>
        <w:tc>
          <w:tcPr>
            <w:tcW w:w="6980" w:type="dxa"/>
            <w:vAlign w:val="bottom"/>
          </w:tcPr>
          <w:p>
            <w:pPr>
              <w:ind w:left="40"/>
              <w:spacing w:after="0"/>
              <w:rPr>
                <w:sz w:val="20"/>
                <w:szCs w:val="20"/>
                <w:color w:val="auto"/>
              </w:rPr>
            </w:pPr>
            <w:r>
              <w:rPr>
                <w:rFonts w:ascii="Arial" w:cs="Arial" w:eastAsia="Arial" w:hAnsi="Arial"/>
                <w:sz w:val="16"/>
                <w:szCs w:val="16"/>
                <w:color w:val="auto"/>
              </w:rPr>
              <w:t>Quarterly comprehensive income</w:t>
            </w:r>
          </w:p>
        </w:tc>
        <w:tc>
          <w:tcPr>
            <w:tcW w:w="180" w:type="dxa"/>
            <w:vAlign w:val="bottom"/>
          </w:tcPr>
          <w:p>
            <w:pPr>
              <w:jc w:val="right"/>
              <w:spacing w:after="0"/>
              <w:rPr>
                <w:sz w:val="20"/>
                <w:szCs w:val="20"/>
                <w:color w:val="auto"/>
              </w:rPr>
            </w:pPr>
            <w:r>
              <w:rPr>
                <w:rFonts w:ascii="Arial" w:cs="Arial" w:eastAsia="Arial" w:hAnsi="Arial"/>
                <w:sz w:val="16"/>
                <w:szCs w:val="16"/>
                <w:color w:val="auto"/>
              </w:rPr>
              <w:t>$</w:t>
            </w:r>
          </w:p>
        </w:tc>
        <w:tc>
          <w:tcPr>
            <w:tcW w:w="900" w:type="dxa"/>
            <w:vAlign w:val="bottom"/>
          </w:tcPr>
          <w:p>
            <w:pPr>
              <w:jc w:val="right"/>
              <w:ind w:right="80"/>
              <w:spacing w:after="0"/>
              <w:rPr>
                <w:sz w:val="20"/>
                <w:szCs w:val="20"/>
                <w:color w:val="auto"/>
              </w:rPr>
            </w:pPr>
            <w:r>
              <w:rPr>
                <w:rFonts w:ascii="Arial" w:cs="Arial" w:eastAsia="Arial" w:hAnsi="Arial"/>
                <w:sz w:val="16"/>
                <w:szCs w:val="16"/>
                <w:color w:val="auto"/>
              </w:rPr>
              <w:t>39,368</w:t>
            </w:r>
          </w:p>
        </w:tc>
        <w:tc>
          <w:tcPr>
            <w:tcW w:w="240" w:type="dxa"/>
            <w:vAlign w:val="bottom"/>
          </w:tcPr>
          <w:p>
            <w:pPr>
              <w:jc w:val="right"/>
              <w:spacing w:after="0"/>
              <w:rPr>
                <w:sz w:val="20"/>
                <w:szCs w:val="20"/>
                <w:color w:val="auto"/>
              </w:rPr>
            </w:pPr>
            <w:r>
              <w:rPr>
                <w:rFonts w:ascii="Arial" w:cs="Arial" w:eastAsia="Arial" w:hAnsi="Arial"/>
                <w:sz w:val="16"/>
                <w:szCs w:val="16"/>
                <w:color w:val="auto"/>
              </w:rPr>
              <w:t>$</w:t>
            </w:r>
          </w:p>
        </w:tc>
        <w:tc>
          <w:tcPr>
            <w:tcW w:w="900" w:type="dxa"/>
            <w:vAlign w:val="bottom"/>
          </w:tcPr>
          <w:p>
            <w:pPr>
              <w:jc w:val="right"/>
              <w:ind w:right="80"/>
              <w:spacing w:after="0"/>
              <w:rPr>
                <w:sz w:val="20"/>
                <w:szCs w:val="20"/>
                <w:color w:val="auto"/>
              </w:rPr>
            </w:pPr>
            <w:r>
              <w:rPr>
                <w:rFonts w:ascii="Arial" w:cs="Arial" w:eastAsia="Arial" w:hAnsi="Arial"/>
                <w:sz w:val="16"/>
                <w:szCs w:val="16"/>
                <w:color w:val="auto"/>
              </w:rPr>
              <w:t>59,135</w:t>
            </w:r>
          </w:p>
        </w:tc>
        <w:tc>
          <w:tcPr>
            <w:tcW w:w="240" w:type="dxa"/>
            <w:vAlign w:val="bottom"/>
          </w:tcPr>
          <w:p>
            <w:pPr>
              <w:jc w:val="right"/>
              <w:spacing w:after="0"/>
              <w:rPr>
                <w:sz w:val="20"/>
                <w:szCs w:val="20"/>
                <w:color w:val="auto"/>
              </w:rPr>
            </w:pPr>
            <w:r>
              <w:rPr>
                <w:rFonts w:ascii="Arial" w:cs="Arial" w:eastAsia="Arial" w:hAnsi="Arial"/>
                <w:sz w:val="16"/>
                <w:szCs w:val="16"/>
                <w:color w:val="auto"/>
              </w:rPr>
              <w:t>$</w:t>
            </w:r>
          </w:p>
        </w:tc>
        <w:tc>
          <w:tcPr>
            <w:tcW w:w="880" w:type="dxa"/>
            <w:vAlign w:val="bottom"/>
          </w:tcPr>
          <w:p>
            <w:pPr>
              <w:jc w:val="right"/>
              <w:ind w:right="60"/>
              <w:spacing w:after="0"/>
              <w:rPr>
                <w:sz w:val="20"/>
                <w:szCs w:val="20"/>
                <w:color w:val="auto"/>
              </w:rPr>
            </w:pPr>
            <w:r>
              <w:rPr>
                <w:rFonts w:ascii="Arial" w:cs="Arial" w:eastAsia="Arial" w:hAnsi="Arial"/>
                <w:sz w:val="16"/>
                <w:szCs w:val="16"/>
                <w:color w:val="auto"/>
              </w:rPr>
              <w:t>64,029</w:t>
            </w:r>
          </w:p>
        </w:tc>
        <w:tc>
          <w:tcPr>
            <w:tcW w:w="260" w:type="dxa"/>
            <w:vAlign w:val="bottom"/>
          </w:tcPr>
          <w:p>
            <w:pPr>
              <w:jc w:val="right"/>
              <w:spacing w:after="0"/>
              <w:rPr>
                <w:sz w:val="20"/>
                <w:szCs w:val="20"/>
                <w:color w:val="auto"/>
              </w:rPr>
            </w:pPr>
            <w:r>
              <w:rPr>
                <w:rFonts w:ascii="Arial" w:cs="Arial" w:eastAsia="Arial" w:hAnsi="Arial"/>
                <w:sz w:val="16"/>
                <w:szCs w:val="16"/>
                <w:color w:val="auto"/>
              </w:rPr>
              <w:t>$</w:t>
            </w:r>
          </w:p>
        </w:tc>
        <w:tc>
          <w:tcPr>
            <w:tcW w:w="840" w:type="dxa"/>
            <w:vAlign w:val="bottom"/>
          </w:tcPr>
          <w:p>
            <w:pPr>
              <w:jc w:val="right"/>
              <w:ind w:right="20"/>
              <w:spacing w:after="0"/>
              <w:rPr>
                <w:sz w:val="20"/>
                <w:szCs w:val="20"/>
                <w:color w:val="auto"/>
              </w:rPr>
            </w:pPr>
            <w:r>
              <w:rPr>
                <w:rFonts w:ascii="Arial" w:cs="Arial" w:eastAsia="Arial" w:hAnsi="Arial"/>
                <w:sz w:val="16"/>
                <w:szCs w:val="16"/>
                <w:color w:val="auto"/>
              </w:rPr>
              <w:t>367,648</w:t>
            </w:r>
          </w:p>
        </w:tc>
        <w:tc>
          <w:tcPr>
            <w:tcW w:w="0" w:type="dxa"/>
            <w:vAlign w:val="bottom"/>
          </w:tcPr>
          <w:p>
            <w:pPr>
              <w:spacing w:after="0"/>
              <w:rPr>
                <w:sz w:val="1"/>
                <w:szCs w:val="1"/>
                <w:color w:val="auto"/>
              </w:rPr>
            </w:pPr>
          </w:p>
        </w:tc>
      </w:tr>
    </w:tbl>
    <w:p>
      <w:pPr>
        <w:spacing w:after="0" w:line="173" w:lineRule="exact"/>
        <w:rPr>
          <w:sz w:val="20"/>
          <w:szCs w:val="20"/>
          <w:color w:val="auto"/>
        </w:rPr>
      </w:pPr>
    </w:p>
    <w:p>
      <w:pPr>
        <w:ind w:right="180"/>
        <w:spacing w:after="0" w:line="239" w:lineRule="auto"/>
        <w:rPr>
          <w:sz w:val="20"/>
          <w:szCs w:val="20"/>
          <w:color w:val="auto"/>
        </w:rPr>
      </w:pPr>
      <w:r>
        <w:rPr>
          <w:rFonts w:ascii="Arial" w:cs="Arial" w:eastAsia="Arial" w:hAnsi="Arial"/>
          <w:sz w:val="14"/>
          <w:szCs w:val="14"/>
          <w:color w:val="auto"/>
        </w:rPr>
        <w:t>The sum of the four quarters may not necessarily be equal to the annual amounts reported in the Consolidated Statements of Operations due to rounding. Certain amounts were reclassified from other revenue to advertising revenue (see Note 2).</w:t>
      </w:r>
    </w:p>
    <w:p>
      <w:pPr>
        <w:spacing w:after="0" w:line="133" w:lineRule="exact"/>
        <w:rPr>
          <w:sz w:val="20"/>
          <w:szCs w:val="20"/>
          <w:color w:val="auto"/>
        </w:rPr>
      </w:pPr>
    </w:p>
    <w:p>
      <w:pPr>
        <w:ind w:right="80"/>
        <w:spacing w:after="0" w:line="227" w:lineRule="auto"/>
        <w:rPr>
          <w:sz w:val="20"/>
          <w:szCs w:val="20"/>
          <w:color w:val="auto"/>
        </w:rPr>
      </w:pPr>
      <w:r>
        <w:rPr>
          <w:rFonts w:ascii="Arial" w:cs="Arial" w:eastAsia="Arial" w:hAnsi="Arial"/>
          <w:sz w:val="18"/>
          <w:szCs w:val="18"/>
          <w:color w:val="auto"/>
        </w:rPr>
        <w:t>In the fourth quarter of 2017, an unfavorable $2.8 million net out of period expense adjustment was included that related to prior periods from the third quarter of 2016 through the third quarter of 2017. With respect to this error, the Company has concluded that it was not material to the Company’s financial position or results of operations for 2017 and 2016 and related interim periods, based on its consideration of quantitative and qualitative factors.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121</w:t>
      </w:r>
    </w:p>
    <w:p>
      <w:pPr>
        <w:sectPr>
          <w:pgSz w:w="11900" w:h="16838" w:orient="portrait"/>
          <w:cols w:equalWidth="0" w:num="1">
            <w:col w:w="11420"/>
          </w:cols>
          <w:pgMar w:left="240" w:top="724" w:right="239" w:bottom="1440" w:gutter="0" w:footer="0" w:header="0"/>
        </w:sectPr>
      </w:pPr>
    </w:p>
    <w:bookmarkStart w:id="126" w:name="page127"/>
    <w:bookmarkEnd w:id="126"/>
    <w:p>
      <w:pPr>
        <w:spacing w:after="0"/>
        <w:rPr>
          <w:sz w:val="20"/>
          <w:szCs w:val="20"/>
          <w:color w:val="auto"/>
        </w:rPr>
      </w:pPr>
      <w:r>
        <w:rPr>
          <w:rFonts w:ascii="Arial" w:cs="Arial" w:eastAsia="Arial" w:hAnsi="Arial"/>
          <w:sz w:val="18"/>
          <w:szCs w:val="18"/>
          <w:color w:val="auto"/>
        </w:rPr>
        <w:t>Quarterly results of operations and comprehensive income for the year ended December 31, 2016, is as follows:</w:t>
      </w:r>
    </w:p>
    <w:p>
      <w:pPr>
        <w:spacing w:after="0" w:line="159"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69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00" w:type="dxa"/>
            <w:vAlign w:val="bottom"/>
          </w:tcPr>
          <w:p>
            <w:pPr>
              <w:jc w:val="right"/>
              <w:ind w:right="320"/>
              <w:spacing w:after="0"/>
              <w:rPr>
                <w:sz w:val="20"/>
                <w:szCs w:val="20"/>
                <w:color w:val="auto"/>
              </w:rPr>
            </w:pPr>
            <w:r>
              <w:rPr>
                <w:rFonts w:ascii="Arial" w:cs="Arial" w:eastAsia="Arial" w:hAnsi="Arial"/>
                <w:sz w:val="14"/>
                <w:szCs w:val="14"/>
                <w:b w:val="1"/>
                <w:bCs w:val="1"/>
                <w:color w:val="auto"/>
              </w:rPr>
              <w:t>First</w:t>
            </w:r>
          </w:p>
        </w:tc>
        <w:tc>
          <w:tcPr>
            <w:tcW w:w="240" w:type="dxa"/>
            <w:vAlign w:val="bottom"/>
          </w:tcPr>
          <w:p>
            <w:pPr>
              <w:spacing w:after="0"/>
              <w:rPr>
                <w:sz w:val="14"/>
                <w:szCs w:val="14"/>
                <w:color w:val="auto"/>
              </w:rPr>
            </w:pPr>
          </w:p>
        </w:tc>
        <w:tc>
          <w:tcPr>
            <w:tcW w:w="900" w:type="dxa"/>
            <w:vAlign w:val="bottom"/>
          </w:tcPr>
          <w:p>
            <w:pPr>
              <w:jc w:val="right"/>
              <w:ind w:right="220"/>
              <w:spacing w:after="0"/>
              <w:rPr>
                <w:sz w:val="20"/>
                <w:szCs w:val="20"/>
                <w:color w:val="auto"/>
              </w:rPr>
            </w:pPr>
            <w:r>
              <w:rPr>
                <w:rFonts w:ascii="Arial" w:cs="Arial" w:eastAsia="Arial" w:hAnsi="Arial"/>
                <w:sz w:val="14"/>
                <w:szCs w:val="14"/>
                <w:b w:val="1"/>
                <w:bCs w:val="1"/>
                <w:color w:val="auto"/>
              </w:rPr>
              <w:t>Second</w:t>
            </w:r>
          </w:p>
        </w:tc>
        <w:tc>
          <w:tcPr>
            <w:tcW w:w="240" w:type="dxa"/>
            <w:vAlign w:val="bottom"/>
          </w:tcPr>
          <w:p>
            <w:pPr>
              <w:spacing w:after="0"/>
              <w:rPr>
                <w:sz w:val="14"/>
                <w:szCs w:val="14"/>
                <w:color w:val="auto"/>
              </w:rPr>
            </w:pPr>
          </w:p>
        </w:tc>
        <w:tc>
          <w:tcPr>
            <w:tcW w:w="880" w:type="dxa"/>
            <w:vAlign w:val="bottom"/>
          </w:tcPr>
          <w:p>
            <w:pPr>
              <w:jc w:val="right"/>
              <w:ind w:right="280"/>
              <w:spacing w:after="0"/>
              <w:rPr>
                <w:sz w:val="20"/>
                <w:szCs w:val="20"/>
                <w:color w:val="auto"/>
              </w:rPr>
            </w:pPr>
            <w:r>
              <w:rPr>
                <w:rFonts w:ascii="Arial" w:cs="Arial" w:eastAsia="Arial" w:hAnsi="Arial"/>
                <w:sz w:val="14"/>
                <w:szCs w:val="14"/>
                <w:b w:val="1"/>
                <w:bCs w:val="1"/>
                <w:color w:val="auto"/>
              </w:rPr>
              <w:t>Third</w:t>
            </w:r>
          </w:p>
        </w:tc>
        <w:tc>
          <w:tcPr>
            <w:tcW w:w="260" w:type="dxa"/>
            <w:vAlign w:val="bottom"/>
          </w:tcPr>
          <w:p>
            <w:pPr>
              <w:spacing w:after="0"/>
              <w:rPr>
                <w:sz w:val="14"/>
                <w:szCs w:val="14"/>
                <w:color w:val="auto"/>
              </w:rPr>
            </w:pPr>
          </w:p>
        </w:tc>
        <w:tc>
          <w:tcPr>
            <w:tcW w:w="840" w:type="dxa"/>
            <w:vAlign w:val="bottom"/>
          </w:tcPr>
          <w:p>
            <w:pPr>
              <w:jc w:val="right"/>
              <w:ind w:right="200"/>
              <w:spacing w:after="0"/>
              <w:rPr>
                <w:sz w:val="20"/>
                <w:szCs w:val="20"/>
                <w:color w:val="auto"/>
              </w:rPr>
            </w:pPr>
            <w:r>
              <w:rPr>
                <w:rFonts w:ascii="Arial" w:cs="Arial" w:eastAsia="Arial" w:hAnsi="Arial"/>
                <w:sz w:val="14"/>
                <w:szCs w:val="14"/>
                <w:b w:val="1"/>
                <w:bCs w:val="1"/>
                <w:color w:val="auto"/>
              </w:rPr>
              <w:t>Fourth</w:t>
            </w:r>
          </w:p>
        </w:tc>
        <w:tc>
          <w:tcPr>
            <w:tcW w:w="0" w:type="dxa"/>
            <w:vAlign w:val="bottom"/>
          </w:tcPr>
          <w:p>
            <w:pPr>
              <w:spacing w:after="0"/>
              <w:rPr>
                <w:sz w:val="1"/>
                <w:szCs w:val="1"/>
                <w:color w:val="auto"/>
              </w:rPr>
            </w:pPr>
          </w:p>
        </w:tc>
      </w:tr>
      <w:tr>
        <w:trPr>
          <w:trHeight w:val="196"/>
        </w:trPr>
        <w:tc>
          <w:tcPr>
            <w:tcW w:w="698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(in thousands, except per share amounts)</w:t>
            </w:r>
          </w:p>
        </w:tc>
        <w:tc>
          <w:tcPr>
            <w:tcW w:w="18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ind w:right="220"/>
              <w:spacing w:after="0"/>
              <w:rPr>
                <w:sz w:val="20"/>
                <w:szCs w:val="20"/>
                <w:color w:val="auto"/>
              </w:rPr>
            </w:pPr>
            <w:r>
              <w:rPr>
                <w:rFonts w:ascii="Arial" w:cs="Arial" w:eastAsia="Arial" w:hAnsi="Arial"/>
                <w:sz w:val="14"/>
                <w:szCs w:val="14"/>
                <w:b w:val="1"/>
                <w:bCs w:val="1"/>
                <w:color w:val="auto"/>
              </w:rPr>
              <w:t>Quarter</w:t>
            </w:r>
          </w:p>
        </w:tc>
        <w:tc>
          <w:tcPr>
            <w:tcW w:w="24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ind w:right="220"/>
              <w:spacing w:after="0"/>
              <w:rPr>
                <w:sz w:val="20"/>
                <w:szCs w:val="20"/>
                <w:color w:val="auto"/>
              </w:rPr>
            </w:pPr>
            <w:r>
              <w:rPr>
                <w:rFonts w:ascii="Arial" w:cs="Arial" w:eastAsia="Arial" w:hAnsi="Arial"/>
                <w:sz w:val="14"/>
                <w:szCs w:val="14"/>
                <w:b w:val="1"/>
                <w:bCs w:val="1"/>
                <w:color w:val="auto"/>
              </w:rPr>
              <w:t>Quarter</w:t>
            </w:r>
          </w:p>
        </w:tc>
        <w:tc>
          <w:tcPr>
            <w:tcW w:w="24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ind w:right="200"/>
              <w:spacing w:after="0"/>
              <w:rPr>
                <w:sz w:val="20"/>
                <w:szCs w:val="20"/>
                <w:color w:val="auto"/>
              </w:rPr>
            </w:pPr>
            <w:r>
              <w:rPr>
                <w:rFonts w:ascii="Arial" w:cs="Arial" w:eastAsia="Arial" w:hAnsi="Arial"/>
                <w:sz w:val="14"/>
                <w:szCs w:val="14"/>
                <w:b w:val="1"/>
                <w:bCs w:val="1"/>
                <w:color w:val="auto"/>
              </w:rPr>
              <w:t>Quarter</w:t>
            </w:r>
          </w:p>
        </w:tc>
        <w:tc>
          <w:tcPr>
            <w:tcW w:w="26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ind w:right="180"/>
              <w:spacing w:after="0"/>
              <w:rPr>
                <w:sz w:val="20"/>
                <w:szCs w:val="20"/>
                <w:color w:val="auto"/>
              </w:rPr>
            </w:pPr>
            <w:r>
              <w:rPr>
                <w:rFonts w:ascii="Arial" w:cs="Arial" w:eastAsia="Arial" w:hAnsi="Arial"/>
                <w:sz w:val="14"/>
                <w:szCs w:val="14"/>
                <w:b w:val="1"/>
                <w:bCs w:val="1"/>
                <w:color w:val="auto"/>
              </w:rPr>
              <w:t>Quarter</w:t>
            </w:r>
          </w:p>
        </w:tc>
        <w:tc>
          <w:tcPr>
            <w:tcW w:w="0" w:type="dxa"/>
            <w:vAlign w:val="bottom"/>
          </w:tcPr>
          <w:p>
            <w:pPr>
              <w:spacing w:after="0"/>
              <w:rPr>
                <w:sz w:val="1"/>
                <w:szCs w:val="1"/>
                <w:color w:val="auto"/>
              </w:rPr>
            </w:pPr>
          </w:p>
        </w:tc>
      </w:tr>
      <w:tr>
        <w:trPr>
          <w:trHeight w:val="250"/>
        </w:trPr>
        <w:tc>
          <w:tcPr>
            <w:tcW w:w="6980" w:type="dxa"/>
            <w:vAlign w:val="bottom"/>
          </w:tcPr>
          <w:p>
            <w:pPr>
              <w:ind w:left="40"/>
              <w:spacing w:after="0"/>
              <w:rPr>
                <w:sz w:val="20"/>
                <w:szCs w:val="20"/>
                <w:color w:val="auto"/>
              </w:rPr>
            </w:pPr>
            <w:r>
              <w:rPr>
                <w:rFonts w:ascii="Arial" w:cs="Arial" w:eastAsia="Arial" w:hAnsi="Arial"/>
                <w:sz w:val="16"/>
                <w:szCs w:val="16"/>
                <w:b w:val="1"/>
                <w:bCs w:val="1"/>
                <w:color w:val="auto"/>
              </w:rPr>
              <w:t>Operating Revenues</w:t>
            </w:r>
          </w:p>
        </w:tc>
        <w:tc>
          <w:tcPr>
            <w:tcW w:w="18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0"/>
        </w:trPr>
        <w:tc>
          <w:tcPr>
            <w:tcW w:w="6980" w:type="dxa"/>
            <w:vAlign w:val="bottom"/>
          </w:tcPr>
          <w:p>
            <w:pPr>
              <w:ind w:left="280"/>
              <w:spacing w:after="0"/>
              <w:rPr>
                <w:sz w:val="20"/>
                <w:szCs w:val="20"/>
                <w:color w:val="auto"/>
              </w:rPr>
            </w:pPr>
            <w:r>
              <w:rPr>
                <w:rFonts w:ascii="Arial" w:cs="Arial" w:eastAsia="Arial" w:hAnsi="Arial"/>
                <w:sz w:val="16"/>
                <w:szCs w:val="16"/>
                <w:color w:val="auto"/>
              </w:rPr>
              <w:t>Education</w:t>
            </w:r>
          </w:p>
        </w:tc>
        <w:tc>
          <w:tcPr>
            <w:tcW w:w="180" w:type="dxa"/>
            <w:vAlign w:val="bottom"/>
          </w:tcPr>
          <w:p>
            <w:pPr>
              <w:jc w:val="right"/>
              <w:spacing w:after="0"/>
              <w:rPr>
                <w:sz w:val="20"/>
                <w:szCs w:val="20"/>
                <w:color w:val="auto"/>
              </w:rPr>
            </w:pPr>
            <w:r>
              <w:rPr>
                <w:rFonts w:ascii="Arial" w:cs="Arial" w:eastAsia="Arial" w:hAnsi="Arial"/>
                <w:sz w:val="16"/>
                <w:szCs w:val="16"/>
                <w:color w:val="auto"/>
              </w:rPr>
              <w:t>$</w:t>
            </w:r>
          </w:p>
        </w:tc>
        <w:tc>
          <w:tcPr>
            <w:tcW w:w="900" w:type="dxa"/>
            <w:vAlign w:val="bottom"/>
          </w:tcPr>
          <w:p>
            <w:pPr>
              <w:jc w:val="right"/>
              <w:ind w:right="80"/>
              <w:spacing w:after="0"/>
              <w:rPr>
                <w:sz w:val="20"/>
                <w:szCs w:val="20"/>
                <w:color w:val="auto"/>
              </w:rPr>
            </w:pPr>
            <w:r>
              <w:rPr>
                <w:rFonts w:ascii="Arial" w:cs="Arial" w:eastAsia="Arial" w:hAnsi="Arial"/>
                <w:sz w:val="16"/>
                <w:szCs w:val="16"/>
                <w:color w:val="auto"/>
              </w:rPr>
              <w:t>401,006</w:t>
            </w:r>
          </w:p>
        </w:tc>
        <w:tc>
          <w:tcPr>
            <w:tcW w:w="240" w:type="dxa"/>
            <w:vAlign w:val="bottom"/>
          </w:tcPr>
          <w:p>
            <w:pPr>
              <w:jc w:val="right"/>
              <w:spacing w:after="0"/>
              <w:rPr>
                <w:sz w:val="20"/>
                <w:szCs w:val="20"/>
                <w:color w:val="auto"/>
              </w:rPr>
            </w:pPr>
            <w:r>
              <w:rPr>
                <w:rFonts w:ascii="Arial" w:cs="Arial" w:eastAsia="Arial" w:hAnsi="Arial"/>
                <w:sz w:val="16"/>
                <w:szCs w:val="16"/>
                <w:color w:val="auto"/>
              </w:rPr>
              <w:t>$</w:t>
            </w:r>
          </w:p>
        </w:tc>
        <w:tc>
          <w:tcPr>
            <w:tcW w:w="900" w:type="dxa"/>
            <w:vAlign w:val="bottom"/>
          </w:tcPr>
          <w:p>
            <w:pPr>
              <w:jc w:val="right"/>
              <w:ind w:right="80"/>
              <w:spacing w:after="0"/>
              <w:rPr>
                <w:sz w:val="20"/>
                <w:szCs w:val="20"/>
                <w:color w:val="auto"/>
              </w:rPr>
            </w:pPr>
            <w:r>
              <w:rPr>
                <w:rFonts w:ascii="Arial" w:cs="Arial" w:eastAsia="Arial" w:hAnsi="Arial"/>
                <w:sz w:val="16"/>
                <w:szCs w:val="16"/>
                <w:color w:val="auto"/>
              </w:rPr>
              <w:t>419,144</w:t>
            </w:r>
          </w:p>
        </w:tc>
        <w:tc>
          <w:tcPr>
            <w:tcW w:w="240" w:type="dxa"/>
            <w:vAlign w:val="bottom"/>
          </w:tcPr>
          <w:p>
            <w:pPr>
              <w:jc w:val="right"/>
              <w:spacing w:after="0"/>
              <w:rPr>
                <w:sz w:val="20"/>
                <w:szCs w:val="20"/>
                <w:color w:val="auto"/>
              </w:rPr>
            </w:pPr>
            <w:r>
              <w:rPr>
                <w:rFonts w:ascii="Arial" w:cs="Arial" w:eastAsia="Arial" w:hAnsi="Arial"/>
                <w:sz w:val="16"/>
                <w:szCs w:val="16"/>
                <w:color w:val="auto"/>
              </w:rPr>
              <w:t>$</w:t>
            </w:r>
          </w:p>
        </w:tc>
        <w:tc>
          <w:tcPr>
            <w:tcW w:w="880" w:type="dxa"/>
            <w:vAlign w:val="bottom"/>
          </w:tcPr>
          <w:p>
            <w:pPr>
              <w:jc w:val="right"/>
              <w:ind w:right="60"/>
              <w:spacing w:after="0"/>
              <w:rPr>
                <w:sz w:val="20"/>
                <w:szCs w:val="20"/>
                <w:color w:val="auto"/>
              </w:rPr>
            </w:pPr>
            <w:r>
              <w:rPr>
                <w:rFonts w:ascii="Arial" w:cs="Arial" w:eastAsia="Arial" w:hAnsi="Arial"/>
                <w:sz w:val="16"/>
                <w:szCs w:val="16"/>
                <w:color w:val="auto"/>
              </w:rPr>
              <w:t>386,936</w:t>
            </w:r>
          </w:p>
        </w:tc>
        <w:tc>
          <w:tcPr>
            <w:tcW w:w="260" w:type="dxa"/>
            <w:vAlign w:val="bottom"/>
          </w:tcPr>
          <w:p>
            <w:pPr>
              <w:jc w:val="right"/>
              <w:spacing w:after="0"/>
              <w:rPr>
                <w:sz w:val="20"/>
                <w:szCs w:val="20"/>
                <w:color w:val="auto"/>
              </w:rPr>
            </w:pPr>
            <w:r>
              <w:rPr>
                <w:rFonts w:ascii="Arial" w:cs="Arial" w:eastAsia="Arial" w:hAnsi="Arial"/>
                <w:sz w:val="16"/>
                <w:szCs w:val="16"/>
                <w:color w:val="auto"/>
              </w:rPr>
              <w:t>$</w:t>
            </w:r>
          </w:p>
        </w:tc>
        <w:tc>
          <w:tcPr>
            <w:tcW w:w="840" w:type="dxa"/>
            <w:vAlign w:val="bottom"/>
          </w:tcPr>
          <w:p>
            <w:pPr>
              <w:jc w:val="right"/>
              <w:ind w:right="20"/>
              <w:spacing w:after="0"/>
              <w:rPr>
                <w:sz w:val="20"/>
                <w:szCs w:val="20"/>
                <w:color w:val="auto"/>
              </w:rPr>
            </w:pPr>
            <w:r>
              <w:rPr>
                <w:rFonts w:ascii="Arial" w:cs="Arial" w:eastAsia="Arial" w:hAnsi="Arial"/>
                <w:sz w:val="16"/>
                <w:szCs w:val="16"/>
                <w:color w:val="auto"/>
              </w:rPr>
              <w:t>391,261</w:t>
            </w:r>
          </w:p>
        </w:tc>
        <w:tc>
          <w:tcPr>
            <w:tcW w:w="0" w:type="dxa"/>
            <w:vAlign w:val="bottom"/>
          </w:tcPr>
          <w:p>
            <w:pPr>
              <w:spacing w:after="0"/>
              <w:rPr>
                <w:sz w:val="1"/>
                <w:szCs w:val="1"/>
                <w:color w:val="auto"/>
              </w:rPr>
            </w:pPr>
          </w:p>
        </w:tc>
      </w:tr>
      <w:tr>
        <w:trPr>
          <w:trHeight w:val="270"/>
        </w:trPr>
        <w:tc>
          <w:tcPr>
            <w:tcW w:w="6980" w:type="dxa"/>
            <w:vAlign w:val="bottom"/>
          </w:tcPr>
          <w:p>
            <w:pPr>
              <w:ind w:left="280"/>
              <w:spacing w:after="0"/>
              <w:rPr>
                <w:sz w:val="20"/>
                <w:szCs w:val="20"/>
                <w:color w:val="auto"/>
              </w:rPr>
            </w:pPr>
            <w:r>
              <w:rPr>
                <w:rFonts w:ascii="Arial" w:cs="Arial" w:eastAsia="Arial" w:hAnsi="Arial"/>
                <w:sz w:val="16"/>
                <w:szCs w:val="16"/>
                <w:color w:val="auto"/>
              </w:rPr>
              <w:t>Advertising</w:t>
            </w:r>
          </w:p>
        </w:tc>
        <w:tc>
          <w:tcPr>
            <w:tcW w:w="180" w:type="dxa"/>
            <w:vAlign w:val="bottom"/>
          </w:tcPr>
          <w:p>
            <w:pPr>
              <w:spacing w:after="0"/>
              <w:rPr>
                <w:sz w:val="23"/>
                <w:szCs w:val="23"/>
                <w:color w:val="auto"/>
              </w:rPr>
            </w:pPr>
          </w:p>
        </w:tc>
        <w:tc>
          <w:tcPr>
            <w:tcW w:w="900" w:type="dxa"/>
            <w:vAlign w:val="bottom"/>
          </w:tcPr>
          <w:p>
            <w:pPr>
              <w:jc w:val="right"/>
              <w:ind w:right="80"/>
              <w:spacing w:after="0"/>
              <w:rPr>
                <w:sz w:val="20"/>
                <w:szCs w:val="20"/>
                <w:color w:val="auto"/>
              </w:rPr>
            </w:pPr>
            <w:r>
              <w:rPr>
                <w:rFonts w:ascii="Arial" w:cs="Arial" w:eastAsia="Arial" w:hAnsi="Arial"/>
                <w:sz w:val="16"/>
                <w:szCs w:val="16"/>
                <w:color w:val="auto"/>
              </w:rPr>
              <w:t>73,104</w:t>
            </w:r>
          </w:p>
        </w:tc>
        <w:tc>
          <w:tcPr>
            <w:tcW w:w="240" w:type="dxa"/>
            <w:vAlign w:val="bottom"/>
          </w:tcPr>
          <w:p>
            <w:pPr>
              <w:spacing w:after="0"/>
              <w:rPr>
                <w:sz w:val="23"/>
                <w:szCs w:val="23"/>
                <w:color w:val="auto"/>
              </w:rPr>
            </w:pPr>
          </w:p>
        </w:tc>
        <w:tc>
          <w:tcPr>
            <w:tcW w:w="900" w:type="dxa"/>
            <w:vAlign w:val="bottom"/>
          </w:tcPr>
          <w:p>
            <w:pPr>
              <w:jc w:val="right"/>
              <w:ind w:right="80"/>
              <w:spacing w:after="0"/>
              <w:rPr>
                <w:sz w:val="20"/>
                <w:szCs w:val="20"/>
                <w:color w:val="auto"/>
              </w:rPr>
            </w:pPr>
            <w:r>
              <w:rPr>
                <w:rFonts w:ascii="Arial" w:cs="Arial" w:eastAsia="Arial" w:hAnsi="Arial"/>
                <w:sz w:val="16"/>
                <w:szCs w:val="16"/>
                <w:color w:val="auto"/>
              </w:rPr>
              <w:t>75,494</w:t>
            </w:r>
          </w:p>
        </w:tc>
        <w:tc>
          <w:tcPr>
            <w:tcW w:w="240" w:type="dxa"/>
            <w:vAlign w:val="bottom"/>
          </w:tcPr>
          <w:p>
            <w:pPr>
              <w:spacing w:after="0"/>
              <w:rPr>
                <w:sz w:val="23"/>
                <w:szCs w:val="23"/>
                <w:color w:val="auto"/>
              </w:rPr>
            </w:pPr>
          </w:p>
        </w:tc>
        <w:tc>
          <w:tcPr>
            <w:tcW w:w="880" w:type="dxa"/>
            <w:vAlign w:val="bottom"/>
          </w:tcPr>
          <w:p>
            <w:pPr>
              <w:jc w:val="right"/>
              <w:ind w:right="60"/>
              <w:spacing w:after="0"/>
              <w:rPr>
                <w:sz w:val="20"/>
                <w:szCs w:val="20"/>
                <w:color w:val="auto"/>
              </w:rPr>
            </w:pPr>
            <w:r>
              <w:rPr>
                <w:rFonts w:ascii="Arial" w:cs="Arial" w:eastAsia="Arial" w:hAnsi="Arial"/>
                <w:sz w:val="16"/>
                <w:szCs w:val="16"/>
                <w:color w:val="auto"/>
              </w:rPr>
              <w:t>91,597</w:t>
            </w:r>
          </w:p>
        </w:tc>
        <w:tc>
          <w:tcPr>
            <w:tcW w:w="260" w:type="dxa"/>
            <w:vAlign w:val="bottom"/>
          </w:tcPr>
          <w:p>
            <w:pPr>
              <w:spacing w:after="0"/>
              <w:rPr>
                <w:sz w:val="23"/>
                <w:szCs w:val="23"/>
                <w:color w:val="auto"/>
              </w:rPr>
            </w:pPr>
          </w:p>
        </w:tc>
        <w:tc>
          <w:tcPr>
            <w:tcW w:w="840" w:type="dxa"/>
            <w:vAlign w:val="bottom"/>
          </w:tcPr>
          <w:p>
            <w:pPr>
              <w:jc w:val="right"/>
              <w:ind w:right="20"/>
              <w:spacing w:after="0"/>
              <w:rPr>
                <w:sz w:val="20"/>
                <w:szCs w:val="20"/>
                <w:color w:val="auto"/>
              </w:rPr>
            </w:pPr>
            <w:r>
              <w:rPr>
                <w:rFonts w:ascii="Arial" w:cs="Arial" w:eastAsia="Arial" w:hAnsi="Arial"/>
                <w:sz w:val="16"/>
                <w:szCs w:val="16"/>
                <w:color w:val="auto"/>
              </w:rPr>
              <w:t>90,707</w:t>
            </w:r>
          </w:p>
        </w:tc>
        <w:tc>
          <w:tcPr>
            <w:tcW w:w="0" w:type="dxa"/>
            <w:vAlign w:val="bottom"/>
          </w:tcPr>
          <w:p>
            <w:pPr>
              <w:spacing w:after="0"/>
              <w:rPr>
                <w:sz w:val="1"/>
                <w:szCs w:val="1"/>
                <w:color w:val="auto"/>
              </w:rPr>
            </w:pPr>
          </w:p>
        </w:tc>
      </w:tr>
      <w:tr>
        <w:trPr>
          <w:trHeight w:val="283"/>
        </w:trPr>
        <w:tc>
          <w:tcPr>
            <w:tcW w:w="6980" w:type="dxa"/>
            <w:vAlign w:val="bottom"/>
          </w:tcPr>
          <w:p>
            <w:pPr>
              <w:ind w:left="280"/>
              <w:spacing w:after="0"/>
              <w:rPr>
                <w:sz w:val="20"/>
                <w:szCs w:val="20"/>
                <w:color w:val="auto"/>
              </w:rPr>
            </w:pPr>
            <w:r>
              <w:rPr>
                <w:rFonts w:ascii="Arial" w:cs="Arial" w:eastAsia="Arial" w:hAnsi="Arial"/>
                <w:sz w:val="16"/>
                <w:szCs w:val="16"/>
                <w:color w:val="auto"/>
              </w:rPr>
              <w:t>Other</w:t>
            </w:r>
          </w:p>
        </w:tc>
        <w:tc>
          <w:tcPr>
            <w:tcW w:w="18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jc w:val="right"/>
              <w:ind w:right="80"/>
              <w:spacing w:after="0"/>
              <w:rPr>
                <w:sz w:val="20"/>
                <w:szCs w:val="20"/>
                <w:color w:val="auto"/>
              </w:rPr>
            </w:pPr>
            <w:r>
              <w:rPr>
                <w:rFonts w:ascii="Arial" w:cs="Arial" w:eastAsia="Arial" w:hAnsi="Arial"/>
                <w:sz w:val="16"/>
                <w:szCs w:val="16"/>
                <w:color w:val="auto"/>
              </w:rPr>
              <w:t>127,630</w:t>
            </w:r>
          </w:p>
        </w:tc>
        <w:tc>
          <w:tcPr>
            <w:tcW w:w="24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jc w:val="right"/>
              <w:ind w:right="80"/>
              <w:spacing w:after="0"/>
              <w:rPr>
                <w:sz w:val="20"/>
                <w:szCs w:val="20"/>
                <w:color w:val="auto"/>
              </w:rPr>
            </w:pPr>
            <w:r>
              <w:rPr>
                <w:rFonts w:ascii="Arial" w:cs="Arial" w:eastAsia="Arial" w:hAnsi="Arial"/>
                <w:sz w:val="16"/>
                <w:szCs w:val="16"/>
                <w:color w:val="auto"/>
              </w:rPr>
              <w:t>134,295</w:t>
            </w:r>
          </w:p>
        </w:tc>
        <w:tc>
          <w:tcPr>
            <w:tcW w:w="24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jc w:val="right"/>
              <w:ind w:right="60"/>
              <w:spacing w:after="0"/>
              <w:rPr>
                <w:sz w:val="20"/>
                <w:szCs w:val="20"/>
                <w:color w:val="auto"/>
              </w:rPr>
            </w:pPr>
            <w:r>
              <w:rPr>
                <w:rFonts w:ascii="Arial" w:cs="Arial" w:eastAsia="Arial" w:hAnsi="Arial"/>
                <w:sz w:val="16"/>
                <w:szCs w:val="16"/>
                <w:color w:val="auto"/>
              </w:rPr>
              <w:t>143,105</w:t>
            </w:r>
          </w:p>
        </w:tc>
        <w:tc>
          <w:tcPr>
            <w:tcW w:w="26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147,611</w:t>
            </w:r>
          </w:p>
        </w:tc>
        <w:tc>
          <w:tcPr>
            <w:tcW w:w="0" w:type="dxa"/>
            <w:vAlign w:val="bottom"/>
          </w:tcPr>
          <w:p>
            <w:pPr>
              <w:spacing w:after="0"/>
              <w:rPr>
                <w:sz w:val="1"/>
                <w:szCs w:val="1"/>
                <w:color w:val="auto"/>
              </w:rPr>
            </w:pPr>
          </w:p>
        </w:tc>
      </w:tr>
      <w:tr>
        <w:trPr>
          <w:trHeight w:val="264"/>
        </w:trPr>
        <w:tc>
          <w:tcPr>
            <w:tcW w:w="6980" w:type="dxa"/>
            <w:vAlign w:val="bottom"/>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ind w:right="80"/>
              <w:spacing w:after="0"/>
              <w:rPr>
                <w:sz w:val="20"/>
                <w:szCs w:val="20"/>
                <w:color w:val="auto"/>
              </w:rPr>
            </w:pPr>
            <w:r>
              <w:rPr>
                <w:rFonts w:ascii="Arial" w:cs="Arial" w:eastAsia="Arial" w:hAnsi="Arial"/>
                <w:sz w:val="16"/>
                <w:szCs w:val="16"/>
                <w:color w:val="auto"/>
              </w:rPr>
              <w:t>601,740</w:t>
            </w:r>
          </w:p>
        </w:tc>
        <w:tc>
          <w:tcPr>
            <w:tcW w:w="24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ind w:right="80"/>
              <w:spacing w:after="0"/>
              <w:rPr>
                <w:sz w:val="20"/>
                <w:szCs w:val="20"/>
                <w:color w:val="auto"/>
              </w:rPr>
            </w:pPr>
            <w:r>
              <w:rPr>
                <w:rFonts w:ascii="Arial" w:cs="Arial" w:eastAsia="Arial" w:hAnsi="Arial"/>
                <w:sz w:val="16"/>
                <w:szCs w:val="16"/>
                <w:color w:val="auto"/>
              </w:rPr>
              <w:t>628,933</w:t>
            </w:r>
          </w:p>
        </w:tc>
        <w:tc>
          <w:tcPr>
            <w:tcW w:w="24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ind w:right="60"/>
              <w:spacing w:after="0"/>
              <w:rPr>
                <w:sz w:val="20"/>
                <w:szCs w:val="20"/>
                <w:color w:val="auto"/>
              </w:rPr>
            </w:pPr>
            <w:r>
              <w:rPr>
                <w:rFonts w:ascii="Arial" w:cs="Arial" w:eastAsia="Arial" w:hAnsi="Arial"/>
                <w:sz w:val="16"/>
                <w:szCs w:val="16"/>
                <w:color w:val="auto"/>
              </w:rPr>
              <w:t>621,638</w:t>
            </w:r>
          </w:p>
        </w:tc>
        <w:tc>
          <w:tcPr>
            <w:tcW w:w="260" w:type="dxa"/>
            <w:vAlign w:val="bottom"/>
            <w:tcBorders>
              <w:bottom w:val="single" w:sz="8" w:color="auto"/>
            </w:tcBorders>
          </w:tcPr>
          <w:p>
            <w:pPr>
              <w:spacing w:after="0"/>
              <w:rPr>
                <w:sz w:val="22"/>
                <w:szCs w:val="22"/>
                <w:color w:val="auto"/>
              </w:rPr>
            </w:pPr>
          </w:p>
        </w:tc>
        <w:tc>
          <w:tcPr>
            <w:tcW w:w="84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629,579</w:t>
            </w:r>
          </w:p>
        </w:tc>
        <w:tc>
          <w:tcPr>
            <w:tcW w:w="0" w:type="dxa"/>
            <w:vAlign w:val="bottom"/>
          </w:tcPr>
          <w:p>
            <w:pPr>
              <w:spacing w:after="0"/>
              <w:rPr>
                <w:sz w:val="1"/>
                <w:szCs w:val="1"/>
                <w:color w:val="auto"/>
              </w:rPr>
            </w:pPr>
          </w:p>
        </w:tc>
      </w:tr>
      <w:tr>
        <w:trPr>
          <w:trHeight w:val="251"/>
        </w:trPr>
        <w:tc>
          <w:tcPr>
            <w:tcW w:w="6980" w:type="dxa"/>
            <w:vAlign w:val="bottom"/>
          </w:tcPr>
          <w:p>
            <w:pPr>
              <w:ind w:left="40"/>
              <w:spacing w:after="0"/>
              <w:rPr>
                <w:sz w:val="20"/>
                <w:szCs w:val="20"/>
                <w:color w:val="auto"/>
              </w:rPr>
            </w:pPr>
            <w:r>
              <w:rPr>
                <w:rFonts w:ascii="Arial" w:cs="Arial" w:eastAsia="Arial" w:hAnsi="Arial"/>
                <w:sz w:val="16"/>
                <w:szCs w:val="16"/>
                <w:b w:val="1"/>
                <w:bCs w:val="1"/>
                <w:color w:val="auto"/>
              </w:rPr>
              <w:t>Operating Costs and Expenses</w:t>
            </w:r>
          </w:p>
        </w:tc>
        <w:tc>
          <w:tcPr>
            <w:tcW w:w="18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0"/>
        </w:trPr>
        <w:tc>
          <w:tcPr>
            <w:tcW w:w="6980" w:type="dxa"/>
            <w:vAlign w:val="bottom"/>
          </w:tcPr>
          <w:p>
            <w:pPr>
              <w:ind w:left="280"/>
              <w:spacing w:after="0"/>
              <w:rPr>
                <w:sz w:val="20"/>
                <w:szCs w:val="20"/>
                <w:color w:val="auto"/>
              </w:rPr>
            </w:pPr>
            <w:r>
              <w:rPr>
                <w:rFonts w:ascii="Arial" w:cs="Arial" w:eastAsia="Arial" w:hAnsi="Arial"/>
                <w:sz w:val="16"/>
                <w:szCs w:val="16"/>
                <w:color w:val="auto"/>
              </w:rPr>
              <w:t>Operating</w:t>
            </w:r>
          </w:p>
        </w:tc>
        <w:tc>
          <w:tcPr>
            <w:tcW w:w="180" w:type="dxa"/>
            <w:vAlign w:val="bottom"/>
          </w:tcPr>
          <w:p>
            <w:pPr>
              <w:spacing w:after="0"/>
              <w:rPr>
                <w:sz w:val="23"/>
                <w:szCs w:val="23"/>
                <w:color w:val="auto"/>
              </w:rPr>
            </w:pPr>
          </w:p>
        </w:tc>
        <w:tc>
          <w:tcPr>
            <w:tcW w:w="900" w:type="dxa"/>
            <w:vAlign w:val="bottom"/>
          </w:tcPr>
          <w:p>
            <w:pPr>
              <w:jc w:val="right"/>
              <w:ind w:right="80"/>
              <w:spacing w:after="0"/>
              <w:rPr>
                <w:sz w:val="20"/>
                <w:szCs w:val="20"/>
                <w:color w:val="auto"/>
              </w:rPr>
            </w:pPr>
            <w:r>
              <w:rPr>
                <w:rFonts w:ascii="Arial" w:cs="Arial" w:eastAsia="Arial" w:hAnsi="Arial"/>
                <w:sz w:val="16"/>
                <w:szCs w:val="16"/>
                <w:color w:val="auto"/>
              </w:rPr>
              <w:t>291,632</w:t>
            </w:r>
          </w:p>
        </w:tc>
        <w:tc>
          <w:tcPr>
            <w:tcW w:w="240" w:type="dxa"/>
            <w:vAlign w:val="bottom"/>
          </w:tcPr>
          <w:p>
            <w:pPr>
              <w:spacing w:after="0"/>
              <w:rPr>
                <w:sz w:val="23"/>
                <w:szCs w:val="23"/>
                <w:color w:val="auto"/>
              </w:rPr>
            </w:pPr>
          </w:p>
        </w:tc>
        <w:tc>
          <w:tcPr>
            <w:tcW w:w="900" w:type="dxa"/>
            <w:vAlign w:val="bottom"/>
          </w:tcPr>
          <w:p>
            <w:pPr>
              <w:jc w:val="right"/>
              <w:ind w:right="80"/>
              <w:spacing w:after="0"/>
              <w:rPr>
                <w:sz w:val="20"/>
                <w:szCs w:val="20"/>
                <w:color w:val="auto"/>
              </w:rPr>
            </w:pPr>
            <w:r>
              <w:rPr>
                <w:rFonts w:ascii="Arial" w:cs="Arial" w:eastAsia="Arial" w:hAnsi="Arial"/>
                <w:sz w:val="16"/>
                <w:szCs w:val="16"/>
                <w:color w:val="auto"/>
              </w:rPr>
              <w:t>296,033</w:t>
            </w:r>
          </w:p>
        </w:tc>
        <w:tc>
          <w:tcPr>
            <w:tcW w:w="240" w:type="dxa"/>
            <w:vAlign w:val="bottom"/>
          </w:tcPr>
          <w:p>
            <w:pPr>
              <w:spacing w:after="0"/>
              <w:rPr>
                <w:sz w:val="23"/>
                <w:szCs w:val="23"/>
                <w:color w:val="auto"/>
              </w:rPr>
            </w:pPr>
          </w:p>
        </w:tc>
        <w:tc>
          <w:tcPr>
            <w:tcW w:w="880" w:type="dxa"/>
            <w:vAlign w:val="bottom"/>
          </w:tcPr>
          <w:p>
            <w:pPr>
              <w:jc w:val="right"/>
              <w:ind w:right="60"/>
              <w:spacing w:after="0"/>
              <w:rPr>
                <w:sz w:val="20"/>
                <w:szCs w:val="20"/>
                <w:color w:val="auto"/>
              </w:rPr>
            </w:pPr>
            <w:r>
              <w:rPr>
                <w:rFonts w:ascii="Arial" w:cs="Arial" w:eastAsia="Arial" w:hAnsi="Arial"/>
                <w:sz w:val="16"/>
                <w:szCs w:val="16"/>
                <w:color w:val="auto"/>
              </w:rPr>
              <w:t>293,194</w:t>
            </w:r>
          </w:p>
        </w:tc>
        <w:tc>
          <w:tcPr>
            <w:tcW w:w="260" w:type="dxa"/>
            <w:vAlign w:val="bottom"/>
          </w:tcPr>
          <w:p>
            <w:pPr>
              <w:spacing w:after="0"/>
              <w:rPr>
                <w:sz w:val="23"/>
                <w:szCs w:val="23"/>
                <w:color w:val="auto"/>
              </w:rPr>
            </w:pPr>
          </w:p>
        </w:tc>
        <w:tc>
          <w:tcPr>
            <w:tcW w:w="840" w:type="dxa"/>
            <w:vAlign w:val="bottom"/>
          </w:tcPr>
          <w:p>
            <w:pPr>
              <w:jc w:val="right"/>
              <w:ind w:right="20"/>
              <w:spacing w:after="0"/>
              <w:rPr>
                <w:sz w:val="20"/>
                <w:szCs w:val="20"/>
                <w:color w:val="auto"/>
              </w:rPr>
            </w:pPr>
            <w:r>
              <w:rPr>
                <w:rFonts w:ascii="Arial" w:cs="Arial" w:eastAsia="Arial" w:hAnsi="Arial"/>
                <w:sz w:val="16"/>
                <w:szCs w:val="16"/>
                <w:color w:val="auto"/>
              </w:rPr>
              <w:t>300,086</w:t>
            </w:r>
          </w:p>
        </w:tc>
        <w:tc>
          <w:tcPr>
            <w:tcW w:w="0" w:type="dxa"/>
            <w:vAlign w:val="bottom"/>
          </w:tcPr>
          <w:p>
            <w:pPr>
              <w:spacing w:after="0"/>
              <w:rPr>
                <w:sz w:val="1"/>
                <w:szCs w:val="1"/>
                <w:color w:val="auto"/>
              </w:rPr>
            </w:pPr>
          </w:p>
        </w:tc>
      </w:tr>
      <w:tr>
        <w:trPr>
          <w:trHeight w:val="270"/>
        </w:trPr>
        <w:tc>
          <w:tcPr>
            <w:tcW w:w="6980" w:type="dxa"/>
            <w:vAlign w:val="bottom"/>
          </w:tcPr>
          <w:p>
            <w:pPr>
              <w:ind w:left="280"/>
              <w:spacing w:after="0"/>
              <w:rPr>
                <w:sz w:val="20"/>
                <w:szCs w:val="20"/>
                <w:color w:val="auto"/>
              </w:rPr>
            </w:pPr>
            <w:r>
              <w:rPr>
                <w:rFonts w:ascii="Arial" w:cs="Arial" w:eastAsia="Arial" w:hAnsi="Arial"/>
                <w:sz w:val="16"/>
                <w:szCs w:val="16"/>
                <w:color w:val="auto"/>
              </w:rPr>
              <w:t>Selling, general and administrative</w:t>
            </w:r>
          </w:p>
        </w:tc>
        <w:tc>
          <w:tcPr>
            <w:tcW w:w="180" w:type="dxa"/>
            <w:vAlign w:val="bottom"/>
          </w:tcPr>
          <w:p>
            <w:pPr>
              <w:spacing w:after="0"/>
              <w:rPr>
                <w:sz w:val="23"/>
                <w:szCs w:val="23"/>
                <w:color w:val="auto"/>
              </w:rPr>
            </w:pPr>
          </w:p>
        </w:tc>
        <w:tc>
          <w:tcPr>
            <w:tcW w:w="900" w:type="dxa"/>
            <w:vAlign w:val="bottom"/>
          </w:tcPr>
          <w:p>
            <w:pPr>
              <w:jc w:val="right"/>
              <w:ind w:right="80"/>
              <w:spacing w:after="0"/>
              <w:rPr>
                <w:sz w:val="20"/>
                <w:szCs w:val="20"/>
                <w:color w:val="auto"/>
              </w:rPr>
            </w:pPr>
            <w:r>
              <w:rPr>
                <w:rFonts w:ascii="Arial" w:cs="Arial" w:eastAsia="Arial" w:hAnsi="Arial"/>
                <w:sz w:val="16"/>
                <w:szCs w:val="16"/>
                <w:color w:val="auto"/>
              </w:rPr>
              <w:t>235,213</w:t>
            </w:r>
          </w:p>
        </w:tc>
        <w:tc>
          <w:tcPr>
            <w:tcW w:w="240" w:type="dxa"/>
            <w:vAlign w:val="bottom"/>
          </w:tcPr>
          <w:p>
            <w:pPr>
              <w:spacing w:after="0"/>
              <w:rPr>
                <w:sz w:val="23"/>
                <w:szCs w:val="23"/>
                <w:color w:val="auto"/>
              </w:rPr>
            </w:pPr>
          </w:p>
        </w:tc>
        <w:tc>
          <w:tcPr>
            <w:tcW w:w="900" w:type="dxa"/>
            <w:vAlign w:val="bottom"/>
          </w:tcPr>
          <w:p>
            <w:pPr>
              <w:jc w:val="right"/>
              <w:ind w:right="80"/>
              <w:spacing w:after="0"/>
              <w:rPr>
                <w:sz w:val="20"/>
                <w:szCs w:val="20"/>
                <w:color w:val="auto"/>
              </w:rPr>
            </w:pPr>
            <w:r>
              <w:rPr>
                <w:rFonts w:ascii="Arial" w:cs="Arial" w:eastAsia="Arial" w:hAnsi="Arial"/>
                <w:sz w:val="16"/>
                <w:szCs w:val="16"/>
                <w:color w:val="auto"/>
              </w:rPr>
              <w:t>236,437</w:t>
            </w:r>
          </w:p>
        </w:tc>
        <w:tc>
          <w:tcPr>
            <w:tcW w:w="240" w:type="dxa"/>
            <w:vAlign w:val="bottom"/>
          </w:tcPr>
          <w:p>
            <w:pPr>
              <w:spacing w:after="0"/>
              <w:rPr>
                <w:sz w:val="23"/>
                <w:szCs w:val="23"/>
                <w:color w:val="auto"/>
              </w:rPr>
            </w:pPr>
          </w:p>
        </w:tc>
        <w:tc>
          <w:tcPr>
            <w:tcW w:w="880" w:type="dxa"/>
            <w:vAlign w:val="bottom"/>
          </w:tcPr>
          <w:p>
            <w:pPr>
              <w:jc w:val="right"/>
              <w:ind w:right="60"/>
              <w:spacing w:after="0"/>
              <w:rPr>
                <w:sz w:val="20"/>
                <w:szCs w:val="20"/>
                <w:color w:val="auto"/>
              </w:rPr>
            </w:pPr>
            <w:r>
              <w:rPr>
                <w:rFonts w:ascii="Arial" w:cs="Arial" w:eastAsia="Arial" w:hAnsi="Arial"/>
                <w:sz w:val="16"/>
                <w:szCs w:val="16"/>
                <w:color w:val="auto"/>
              </w:rPr>
              <w:t>237,694</w:t>
            </w:r>
          </w:p>
        </w:tc>
        <w:tc>
          <w:tcPr>
            <w:tcW w:w="260" w:type="dxa"/>
            <w:vAlign w:val="bottom"/>
          </w:tcPr>
          <w:p>
            <w:pPr>
              <w:spacing w:after="0"/>
              <w:rPr>
                <w:sz w:val="23"/>
                <w:szCs w:val="23"/>
                <w:color w:val="auto"/>
              </w:rPr>
            </w:pPr>
          </w:p>
        </w:tc>
        <w:tc>
          <w:tcPr>
            <w:tcW w:w="840" w:type="dxa"/>
            <w:vAlign w:val="bottom"/>
          </w:tcPr>
          <w:p>
            <w:pPr>
              <w:jc w:val="right"/>
              <w:ind w:right="20"/>
              <w:spacing w:after="0"/>
              <w:rPr>
                <w:sz w:val="20"/>
                <w:szCs w:val="20"/>
                <w:color w:val="auto"/>
              </w:rPr>
            </w:pPr>
            <w:r>
              <w:rPr>
                <w:rFonts w:ascii="Arial" w:cs="Arial" w:eastAsia="Arial" w:hAnsi="Arial"/>
                <w:sz w:val="16"/>
                <w:szCs w:val="16"/>
                <w:color w:val="auto"/>
              </w:rPr>
              <w:t>195,173</w:t>
            </w:r>
          </w:p>
        </w:tc>
        <w:tc>
          <w:tcPr>
            <w:tcW w:w="0" w:type="dxa"/>
            <w:vAlign w:val="bottom"/>
          </w:tcPr>
          <w:p>
            <w:pPr>
              <w:spacing w:after="0"/>
              <w:rPr>
                <w:sz w:val="1"/>
                <w:szCs w:val="1"/>
                <w:color w:val="auto"/>
              </w:rPr>
            </w:pPr>
          </w:p>
        </w:tc>
      </w:tr>
      <w:tr>
        <w:trPr>
          <w:trHeight w:val="270"/>
        </w:trPr>
        <w:tc>
          <w:tcPr>
            <w:tcW w:w="6980" w:type="dxa"/>
            <w:vAlign w:val="bottom"/>
          </w:tcPr>
          <w:p>
            <w:pPr>
              <w:ind w:left="280"/>
              <w:spacing w:after="0"/>
              <w:rPr>
                <w:sz w:val="20"/>
                <w:szCs w:val="20"/>
                <w:color w:val="auto"/>
              </w:rPr>
            </w:pPr>
            <w:r>
              <w:rPr>
                <w:rFonts w:ascii="Arial" w:cs="Arial" w:eastAsia="Arial" w:hAnsi="Arial"/>
                <w:sz w:val="16"/>
                <w:szCs w:val="16"/>
                <w:color w:val="auto"/>
              </w:rPr>
              <w:t>Depreciation of property, plant and equipment</w:t>
            </w:r>
          </w:p>
        </w:tc>
        <w:tc>
          <w:tcPr>
            <w:tcW w:w="180" w:type="dxa"/>
            <w:vAlign w:val="bottom"/>
          </w:tcPr>
          <w:p>
            <w:pPr>
              <w:spacing w:after="0"/>
              <w:rPr>
                <w:sz w:val="23"/>
                <w:szCs w:val="23"/>
                <w:color w:val="auto"/>
              </w:rPr>
            </w:pPr>
          </w:p>
        </w:tc>
        <w:tc>
          <w:tcPr>
            <w:tcW w:w="900" w:type="dxa"/>
            <w:vAlign w:val="bottom"/>
          </w:tcPr>
          <w:p>
            <w:pPr>
              <w:jc w:val="right"/>
              <w:ind w:right="80"/>
              <w:spacing w:after="0"/>
              <w:rPr>
                <w:sz w:val="20"/>
                <w:szCs w:val="20"/>
                <w:color w:val="auto"/>
              </w:rPr>
            </w:pPr>
            <w:r>
              <w:rPr>
                <w:rFonts w:ascii="Arial" w:cs="Arial" w:eastAsia="Arial" w:hAnsi="Arial"/>
                <w:sz w:val="16"/>
                <w:szCs w:val="16"/>
                <w:color w:val="auto"/>
              </w:rPr>
              <w:t>16,761</w:t>
            </w:r>
          </w:p>
        </w:tc>
        <w:tc>
          <w:tcPr>
            <w:tcW w:w="240" w:type="dxa"/>
            <w:vAlign w:val="bottom"/>
          </w:tcPr>
          <w:p>
            <w:pPr>
              <w:spacing w:after="0"/>
              <w:rPr>
                <w:sz w:val="23"/>
                <w:szCs w:val="23"/>
                <w:color w:val="auto"/>
              </w:rPr>
            </w:pPr>
          </w:p>
        </w:tc>
        <w:tc>
          <w:tcPr>
            <w:tcW w:w="900" w:type="dxa"/>
            <w:vAlign w:val="bottom"/>
          </w:tcPr>
          <w:p>
            <w:pPr>
              <w:jc w:val="right"/>
              <w:ind w:right="80"/>
              <w:spacing w:after="0"/>
              <w:rPr>
                <w:sz w:val="20"/>
                <w:szCs w:val="20"/>
                <w:color w:val="auto"/>
              </w:rPr>
            </w:pPr>
            <w:r>
              <w:rPr>
                <w:rFonts w:ascii="Arial" w:cs="Arial" w:eastAsia="Arial" w:hAnsi="Arial"/>
                <w:sz w:val="16"/>
                <w:szCs w:val="16"/>
                <w:color w:val="auto"/>
              </w:rPr>
              <w:t>16,045</w:t>
            </w:r>
          </w:p>
        </w:tc>
        <w:tc>
          <w:tcPr>
            <w:tcW w:w="240" w:type="dxa"/>
            <w:vAlign w:val="bottom"/>
          </w:tcPr>
          <w:p>
            <w:pPr>
              <w:spacing w:after="0"/>
              <w:rPr>
                <w:sz w:val="23"/>
                <w:szCs w:val="23"/>
                <w:color w:val="auto"/>
              </w:rPr>
            </w:pPr>
          </w:p>
        </w:tc>
        <w:tc>
          <w:tcPr>
            <w:tcW w:w="880" w:type="dxa"/>
            <w:vAlign w:val="bottom"/>
          </w:tcPr>
          <w:p>
            <w:pPr>
              <w:jc w:val="right"/>
              <w:ind w:right="60"/>
              <w:spacing w:after="0"/>
              <w:rPr>
                <w:sz w:val="20"/>
                <w:szCs w:val="20"/>
                <w:color w:val="auto"/>
              </w:rPr>
            </w:pPr>
            <w:r>
              <w:rPr>
                <w:rFonts w:ascii="Arial" w:cs="Arial" w:eastAsia="Arial" w:hAnsi="Arial"/>
                <w:sz w:val="16"/>
                <w:szCs w:val="16"/>
                <w:color w:val="auto"/>
              </w:rPr>
              <w:t>16,097</w:t>
            </w:r>
          </w:p>
        </w:tc>
        <w:tc>
          <w:tcPr>
            <w:tcW w:w="260" w:type="dxa"/>
            <w:vAlign w:val="bottom"/>
          </w:tcPr>
          <w:p>
            <w:pPr>
              <w:spacing w:after="0"/>
              <w:rPr>
                <w:sz w:val="23"/>
                <w:szCs w:val="23"/>
                <w:color w:val="auto"/>
              </w:rPr>
            </w:pPr>
          </w:p>
        </w:tc>
        <w:tc>
          <w:tcPr>
            <w:tcW w:w="840" w:type="dxa"/>
            <w:vAlign w:val="bottom"/>
          </w:tcPr>
          <w:p>
            <w:pPr>
              <w:jc w:val="right"/>
              <w:ind w:right="20"/>
              <w:spacing w:after="0"/>
              <w:rPr>
                <w:sz w:val="20"/>
                <w:szCs w:val="20"/>
                <w:color w:val="auto"/>
              </w:rPr>
            </w:pPr>
            <w:r>
              <w:rPr>
                <w:rFonts w:ascii="Arial" w:cs="Arial" w:eastAsia="Arial" w:hAnsi="Arial"/>
                <w:sz w:val="16"/>
                <w:szCs w:val="16"/>
                <w:color w:val="auto"/>
              </w:rPr>
              <w:t>15,717</w:t>
            </w:r>
          </w:p>
        </w:tc>
        <w:tc>
          <w:tcPr>
            <w:tcW w:w="0" w:type="dxa"/>
            <w:vAlign w:val="bottom"/>
          </w:tcPr>
          <w:p>
            <w:pPr>
              <w:spacing w:after="0"/>
              <w:rPr>
                <w:sz w:val="1"/>
                <w:szCs w:val="1"/>
                <w:color w:val="auto"/>
              </w:rPr>
            </w:pPr>
          </w:p>
        </w:tc>
      </w:tr>
      <w:tr>
        <w:trPr>
          <w:trHeight w:val="270"/>
        </w:trPr>
        <w:tc>
          <w:tcPr>
            <w:tcW w:w="6980" w:type="dxa"/>
            <w:vAlign w:val="bottom"/>
          </w:tcPr>
          <w:p>
            <w:pPr>
              <w:ind w:left="280"/>
              <w:spacing w:after="0"/>
              <w:rPr>
                <w:sz w:val="20"/>
                <w:szCs w:val="20"/>
                <w:color w:val="auto"/>
              </w:rPr>
            </w:pPr>
            <w:r>
              <w:rPr>
                <w:rFonts w:ascii="Arial" w:cs="Arial" w:eastAsia="Arial" w:hAnsi="Arial"/>
                <w:sz w:val="16"/>
                <w:szCs w:val="16"/>
                <w:color w:val="auto"/>
              </w:rPr>
              <w:t>Amortization of intangible assets</w:t>
            </w:r>
          </w:p>
        </w:tc>
        <w:tc>
          <w:tcPr>
            <w:tcW w:w="180" w:type="dxa"/>
            <w:vAlign w:val="bottom"/>
          </w:tcPr>
          <w:p>
            <w:pPr>
              <w:spacing w:after="0"/>
              <w:rPr>
                <w:sz w:val="23"/>
                <w:szCs w:val="23"/>
                <w:color w:val="auto"/>
              </w:rPr>
            </w:pPr>
          </w:p>
        </w:tc>
        <w:tc>
          <w:tcPr>
            <w:tcW w:w="900" w:type="dxa"/>
            <w:vAlign w:val="bottom"/>
          </w:tcPr>
          <w:p>
            <w:pPr>
              <w:jc w:val="right"/>
              <w:ind w:right="80"/>
              <w:spacing w:after="0"/>
              <w:rPr>
                <w:sz w:val="20"/>
                <w:szCs w:val="20"/>
                <w:color w:val="auto"/>
              </w:rPr>
            </w:pPr>
            <w:r>
              <w:rPr>
                <w:rFonts w:ascii="Arial" w:cs="Arial" w:eastAsia="Arial" w:hAnsi="Arial"/>
                <w:sz w:val="16"/>
                <w:szCs w:val="16"/>
                <w:color w:val="auto"/>
              </w:rPr>
              <w:t>6,262</w:t>
            </w:r>
          </w:p>
        </w:tc>
        <w:tc>
          <w:tcPr>
            <w:tcW w:w="240" w:type="dxa"/>
            <w:vAlign w:val="bottom"/>
          </w:tcPr>
          <w:p>
            <w:pPr>
              <w:spacing w:after="0"/>
              <w:rPr>
                <w:sz w:val="23"/>
                <w:szCs w:val="23"/>
                <w:color w:val="auto"/>
              </w:rPr>
            </w:pPr>
          </w:p>
        </w:tc>
        <w:tc>
          <w:tcPr>
            <w:tcW w:w="900" w:type="dxa"/>
            <w:vAlign w:val="bottom"/>
          </w:tcPr>
          <w:p>
            <w:pPr>
              <w:jc w:val="right"/>
              <w:ind w:right="80"/>
              <w:spacing w:after="0"/>
              <w:rPr>
                <w:sz w:val="20"/>
                <w:szCs w:val="20"/>
                <w:color w:val="auto"/>
              </w:rPr>
            </w:pPr>
            <w:r>
              <w:rPr>
                <w:rFonts w:ascii="Arial" w:cs="Arial" w:eastAsia="Arial" w:hAnsi="Arial"/>
                <w:sz w:val="16"/>
                <w:szCs w:val="16"/>
                <w:color w:val="auto"/>
              </w:rPr>
              <w:t>6,278</w:t>
            </w:r>
          </w:p>
        </w:tc>
        <w:tc>
          <w:tcPr>
            <w:tcW w:w="240" w:type="dxa"/>
            <w:vAlign w:val="bottom"/>
          </w:tcPr>
          <w:p>
            <w:pPr>
              <w:spacing w:after="0"/>
              <w:rPr>
                <w:sz w:val="23"/>
                <w:szCs w:val="23"/>
                <w:color w:val="auto"/>
              </w:rPr>
            </w:pPr>
          </w:p>
        </w:tc>
        <w:tc>
          <w:tcPr>
            <w:tcW w:w="880" w:type="dxa"/>
            <w:vAlign w:val="bottom"/>
          </w:tcPr>
          <w:p>
            <w:pPr>
              <w:jc w:val="right"/>
              <w:ind w:right="60"/>
              <w:spacing w:after="0"/>
              <w:rPr>
                <w:sz w:val="20"/>
                <w:szCs w:val="20"/>
                <w:color w:val="auto"/>
              </w:rPr>
            </w:pPr>
            <w:r>
              <w:rPr>
                <w:rFonts w:ascii="Arial" w:cs="Arial" w:eastAsia="Arial" w:hAnsi="Arial"/>
                <w:sz w:val="16"/>
                <w:szCs w:val="16"/>
                <w:color w:val="auto"/>
              </w:rPr>
              <w:t>6,620</w:t>
            </w:r>
          </w:p>
        </w:tc>
        <w:tc>
          <w:tcPr>
            <w:tcW w:w="260" w:type="dxa"/>
            <w:vAlign w:val="bottom"/>
          </w:tcPr>
          <w:p>
            <w:pPr>
              <w:spacing w:after="0"/>
              <w:rPr>
                <w:sz w:val="23"/>
                <w:szCs w:val="23"/>
                <w:color w:val="auto"/>
              </w:rPr>
            </w:pPr>
          </w:p>
        </w:tc>
        <w:tc>
          <w:tcPr>
            <w:tcW w:w="840" w:type="dxa"/>
            <w:vAlign w:val="bottom"/>
          </w:tcPr>
          <w:p>
            <w:pPr>
              <w:jc w:val="right"/>
              <w:ind w:right="20"/>
              <w:spacing w:after="0"/>
              <w:rPr>
                <w:sz w:val="20"/>
                <w:szCs w:val="20"/>
                <w:color w:val="auto"/>
              </w:rPr>
            </w:pPr>
            <w:r>
              <w:rPr>
                <w:rFonts w:ascii="Arial" w:cs="Arial" w:eastAsia="Arial" w:hAnsi="Arial"/>
                <w:sz w:val="16"/>
                <w:szCs w:val="16"/>
                <w:color w:val="auto"/>
              </w:rPr>
              <w:t>7,511</w:t>
            </w:r>
          </w:p>
        </w:tc>
        <w:tc>
          <w:tcPr>
            <w:tcW w:w="0" w:type="dxa"/>
            <w:vAlign w:val="bottom"/>
          </w:tcPr>
          <w:p>
            <w:pPr>
              <w:spacing w:after="0"/>
              <w:rPr>
                <w:sz w:val="1"/>
                <w:szCs w:val="1"/>
                <w:color w:val="auto"/>
              </w:rPr>
            </w:pPr>
          </w:p>
        </w:tc>
      </w:tr>
      <w:tr>
        <w:trPr>
          <w:trHeight w:val="283"/>
        </w:trPr>
        <w:tc>
          <w:tcPr>
            <w:tcW w:w="6980" w:type="dxa"/>
            <w:vAlign w:val="bottom"/>
          </w:tcPr>
          <w:p>
            <w:pPr>
              <w:ind w:left="280"/>
              <w:spacing w:after="0"/>
              <w:rPr>
                <w:sz w:val="20"/>
                <w:szCs w:val="20"/>
                <w:color w:val="auto"/>
              </w:rPr>
            </w:pPr>
            <w:r>
              <w:rPr>
                <w:rFonts w:ascii="Arial" w:cs="Arial" w:eastAsia="Arial" w:hAnsi="Arial"/>
                <w:sz w:val="16"/>
                <w:szCs w:val="16"/>
                <w:color w:val="auto"/>
              </w:rPr>
              <w:t>Impairment of goodwill</w:t>
            </w:r>
          </w:p>
        </w:tc>
        <w:tc>
          <w:tcPr>
            <w:tcW w:w="18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jc w:val="right"/>
              <w:ind w:right="80"/>
              <w:spacing w:after="0"/>
              <w:rPr>
                <w:sz w:val="20"/>
                <w:szCs w:val="20"/>
                <w:color w:val="auto"/>
              </w:rPr>
            </w:pPr>
            <w:r>
              <w:rPr>
                <w:rFonts w:ascii="Arial" w:cs="Arial" w:eastAsia="Arial" w:hAnsi="Arial"/>
                <w:sz w:val="16"/>
                <w:szCs w:val="16"/>
                <w:color w:val="auto"/>
              </w:rPr>
              <w:t>—</w:t>
            </w:r>
          </w:p>
        </w:tc>
        <w:tc>
          <w:tcPr>
            <w:tcW w:w="24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jc w:val="right"/>
              <w:ind w:right="80"/>
              <w:spacing w:after="0"/>
              <w:rPr>
                <w:sz w:val="20"/>
                <w:szCs w:val="20"/>
                <w:color w:val="auto"/>
              </w:rPr>
            </w:pPr>
            <w:r>
              <w:rPr>
                <w:rFonts w:ascii="Arial" w:cs="Arial" w:eastAsia="Arial" w:hAnsi="Arial"/>
                <w:sz w:val="16"/>
                <w:szCs w:val="16"/>
                <w:color w:val="auto"/>
              </w:rPr>
              <w:t>—</w:t>
            </w:r>
          </w:p>
        </w:tc>
        <w:tc>
          <w:tcPr>
            <w:tcW w:w="24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jc w:val="right"/>
              <w:ind w:right="60"/>
              <w:spacing w:after="0"/>
              <w:rPr>
                <w:sz w:val="20"/>
                <w:szCs w:val="20"/>
                <w:color w:val="auto"/>
              </w:rPr>
            </w:pPr>
            <w:r>
              <w:rPr>
                <w:rFonts w:ascii="Arial" w:cs="Arial" w:eastAsia="Arial" w:hAnsi="Arial"/>
                <w:sz w:val="16"/>
                <w:szCs w:val="16"/>
                <w:color w:val="auto"/>
              </w:rPr>
              <w:t>—</w:t>
            </w:r>
          </w:p>
        </w:tc>
        <w:tc>
          <w:tcPr>
            <w:tcW w:w="26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1,603</w:t>
            </w:r>
          </w:p>
        </w:tc>
        <w:tc>
          <w:tcPr>
            <w:tcW w:w="0" w:type="dxa"/>
            <w:vAlign w:val="bottom"/>
          </w:tcPr>
          <w:p>
            <w:pPr>
              <w:spacing w:after="0"/>
              <w:rPr>
                <w:sz w:val="1"/>
                <w:szCs w:val="1"/>
                <w:color w:val="auto"/>
              </w:rPr>
            </w:pPr>
          </w:p>
        </w:tc>
      </w:tr>
      <w:tr>
        <w:trPr>
          <w:trHeight w:val="264"/>
        </w:trPr>
        <w:tc>
          <w:tcPr>
            <w:tcW w:w="6980" w:type="dxa"/>
            <w:vAlign w:val="bottom"/>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ind w:right="80"/>
              <w:spacing w:after="0"/>
              <w:rPr>
                <w:sz w:val="20"/>
                <w:szCs w:val="20"/>
                <w:color w:val="auto"/>
              </w:rPr>
            </w:pPr>
            <w:r>
              <w:rPr>
                <w:rFonts w:ascii="Arial" w:cs="Arial" w:eastAsia="Arial" w:hAnsi="Arial"/>
                <w:sz w:val="16"/>
                <w:szCs w:val="16"/>
                <w:color w:val="auto"/>
              </w:rPr>
              <w:t>549,868</w:t>
            </w:r>
          </w:p>
        </w:tc>
        <w:tc>
          <w:tcPr>
            <w:tcW w:w="24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ind w:right="80"/>
              <w:spacing w:after="0"/>
              <w:rPr>
                <w:sz w:val="20"/>
                <w:szCs w:val="20"/>
                <w:color w:val="auto"/>
              </w:rPr>
            </w:pPr>
            <w:r>
              <w:rPr>
                <w:rFonts w:ascii="Arial" w:cs="Arial" w:eastAsia="Arial" w:hAnsi="Arial"/>
                <w:sz w:val="16"/>
                <w:szCs w:val="16"/>
                <w:color w:val="auto"/>
              </w:rPr>
              <w:t>554,793</w:t>
            </w:r>
          </w:p>
        </w:tc>
        <w:tc>
          <w:tcPr>
            <w:tcW w:w="24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ind w:right="60"/>
              <w:spacing w:after="0"/>
              <w:rPr>
                <w:sz w:val="20"/>
                <w:szCs w:val="20"/>
                <w:color w:val="auto"/>
              </w:rPr>
            </w:pPr>
            <w:r>
              <w:rPr>
                <w:rFonts w:ascii="Arial" w:cs="Arial" w:eastAsia="Arial" w:hAnsi="Arial"/>
                <w:sz w:val="16"/>
                <w:szCs w:val="16"/>
                <w:color w:val="auto"/>
              </w:rPr>
              <w:t>553,605</w:t>
            </w:r>
          </w:p>
        </w:tc>
        <w:tc>
          <w:tcPr>
            <w:tcW w:w="260" w:type="dxa"/>
            <w:vAlign w:val="bottom"/>
            <w:tcBorders>
              <w:bottom w:val="single" w:sz="8" w:color="auto"/>
            </w:tcBorders>
          </w:tcPr>
          <w:p>
            <w:pPr>
              <w:spacing w:after="0"/>
              <w:rPr>
                <w:sz w:val="22"/>
                <w:szCs w:val="22"/>
                <w:color w:val="auto"/>
              </w:rPr>
            </w:pPr>
          </w:p>
        </w:tc>
        <w:tc>
          <w:tcPr>
            <w:tcW w:w="84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520,090</w:t>
            </w:r>
          </w:p>
        </w:tc>
        <w:tc>
          <w:tcPr>
            <w:tcW w:w="0" w:type="dxa"/>
            <w:vAlign w:val="bottom"/>
          </w:tcPr>
          <w:p>
            <w:pPr>
              <w:spacing w:after="0"/>
              <w:rPr>
                <w:sz w:val="1"/>
                <w:szCs w:val="1"/>
                <w:color w:val="auto"/>
              </w:rPr>
            </w:pPr>
          </w:p>
        </w:tc>
      </w:tr>
      <w:tr>
        <w:trPr>
          <w:trHeight w:val="251"/>
        </w:trPr>
        <w:tc>
          <w:tcPr>
            <w:tcW w:w="6980" w:type="dxa"/>
            <w:vAlign w:val="bottom"/>
          </w:tcPr>
          <w:p>
            <w:pPr>
              <w:ind w:left="40"/>
              <w:spacing w:after="0"/>
              <w:rPr>
                <w:sz w:val="20"/>
                <w:szCs w:val="20"/>
                <w:color w:val="auto"/>
              </w:rPr>
            </w:pPr>
            <w:r>
              <w:rPr>
                <w:rFonts w:ascii="Arial" w:cs="Arial" w:eastAsia="Arial" w:hAnsi="Arial"/>
                <w:sz w:val="16"/>
                <w:szCs w:val="16"/>
                <w:b w:val="1"/>
                <w:bCs w:val="1"/>
                <w:color w:val="auto"/>
              </w:rPr>
              <w:t>Income from Operations</w:t>
            </w:r>
          </w:p>
        </w:tc>
        <w:tc>
          <w:tcPr>
            <w:tcW w:w="180" w:type="dxa"/>
            <w:vAlign w:val="bottom"/>
          </w:tcPr>
          <w:p>
            <w:pPr>
              <w:spacing w:after="0"/>
              <w:rPr>
                <w:sz w:val="21"/>
                <w:szCs w:val="21"/>
                <w:color w:val="auto"/>
              </w:rPr>
            </w:pPr>
          </w:p>
        </w:tc>
        <w:tc>
          <w:tcPr>
            <w:tcW w:w="900" w:type="dxa"/>
            <w:vAlign w:val="bottom"/>
          </w:tcPr>
          <w:p>
            <w:pPr>
              <w:jc w:val="right"/>
              <w:ind w:right="80"/>
              <w:spacing w:after="0"/>
              <w:rPr>
                <w:sz w:val="20"/>
                <w:szCs w:val="20"/>
                <w:color w:val="auto"/>
              </w:rPr>
            </w:pPr>
            <w:r>
              <w:rPr>
                <w:rFonts w:ascii="Arial" w:cs="Arial" w:eastAsia="Arial" w:hAnsi="Arial"/>
                <w:sz w:val="16"/>
                <w:szCs w:val="16"/>
                <w:color w:val="auto"/>
              </w:rPr>
              <w:t>51,872</w:t>
            </w:r>
          </w:p>
        </w:tc>
        <w:tc>
          <w:tcPr>
            <w:tcW w:w="240" w:type="dxa"/>
            <w:vAlign w:val="bottom"/>
          </w:tcPr>
          <w:p>
            <w:pPr>
              <w:spacing w:after="0"/>
              <w:rPr>
                <w:sz w:val="21"/>
                <w:szCs w:val="21"/>
                <w:color w:val="auto"/>
              </w:rPr>
            </w:pPr>
          </w:p>
        </w:tc>
        <w:tc>
          <w:tcPr>
            <w:tcW w:w="900" w:type="dxa"/>
            <w:vAlign w:val="bottom"/>
          </w:tcPr>
          <w:p>
            <w:pPr>
              <w:jc w:val="right"/>
              <w:ind w:right="80"/>
              <w:spacing w:after="0"/>
              <w:rPr>
                <w:sz w:val="20"/>
                <w:szCs w:val="20"/>
                <w:color w:val="auto"/>
              </w:rPr>
            </w:pPr>
            <w:r>
              <w:rPr>
                <w:rFonts w:ascii="Arial" w:cs="Arial" w:eastAsia="Arial" w:hAnsi="Arial"/>
                <w:sz w:val="16"/>
                <w:szCs w:val="16"/>
                <w:color w:val="auto"/>
              </w:rPr>
              <w:t>74,140</w:t>
            </w:r>
          </w:p>
        </w:tc>
        <w:tc>
          <w:tcPr>
            <w:tcW w:w="240" w:type="dxa"/>
            <w:vAlign w:val="bottom"/>
          </w:tcPr>
          <w:p>
            <w:pPr>
              <w:spacing w:after="0"/>
              <w:rPr>
                <w:sz w:val="21"/>
                <w:szCs w:val="21"/>
                <w:color w:val="auto"/>
              </w:rPr>
            </w:pPr>
          </w:p>
        </w:tc>
        <w:tc>
          <w:tcPr>
            <w:tcW w:w="880" w:type="dxa"/>
            <w:vAlign w:val="bottom"/>
          </w:tcPr>
          <w:p>
            <w:pPr>
              <w:jc w:val="right"/>
              <w:ind w:right="60"/>
              <w:spacing w:after="0"/>
              <w:rPr>
                <w:sz w:val="20"/>
                <w:szCs w:val="20"/>
                <w:color w:val="auto"/>
              </w:rPr>
            </w:pPr>
            <w:r>
              <w:rPr>
                <w:rFonts w:ascii="Arial" w:cs="Arial" w:eastAsia="Arial" w:hAnsi="Arial"/>
                <w:sz w:val="16"/>
                <w:szCs w:val="16"/>
                <w:color w:val="auto"/>
              </w:rPr>
              <w:t>68,033</w:t>
            </w:r>
          </w:p>
        </w:tc>
        <w:tc>
          <w:tcPr>
            <w:tcW w:w="260" w:type="dxa"/>
            <w:vAlign w:val="bottom"/>
          </w:tcPr>
          <w:p>
            <w:pPr>
              <w:spacing w:after="0"/>
              <w:rPr>
                <w:sz w:val="21"/>
                <w:szCs w:val="21"/>
                <w:color w:val="auto"/>
              </w:rPr>
            </w:pPr>
          </w:p>
        </w:tc>
        <w:tc>
          <w:tcPr>
            <w:tcW w:w="840" w:type="dxa"/>
            <w:vAlign w:val="bottom"/>
          </w:tcPr>
          <w:p>
            <w:pPr>
              <w:jc w:val="right"/>
              <w:ind w:right="20"/>
              <w:spacing w:after="0"/>
              <w:rPr>
                <w:sz w:val="20"/>
                <w:szCs w:val="20"/>
                <w:color w:val="auto"/>
              </w:rPr>
            </w:pPr>
            <w:r>
              <w:rPr>
                <w:rFonts w:ascii="Arial" w:cs="Arial" w:eastAsia="Arial" w:hAnsi="Arial"/>
                <w:sz w:val="16"/>
                <w:szCs w:val="16"/>
                <w:color w:val="auto"/>
              </w:rPr>
              <w:t>109,489</w:t>
            </w:r>
          </w:p>
        </w:tc>
        <w:tc>
          <w:tcPr>
            <w:tcW w:w="0" w:type="dxa"/>
            <w:vAlign w:val="bottom"/>
          </w:tcPr>
          <w:p>
            <w:pPr>
              <w:spacing w:after="0"/>
              <w:rPr>
                <w:sz w:val="1"/>
                <w:szCs w:val="1"/>
                <w:color w:val="auto"/>
              </w:rPr>
            </w:pPr>
          </w:p>
        </w:tc>
      </w:tr>
      <w:tr>
        <w:trPr>
          <w:trHeight w:val="270"/>
        </w:trPr>
        <w:tc>
          <w:tcPr>
            <w:tcW w:w="6980" w:type="dxa"/>
            <w:vAlign w:val="bottom"/>
          </w:tcPr>
          <w:p>
            <w:pPr>
              <w:ind w:left="280"/>
              <w:spacing w:after="0"/>
              <w:rPr>
                <w:sz w:val="20"/>
                <w:szCs w:val="20"/>
                <w:color w:val="auto"/>
              </w:rPr>
            </w:pPr>
            <w:r>
              <w:rPr>
                <w:rFonts w:ascii="Arial" w:cs="Arial" w:eastAsia="Arial" w:hAnsi="Arial"/>
                <w:sz w:val="16"/>
                <w:szCs w:val="16"/>
                <w:color w:val="auto"/>
              </w:rPr>
              <w:t>Equity in earnings (losses) of affiliates, net</w:t>
            </w:r>
          </w:p>
        </w:tc>
        <w:tc>
          <w:tcPr>
            <w:tcW w:w="180" w:type="dxa"/>
            <w:vAlign w:val="bottom"/>
          </w:tcPr>
          <w:p>
            <w:pPr>
              <w:spacing w:after="0"/>
              <w:rPr>
                <w:sz w:val="23"/>
                <w:szCs w:val="23"/>
                <w:color w:val="auto"/>
              </w:rPr>
            </w:pPr>
          </w:p>
        </w:tc>
        <w:tc>
          <w:tcPr>
            <w:tcW w:w="900" w:type="dxa"/>
            <w:vAlign w:val="bottom"/>
          </w:tcPr>
          <w:p>
            <w:pPr>
              <w:jc w:val="right"/>
              <w:ind w:right="80"/>
              <w:spacing w:after="0"/>
              <w:rPr>
                <w:sz w:val="20"/>
                <w:szCs w:val="20"/>
                <w:color w:val="auto"/>
              </w:rPr>
            </w:pPr>
            <w:r>
              <w:rPr>
                <w:rFonts w:ascii="Arial" w:cs="Arial" w:eastAsia="Arial" w:hAnsi="Arial"/>
                <w:sz w:val="16"/>
                <w:szCs w:val="16"/>
                <w:color w:val="auto"/>
              </w:rPr>
              <w:t>1,004</w:t>
            </w:r>
          </w:p>
        </w:tc>
        <w:tc>
          <w:tcPr>
            <w:tcW w:w="240" w:type="dxa"/>
            <w:vAlign w:val="bottom"/>
          </w:tcPr>
          <w:p>
            <w:pPr>
              <w:spacing w:after="0"/>
              <w:rPr>
                <w:sz w:val="23"/>
                <w:szCs w:val="23"/>
                <w:color w:val="auto"/>
              </w:rPr>
            </w:pPr>
          </w:p>
        </w:tc>
        <w:tc>
          <w:tcPr>
            <w:tcW w:w="900" w:type="dxa"/>
            <w:vAlign w:val="bottom"/>
          </w:tcPr>
          <w:p>
            <w:pPr>
              <w:jc w:val="right"/>
              <w:ind w:right="20"/>
              <w:spacing w:after="0"/>
              <w:rPr>
                <w:sz w:val="20"/>
                <w:szCs w:val="20"/>
                <w:color w:val="auto"/>
              </w:rPr>
            </w:pPr>
            <w:r>
              <w:rPr>
                <w:rFonts w:ascii="Arial" w:cs="Arial" w:eastAsia="Arial" w:hAnsi="Arial"/>
                <w:sz w:val="16"/>
                <w:szCs w:val="16"/>
                <w:color w:val="auto"/>
              </w:rPr>
              <w:t>(891)</w:t>
            </w:r>
          </w:p>
        </w:tc>
        <w:tc>
          <w:tcPr>
            <w:tcW w:w="240" w:type="dxa"/>
            <w:vAlign w:val="bottom"/>
          </w:tcPr>
          <w:p>
            <w:pPr>
              <w:spacing w:after="0"/>
              <w:rPr>
                <w:sz w:val="23"/>
                <w:szCs w:val="23"/>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(1,008)</w:t>
            </w:r>
          </w:p>
        </w:tc>
        <w:tc>
          <w:tcPr>
            <w:tcW w:w="260" w:type="dxa"/>
            <w:vAlign w:val="bottom"/>
          </w:tcPr>
          <w:p>
            <w:pPr>
              <w:spacing w:after="0"/>
              <w:rPr>
                <w:sz w:val="23"/>
                <w:szCs w:val="23"/>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(7,042)</w:t>
            </w:r>
          </w:p>
        </w:tc>
        <w:tc>
          <w:tcPr>
            <w:tcW w:w="0" w:type="dxa"/>
            <w:vAlign w:val="bottom"/>
          </w:tcPr>
          <w:p>
            <w:pPr>
              <w:spacing w:after="0"/>
              <w:rPr>
                <w:sz w:val="1"/>
                <w:szCs w:val="1"/>
                <w:color w:val="auto"/>
              </w:rPr>
            </w:pPr>
          </w:p>
        </w:tc>
      </w:tr>
      <w:tr>
        <w:trPr>
          <w:trHeight w:val="270"/>
        </w:trPr>
        <w:tc>
          <w:tcPr>
            <w:tcW w:w="6980" w:type="dxa"/>
            <w:vAlign w:val="bottom"/>
          </w:tcPr>
          <w:p>
            <w:pPr>
              <w:ind w:left="280"/>
              <w:spacing w:after="0"/>
              <w:rPr>
                <w:sz w:val="20"/>
                <w:szCs w:val="20"/>
                <w:color w:val="auto"/>
              </w:rPr>
            </w:pPr>
            <w:r>
              <w:rPr>
                <w:rFonts w:ascii="Arial" w:cs="Arial" w:eastAsia="Arial" w:hAnsi="Arial"/>
                <w:sz w:val="16"/>
                <w:szCs w:val="16"/>
                <w:color w:val="auto"/>
              </w:rPr>
              <w:t>Interest income</w:t>
            </w:r>
          </w:p>
        </w:tc>
        <w:tc>
          <w:tcPr>
            <w:tcW w:w="180" w:type="dxa"/>
            <w:vAlign w:val="bottom"/>
          </w:tcPr>
          <w:p>
            <w:pPr>
              <w:spacing w:after="0"/>
              <w:rPr>
                <w:sz w:val="23"/>
                <w:szCs w:val="23"/>
                <w:color w:val="auto"/>
              </w:rPr>
            </w:pPr>
          </w:p>
        </w:tc>
        <w:tc>
          <w:tcPr>
            <w:tcW w:w="900" w:type="dxa"/>
            <w:vAlign w:val="bottom"/>
          </w:tcPr>
          <w:p>
            <w:pPr>
              <w:jc w:val="right"/>
              <w:ind w:right="80"/>
              <w:spacing w:after="0"/>
              <w:rPr>
                <w:sz w:val="20"/>
                <w:szCs w:val="20"/>
                <w:color w:val="auto"/>
              </w:rPr>
            </w:pPr>
            <w:r>
              <w:rPr>
                <w:rFonts w:ascii="Arial" w:cs="Arial" w:eastAsia="Arial" w:hAnsi="Arial"/>
                <w:sz w:val="16"/>
                <w:szCs w:val="16"/>
                <w:color w:val="auto"/>
              </w:rPr>
              <w:t>591</w:t>
            </w:r>
          </w:p>
        </w:tc>
        <w:tc>
          <w:tcPr>
            <w:tcW w:w="240" w:type="dxa"/>
            <w:vAlign w:val="bottom"/>
          </w:tcPr>
          <w:p>
            <w:pPr>
              <w:spacing w:after="0"/>
              <w:rPr>
                <w:sz w:val="23"/>
                <w:szCs w:val="23"/>
                <w:color w:val="auto"/>
              </w:rPr>
            </w:pPr>
          </w:p>
        </w:tc>
        <w:tc>
          <w:tcPr>
            <w:tcW w:w="900" w:type="dxa"/>
            <w:vAlign w:val="bottom"/>
          </w:tcPr>
          <w:p>
            <w:pPr>
              <w:jc w:val="right"/>
              <w:ind w:right="80"/>
              <w:spacing w:after="0"/>
              <w:rPr>
                <w:sz w:val="20"/>
                <w:szCs w:val="20"/>
                <w:color w:val="auto"/>
              </w:rPr>
            </w:pPr>
            <w:r>
              <w:rPr>
                <w:rFonts w:ascii="Arial" w:cs="Arial" w:eastAsia="Arial" w:hAnsi="Arial"/>
                <w:sz w:val="16"/>
                <w:szCs w:val="16"/>
                <w:color w:val="auto"/>
              </w:rPr>
              <w:t>721</w:t>
            </w:r>
          </w:p>
        </w:tc>
        <w:tc>
          <w:tcPr>
            <w:tcW w:w="240" w:type="dxa"/>
            <w:vAlign w:val="bottom"/>
          </w:tcPr>
          <w:p>
            <w:pPr>
              <w:spacing w:after="0"/>
              <w:rPr>
                <w:sz w:val="23"/>
                <w:szCs w:val="23"/>
                <w:color w:val="auto"/>
              </w:rPr>
            </w:pPr>
          </w:p>
        </w:tc>
        <w:tc>
          <w:tcPr>
            <w:tcW w:w="880" w:type="dxa"/>
            <w:vAlign w:val="bottom"/>
          </w:tcPr>
          <w:p>
            <w:pPr>
              <w:jc w:val="right"/>
              <w:ind w:right="60"/>
              <w:spacing w:after="0"/>
              <w:rPr>
                <w:sz w:val="20"/>
                <w:szCs w:val="20"/>
                <w:color w:val="auto"/>
              </w:rPr>
            </w:pPr>
            <w:r>
              <w:rPr>
                <w:rFonts w:ascii="Arial" w:cs="Arial" w:eastAsia="Arial" w:hAnsi="Arial"/>
                <w:sz w:val="16"/>
                <w:szCs w:val="16"/>
                <w:color w:val="auto"/>
              </w:rPr>
              <w:t>740</w:t>
            </w:r>
          </w:p>
        </w:tc>
        <w:tc>
          <w:tcPr>
            <w:tcW w:w="260" w:type="dxa"/>
            <w:vAlign w:val="bottom"/>
          </w:tcPr>
          <w:p>
            <w:pPr>
              <w:spacing w:after="0"/>
              <w:rPr>
                <w:sz w:val="23"/>
                <w:szCs w:val="23"/>
                <w:color w:val="auto"/>
              </w:rPr>
            </w:pPr>
          </w:p>
        </w:tc>
        <w:tc>
          <w:tcPr>
            <w:tcW w:w="840" w:type="dxa"/>
            <w:vAlign w:val="bottom"/>
          </w:tcPr>
          <w:p>
            <w:pPr>
              <w:jc w:val="right"/>
              <w:ind w:right="20"/>
              <w:spacing w:after="0"/>
              <w:rPr>
                <w:sz w:val="20"/>
                <w:szCs w:val="20"/>
                <w:color w:val="auto"/>
              </w:rPr>
            </w:pPr>
            <w:r>
              <w:rPr>
                <w:rFonts w:ascii="Arial" w:cs="Arial" w:eastAsia="Arial" w:hAnsi="Arial"/>
                <w:sz w:val="16"/>
                <w:szCs w:val="16"/>
                <w:color w:val="auto"/>
              </w:rPr>
              <w:t>1,041</w:t>
            </w:r>
          </w:p>
        </w:tc>
        <w:tc>
          <w:tcPr>
            <w:tcW w:w="0" w:type="dxa"/>
            <w:vAlign w:val="bottom"/>
          </w:tcPr>
          <w:p>
            <w:pPr>
              <w:spacing w:after="0"/>
              <w:rPr>
                <w:sz w:val="1"/>
                <w:szCs w:val="1"/>
                <w:color w:val="auto"/>
              </w:rPr>
            </w:pPr>
          </w:p>
        </w:tc>
      </w:tr>
      <w:tr>
        <w:trPr>
          <w:trHeight w:val="270"/>
        </w:trPr>
        <w:tc>
          <w:tcPr>
            <w:tcW w:w="6980" w:type="dxa"/>
            <w:vAlign w:val="bottom"/>
          </w:tcPr>
          <w:p>
            <w:pPr>
              <w:ind w:left="280"/>
              <w:spacing w:after="0"/>
              <w:rPr>
                <w:sz w:val="20"/>
                <w:szCs w:val="20"/>
                <w:color w:val="auto"/>
              </w:rPr>
            </w:pPr>
            <w:r>
              <w:rPr>
                <w:rFonts w:ascii="Arial" w:cs="Arial" w:eastAsia="Arial" w:hAnsi="Arial"/>
                <w:sz w:val="16"/>
                <w:szCs w:val="16"/>
                <w:color w:val="auto"/>
              </w:rPr>
              <w:t>Interest expense</w:t>
            </w:r>
          </w:p>
        </w:tc>
        <w:tc>
          <w:tcPr>
            <w:tcW w:w="180" w:type="dxa"/>
            <w:vAlign w:val="bottom"/>
          </w:tcPr>
          <w:p>
            <w:pPr>
              <w:spacing w:after="0"/>
              <w:rPr>
                <w:sz w:val="23"/>
                <w:szCs w:val="23"/>
                <w:color w:val="auto"/>
              </w:rPr>
            </w:pPr>
          </w:p>
        </w:tc>
        <w:tc>
          <w:tcPr>
            <w:tcW w:w="900" w:type="dxa"/>
            <w:vAlign w:val="bottom"/>
          </w:tcPr>
          <w:p>
            <w:pPr>
              <w:jc w:val="right"/>
              <w:ind w:right="20"/>
              <w:spacing w:after="0"/>
              <w:rPr>
                <w:sz w:val="20"/>
                <w:szCs w:val="20"/>
                <w:color w:val="auto"/>
              </w:rPr>
            </w:pPr>
            <w:r>
              <w:rPr>
                <w:rFonts w:ascii="Arial" w:cs="Arial" w:eastAsia="Arial" w:hAnsi="Arial"/>
                <w:sz w:val="16"/>
                <w:szCs w:val="16"/>
                <w:color w:val="auto"/>
              </w:rPr>
              <w:t>(7,948)</w:t>
            </w:r>
          </w:p>
        </w:tc>
        <w:tc>
          <w:tcPr>
            <w:tcW w:w="240" w:type="dxa"/>
            <w:vAlign w:val="bottom"/>
          </w:tcPr>
          <w:p>
            <w:pPr>
              <w:spacing w:after="0"/>
              <w:rPr>
                <w:sz w:val="23"/>
                <w:szCs w:val="23"/>
                <w:color w:val="auto"/>
              </w:rPr>
            </w:pPr>
          </w:p>
        </w:tc>
        <w:tc>
          <w:tcPr>
            <w:tcW w:w="900" w:type="dxa"/>
            <w:vAlign w:val="bottom"/>
          </w:tcPr>
          <w:p>
            <w:pPr>
              <w:jc w:val="right"/>
              <w:ind w:right="20"/>
              <w:spacing w:after="0"/>
              <w:rPr>
                <w:sz w:val="20"/>
                <w:szCs w:val="20"/>
                <w:color w:val="auto"/>
              </w:rPr>
            </w:pPr>
            <w:r>
              <w:rPr>
                <w:rFonts w:ascii="Arial" w:cs="Arial" w:eastAsia="Arial" w:hAnsi="Arial"/>
                <w:sz w:val="16"/>
                <w:szCs w:val="16"/>
                <w:color w:val="auto"/>
              </w:rPr>
              <w:t>(7,971)</w:t>
            </w:r>
          </w:p>
        </w:tc>
        <w:tc>
          <w:tcPr>
            <w:tcW w:w="240" w:type="dxa"/>
            <w:vAlign w:val="bottom"/>
          </w:tcPr>
          <w:p>
            <w:pPr>
              <w:spacing w:after="0"/>
              <w:rPr>
                <w:sz w:val="23"/>
                <w:szCs w:val="23"/>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(8,614)</w:t>
            </w:r>
          </w:p>
        </w:tc>
        <w:tc>
          <w:tcPr>
            <w:tcW w:w="260" w:type="dxa"/>
            <w:vAlign w:val="bottom"/>
          </w:tcPr>
          <w:p>
            <w:pPr>
              <w:spacing w:after="0"/>
              <w:rPr>
                <w:sz w:val="23"/>
                <w:szCs w:val="23"/>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(10,857)</w:t>
            </w:r>
          </w:p>
        </w:tc>
        <w:tc>
          <w:tcPr>
            <w:tcW w:w="0" w:type="dxa"/>
            <w:vAlign w:val="bottom"/>
          </w:tcPr>
          <w:p>
            <w:pPr>
              <w:spacing w:after="0"/>
              <w:rPr>
                <w:sz w:val="1"/>
                <w:szCs w:val="1"/>
                <w:color w:val="auto"/>
              </w:rPr>
            </w:pPr>
          </w:p>
        </w:tc>
      </w:tr>
      <w:tr>
        <w:trPr>
          <w:trHeight w:val="283"/>
        </w:trPr>
        <w:tc>
          <w:tcPr>
            <w:tcW w:w="6980" w:type="dxa"/>
            <w:vAlign w:val="bottom"/>
          </w:tcPr>
          <w:p>
            <w:pPr>
              <w:ind w:left="280"/>
              <w:spacing w:after="0"/>
              <w:rPr>
                <w:sz w:val="20"/>
                <w:szCs w:val="20"/>
                <w:color w:val="auto"/>
              </w:rPr>
            </w:pPr>
            <w:r>
              <w:rPr>
                <w:rFonts w:ascii="Arial" w:cs="Arial" w:eastAsia="Arial" w:hAnsi="Arial"/>
                <w:sz w:val="16"/>
                <w:szCs w:val="16"/>
                <w:color w:val="auto"/>
              </w:rPr>
              <w:t>Other income (expense), net</w:t>
            </w:r>
          </w:p>
        </w:tc>
        <w:tc>
          <w:tcPr>
            <w:tcW w:w="18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jc w:val="right"/>
              <w:ind w:right="80"/>
              <w:spacing w:after="0"/>
              <w:rPr>
                <w:sz w:val="20"/>
                <w:szCs w:val="20"/>
                <w:color w:val="auto"/>
              </w:rPr>
            </w:pPr>
            <w:r>
              <w:rPr>
                <w:rFonts w:ascii="Arial" w:cs="Arial" w:eastAsia="Arial" w:hAnsi="Arial"/>
                <w:sz w:val="16"/>
                <w:szCs w:val="16"/>
                <w:color w:val="auto"/>
              </w:rPr>
              <w:t>15,096</w:t>
            </w:r>
          </w:p>
        </w:tc>
        <w:tc>
          <w:tcPr>
            <w:tcW w:w="24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jc w:val="right"/>
              <w:ind w:right="80"/>
              <w:spacing w:after="0"/>
              <w:rPr>
                <w:sz w:val="20"/>
                <w:szCs w:val="20"/>
                <w:color w:val="auto"/>
              </w:rPr>
            </w:pPr>
            <w:r>
              <w:rPr>
                <w:rFonts w:ascii="Arial" w:cs="Arial" w:eastAsia="Arial" w:hAnsi="Arial"/>
                <w:sz w:val="16"/>
                <w:szCs w:val="16"/>
                <w:color w:val="auto"/>
              </w:rPr>
              <w:t>19,000</w:t>
            </w:r>
          </w:p>
        </w:tc>
        <w:tc>
          <w:tcPr>
            <w:tcW w:w="24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(18,225)</w:t>
            </w:r>
          </w:p>
        </w:tc>
        <w:tc>
          <w:tcPr>
            <w:tcW w:w="26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(28,513)</w:t>
            </w:r>
          </w:p>
        </w:tc>
        <w:tc>
          <w:tcPr>
            <w:tcW w:w="0" w:type="dxa"/>
            <w:vAlign w:val="bottom"/>
          </w:tcPr>
          <w:p>
            <w:pPr>
              <w:spacing w:after="0"/>
              <w:rPr>
                <w:sz w:val="1"/>
                <w:szCs w:val="1"/>
                <w:color w:val="auto"/>
              </w:rPr>
            </w:pPr>
          </w:p>
        </w:tc>
      </w:tr>
      <w:tr>
        <w:trPr>
          <w:trHeight w:val="251"/>
        </w:trPr>
        <w:tc>
          <w:tcPr>
            <w:tcW w:w="6980" w:type="dxa"/>
            <w:vAlign w:val="bottom"/>
          </w:tcPr>
          <w:p>
            <w:pPr>
              <w:ind w:left="40"/>
              <w:spacing w:after="0"/>
              <w:rPr>
                <w:sz w:val="20"/>
                <w:szCs w:val="20"/>
                <w:color w:val="auto"/>
              </w:rPr>
            </w:pPr>
            <w:r>
              <w:rPr>
                <w:rFonts w:ascii="Arial" w:cs="Arial" w:eastAsia="Arial" w:hAnsi="Arial"/>
                <w:sz w:val="16"/>
                <w:szCs w:val="16"/>
                <w:b w:val="1"/>
                <w:bCs w:val="1"/>
                <w:color w:val="auto"/>
              </w:rPr>
              <w:t>Income Before Income Taxes</w:t>
            </w:r>
          </w:p>
        </w:tc>
        <w:tc>
          <w:tcPr>
            <w:tcW w:w="180" w:type="dxa"/>
            <w:vAlign w:val="bottom"/>
          </w:tcPr>
          <w:p>
            <w:pPr>
              <w:spacing w:after="0"/>
              <w:rPr>
                <w:sz w:val="21"/>
                <w:szCs w:val="21"/>
                <w:color w:val="auto"/>
              </w:rPr>
            </w:pPr>
          </w:p>
        </w:tc>
        <w:tc>
          <w:tcPr>
            <w:tcW w:w="900" w:type="dxa"/>
            <w:vAlign w:val="bottom"/>
          </w:tcPr>
          <w:p>
            <w:pPr>
              <w:jc w:val="right"/>
              <w:ind w:right="80"/>
              <w:spacing w:after="0"/>
              <w:rPr>
                <w:sz w:val="20"/>
                <w:szCs w:val="20"/>
                <w:color w:val="auto"/>
              </w:rPr>
            </w:pPr>
            <w:r>
              <w:rPr>
                <w:rFonts w:ascii="Arial" w:cs="Arial" w:eastAsia="Arial" w:hAnsi="Arial"/>
                <w:sz w:val="16"/>
                <w:szCs w:val="16"/>
                <w:color w:val="auto"/>
              </w:rPr>
              <w:t>60,615</w:t>
            </w:r>
          </w:p>
        </w:tc>
        <w:tc>
          <w:tcPr>
            <w:tcW w:w="240" w:type="dxa"/>
            <w:vAlign w:val="bottom"/>
          </w:tcPr>
          <w:p>
            <w:pPr>
              <w:spacing w:after="0"/>
              <w:rPr>
                <w:sz w:val="21"/>
                <w:szCs w:val="21"/>
                <w:color w:val="auto"/>
              </w:rPr>
            </w:pPr>
          </w:p>
        </w:tc>
        <w:tc>
          <w:tcPr>
            <w:tcW w:w="900" w:type="dxa"/>
            <w:vAlign w:val="bottom"/>
          </w:tcPr>
          <w:p>
            <w:pPr>
              <w:jc w:val="right"/>
              <w:ind w:right="80"/>
              <w:spacing w:after="0"/>
              <w:rPr>
                <w:sz w:val="20"/>
                <w:szCs w:val="20"/>
                <w:color w:val="auto"/>
              </w:rPr>
            </w:pPr>
            <w:r>
              <w:rPr>
                <w:rFonts w:ascii="Arial" w:cs="Arial" w:eastAsia="Arial" w:hAnsi="Arial"/>
                <w:sz w:val="16"/>
                <w:szCs w:val="16"/>
                <w:color w:val="auto"/>
              </w:rPr>
              <w:t>84,999</w:t>
            </w:r>
          </w:p>
        </w:tc>
        <w:tc>
          <w:tcPr>
            <w:tcW w:w="240" w:type="dxa"/>
            <w:vAlign w:val="bottom"/>
          </w:tcPr>
          <w:p>
            <w:pPr>
              <w:spacing w:after="0"/>
              <w:rPr>
                <w:sz w:val="21"/>
                <w:szCs w:val="21"/>
                <w:color w:val="auto"/>
              </w:rPr>
            </w:pPr>
          </w:p>
        </w:tc>
        <w:tc>
          <w:tcPr>
            <w:tcW w:w="880" w:type="dxa"/>
            <w:vAlign w:val="bottom"/>
          </w:tcPr>
          <w:p>
            <w:pPr>
              <w:jc w:val="right"/>
              <w:ind w:right="60"/>
              <w:spacing w:after="0"/>
              <w:rPr>
                <w:sz w:val="20"/>
                <w:szCs w:val="20"/>
                <w:color w:val="auto"/>
              </w:rPr>
            </w:pPr>
            <w:r>
              <w:rPr>
                <w:rFonts w:ascii="Arial" w:cs="Arial" w:eastAsia="Arial" w:hAnsi="Arial"/>
                <w:sz w:val="16"/>
                <w:szCs w:val="16"/>
                <w:color w:val="auto"/>
              </w:rPr>
              <w:t>40,926</w:t>
            </w:r>
          </w:p>
        </w:tc>
        <w:tc>
          <w:tcPr>
            <w:tcW w:w="260" w:type="dxa"/>
            <w:vAlign w:val="bottom"/>
          </w:tcPr>
          <w:p>
            <w:pPr>
              <w:spacing w:after="0"/>
              <w:rPr>
                <w:sz w:val="21"/>
                <w:szCs w:val="21"/>
                <w:color w:val="auto"/>
              </w:rPr>
            </w:pPr>
          </w:p>
        </w:tc>
        <w:tc>
          <w:tcPr>
            <w:tcW w:w="840" w:type="dxa"/>
            <w:vAlign w:val="bottom"/>
          </w:tcPr>
          <w:p>
            <w:pPr>
              <w:jc w:val="right"/>
              <w:ind w:right="20"/>
              <w:spacing w:after="0"/>
              <w:rPr>
                <w:sz w:val="20"/>
                <w:szCs w:val="20"/>
                <w:color w:val="auto"/>
              </w:rPr>
            </w:pPr>
            <w:r>
              <w:rPr>
                <w:rFonts w:ascii="Arial" w:cs="Arial" w:eastAsia="Arial" w:hAnsi="Arial"/>
                <w:sz w:val="16"/>
                <w:szCs w:val="16"/>
                <w:color w:val="auto"/>
              </w:rPr>
              <w:t>64,118</w:t>
            </w:r>
          </w:p>
        </w:tc>
        <w:tc>
          <w:tcPr>
            <w:tcW w:w="0" w:type="dxa"/>
            <w:vAlign w:val="bottom"/>
          </w:tcPr>
          <w:p>
            <w:pPr>
              <w:spacing w:after="0"/>
              <w:rPr>
                <w:sz w:val="1"/>
                <w:szCs w:val="1"/>
                <w:color w:val="auto"/>
              </w:rPr>
            </w:pPr>
          </w:p>
        </w:tc>
      </w:tr>
      <w:tr>
        <w:trPr>
          <w:trHeight w:val="283"/>
        </w:trPr>
        <w:tc>
          <w:tcPr>
            <w:tcW w:w="6980" w:type="dxa"/>
            <w:vAlign w:val="bottom"/>
          </w:tcPr>
          <w:p>
            <w:pPr>
              <w:ind w:left="40"/>
              <w:spacing w:after="0"/>
              <w:rPr>
                <w:sz w:val="20"/>
                <w:szCs w:val="20"/>
                <w:color w:val="auto"/>
              </w:rPr>
            </w:pPr>
            <w:r>
              <w:rPr>
                <w:rFonts w:ascii="Arial" w:cs="Arial" w:eastAsia="Arial" w:hAnsi="Arial"/>
                <w:sz w:val="16"/>
                <w:szCs w:val="16"/>
                <w:b w:val="1"/>
                <w:bCs w:val="1"/>
                <w:color w:val="auto"/>
              </w:rPr>
              <w:t>Provision for Income Taxes</w:t>
            </w:r>
          </w:p>
        </w:tc>
        <w:tc>
          <w:tcPr>
            <w:tcW w:w="18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jc w:val="right"/>
              <w:ind w:right="80"/>
              <w:spacing w:after="0"/>
              <w:rPr>
                <w:sz w:val="20"/>
                <w:szCs w:val="20"/>
                <w:color w:val="auto"/>
              </w:rPr>
            </w:pPr>
            <w:r>
              <w:rPr>
                <w:rFonts w:ascii="Arial" w:cs="Arial" w:eastAsia="Arial" w:hAnsi="Arial"/>
                <w:sz w:val="16"/>
                <w:szCs w:val="16"/>
                <w:color w:val="auto"/>
              </w:rPr>
              <w:t>22,400</w:t>
            </w:r>
          </w:p>
        </w:tc>
        <w:tc>
          <w:tcPr>
            <w:tcW w:w="24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jc w:val="right"/>
              <w:ind w:right="80"/>
              <w:spacing w:after="0"/>
              <w:rPr>
                <w:sz w:val="20"/>
                <w:szCs w:val="20"/>
                <w:color w:val="auto"/>
              </w:rPr>
            </w:pPr>
            <w:r>
              <w:rPr>
                <w:rFonts w:ascii="Arial" w:cs="Arial" w:eastAsia="Arial" w:hAnsi="Arial"/>
                <w:sz w:val="16"/>
                <w:szCs w:val="16"/>
                <w:color w:val="auto"/>
              </w:rPr>
              <w:t>23,800</w:t>
            </w:r>
          </w:p>
        </w:tc>
        <w:tc>
          <w:tcPr>
            <w:tcW w:w="24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jc w:val="right"/>
              <w:ind w:right="60"/>
              <w:spacing w:after="0"/>
              <w:rPr>
                <w:sz w:val="20"/>
                <w:szCs w:val="20"/>
                <w:color w:val="auto"/>
              </w:rPr>
            </w:pPr>
            <w:r>
              <w:rPr>
                <w:rFonts w:ascii="Arial" w:cs="Arial" w:eastAsia="Arial" w:hAnsi="Arial"/>
                <w:sz w:val="16"/>
                <w:szCs w:val="16"/>
                <w:color w:val="auto"/>
              </w:rPr>
              <w:t>7,800</w:t>
            </w:r>
          </w:p>
        </w:tc>
        <w:tc>
          <w:tcPr>
            <w:tcW w:w="26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27,200</w:t>
            </w:r>
          </w:p>
        </w:tc>
        <w:tc>
          <w:tcPr>
            <w:tcW w:w="0" w:type="dxa"/>
            <w:vAlign w:val="bottom"/>
          </w:tcPr>
          <w:p>
            <w:pPr>
              <w:spacing w:after="0"/>
              <w:rPr>
                <w:sz w:val="1"/>
                <w:szCs w:val="1"/>
                <w:color w:val="auto"/>
              </w:rPr>
            </w:pPr>
          </w:p>
        </w:tc>
      </w:tr>
      <w:tr>
        <w:trPr>
          <w:trHeight w:val="251"/>
        </w:trPr>
        <w:tc>
          <w:tcPr>
            <w:tcW w:w="6980" w:type="dxa"/>
            <w:vAlign w:val="bottom"/>
          </w:tcPr>
          <w:p>
            <w:pPr>
              <w:ind w:left="40"/>
              <w:spacing w:after="0"/>
              <w:rPr>
                <w:sz w:val="20"/>
                <w:szCs w:val="20"/>
                <w:color w:val="auto"/>
              </w:rPr>
            </w:pPr>
            <w:r>
              <w:rPr>
                <w:rFonts w:ascii="Arial" w:cs="Arial" w:eastAsia="Arial" w:hAnsi="Arial"/>
                <w:sz w:val="16"/>
                <w:szCs w:val="16"/>
                <w:b w:val="1"/>
                <w:bCs w:val="1"/>
                <w:color w:val="auto"/>
              </w:rPr>
              <w:t>Net Income</w:t>
            </w:r>
          </w:p>
        </w:tc>
        <w:tc>
          <w:tcPr>
            <w:tcW w:w="180" w:type="dxa"/>
            <w:vAlign w:val="bottom"/>
          </w:tcPr>
          <w:p>
            <w:pPr>
              <w:spacing w:after="0"/>
              <w:rPr>
                <w:sz w:val="21"/>
                <w:szCs w:val="21"/>
                <w:color w:val="auto"/>
              </w:rPr>
            </w:pPr>
          </w:p>
        </w:tc>
        <w:tc>
          <w:tcPr>
            <w:tcW w:w="900" w:type="dxa"/>
            <w:vAlign w:val="bottom"/>
          </w:tcPr>
          <w:p>
            <w:pPr>
              <w:jc w:val="right"/>
              <w:ind w:right="80"/>
              <w:spacing w:after="0"/>
              <w:rPr>
                <w:sz w:val="20"/>
                <w:szCs w:val="20"/>
                <w:color w:val="auto"/>
              </w:rPr>
            </w:pPr>
            <w:r>
              <w:rPr>
                <w:rFonts w:ascii="Arial" w:cs="Arial" w:eastAsia="Arial" w:hAnsi="Arial"/>
                <w:sz w:val="16"/>
                <w:szCs w:val="16"/>
                <w:color w:val="auto"/>
              </w:rPr>
              <w:t>38,215</w:t>
            </w:r>
          </w:p>
        </w:tc>
        <w:tc>
          <w:tcPr>
            <w:tcW w:w="240" w:type="dxa"/>
            <w:vAlign w:val="bottom"/>
          </w:tcPr>
          <w:p>
            <w:pPr>
              <w:spacing w:after="0"/>
              <w:rPr>
                <w:sz w:val="21"/>
                <w:szCs w:val="21"/>
                <w:color w:val="auto"/>
              </w:rPr>
            </w:pPr>
          </w:p>
        </w:tc>
        <w:tc>
          <w:tcPr>
            <w:tcW w:w="900" w:type="dxa"/>
            <w:vAlign w:val="bottom"/>
          </w:tcPr>
          <w:p>
            <w:pPr>
              <w:jc w:val="right"/>
              <w:ind w:right="80"/>
              <w:spacing w:after="0"/>
              <w:rPr>
                <w:sz w:val="20"/>
                <w:szCs w:val="20"/>
                <w:color w:val="auto"/>
              </w:rPr>
            </w:pPr>
            <w:r>
              <w:rPr>
                <w:rFonts w:ascii="Arial" w:cs="Arial" w:eastAsia="Arial" w:hAnsi="Arial"/>
                <w:sz w:val="16"/>
                <w:szCs w:val="16"/>
                <w:color w:val="auto"/>
              </w:rPr>
              <w:t>61,199</w:t>
            </w:r>
          </w:p>
        </w:tc>
        <w:tc>
          <w:tcPr>
            <w:tcW w:w="240" w:type="dxa"/>
            <w:vAlign w:val="bottom"/>
          </w:tcPr>
          <w:p>
            <w:pPr>
              <w:spacing w:after="0"/>
              <w:rPr>
                <w:sz w:val="21"/>
                <w:szCs w:val="21"/>
                <w:color w:val="auto"/>
              </w:rPr>
            </w:pPr>
          </w:p>
        </w:tc>
        <w:tc>
          <w:tcPr>
            <w:tcW w:w="880" w:type="dxa"/>
            <w:vAlign w:val="bottom"/>
          </w:tcPr>
          <w:p>
            <w:pPr>
              <w:jc w:val="right"/>
              <w:ind w:right="60"/>
              <w:spacing w:after="0"/>
              <w:rPr>
                <w:sz w:val="20"/>
                <w:szCs w:val="20"/>
                <w:color w:val="auto"/>
              </w:rPr>
            </w:pPr>
            <w:r>
              <w:rPr>
                <w:rFonts w:ascii="Arial" w:cs="Arial" w:eastAsia="Arial" w:hAnsi="Arial"/>
                <w:sz w:val="16"/>
                <w:szCs w:val="16"/>
                <w:color w:val="auto"/>
              </w:rPr>
              <w:t>33,126</w:t>
            </w:r>
          </w:p>
        </w:tc>
        <w:tc>
          <w:tcPr>
            <w:tcW w:w="260" w:type="dxa"/>
            <w:vAlign w:val="bottom"/>
          </w:tcPr>
          <w:p>
            <w:pPr>
              <w:spacing w:after="0"/>
              <w:rPr>
                <w:sz w:val="21"/>
                <w:szCs w:val="21"/>
                <w:color w:val="auto"/>
              </w:rPr>
            </w:pPr>
          </w:p>
        </w:tc>
        <w:tc>
          <w:tcPr>
            <w:tcW w:w="840" w:type="dxa"/>
            <w:vAlign w:val="bottom"/>
          </w:tcPr>
          <w:p>
            <w:pPr>
              <w:jc w:val="right"/>
              <w:ind w:right="20"/>
              <w:spacing w:after="0"/>
              <w:rPr>
                <w:sz w:val="20"/>
                <w:szCs w:val="20"/>
                <w:color w:val="auto"/>
              </w:rPr>
            </w:pPr>
            <w:r>
              <w:rPr>
                <w:rFonts w:ascii="Arial" w:cs="Arial" w:eastAsia="Arial" w:hAnsi="Arial"/>
                <w:sz w:val="16"/>
                <w:szCs w:val="16"/>
                <w:color w:val="auto"/>
              </w:rPr>
              <w:t>36,918</w:t>
            </w:r>
          </w:p>
        </w:tc>
        <w:tc>
          <w:tcPr>
            <w:tcW w:w="0" w:type="dxa"/>
            <w:vAlign w:val="bottom"/>
          </w:tcPr>
          <w:p>
            <w:pPr>
              <w:spacing w:after="0"/>
              <w:rPr>
                <w:sz w:val="1"/>
                <w:szCs w:val="1"/>
                <w:color w:val="auto"/>
              </w:rPr>
            </w:pPr>
          </w:p>
        </w:tc>
      </w:tr>
      <w:tr>
        <w:trPr>
          <w:trHeight w:val="283"/>
        </w:trPr>
        <w:tc>
          <w:tcPr>
            <w:tcW w:w="6980" w:type="dxa"/>
            <w:vAlign w:val="bottom"/>
          </w:tcPr>
          <w:p>
            <w:pPr>
              <w:ind w:left="40"/>
              <w:spacing w:after="0"/>
              <w:rPr>
                <w:sz w:val="20"/>
                <w:szCs w:val="20"/>
                <w:color w:val="auto"/>
              </w:rPr>
            </w:pPr>
            <w:r>
              <w:rPr>
                <w:rFonts w:ascii="Arial" w:cs="Arial" w:eastAsia="Arial" w:hAnsi="Arial"/>
                <w:sz w:val="16"/>
                <w:szCs w:val="16"/>
                <w:b w:val="1"/>
                <w:bCs w:val="1"/>
                <w:color w:val="auto"/>
              </w:rPr>
              <w:t>Net Income Attributable to Noncontrolling Interests</w:t>
            </w:r>
          </w:p>
        </w:tc>
        <w:tc>
          <w:tcPr>
            <w:tcW w:w="18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(435)</w:t>
            </w:r>
          </w:p>
        </w:tc>
        <w:tc>
          <w:tcPr>
            <w:tcW w:w="24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(433)</w:t>
            </w:r>
          </w:p>
        </w:tc>
        <w:tc>
          <w:tcPr>
            <w:tcW w:w="24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jc w:val="right"/>
              <w:ind w:right="60"/>
              <w:spacing w:after="0"/>
              <w:rPr>
                <w:sz w:val="20"/>
                <w:szCs w:val="20"/>
                <w:color w:val="auto"/>
              </w:rPr>
            </w:pPr>
            <w:r>
              <w:rPr>
                <w:rFonts w:ascii="Arial" w:cs="Arial" w:eastAsia="Arial" w:hAnsi="Arial"/>
                <w:sz w:val="16"/>
                <w:szCs w:val="16"/>
                <w:color w:val="auto"/>
              </w:rPr>
              <w:t>—</w:t>
            </w:r>
          </w:p>
        </w:tc>
        <w:tc>
          <w:tcPr>
            <w:tcW w:w="26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64"/>
        </w:trPr>
        <w:tc>
          <w:tcPr>
            <w:tcW w:w="6980" w:type="dxa"/>
            <w:vAlign w:val="bottom"/>
          </w:tcPr>
          <w:p>
            <w:pPr>
              <w:ind w:left="40"/>
              <w:spacing w:after="0"/>
              <w:rPr>
                <w:sz w:val="20"/>
                <w:szCs w:val="20"/>
                <w:color w:val="auto"/>
              </w:rPr>
            </w:pPr>
            <w:r>
              <w:rPr>
                <w:rFonts w:ascii="Arial" w:cs="Arial" w:eastAsia="Arial" w:hAnsi="Arial"/>
                <w:sz w:val="16"/>
                <w:szCs w:val="16"/>
                <w:b w:val="1"/>
                <w:bCs w:val="1"/>
                <w:color w:val="auto"/>
              </w:rPr>
              <w:t>Net Income Attributable to Graham Holdings Company Common Stockholders</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900" w:type="dxa"/>
            <w:vAlign w:val="bottom"/>
            <w:tcBorders>
              <w:bottom w:val="single" w:sz="8" w:color="auto"/>
            </w:tcBorders>
          </w:tcPr>
          <w:p>
            <w:pPr>
              <w:jc w:val="right"/>
              <w:ind w:right="80"/>
              <w:spacing w:after="0"/>
              <w:rPr>
                <w:sz w:val="20"/>
                <w:szCs w:val="20"/>
                <w:color w:val="auto"/>
              </w:rPr>
            </w:pPr>
            <w:r>
              <w:rPr>
                <w:rFonts w:ascii="Arial" w:cs="Arial" w:eastAsia="Arial" w:hAnsi="Arial"/>
                <w:sz w:val="16"/>
                <w:szCs w:val="16"/>
                <w:color w:val="auto"/>
              </w:rPr>
              <w:t>37,780</w:t>
            </w:r>
          </w:p>
        </w:tc>
        <w:tc>
          <w:tcPr>
            <w:tcW w:w="2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900" w:type="dxa"/>
            <w:vAlign w:val="bottom"/>
            <w:tcBorders>
              <w:bottom w:val="single" w:sz="8" w:color="auto"/>
            </w:tcBorders>
          </w:tcPr>
          <w:p>
            <w:pPr>
              <w:jc w:val="right"/>
              <w:ind w:right="80"/>
              <w:spacing w:after="0"/>
              <w:rPr>
                <w:sz w:val="20"/>
                <w:szCs w:val="20"/>
                <w:color w:val="auto"/>
              </w:rPr>
            </w:pPr>
            <w:r>
              <w:rPr>
                <w:rFonts w:ascii="Arial" w:cs="Arial" w:eastAsia="Arial" w:hAnsi="Arial"/>
                <w:sz w:val="16"/>
                <w:szCs w:val="16"/>
                <w:color w:val="auto"/>
              </w:rPr>
              <w:t>60,766</w:t>
            </w:r>
          </w:p>
        </w:tc>
        <w:tc>
          <w:tcPr>
            <w:tcW w:w="2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880" w:type="dxa"/>
            <w:vAlign w:val="bottom"/>
            <w:tcBorders>
              <w:bottom w:val="single" w:sz="8" w:color="auto"/>
            </w:tcBorders>
          </w:tcPr>
          <w:p>
            <w:pPr>
              <w:jc w:val="right"/>
              <w:ind w:right="60"/>
              <w:spacing w:after="0"/>
              <w:rPr>
                <w:sz w:val="20"/>
                <w:szCs w:val="20"/>
                <w:color w:val="auto"/>
              </w:rPr>
            </w:pPr>
            <w:r>
              <w:rPr>
                <w:rFonts w:ascii="Arial" w:cs="Arial" w:eastAsia="Arial" w:hAnsi="Arial"/>
                <w:sz w:val="16"/>
                <w:szCs w:val="16"/>
                <w:color w:val="auto"/>
              </w:rPr>
              <w:t>33,126</w:t>
            </w:r>
          </w:p>
        </w:tc>
        <w:tc>
          <w:tcPr>
            <w:tcW w:w="2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84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36,918</w:t>
            </w:r>
          </w:p>
        </w:tc>
        <w:tc>
          <w:tcPr>
            <w:tcW w:w="0" w:type="dxa"/>
            <w:vAlign w:val="bottom"/>
          </w:tcPr>
          <w:p>
            <w:pPr>
              <w:spacing w:after="0"/>
              <w:rPr>
                <w:sz w:val="1"/>
                <w:szCs w:val="1"/>
                <w:color w:val="auto"/>
              </w:rPr>
            </w:pPr>
          </w:p>
        </w:tc>
      </w:tr>
      <w:tr>
        <w:trPr>
          <w:trHeight w:val="20"/>
        </w:trPr>
        <w:tc>
          <w:tcPr>
            <w:tcW w:w="6980" w:type="dxa"/>
            <w:vAlign w:val="bottom"/>
            <w:vMerge w:val="restart"/>
          </w:tcPr>
          <w:p>
            <w:pPr>
              <w:ind w:left="40"/>
              <w:spacing w:after="0"/>
              <w:rPr>
                <w:sz w:val="20"/>
                <w:szCs w:val="20"/>
                <w:color w:val="auto"/>
              </w:rPr>
            </w:pPr>
            <w:r>
              <w:rPr>
                <w:rFonts w:ascii="Arial" w:cs="Arial" w:eastAsia="Arial" w:hAnsi="Arial"/>
                <w:sz w:val="16"/>
                <w:szCs w:val="16"/>
                <w:b w:val="1"/>
                <w:bCs w:val="1"/>
                <w:color w:val="auto"/>
              </w:rPr>
              <w:t>Per Share Information Attributable to Graham Holdings Company Common Stockholders</w:t>
            </w:r>
          </w:p>
        </w:tc>
        <w:tc>
          <w:tcPr>
            <w:tcW w:w="1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2"/>
        </w:trPr>
        <w:tc>
          <w:tcPr>
            <w:tcW w:w="6980" w:type="dxa"/>
            <w:vAlign w:val="bottom"/>
            <w:vMerge w:val="continue"/>
          </w:tcPr>
          <w:p>
            <w:pPr>
              <w:spacing w:after="0"/>
              <w:rPr>
                <w:sz w:val="24"/>
                <w:szCs w:val="24"/>
                <w:color w:val="auto"/>
              </w:rPr>
            </w:pPr>
          </w:p>
        </w:tc>
        <w:tc>
          <w:tcPr>
            <w:tcW w:w="1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6980" w:type="dxa"/>
            <w:vAlign w:val="bottom"/>
          </w:tcPr>
          <w:p>
            <w:pPr>
              <w:ind w:left="40"/>
              <w:spacing w:after="0"/>
              <w:rPr>
                <w:sz w:val="20"/>
                <w:szCs w:val="20"/>
                <w:color w:val="auto"/>
              </w:rPr>
            </w:pPr>
            <w:r>
              <w:rPr>
                <w:rFonts w:ascii="Arial" w:cs="Arial" w:eastAsia="Arial" w:hAnsi="Arial"/>
                <w:sz w:val="16"/>
                <w:szCs w:val="16"/>
                <w:color w:val="auto"/>
              </w:rPr>
              <w:t>Basic net income per common share</w:t>
            </w:r>
          </w:p>
        </w:tc>
        <w:tc>
          <w:tcPr>
            <w:tcW w:w="180" w:type="dxa"/>
            <w:vAlign w:val="bottom"/>
          </w:tcPr>
          <w:p>
            <w:pPr>
              <w:jc w:val="right"/>
              <w:spacing w:after="0"/>
              <w:rPr>
                <w:sz w:val="20"/>
                <w:szCs w:val="20"/>
                <w:color w:val="auto"/>
              </w:rPr>
            </w:pPr>
            <w:r>
              <w:rPr>
                <w:rFonts w:ascii="Arial" w:cs="Arial" w:eastAsia="Arial" w:hAnsi="Arial"/>
                <w:sz w:val="16"/>
                <w:szCs w:val="16"/>
                <w:color w:val="auto"/>
              </w:rPr>
              <w:t>$</w:t>
            </w:r>
          </w:p>
        </w:tc>
        <w:tc>
          <w:tcPr>
            <w:tcW w:w="900" w:type="dxa"/>
            <w:vAlign w:val="bottom"/>
          </w:tcPr>
          <w:p>
            <w:pPr>
              <w:jc w:val="right"/>
              <w:ind w:right="80"/>
              <w:spacing w:after="0"/>
              <w:rPr>
                <w:sz w:val="20"/>
                <w:szCs w:val="20"/>
                <w:color w:val="auto"/>
              </w:rPr>
            </w:pPr>
            <w:r>
              <w:rPr>
                <w:rFonts w:ascii="Arial" w:cs="Arial" w:eastAsia="Arial" w:hAnsi="Arial"/>
                <w:sz w:val="16"/>
                <w:szCs w:val="16"/>
                <w:color w:val="auto"/>
              </w:rPr>
              <w:t>6.63</w:t>
            </w:r>
          </w:p>
        </w:tc>
        <w:tc>
          <w:tcPr>
            <w:tcW w:w="240" w:type="dxa"/>
            <w:vAlign w:val="bottom"/>
          </w:tcPr>
          <w:p>
            <w:pPr>
              <w:jc w:val="right"/>
              <w:spacing w:after="0"/>
              <w:rPr>
                <w:sz w:val="20"/>
                <w:szCs w:val="20"/>
                <w:color w:val="auto"/>
              </w:rPr>
            </w:pPr>
            <w:r>
              <w:rPr>
                <w:rFonts w:ascii="Arial" w:cs="Arial" w:eastAsia="Arial" w:hAnsi="Arial"/>
                <w:sz w:val="16"/>
                <w:szCs w:val="16"/>
                <w:color w:val="auto"/>
              </w:rPr>
              <w:t>$</w:t>
            </w:r>
          </w:p>
        </w:tc>
        <w:tc>
          <w:tcPr>
            <w:tcW w:w="900" w:type="dxa"/>
            <w:vAlign w:val="bottom"/>
          </w:tcPr>
          <w:p>
            <w:pPr>
              <w:jc w:val="right"/>
              <w:ind w:right="80"/>
              <w:spacing w:after="0"/>
              <w:rPr>
                <w:sz w:val="20"/>
                <w:szCs w:val="20"/>
                <w:color w:val="auto"/>
              </w:rPr>
            </w:pPr>
            <w:r>
              <w:rPr>
                <w:rFonts w:ascii="Arial" w:cs="Arial" w:eastAsia="Arial" w:hAnsi="Arial"/>
                <w:sz w:val="16"/>
                <w:szCs w:val="16"/>
                <w:color w:val="auto"/>
              </w:rPr>
              <w:t>10.82</w:t>
            </w:r>
          </w:p>
        </w:tc>
        <w:tc>
          <w:tcPr>
            <w:tcW w:w="240" w:type="dxa"/>
            <w:vAlign w:val="bottom"/>
          </w:tcPr>
          <w:p>
            <w:pPr>
              <w:jc w:val="right"/>
              <w:spacing w:after="0"/>
              <w:rPr>
                <w:sz w:val="20"/>
                <w:szCs w:val="20"/>
                <w:color w:val="auto"/>
              </w:rPr>
            </w:pPr>
            <w:r>
              <w:rPr>
                <w:rFonts w:ascii="Arial" w:cs="Arial" w:eastAsia="Arial" w:hAnsi="Arial"/>
                <w:sz w:val="16"/>
                <w:szCs w:val="16"/>
                <w:color w:val="auto"/>
              </w:rPr>
              <w:t>$</w:t>
            </w:r>
          </w:p>
        </w:tc>
        <w:tc>
          <w:tcPr>
            <w:tcW w:w="880" w:type="dxa"/>
            <w:vAlign w:val="bottom"/>
          </w:tcPr>
          <w:p>
            <w:pPr>
              <w:jc w:val="right"/>
              <w:ind w:right="60"/>
              <w:spacing w:after="0"/>
              <w:rPr>
                <w:sz w:val="20"/>
                <w:szCs w:val="20"/>
                <w:color w:val="auto"/>
              </w:rPr>
            </w:pPr>
            <w:r>
              <w:rPr>
                <w:rFonts w:ascii="Arial" w:cs="Arial" w:eastAsia="Arial" w:hAnsi="Arial"/>
                <w:sz w:val="16"/>
                <w:szCs w:val="16"/>
                <w:color w:val="auto"/>
              </w:rPr>
              <w:t>5.90</w:t>
            </w:r>
          </w:p>
        </w:tc>
        <w:tc>
          <w:tcPr>
            <w:tcW w:w="260" w:type="dxa"/>
            <w:vAlign w:val="bottom"/>
          </w:tcPr>
          <w:p>
            <w:pPr>
              <w:jc w:val="right"/>
              <w:spacing w:after="0"/>
              <w:rPr>
                <w:sz w:val="20"/>
                <w:szCs w:val="20"/>
                <w:color w:val="auto"/>
              </w:rPr>
            </w:pPr>
            <w:r>
              <w:rPr>
                <w:rFonts w:ascii="Arial" w:cs="Arial" w:eastAsia="Arial" w:hAnsi="Arial"/>
                <w:sz w:val="16"/>
                <w:szCs w:val="16"/>
                <w:color w:val="auto"/>
              </w:rPr>
              <w:t>$</w:t>
            </w:r>
          </w:p>
        </w:tc>
        <w:tc>
          <w:tcPr>
            <w:tcW w:w="840" w:type="dxa"/>
            <w:vAlign w:val="bottom"/>
          </w:tcPr>
          <w:p>
            <w:pPr>
              <w:jc w:val="right"/>
              <w:ind w:right="20"/>
              <w:spacing w:after="0"/>
              <w:rPr>
                <w:sz w:val="20"/>
                <w:szCs w:val="20"/>
                <w:color w:val="auto"/>
              </w:rPr>
            </w:pPr>
            <w:r>
              <w:rPr>
                <w:rFonts w:ascii="Arial" w:cs="Arial" w:eastAsia="Arial" w:hAnsi="Arial"/>
                <w:sz w:val="16"/>
                <w:szCs w:val="16"/>
                <w:color w:val="auto"/>
              </w:rPr>
              <w:t>6.60</w:t>
            </w:r>
          </w:p>
        </w:tc>
        <w:tc>
          <w:tcPr>
            <w:tcW w:w="0" w:type="dxa"/>
            <w:vAlign w:val="bottom"/>
          </w:tcPr>
          <w:p>
            <w:pPr>
              <w:spacing w:after="0"/>
              <w:rPr>
                <w:sz w:val="1"/>
                <w:szCs w:val="1"/>
                <w:color w:val="auto"/>
              </w:rPr>
            </w:pPr>
          </w:p>
        </w:tc>
      </w:tr>
      <w:tr>
        <w:trPr>
          <w:trHeight w:val="270"/>
        </w:trPr>
        <w:tc>
          <w:tcPr>
            <w:tcW w:w="6980" w:type="dxa"/>
            <w:vAlign w:val="bottom"/>
          </w:tcPr>
          <w:p>
            <w:pPr>
              <w:ind w:left="40"/>
              <w:spacing w:after="0"/>
              <w:rPr>
                <w:sz w:val="20"/>
                <w:szCs w:val="20"/>
                <w:color w:val="auto"/>
              </w:rPr>
            </w:pPr>
            <w:r>
              <w:rPr>
                <w:rFonts w:ascii="Arial" w:cs="Arial" w:eastAsia="Arial" w:hAnsi="Arial"/>
                <w:sz w:val="16"/>
                <w:szCs w:val="16"/>
                <w:color w:val="auto"/>
              </w:rPr>
              <w:t>Basic average number of common shares outstanding</w:t>
            </w:r>
          </w:p>
        </w:tc>
        <w:tc>
          <w:tcPr>
            <w:tcW w:w="180" w:type="dxa"/>
            <w:vAlign w:val="bottom"/>
          </w:tcPr>
          <w:p>
            <w:pPr>
              <w:spacing w:after="0"/>
              <w:rPr>
                <w:sz w:val="23"/>
                <w:szCs w:val="23"/>
                <w:color w:val="auto"/>
              </w:rPr>
            </w:pPr>
          </w:p>
        </w:tc>
        <w:tc>
          <w:tcPr>
            <w:tcW w:w="900" w:type="dxa"/>
            <w:vAlign w:val="bottom"/>
          </w:tcPr>
          <w:p>
            <w:pPr>
              <w:jc w:val="right"/>
              <w:ind w:right="80"/>
              <w:spacing w:after="0"/>
              <w:rPr>
                <w:sz w:val="20"/>
                <w:szCs w:val="20"/>
                <w:color w:val="auto"/>
              </w:rPr>
            </w:pPr>
            <w:r>
              <w:rPr>
                <w:rFonts w:ascii="Arial" w:cs="Arial" w:eastAsia="Arial" w:hAnsi="Arial"/>
                <w:sz w:val="16"/>
                <w:szCs w:val="16"/>
                <w:color w:val="auto"/>
              </w:rPr>
              <w:t>5,623</w:t>
            </w:r>
          </w:p>
        </w:tc>
        <w:tc>
          <w:tcPr>
            <w:tcW w:w="240" w:type="dxa"/>
            <w:vAlign w:val="bottom"/>
          </w:tcPr>
          <w:p>
            <w:pPr>
              <w:spacing w:after="0"/>
              <w:rPr>
                <w:sz w:val="23"/>
                <w:szCs w:val="23"/>
                <w:color w:val="auto"/>
              </w:rPr>
            </w:pPr>
          </w:p>
        </w:tc>
        <w:tc>
          <w:tcPr>
            <w:tcW w:w="900" w:type="dxa"/>
            <w:vAlign w:val="bottom"/>
          </w:tcPr>
          <w:p>
            <w:pPr>
              <w:jc w:val="right"/>
              <w:ind w:right="80"/>
              <w:spacing w:after="0"/>
              <w:rPr>
                <w:sz w:val="20"/>
                <w:szCs w:val="20"/>
                <w:color w:val="auto"/>
              </w:rPr>
            </w:pPr>
            <w:r>
              <w:rPr>
                <w:rFonts w:ascii="Arial" w:cs="Arial" w:eastAsia="Arial" w:hAnsi="Arial"/>
                <w:sz w:val="16"/>
                <w:szCs w:val="16"/>
                <w:color w:val="auto"/>
              </w:rPr>
              <w:t>5,544</w:t>
            </w:r>
          </w:p>
        </w:tc>
        <w:tc>
          <w:tcPr>
            <w:tcW w:w="240" w:type="dxa"/>
            <w:vAlign w:val="bottom"/>
          </w:tcPr>
          <w:p>
            <w:pPr>
              <w:spacing w:after="0"/>
              <w:rPr>
                <w:sz w:val="23"/>
                <w:szCs w:val="23"/>
                <w:color w:val="auto"/>
              </w:rPr>
            </w:pPr>
          </w:p>
        </w:tc>
        <w:tc>
          <w:tcPr>
            <w:tcW w:w="880" w:type="dxa"/>
            <w:vAlign w:val="bottom"/>
          </w:tcPr>
          <w:p>
            <w:pPr>
              <w:jc w:val="right"/>
              <w:ind w:right="60"/>
              <w:spacing w:after="0"/>
              <w:rPr>
                <w:sz w:val="20"/>
                <w:szCs w:val="20"/>
                <w:color w:val="auto"/>
              </w:rPr>
            </w:pPr>
            <w:r>
              <w:rPr>
                <w:rFonts w:ascii="Arial" w:cs="Arial" w:eastAsia="Arial" w:hAnsi="Arial"/>
                <w:sz w:val="16"/>
                <w:szCs w:val="16"/>
                <w:color w:val="auto"/>
              </w:rPr>
              <w:t>5,544</w:t>
            </w:r>
          </w:p>
        </w:tc>
        <w:tc>
          <w:tcPr>
            <w:tcW w:w="260" w:type="dxa"/>
            <w:vAlign w:val="bottom"/>
          </w:tcPr>
          <w:p>
            <w:pPr>
              <w:spacing w:after="0"/>
              <w:rPr>
                <w:sz w:val="23"/>
                <w:szCs w:val="23"/>
                <w:color w:val="auto"/>
              </w:rPr>
            </w:pPr>
          </w:p>
        </w:tc>
        <w:tc>
          <w:tcPr>
            <w:tcW w:w="840" w:type="dxa"/>
            <w:vAlign w:val="bottom"/>
          </w:tcPr>
          <w:p>
            <w:pPr>
              <w:jc w:val="right"/>
              <w:ind w:right="20"/>
              <w:spacing w:after="0"/>
              <w:rPr>
                <w:sz w:val="20"/>
                <w:szCs w:val="20"/>
                <w:color w:val="auto"/>
              </w:rPr>
            </w:pPr>
            <w:r>
              <w:rPr>
                <w:rFonts w:ascii="Arial" w:cs="Arial" w:eastAsia="Arial" w:hAnsi="Arial"/>
                <w:sz w:val="16"/>
                <w:szCs w:val="16"/>
                <w:color w:val="auto"/>
              </w:rPr>
              <w:t>5,527</w:t>
            </w:r>
          </w:p>
        </w:tc>
        <w:tc>
          <w:tcPr>
            <w:tcW w:w="0" w:type="dxa"/>
            <w:vAlign w:val="bottom"/>
          </w:tcPr>
          <w:p>
            <w:pPr>
              <w:spacing w:after="0"/>
              <w:rPr>
                <w:sz w:val="1"/>
                <w:szCs w:val="1"/>
                <w:color w:val="auto"/>
              </w:rPr>
            </w:pPr>
          </w:p>
        </w:tc>
      </w:tr>
      <w:tr>
        <w:trPr>
          <w:trHeight w:val="270"/>
        </w:trPr>
        <w:tc>
          <w:tcPr>
            <w:tcW w:w="6980" w:type="dxa"/>
            <w:vAlign w:val="bottom"/>
          </w:tcPr>
          <w:p>
            <w:pPr>
              <w:ind w:left="40"/>
              <w:spacing w:after="0"/>
              <w:rPr>
                <w:sz w:val="20"/>
                <w:szCs w:val="20"/>
                <w:color w:val="auto"/>
              </w:rPr>
            </w:pPr>
            <w:r>
              <w:rPr>
                <w:rFonts w:ascii="Arial" w:cs="Arial" w:eastAsia="Arial" w:hAnsi="Arial"/>
                <w:sz w:val="16"/>
                <w:szCs w:val="16"/>
                <w:color w:val="auto"/>
              </w:rPr>
              <w:t>Diluted net income per common share</w:t>
            </w:r>
          </w:p>
        </w:tc>
        <w:tc>
          <w:tcPr>
            <w:tcW w:w="180" w:type="dxa"/>
            <w:vAlign w:val="bottom"/>
          </w:tcPr>
          <w:p>
            <w:pPr>
              <w:jc w:val="right"/>
              <w:spacing w:after="0"/>
              <w:rPr>
                <w:sz w:val="20"/>
                <w:szCs w:val="20"/>
                <w:color w:val="auto"/>
              </w:rPr>
            </w:pPr>
            <w:r>
              <w:rPr>
                <w:rFonts w:ascii="Arial" w:cs="Arial" w:eastAsia="Arial" w:hAnsi="Arial"/>
                <w:sz w:val="16"/>
                <w:szCs w:val="16"/>
                <w:color w:val="auto"/>
              </w:rPr>
              <w:t>$</w:t>
            </w:r>
          </w:p>
        </w:tc>
        <w:tc>
          <w:tcPr>
            <w:tcW w:w="900" w:type="dxa"/>
            <w:vAlign w:val="bottom"/>
          </w:tcPr>
          <w:p>
            <w:pPr>
              <w:jc w:val="right"/>
              <w:ind w:right="80"/>
              <w:spacing w:after="0"/>
              <w:rPr>
                <w:sz w:val="20"/>
                <w:szCs w:val="20"/>
                <w:color w:val="auto"/>
              </w:rPr>
            </w:pPr>
            <w:r>
              <w:rPr>
                <w:rFonts w:ascii="Arial" w:cs="Arial" w:eastAsia="Arial" w:hAnsi="Arial"/>
                <w:sz w:val="16"/>
                <w:szCs w:val="16"/>
                <w:color w:val="auto"/>
              </w:rPr>
              <w:t>6.59</w:t>
            </w:r>
          </w:p>
        </w:tc>
        <w:tc>
          <w:tcPr>
            <w:tcW w:w="240" w:type="dxa"/>
            <w:vAlign w:val="bottom"/>
          </w:tcPr>
          <w:p>
            <w:pPr>
              <w:jc w:val="right"/>
              <w:spacing w:after="0"/>
              <w:rPr>
                <w:sz w:val="20"/>
                <w:szCs w:val="20"/>
                <w:color w:val="auto"/>
              </w:rPr>
            </w:pPr>
            <w:r>
              <w:rPr>
                <w:rFonts w:ascii="Arial" w:cs="Arial" w:eastAsia="Arial" w:hAnsi="Arial"/>
                <w:sz w:val="16"/>
                <w:szCs w:val="16"/>
                <w:color w:val="auto"/>
              </w:rPr>
              <w:t>$</w:t>
            </w:r>
          </w:p>
        </w:tc>
        <w:tc>
          <w:tcPr>
            <w:tcW w:w="900" w:type="dxa"/>
            <w:vAlign w:val="bottom"/>
          </w:tcPr>
          <w:p>
            <w:pPr>
              <w:jc w:val="right"/>
              <w:ind w:right="80"/>
              <w:spacing w:after="0"/>
              <w:rPr>
                <w:sz w:val="20"/>
                <w:szCs w:val="20"/>
                <w:color w:val="auto"/>
              </w:rPr>
            </w:pPr>
            <w:r>
              <w:rPr>
                <w:rFonts w:ascii="Arial" w:cs="Arial" w:eastAsia="Arial" w:hAnsi="Arial"/>
                <w:sz w:val="16"/>
                <w:szCs w:val="16"/>
                <w:color w:val="auto"/>
              </w:rPr>
              <w:t>10.76</w:t>
            </w:r>
          </w:p>
        </w:tc>
        <w:tc>
          <w:tcPr>
            <w:tcW w:w="240" w:type="dxa"/>
            <w:vAlign w:val="bottom"/>
          </w:tcPr>
          <w:p>
            <w:pPr>
              <w:jc w:val="right"/>
              <w:spacing w:after="0"/>
              <w:rPr>
                <w:sz w:val="20"/>
                <w:szCs w:val="20"/>
                <w:color w:val="auto"/>
              </w:rPr>
            </w:pPr>
            <w:r>
              <w:rPr>
                <w:rFonts w:ascii="Arial" w:cs="Arial" w:eastAsia="Arial" w:hAnsi="Arial"/>
                <w:sz w:val="16"/>
                <w:szCs w:val="16"/>
                <w:color w:val="auto"/>
              </w:rPr>
              <w:t>$</w:t>
            </w:r>
          </w:p>
        </w:tc>
        <w:tc>
          <w:tcPr>
            <w:tcW w:w="880" w:type="dxa"/>
            <w:vAlign w:val="bottom"/>
          </w:tcPr>
          <w:p>
            <w:pPr>
              <w:jc w:val="right"/>
              <w:ind w:right="60"/>
              <w:spacing w:after="0"/>
              <w:rPr>
                <w:sz w:val="20"/>
                <w:szCs w:val="20"/>
                <w:color w:val="auto"/>
              </w:rPr>
            </w:pPr>
            <w:r>
              <w:rPr>
                <w:rFonts w:ascii="Arial" w:cs="Arial" w:eastAsia="Arial" w:hAnsi="Arial"/>
                <w:sz w:val="16"/>
                <w:szCs w:val="16"/>
                <w:color w:val="auto"/>
              </w:rPr>
              <w:t>5.87</w:t>
            </w:r>
          </w:p>
        </w:tc>
        <w:tc>
          <w:tcPr>
            <w:tcW w:w="260" w:type="dxa"/>
            <w:vAlign w:val="bottom"/>
          </w:tcPr>
          <w:p>
            <w:pPr>
              <w:jc w:val="right"/>
              <w:spacing w:after="0"/>
              <w:rPr>
                <w:sz w:val="20"/>
                <w:szCs w:val="20"/>
                <w:color w:val="auto"/>
              </w:rPr>
            </w:pPr>
            <w:r>
              <w:rPr>
                <w:rFonts w:ascii="Arial" w:cs="Arial" w:eastAsia="Arial" w:hAnsi="Arial"/>
                <w:sz w:val="16"/>
                <w:szCs w:val="16"/>
                <w:color w:val="auto"/>
              </w:rPr>
              <w:t>$</w:t>
            </w:r>
          </w:p>
        </w:tc>
        <w:tc>
          <w:tcPr>
            <w:tcW w:w="840" w:type="dxa"/>
            <w:vAlign w:val="bottom"/>
          </w:tcPr>
          <w:p>
            <w:pPr>
              <w:jc w:val="right"/>
              <w:ind w:right="20"/>
              <w:spacing w:after="0"/>
              <w:rPr>
                <w:sz w:val="20"/>
                <w:szCs w:val="20"/>
                <w:color w:val="auto"/>
              </w:rPr>
            </w:pPr>
            <w:r>
              <w:rPr>
                <w:rFonts w:ascii="Arial" w:cs="Arial" w:eastAsia="Arial" w:hAnsi="Arial"/>
                <w:sz w:val="16"/>
                <w:szCs w:val="16"/>
                <w:color w:val="auto"/>
              </w:rPr>
              <w:t>6.57</w:t>
            </w:r>
          </w:p>
        </w:tc>
        <w:tc>
          <w:tcPr>
            <w:tcW w:w="0" w:type="dxa"/>
            <w:vAlign w:val="bottom"/>
          </w:tcPr>
          <w:p>
            <w:pPr>
              <w:spacing w:after="0"/>
              <w:rPr>
                <w:sz w:val="1"/>
                <w:szCs w:val="1"/>
                <w:color w:val="auto"/>
              </w:rPr>
            </w:pPr>
          </w:p>
        </w:tc>
      </w:tr>
      <w:tr>
        <w:trPr>
          <w:trHeight w:val="270"/>
        </w:trPr>
        <w:tc>
          <w:tcPr>
            <w:tcW w:w="6980" w:type="dxa"/>
            <w:vAlign w:val="bottom"/>
          </w:tcPr>
          <w:p>
            <w:pPr>
              <w:ind w:left="40"/>
              <w:spacing w:after="0"/>
              <w:rPr>
                <w:sz w:val="20"/>
                <w:szCs w:val="20"/>
                <w:color w:val="auto"/>
              </w:rPr>
            </w:pPr>
            <w:r>
              <w:rPr>
                <w:rFonts w:ascii="Arial" w:cs="Arial" w:eastAsia="Arial" w:hAnsi="Arial"/>
                <w:sz w:val="16"/>
                <w:szCs w:val="16"/>
                <w:color w:val="auto"/>
              </w:rPr>
              <w:t>Diluted average number of common shares outstanding</w:t>
            </w:r>
          </w:p>
        </w:tc>
        <w:tc>
          <w:tcPr>
            <w:tcW w:w="180" w:type="dxa"/>
            <w:vAlign w:val="bottom"/>
          </w:tcPr>
          <w:p>
            <w:pPr>
              <w:spacing w:after="0"/>
              <w:rPr>
                <w:sz w:val="23"/>
                <w:szCs w:val="23"/>
                <w:color w:val="auto"/>
              </w:rPr>
            </w:pPr>
          </w:p>
        </w:tc>
        <w:tc>
          <w:tcPr>
            <w:tcW w:w="900" w:type="dxa"/>
            <w:vAlign w:val="bottom"/>
          </w:tcPr>
          <w:p>
            <w:pPr>
              <w:jc w:val="right"/>
              <w:ind w:right="80"/>
              <w:spacing w:after="0"/>
              <w:rPr>
                <w:sz w:val="20"/>
                <w:szCs w:val="20"/>
                <w:color w:val="auto"/>
              </w:rPr>
            </w:pPr>
            <w:r>
              <w:rPr>
                <w:rFonts w:ascii="Arial" w:cs="Arial" w:eastAsia="Arial" w:hAnsi="Arial"/>
                <w:sz w:val="16"/>
                <w:szCs w:val="16"/>
                <w:color w:val="auto"/>
              </w:rPr>
              <w:t>5,652</w:t>
            </w:r>
          </w:p>
        </w:tc>
        <w:tc>
          <w:tcPr>
            <w:tcW w:w="240" w:type="dxa"/>
            <w:vAlign w:val="bottom"/>
          </w:tcPr>
          <w:p>
            <w:pPr>
              <w:spacing w:after="0"/>
              <w:rPr>
                <w:sz w:val="23"/>
                <w:szCs w:val="23"/>
                <w:color w:val="auto"/>
              </w:rPr>
            </w:pPr>
          </w:p>
        </w:tc>
        <w:tc>
          <w:tcPr>
            <w:tcW w:w="900" w:type="dxa"/>
            <w:vAlign w:val="bottom"/>
          </w:tcPr>
          <w:p>
            <w:pPr>
              <w:jc w:val="right"/>
              <w:ind w:right="80"/>
              <w:spacing w:after="0"/>
              <w:rPr>
                <w:sz w:val="20"/>
                <w:szCs w:val="20"/>
                <w:color w:val="auto"/>
              </w:rPr>
            </w:pPr>
            <w:r>
              <w:rPr>
                <w:rFonts w:ascii="Arial" w:cs="Arial" w:eastAsia="Arial" w:hAnsi="Arial"/>
                <w:sz w:val="16"/>
                <w:szCs w:val="16"/>
                <w:color w:val="auto"/>
              </w:rPr>
              <w:t>5,574</w:t>
            </w:r>
          </w:p>
        </w:tc>
        <w:tc>
          <w:tcPr>
            <w:tcW w:w="240" w:type="dxa"/>
            <w:vAlign w:val="bottom"/>
          </w:tcPr>
          <w:p>
            <w:pPr>
              <w:spacing w:after="0"/>
              <w:rPr>
                <w:sz w:val="23"/>
                <w:szCs w:val="23"/>
                <w:color w:val="auto"/>
              </w:rPr>
            </w:pPr>
          </w:p>
        </w:tc>
        <w:tc>
          <w:tcPr>
            <w:tcW w:w="880" w:type="dxa"/>
            <w:vAlign w:val="bottom"/>
          </w:tcPr>
          <w:p>
            <w:pPr>
              <w:jc w:val="right"/>
              <w:ind w:right="60"/>
              <w:spacing w:after="0"/>
              <w:rPr>
                <w:sz w:val="20"/>
                <w:szCs w:val="20"/>
                <w:color w:val="auto"/>
              </w:rPr>
            </w:pPr>
            <w:r>
              <w:rPr>
                <w:rFonts w:ascii="Arial" w:cs="Arial" w:eastAsia="Arial" w:hAnsi="Arial"/>
                <w:sz w:val="16"/>
                <w:szCs w:val="16"/>
                <w:color w:val="auto"/>
              </w:rPr>
              <w:t>5,574</w:t>
            </w:r>
          </w:p>
        </w:tc>
        <w:tc>
          <w:tcPr>
            <w:tcW w:w="260" w:type="dxa"/>
            <w:vAlign w:val="bottom"/>
          </w:tcPr>
          <w:p>
            <w:pPr>
              <w:spacing w:after="0"/>
              <w:rPr>
                <w:sz w:val="23"/>
                <w:szCs w:val="23"/>
                <w:color w:val="auto"/>
              </w:rPr>
            </w:pPr>
          </w:p>
        </w:tc>
        <w:tc>
          <w:tcPr>
            <w:tcW w:w="840" w:type="dxa"/>
            <w:vAlign w:val="bottom"/>
          </w:tcPr>
          <w:p>
            <w:pPr>
              <w:jc w:val="right"/>
              <w:ind w:right="20"/>
              <w:spacing w:after="0"/>
              <w:rPr>
                <w:sz w:val="20"/>
                <w:szCs w:val="20"/>
                <w:color w:val="auto"/>
              </w:rPr>
            </w:pPr>
            <w:r>
              <w:rPr>
                <w:rFonts w:ascii="Arial" w:cs="Arial" w:eastAsia="Arial" w:hAnsi="Arial"/>
                <w:sz w:val="16"/>
                <w:szCs w:val="16"/>
                <w:color w:val="auto"/>
              </w:rPr>
              <w:t>5,556</w:t>
            </w:r>
          </w:p>
        </w:tc>
        <w:tc>
          <w:tcPr>
            <w:tcW w:w="0" w:type="dxa"/>
            <w:vAlign w:val="bottom"/>
          </w:tcPr>
          <w:p>
            <w:pPr>
              <w:spacing w:after="0"/>
              <w:rPr>
                <w:sz w:val="1"/>
                <w:szCs w:val="1"/>
                <w:color w:val="auto"/>
              </w:rPr>
            </w:pPr>
          </w:p>
        </w:tc>
      </w:tr>
      <w:tr>
        <w:trPr>
          <w:trHeight w:val="270"/>
        </w:trPr>
        <w:tc>
          <w:tcPr>
            <w:tcW w:w="6980" w:type="dxa"/>
            <w:vAlign w:val="bottom"/>
          </w:tcPr>
          <w:p>
            <w:pPr>
              <w:ind w:left="40"/>
              <w:spacing w:after="0"/>
              <w:rPr>
                <w:sz w:val="20"/>
                <w:szCs w:val="20"/>
                <w:color w:val="auto"/>
              </w:rPr>
            </w:pPr>
            <w:r>
              <w:rPr>
                <w:rFonts w:ascii="Arial" w:cs="Arial" w:eastAsia="Arial" w:hAnsi="Arial"/>
                <w:sz w:val="16"/>
                <w:szCs w:val="16"/>
                <w:color w:val="auto"/>
              </w:rPr>
              <w:t>Quarterly comprehensive income</w:t>
            </w:r>
          </w:p>
        </w:tc>
        <w:tc>
          <w:tcPr>
            <w:tcW w:w="180" w:type="dxa"/>
            <w:vAlign w:val="bottom"/>
          </w:tcPr>
          <w:p>
            <w:pPr>
              <w:jc w:val="right"/>
              <w:spacing w:after="0"/>
              <w:rPr>
                <w:sz w:val="20"/>
                <w:szCs w:val="20"/>
                <w:color w:val="auto"/>
              </w:rPr>
            </w:pPr>
            <w:r>
              <w:rPr>
                <w:rFonts w:ascii="Arial" w:cs="Arial" w:eastAsia="Arial" w:hAnsi="Arial"/>
                <w:sz w:val="16"/>
                <w:szCs w:val="16"/>
                <w:color w:val="auto"/>
              </w:rPr>
              <w:t>$</w:t>
            </w:r>
          </w:p>
        </w:tc>
        <w:tc>
          <w:tcPr>
            <w:tcW w:w="900" w:type="dxa"/>
            <w:vAlign w:val="bottom"/>
          </w:tcPr>
          <w:p>
            <w:pPr>
              <w:jc w:val="right"/>
              <w:ind w:right="80"/>
              <w:spacing w:after="0"/>
              <w:rPr>
                <w:sz w:val="20"/>
                <w:szCs w:val="20"/>
                <w:color w:val="auto"/>
              </w:rPr>
            </w:pPr>
            <w:r>
              <w:rPr>
                <w:rFonts w:ascii="Arial" w:cs="Arial" w:eastAsia="Arial" w:hAnsi="Arial"/>
                <w:sz w:val="16"/>
                <w:szCs w:val="16"/>
                <w:color w:val="auto"/>
              </w:rPr>
              <w:t>41,015</w:t>
            </w:r>
          </w:p>
        </w:tc>
        <w:tc>
          <w:tcPr>
            <w:tcW w:w="240" w:type="dxa"/>
            <w:vAlign w:val="bottom"/>
          </w:tcPr>
          <w:p>
            <w:pPr>
              <w:jc w:val="right"/>
              <w:spacing w:after="0"/>
              <w:rPr>
                <w:sz w:val="20"/>
                <w:szCs w:val="20"/>
                <w:color w:val="auto"/>
              </w:rPr>
            </w:pPr>
            <w:r>
              <w:rPr>
                <w:rFonts w:ascii="Arial" w:cs="Arial" w:eastAsia="Arial" w:hAnsi="Arial"/>
                <w:sz w:val="16"/>
                <w:szCs w:val="16"/>
                <w:color w:val="auto"/>
              </w:rPr>
              <w:t>$</w:t>
            </w:r>
          </w:p>
        </w:tc>
        <w:tc>
          <w:tcPr>
            <w:tcW w:w="900" w:type="dxa"/>
            <w:vAlign w:val="bottom"/>
          </w:tcPr>
          <w:p>
            <w:pPr>
              <w:jc w:val="right"/>
              <w:ind w:right="80"/>
              <w:spacing w:after="0"/>
              <w:rPr>
                <w:sz w:val="20"/>
                <w:szCs w:val="20"/>
                <w:color w:val="auto"/>
              </w:rPr>
            </w:pPr>
            <w:r>
              <w:rPr>
                <w:rFonts w:ascii="Arial" w:cs="Arial" w:eastAsia="Arial" w:hAnsi="Arial"/>
                <w:sz w:val="16"/>
                <w:szCs w:val="16"/>
                <w:color w:val="auto"/>
              </w:rPr>
              <w:t>49,996</w:t>
            </w:r>
          </w:p>
        </w:tc>
        <w:tc>
          <w:tcPr>
            <w:tcW w:w="240" w:type="dxa"/>
            <w:vAlign w:val="bottom"/>
          </w:tcPr>
          <w:p>
            <w:pPr>
              <w:jc w:val="right"/>
              <w:spacing w:after="0"/>
              <w:rPr>
                <w:sz w:val="20"/>
                <w:szCs w:val="20"/>
                <w:color w:val="auto"/>
              </w:rPr>
            </w:pPr>
            <w:r>
              <w:rPr>
                <w:rFonts w:ascii="Arial" w:cs="Arial" w:eastAsia="Arial" w:hAnsi="Arial"/>
                <w:sz w:val="16"/>
                <w:szCs w:val="16"/>
                <w:color w:val="auto"/>
              </w:rPr>
              <w:t>$</w:t>
            </w:r>
          </w:p>
        </w:tc>
        <w:tc>
          <w:tcPr>
            <w:tcW w:w="880" w:type="dxa"/>
            <w:vAlign w:val="bottom"/>
          </w:tcPr>
          <w:p>
            <w:pPr>
              <w:jc w:val="right"/>
              <w:ind w:right="60"/>
              <w:spacing w:after="0"/>
              <w:rPr>
                <w:sz w:val="20"/>
                <w:szCs w:val="20"/>
                <w:color w:val="auto"/>
              </w:rPr>
            </w:pPr>
            <w:r>
              <w:rPr>
                <w:rFonts w:ascii="Arial" w:cs="Arial" w:eastAsia="Arial" w:hAnsi="Arial"/>
                <w:sz w:val="16"/>
                <w:szCs w:val="16"/>
                <w:color w:val="auto"/>
              </w:rPr>
              <w:t>40,331</w:t>
            </w:r>
          </w:p>
        </w:tc>
        <w:tc>
          <w:tcPr>
            <w:tcW w:w="260" w:type="dxa"/>
            <w:vAlign w:val="bottom"/>
          </w:tcPr>
          <w:p>
            <w:pPr>
              <w:jc w:val="right"/>
              <w:spacing w:after="0"/>
              <w:rPr>
                <w:sz w:val="20"/>
                <w:szCs w:val="20"/>
                <w:color w:val="auto"/>
              </w:rPr>
            </w:pPr>
            <w:r>
              <w:rPr>
                <w:rFonts w:ascii="Arial" w:cs="Arial" w:eastAsia="Arial" w:hAnsi="Arial"/>
                <w:sz w:val="16"/>
                <w:szCs w:val="16"/>
                <w:color w:val="auto"/>
              </w:rPr>
              <w:t>$</w:t>
            </w:r>
          </w:p>
        </w:tc>
        <w:tc>
          <w:tcPr>
            <w:tcW w:w="840" w:type="dxa"/>
            <w:vAlign w:val="bottom"/>
          </w:tcPr>
          <w:p>
            <w:pPr>
              <w:jc w:val="right"/>
              <w:spacing w:after="0"/>
              <w:rPr>
                <w:sz w:val="20"/>
                <w:szCs w:val="20"/>
                <w:color w:val="auto"/>
              </w:rPr>
            </w:pPr>
            <w:r>
              <w:rPr>
                <w:rFonts w:ascii="Arial" w:cs="Arial" w:eastAsia="Arial" w:hAnsi="Arial"/>
                <w:sz w:val="16"/>
                <w:szCs w:val="16"/>
                <w:color w:val="auto"/>
              </w:rPr>
              <w:t>(40,946)</w:t>
            </w:r>
          </w:p>
        </w:tc>
        <w:tc>
          <w:tcPr>
            <w:tcW w:w="0" w:type="dxa"/>
            <w:vAlign w:val="bottom"/>
          </w:tcPr>
          <w:p>
            <w:pPr>
              <w:spacing w:after="0"/>
              <w:rPr>
                <w:sz w:val="1"/>
                <w:szCs w:val="1"/>
                <w:color w:val="auto"/>
              </w:rPr>
            </w:pPr>
          </w:p>
        </w:tc>
      </w:tr>
    </w:tbl>
    <w:p>
      <w:pPr>
        <w:spacing w:after="0" w:line="173" w:lineRule="exact"/>
        <w:rPr>
          <w:sz w:val="20"/>
          <w:szCs w:val="20"/>
          <w:color w:val="auto"/>
        </w:rPr>
      </w:pPr>
    </w:p>
    <w:p>
      <w:pPr>
        <w:ind w:right="180"/>
        <w:spacing w:after="0" w:line="239" w:lineRule="auto"/>
        <w:rPr>
          <w:sz w:val="20"/>
          <w:szCs w:val="20"/>
          <w:color w:val="auto"/>
        </w:rPr>
      </w:pPr>
      <w:r>
        <w:rPr>
          <w:rFonts w:ascii="Arial" w:cs="Arial" w:eastAsia="Arial" w:hAnsi="Arial"/>
          <w:sz w:val="14"/>
          <w:szCs w:val="14"/>
          <w:color w:val="auto"/>
        </w:rPr>
        <w:t>The sum of the four quarters may not necessarily be equal to the annual amounts reported in the Consolidated Statements of Operations due to rounding. Certain amounts were reclassified from other revenue to advertising revenue (see Note 2).</w:t>
      </w:r>
    </w:p>
    <w:p>
      <w:pPr>
        <w:spacing w:after="0" w:line="200" w:lineRule="exact"/>
        <w:rPr>
          <w:sz w:val="20"/>
          <w:szCs w:val="20"/>
          <w:color w:val="auto"/>
        </w:rPr>
      </w:pPr>
    </w:p>
    <w:p>
      <w:pPr>
        <w:spacing w:after="0" w:line="3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122</w:t>
      </w:r>
    </w:p>
    <w:p>
      <w:pPr>
        <w:sectPr>
          <w:pgSz w:w="11900" w:h="16838" w:orient="portrait"/>
          <w:cols w:equalWidth="0" w:num="1">
            <w:col w:w="11420"/>
          </w:cols>
          <w:pgMar w:left="240" w:top="760" w:right="239" w:bottom="1440" w:gutter="0" w:footer="0" w:header="0"/>
        </w:sectPr>
      </w:pPr>
    </w:p>
    <w:bookmarkStart w:id="127" w:name="page128"/>
    <w:bookmarkEnd w:id="127"/>
    <w:p>
      <w:pPr>
        <w:spacing w:after="0"/>
        <w:rPr>
          <w:sz w:val="20"/>
          <w:szCs w:val="20"/>
          <w:color w:val="auto"/>
        </w:rPr>
      </w:pPr>
      <w:r>
        <w:rPr>
          <w:rFonts w:ascii="Arial" w:cs="Arial" w:eastAsia="Arial" w:hAnsi="Arial"/>
          <w:sz w:val="18"/>
          <w:szCs w:val="18"/>
          <w:color w:val="auto"/>
        </w:rPr>
        <w:t>Quarterly impact from certain items in 2017 and 2016 (after-tax and diluted EPS amounts):</w:t>
      </w:r>
    </w:p>
    <w:p>
      <w:pPr>
        <w:spacing w:after="0" w:line="159" w:lineRule="exact"/>
        <w:rPr>
          <w:sz w:val="20"/>
          <w:szCs w:val="20"/>
          <w:color w:val="auto"/>
        </w:rPr>
      </w:pPr>
    </w:p>
    <w:tbl>
      <w:tblPr>
        <w:tblLayout w:type="fixed"/>
        <w:tblInd w:w="40" w:type="dxa"/>
        <w:tblCellMar>
          <w:top w:w="0" w:type="dxa"/>
          <w:left w:w="0" w:type="dxa"/>
          <w:bottom w:w="0" w:type="dxa"/>
          <w:right w:w="0" w:type="dxa"/>
        </w:tblCellMar>
      </w:tblPr>
      <w:tr>
        <w:trPr>
          <w:trHeight w:val="162"/>
        </w:trPr>
        <w:tc>
          <w:tcPr>
            <w:tcW w:w="74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80" w:type="dxa"/>
            <w:vAlign w:val="bottom"/>
          </w:tcPr>
          <w:p>
            <w:pPr>
              <w:jc w:val="right"/>
              <w:ind w:right="261"/>
              <w:spacing w:after="0"/>
              <w:rPr>
                <w:sz w:val="20"/>
                <w:szCs w:val="20"/>
                <w:color w:val="auto"/>
              </w:rPr>
            </w:pPr>
            <w:r>
              <w:rPr>
                <w:rFonts w:ascii="Arial" w:cs="Arial" w:eastAsia="Arial" w:hAnsi="Arial"/>
                <w:sz w:val="14"/>
                <w:szCs w:val="14"/>
                <w:b w:val="1"/>
                <w:bCs w:val="1"/>
                <w:color w:val="auto"/>
              </w:rPr>
              <w:t>First</w:t>
            </w:r>
          </w:p>
        </w:tc>
        <w:tc>
          <w:tcPr>
            <w:tcW w:w="240" w:type="dxa"/>
            <w:vAlign w:val="bottom"/>
          </w:tcPr>
          <w:p>
            <w:pPr>
              <w:spacing w:after="0"/>
              <w:rPr>
                <w:sz w:val="14"/>
                <w:szCs w:val="14"/>
                <w:color w:val="auto"/>
              </w:rPr>
            </w:pPr>
          </w:p>
        </w:tc>
        <w:tc>
          <w:tcPr>
            <w:tcW w:w="780" w:type="dxa"/>
            <w:vAlign w:val="bottom"/>
          </w:tcPr>
          <w:p>
            <w:pPr>
              <w:jc w:val="right"/>
              <w:ind w:right="161"/>
              <w:spacing w:after="0"/>
              <w:rPr>
                <w:sz w:val="20"/>
                <w:szCs w:val="20"/>
                <w:color w:val="auto"/>
              </w:rPr>
            </w:pPr>
            <w:r>
              <w:rPr>
                <w:rFonts w:ascii="Arial" w:cs="Arial" w:eastAsia="Arial" w:hAnsi="Arial"/>
                <w:sz w:val="14"/>
                <w:szCs w:val="14"/>
                <w:b w:val="1"/>
                <w:bCs w:val="1"/>
                <w:color w:val="auto"/>
              </w:rPr>
              <w:t>Second</w:t>
            </w:r>
          </w:p>
        </w:tc>
        <w:tc>
          <w:tcPr>
            <w:tcW w:w="220" w:type="dxa"/>
            <w:vAlign w:val="bottom"/>
          </w:tcPr>
          <w:p>
            <w:pPr>
              <w:spacing w:after="0"/>
              <w:rPr>
                <w:sz w:val="14"/>
                <w:szCs w:val="14"/>
                <w:color w:val="auto"/>
              </w:rPr>
            </w:pPr>
          </w:p>
        </w:tc>
        <w:tc>
          <w:tcPr>
            <w:tcW w:w="800" w:type="dxa"/>
            <w:vAlign w:val="bottom"/>
          </w:tcPr>
          <w:p>
            <w:pPr>
              <w:jc w:val="right"/>
              <w:ind w:right="261"/>
              <w:spacing w:after="0"/>
              <w:rPr>
                <w:sz w:val="20"/>
                <w:szCs w:val="20"/>
                <w:color w:val="auto"/>
              </w:rPr>
            </w:pPr>
            <w:r>
              <w:rPr>
                <w:rFonts w:ascii="Arial" w:cs="Arial" w:eastAsia="Arial" w:hAnsi="Arial"/>
                <w:sz w:val="14"/>
                <w:szCs w:val="14"/>
                <w:b w:val="1"/>
                <w:bCs w:val="1"/>
                <w:color w:val="auto"/>
              </w:rPr>
              <w:t>Third</w:t>
            </w:r>
          </w:p>
        </w:tc>
        <w:tc>
          <w:tcPr>
            <w:tcW w:w="220" w:type="dxa"/>
            <w:vAlign w:val="bottom"/>
          </w:tcPr>
          <w:p>
            <w:pPr>
              <w:spacing w:after="0"/>
              <w:rPr>
                <w:sz w:val="14"/>
                <w:szCs w:val="14"/>
                <w:color w:val="auto"/>
              </w:rPr>
            </w:pPr>
          </w:p>
        </w:tc>
        <w:tc>
          <w:tcPr>
            <w:tcW w:w="740" w:type="dxa"/>
            <w:vAlign w:val="bottom"/>
          </w:tcPr>
          <w:p>
            <w:pPr>
              <w:jc w:val="right"/>
              <w:ind w:right="161"/>
              <w:spacing w:after="0"/>
              <w:rPr>
                <w:sz w:val="20"/>
                <w:szCs w:val="20"/>
                <w:color w:val="auto"/>
              </w:rPr>
            </w:pPr>
            <w:r>
              <w:rPr>
                <w:rFonts w:ascii="Arial" w:cs="Arial" w:eastAsia="Arial" w:hAnsi="Arial"/>
                <w:sz w:val="14"/>
                <w:szCs w:val="14"/>
                <w:b w:val="1"/>
                <w:bCs w:val="1"/>
                <w:color w:val="auto"/>
              </w:rPr>
              <w:t>Fourth</w:t>
            </w:r>
          </w:p>
        </w:tc>
      </w:tr>
      <w:tr>
        <w:trPr>
          <w:trHeight w:val="196"/>
        </w:trPr>
        <w:tc>
          <w:tcPr>
            <w:tcW w:w="740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right"/>
              <w:ind w:right="161"/>
              <w:spacing w:after="0"/>
              <w:rPr>
                <w:sz w:val="20"/>
                <w:szCs w:val="20"/>
                <w:color w:val="auto"/>
              </w:rPr>
            </w:pPr>
            <w:r>
              <w:rPr>
                <w:rFonts w:ascii="Arial" w:cs="Arial" w:eastAsia="Arial" w:hAnsi="Arial"/>
                <w:sz w:val="14"/>
                <w:szCs w:val="14"/>
                <w:b w:val="1"/>
                <w:bCs w:val="1"/>
                <w:color w:val="auto"/>
              </w:rPr>
              <w:t>Quarter</w:t>
            </w:r>
          </w:p>
        </w:tc>
        <w:tc>
          <w:tcPr>
            <w:tcW w:w="24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right"/>
              <w:ind w:right="161"/>
              <w:spacing w:after="0"/>
              <w:rPr>
                <w:sz w:val="20"/>
                <w:szCs w:val="20"/>
                <w:color w:val="auto"/>
              </w:rPr>
            </w:pPr>
            <w:r>
              <w:rPr>
                <w:rFonts w:ascii="Arial" w:cs="Arial" w:eastAsia="Arial" w:hAnsi="Arial"/>
                <w:sz w:val="14"/>
                <w:szCs w:val="14"/>
                <w:b w:val="1"/>
                <w:bCs w:val="1"/>
                <w:color w:val="auto"/>
              </w:rPr>
              <w:t>Quarter</w:t>
            </w:r>
          </w:p>
        </w:tc>
        <w:tc>
          <w:tcPr>
            <w:tcW w:w="22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ind w:right="181"/>
              <w:spacing w:after="0"/>
              <w:rPr>
                <w:sz w:val="20"/>
                <w:szCs w:val="20"/>
                <w:color w:val="auto"/>
              </w:rPr>
            </w:pPr>
            <w:r>
              <w:rPr>
                <w:rFonts w:ascii="Arial" w:cs="Arial" w:eastAsia="Arial" w:hAnsi="Arial"/>
                <w:sz w:val="14"/>
                <w:szCs w:val="14"/>
                <w:b w:val="1"/>
                <w:bCs w:val="1"/>
                <w:color w:val="auto"/>
              </w:rPr>
              <w:t>Quarter</w:t>
            </w:r>
          </w:p>
        </w:tc>
        <w:tc>
          <w:tcPr>
            <w:tcW w:w="22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jc w:val="right"/>
              <w:ind w:right="121"/>
              <w:spacing w:after="0"/>
              <w:rPr>
                <w:sz w:val="20"/>
                <w:szCs w:val="20"/>
                <w:color w:val="auto"/>
              </w:rPr>
            </w:pPr>
            <w:r>
              <w:rPr>
                <w:rFonts w:ascii="Arial" w:cs="Arial" w:eastAsia="Arial" w:hAnsi="Arial"/>
                <w:sz w:val="14"/>
                <w:szCs w:val="14"/>
                <w:b w:val="1"/>
                <w:bCs w:val="1"/>
                <w:color w:val="auto"/>
              </w:rPr>
              <w:t>Quarter</w:t>
            </w:r>
          </w:p>
        </w:tc>
      </w:tr>
      <w:tr>
        <w:trPr>
          <w:trHeight w:val="258"/>
        </w:trPr>
        <w:tc>
          <w:tcPr>
            <w:tcW w:w="7400" w:type="dxa"/>
            <w:vAlign w:val="bottom"/>
          </w:tcPr>
          <w:p>
            <w:pPr>
              <w:spacing w:after="0"/>
              <w:rPr>
                <w:sz w:val="20"/>
                <w:szCs w:val="20"/>
                <w:color w:val="auto"/>
              </w:rPr>
            </w:pPr>
            <w:r>
              <w:rPr>
                <w:rFonts w:ascii="Arial" w:cs="Arial" w:eastAsia="Arial" w:hAnsi="Arial"/>
                <w:sz w:val="14"/>
                <w:szCs w:val="14"/>
                <w:b w:val="1"/>
                <w:bCs w:val="1"/>
                <w:color w:val="auto"/>
              </w:rPr>
              <w:t>2017</w:t>
            </w:r>
          </w:p>
        </w:tc>
        <w:tc>
          <w:tcPr>
            <w:tcW w:w="18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740" w:type="dxa"/>
            <w:vAlign w:val="bottom"/>
          </w:tcPr>
          <w:p>
            <w:pPr>
              <w:spacing w:after="0"/>
              <w:rPr>
                <w:sz w:val="22"/>
                <w:szCs w:val="22"/>
                <w:color w:val="auto"/>
              </w:rPr>
            </w:pPr>
          </w:p>
        </w:tc>
      </w:tr>
      <w:tr>
        <w:trPr>
          <w:trHeight w:val="230"/>
        </w:trPr>
        <w:tc>
          <w:tcPr>
            <w:tcW w:w="7400" w:type="dxa"/>
            <w:vAlign w:val="bottom"/>
          </w:tcPr>
          <w:p>
            <w:pPr>
              <w:ind w:left="20"/>
              <w:spacing w:after="0"/>
              <w:rPr>
                <w:sz w:val="20"/>
                <w:szCs w:val="20"/>
                <w:color w:val="auto"/>
              </w:rPr>
            </w:pPr>
            <w:r>
              <w:rPr>
                <w:rFonts w:ascii="Arial" w:cs="Arial" w:eastAsia="Arial" w:hAnsi="Arial"/>
                <w:sz w:val="16"/>
                <w:szCs w:val="16"/>
                <w:color w:val="auto"/>
              </w:rPr>
              <w:t>Ÿ Charges of $6.3 million related to restructuring at the education division ($0.3 million, $0.4 million,</w:t>
            </w:r>
          </w:p>
        </w:tc>
        <w:tc>
          <w:tcPr>
            <w:tcW w:w="18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40" w:type="dxa"/>
            <w:vAlign w:val="bottom"/>
          </w:tcPr>
          <w:p>
            <w:pPr>
              <w:spacing w:after="0"/>
              <w:rPr>
                <w:sz w:val="20"/>
                <w:szCs w:val="20"/>
                <w:color w:val="auto"/>
              </w:rPr>
            </w:pPr>
          </w:p>
        </w:tc>
      </w:tr>
      <w:tr>
        <w:trPr>
          <w:trHeight w:val="195"/>
        </w:trPr>
        <w:tc>
          <w:tcPr>
            <w:tcW w:w="7400" w:type="dxa"/>
            <w:vAlign w:val="bottom"/>
          </w:tcPr>
          <w:p>
            <w:pPr>
              <w:ind w:left="220"/>
              <w:spacing w:after="0"/>
              <w:rPr>
                <w:sz w:val="20"/>
                <w:szCs w:val="20"/>
                <w:color w:val="auto"/>
              </w:rPr>
            </w:pPr>
            <w:r>
              <w:rPr>
                <w:rFonts w:ascii="Arial" w:cs="Arial" w:eastAsia="Arial" w:hAnsi="Arial"/>
                <w:sz w:val="16"/>
                <w:szCs w:val="16"/>
                <w:color w:val="auto"/>
              </w:rPr>
              <w:t>$1.1 million and $4.5 million in the first, second, third and fourth quarters, respectively)</w:t>
            </w:r>
          </w:p>
        </w:tc>
        <w:tc>
          <w:tcPr>
            <w:tcW w:w="180" w:type="dxa"/>
            <w:vAlign w:val="bottom"/>
          </w:tcPr>
          <w:p>
            <w:pPr>
              <w:jc w:val="right"/>
              <w:spacing w:after="0"/>
              <w:rPr>
                <w:sz w:val="20"/>
                <w:szCs w:val="20"/>
                <w:color w:val="auto"/>
              </w:rPr>
            </w:pPr>
            <w:r>
              <w:rPr>
                <w:rFonts w:ascii="Arial" w:cs="Arial" w:eastAsia="Arial" w:hAnsi="Arial"/>
                <w:sz w:val="16"/>
                <w:szCs w:val="16"/>
                <w:color w:val="auto"/>
              </w:rPr>
              <w:t>$</w:t>
            </w:r>
          </w:p>
        </w:tc>
        <w:tc>
          <w:tcPr>
            <w:tcW w:w="780" w:type="dxa"/>
            <w:vAlign w:val="bottom"/>
          </w:tcPr>
          <w:p>
            <w:pPr>
              <w:jc w:val="right"/>
              <w:ind w:right="21"/>
              <w:spacing w:after="0"/>
              <w:rPr>
                <w:sz w:val="20"/>
                <w:szCs w:val="20"/>
                <w:color w:val="auto"/>
              </w:rPr>
            </w:pPr>
            <w:r>
              <w:rPr>
                <w:rFonts w:ascii="Arial" w:cs="Arial" w:eastAsia="Arial" w:hAnsi="Arial"/>
                <w:sz w:val="16"/>
                <w:szCs w:val="16"/>
                <w:color w:val="auto"/>
              </w:rPr>
              <w:t>(0.05)</w:t>
            </w:r>
          </w:p>
        </w:tc>
        <w:tc>
          <w:tcPr>
            <w:tcW w:w="240" w:type="dxa"/>
            <w:vAlign w:val="bottom"/>
          </w:tcPr>
          <w:p>
            <w:pPr>
              <w:jc w:val="right"/>
              <w:spacing w:after="0"/>
              <w:rPr>
                <w:sz w:val="20"/>
                <w:szCs w:val="20"/>
                <w:color w:val="auto"/>
              </w:rPr>
            </w:pPr>
            <w:r>
              <w:rPr>
                <w:rFonts w:ascii="Arial" w:cs="Arial" w:eastAsia="Arial" w:hAnsi="Arial"/>
                <w:sz w:val="16"/>
                <w:szCs w:val="16"/>
                <w:color w:val="auto"/>
              </w:rPr>
              <w:t>$</w:t>
            </w:r>
          </w:p>
        </w:tc>
        <w:tc>
          <w:tcPr>
            <w:tcW w:w="780" w:type="dxa"/>
            <w:vAlign w:val="bottom"/>
          </w:tcPr>
          <w:p>
            <w:pPr>
              <w:jc w:val="right"/>
              <w:ind w:right="21"/>
              <w:spacing w:after="0"/>
              <w:rPr>
                <w:sz w:val="20"/>
                <w:szCs w:val="20"/>
                <w:color w:val="auto"/>
              </w:rPr>
            </w:pPr>
            <w:r>
              <w:rPr>
                <w:rFonts w:ascii="Arial" w:cs="Arial" w:eastAsia="Arial" w:hAnsi="Arial"/>
                <w:sz w:val="16"/>
                <w:szCs w:val="16"/>
                <w:color w:val="auto"/>
              </w:rPr>
              <w:t>(0.06)</w:t>
            </w:r>
          </w:p>
        </w:tc>
        <w:tc>
          <w:tcPr>
            <w:tcW w:w="220" w:type="dxa"/>
            <w:vAlign w:val="bottom"/>
          </w:tcPr>
          <w:p>
            <w:pPr>
              <w:jc w:val="right"/>
              <w:spacing w:after="0"/>
              <w:rPr>
                <w:sz w:val="20"/>
                <w:szCs w:val="20"/>
                <w:color w:val="auto"/>
              </w:rPr>
            </w:pPr>
            <w:r>
              <w:rPr>
                <w:rFonts w:ascii="Arial" w:cs="Arial" w:eastAsia="Arial" w:hAnsi="Arial"/>
                <w:sz w:val="16"/>
                <w:szCs w:val="16"/>
                <w:color w:val="auto"/>
              </w:rPr>
              <w:t>$</w:t>
            </w:r>
          </w:p>
        </w:tc>
        <w:tc>
          <w:tcPr>
            <w:tcW w:w="800" w:type="dxa"/>
            <w:vAlign w:val="bottom"/>
          </w:tcPr>
          <w:p>
            <w:pPr>
              <w:jc w:val="right"/>
              <w:ind w:right="41"/>
              <w:spacing w:after="0"/>
              <w:rPr>
                <w:sz w:val="20"/>
                <w:szCs w:val="20"/>
                <w:color w:val="auto"/>
              </w:rPr>
            </w:pPr>
            <w:r>
              <w:rPr>
                <w:rFonts w:ascii="Arial" w:cs="Arial" w:eastAsia="Arial" w:hAnsi="Arial"/>
                <w:sz w:val="16"/>
                <w:szCs w:val="16"/>
                <w:color w:val="auto"/>
              </w:rPr>
              <w:t>(0.20)</w:t>
            </w:r>
          </w:p>
        </w:tc>
        <w:tc>
          <w:tcPr>
            <w:tcW w:w="220" w:type="dxa"/>
            <w:vAlign w:val="bottom"/>
          </w:tcPr>
          <w:p>
            <w:pPr>
              <w:jc w:val="right"/>
              <w:spacing w:after="0"/>
              <w:rPr>
                <w:sz w:val="20"/>
                <w:szCs w:val="20"/>
                <w:color w:val="auto"/>
              </w:rPr>
            </w:pPr>
            <w:r>
              <w:rPr>
                <w:rFonts w:ascii="Arial" w:cs="Arial" w:eastAsia="Arial" w:hAnsi="Arial"/>
                <w:sz w:val="16"/>
                <w:szCs w:val="16"/>
                <w:color w:val="auto"/>
              </w:rPr>
              <w:t>$</w:t>
            </w:r>
          </w:p>
        </w:tc>
        <w:tc>
          <w:tcPr>
            <w:tcW w:w="740" w:type="dxa"/>
            <w:vAlign w:val="bottom"/>
          </w:tcPr>
          <w:p>
            <w:pPr>
              <w:jc w:val="right"/>
              <w:spacing w:after="0"/>
              <w:rPr>
                <w:sz w:val="20"/>
                <w:szCs w:val="20"/>
                <w:color w:val="auto"/>
              </w:rPr>
            </w:pPr>
            <w:r>
              <w:rPr>
                <w:rFonts w:ascii="Arial" w:cs="Arial" w:eastAsia="Arial" w:hAnsi="Arial"/>
                <w:sz w:val="16"/>
                <w:szCs w:val="16"/>
                <w:color w:val="auto"/>
              </w:rPr>
              <w:t>(0.81)</w:t>
            </w:r>
          </w:p>
        </w:tc>
      </w:tr>
      <w:tr>
        <w:trPr>
          <w:trHeight w:val="270"/>
        </w:trPr>
        <w:tc>
          <w:tcPr>
            <w:tcW w:w="7400" w:type="dxa"/>
            <w:vAlign w:val="bottom"/>
          </w:tcPr>
          <w:p>
            <w:pPr>
              <w:ind w:left="20"/>
              <w:spacing w:after="0"/>
              <w:rPr>
                <w:sz w:val="20"/>
                <w:szCs w:val="20"/>
                <w:color w:val="auto"/>
              </w:rPr>
            </w:pPr>
            <w:r>
              <w:rPr>
                <w:rFonts w:ascii="Arial" w:cs="Arial" w:eastAsia="Arial" w:hAnsi="Arial"/>
                <w:sz w:val="16"/>
                <w:szCs w:val="16"/>
                <w:color w:val="auto"/>
              </w:rPr>
              <w:t>Ÿ Goodwill and long-lived assets impairment charges of $5.8 million at other businesses</w:t>
            </w:r>
          </w:p>
        </w:tc>
        <w:tc>
          <w:tcPr>
            <w:tcW w:w="18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240" w:type="dxa"/>
            <w:vAlign w:val="bottom"/>
          </w:tcPr>
          <w:p>
            <w:pPr>
              <w:jc w:val="right"/>
              <w:spacing w:after="0"/>
              <w:rPr>
                <w:sz w:val="20"/>
                <w:szCs w:val="20"/>
                <w:color w:val="auto"/>
              </w:rPr>
            </w:pPr>
            <w:r>
              <w:rPr>
                <w:rFonts w:ascii="Arial" w:cs="Arial" w:eastAsia="Arial" w:hAnsi="Arial"/>
                <w:sz w:val="16"/>
                <w:szCs w:val="16"/>
                <w:color w:val="auto"/>
              </w:rPr>
              <w:t>$</w:t>
            </w:r>
          </w:p>
        </w:tc>
        <w:tc>
          <w:tcPr>
            <w:tcW w:w="780" w:type="dxa"/>
            <w:vAlign w:val="bottom"/>
          </w:tcPr>
          <w:p>
            <w:pPr>
              <w:jc w:val="right"/>
              <w:ind w:right="21"/>
              <w:spacing w:after="0"/>
              <w:rPr>
                <w:sz w:val="20"/>
                <w:szCs w:val="20"/>
                <w:color w:val="auto"/>
              </w:rPr>
            </w:pPr>
            <w:r>
              <w:rPr>
                <w:rFonts w:ascii="Arial" w:cs="Arial" w:eastAsia="Arial" w:hAnsi="Arial"/>
                <w:sz w:val="16"/>
                <w:szCs w:val="16"/>
                <w:color w:val="auto"/>
              </w:rPr>
              <w:t>(1.03)</w:t>
            </w:r>
          </w:p>
        </w:tc>
        <w:tc>
          <w:tcPr>
            <w:tcW w:w="22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740" w:type="dxa"/>
            <w:vAlign w:val="bottom"/>
          </w:tcPr>
          <w:p>
            <w:pPr>
              <w:spacing w:after="0"/>
              <w:rPr>
                <w:sz w:val="23"/>
                <w:szCs w:val="23"/>
                <w:color w:val="auto"/>
              </w:rPr>
            </w:pPr>
          </w:p>
        </w:tc>
      </w:tr>
      <w:tr>
        <w:trPr>
          <w:trHeight w:val="238"/>
        </w:trPr>
        <w:tc>
          <w:tcPr>
            <w:tcW w:w="7400" w:type="dxa"/>
            <w:vAlign w:val="bottom"/>
          </w:tcPr>
          <w:p>
            <w:pPr>
              <w:spacing w:after="0"/>
              <w:rPr>
                <w:sz w:val="20"/>
                <w:szCs w:val="20"/>
                <w:color w:val="auto"/>
              </w:rPr>
            </w:pPr>
            <w:r>
              <w:rPr>
                <w:rFonts w:ascii="Arial" w:cs="Arial" w:eastAsia="Arial" w:hAnsi="Arial"/>
                <w:sz w:val="18"/>
                <w:szCs w:val="18"/>
                <w:color w:val="auto"/>
              </w:rPr>
              <w:t xml:space="preserve">Ÿ </w:t>
            </w:r>
            <w:r>
              <w:rPr>
                <w:rFonts w:ascii="Arial" w:cs="Arial" w:eastAsia="Arial" w:hAnsi="Arial"/>
                <w:sz w:val="16"/>
                <w:szCs w:val="16"/>
                <w:color w:val="auto"/>
              </w:rPr>
              <w:t>Gains, net, of $2.1 million for non-operating foreign currency gains (losses) ($1.1 million gain, $2.2</w:t>
            </w:r>
          </w:p>
        </w:tc>
        <w:tc>
          <w:tcPr>
            <w:tcW w:w="18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40" w:type="dxa"/>
            <w:vAlign w:val="bottom"/>
          </w:tcPr>
          <w:p>
            <w:pPr>
              <w:spacing w:after="0"/>
              <w:rPr>
                <w:sz w:val="20"/>
                <w:szCs w:val="20"/>
                <w:color w:val="auto"/>
              </w:rPr>
            </w:pPr>
          </w:p>
        </w:tc>
      </w:tr>
      <w:tr>
        <w:trPr>
          <w:trHeight w:val="189"/>
        </w:trPr>
        <w:tc>
          <w:tcPr>
            <w:tcW w:w="7400" w:type="dxa"/>
            <w:vAlign w:val="bottom"/>
          </w:tcPr>
          <w:p>
            <w:pPr>
              <w:ind w:left="220"/>
              <w:spacing w:after="0"/>
              <w:rPr>
                <w:sz w:val="20"/>
                <w:szCs w:val="20"/>
                <w:color w:val="auto"/>
              </w:rPr>
            </w:pPr>
            <w:r>
              <w:rPr>
                <w:rFonts w:ascii="Arial" w:cs="Arial" w:eastAsia="Arial" w:hAnsi="Arial"/>
                <w:sz w:val="16"/>
                <w:szCs w:val="16"/>
                <w:color w:val="auto"/>
              </w:rPr>
              <w:t>million gain, $0.9 million gain and $2.1 million loss in the first, second, third and fourth quarters,</w:t>
            </w:r>
          </w:p>
        </w:tc>
        <w:tc>
          <w:tcPr>
            <w:tcW w:w="18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40" w:type="dxa"/>
            <w:vAlign w:val="bottom"/>
          </w:tcPr>
          <w:p>
            <w:pPr>
              <w:spacing w:after="0"/>
              <w:rPr>
                <w:sz w:val="16"/>
                <w:szCs w:val="16"/>
                <w:color w:val="auto"/>
              </w:rPr>
            </w:pPr>
          </w:p>
        </w:tc>
      </w:tr>
      <w:tr>
        <w:trPr>
          <w:trHeight w:val="195"/>
        </w:trPr>
        <w:tc>
          <w:tcPr>
            <w:tcW w:w="7400" w:type="dxa"/>
            <w:vAlign w:val="bottom"/>
          </w:tcPr>
          <w:p>
            <w:pPr>
              <w:ind w:left="220"/>
              <w:spacing w:after="0"/>
              <w:rPr>
                <w:sz w:val="20"/>
                <w:szCs w:val="20"/>
                <w:color w:val="auto"/>
              </w:rPr>
            </w:pPr>
            <w:r>
              <w:rPr>
                <w:rFonts w:ascii="Arial" w:cs="Arial" w:eastAsia="Arial" w:hAnsi="Arial"/>
                <w:sz w:val="16"/>
                <w:szCs w:val="16"/>
                <w:color w:val="auto"/>
              </w:rPr>
              <w:t>respectively)</w:t>
            </w:r>
          </w:p>
        </w:tc>
        <w:tc>
          <w:tcPr>
            <w:tcW w:w="180" w:type="dxa"/>
            <w:vAlign w:val="bottom"/>
          </w:tcPr>
          <w:p>
            <w:pPr>
              <w:jc w:val="right"/>
              <w:spacing w:after="0"/>
              <w:rPr>
                <w:sz w:val="20"/>
                <w:szCs w:val="20"/>
                <w:color w:val="auto"/>
              </w:rPr>
            </w:pPr>
            <w:r>
              <w:rPr>
                <w:rFonts w:ascii="Arial" w:cs="Arial" w:eastAsia="Arial" w:hAnsi="Arial"/>
                <w:sz w:val="16"/>
                <w:szCs w:val="16"/>
                <w:color w:val="auto"/>
              </w:rPr>
              <w:t>$</w:t>
            </w:r>
          </w:p>
        </w:tc>
        <w:tc>
          <w:tcPr>
            <w:tcW w:w="780" w:type="dxa"/>
            <w:vAlign w:val="bottom"/>
          </w:tcPr>
          <w:p>
            <w:pPr>
              <w:jc w:val="right"/>
              <w:ind w:right="81"/>
              <w:spacing w:after="0"/>
              <w:rPr>
                <w:sz w:val="20"/>
                <w:szCs w:val="20"/>
                <w:color w:val="auto"/>
              </w:rPr>
            </w:pPr>
            <w:r>
              <w:rPr>
                <w:rFonts w:ascii="Arial" w:cs="Arial" w:eastAsia="Arial" w:hAnsi="Arial"/>
                <w:sz w:val="16"/>
                <w:szCs w:val="16"/>
                <w:color w:val="auto"/>
              </w:rPr>
              <w:t>0.19</w:t>
            </w:r>
          </w:p>
        </w:tc>
        <w:tc>
          <w:tcPr>
            <w:tcW w:w="240" w:type="dxa"/>
            <w:vAlign w:val="bottom"/>
          </w:tcPr>
          <w:p>
            <w:pPr>
              <w:jc w:val="right"/>
              <w:spacing w:after="0"/>
              <w:rPr>
                <w:sz w:val="20"/>
                <w:szCs w:val="20"/>
                <w:color w:val="auto"/>
              </w:rPr>
            </w:pPr>
            <w:r>
              <w:rPr>
                <w:rFonts w:ascii="Arial" w:cs="Arial" w:eastAsia="Arial" w:hAnsi="Arial"/>
                <w:sz w:val="16"/>
                <w:szCs w:val="16"/>
                <w:color w:val="auto"/>
              </w:rPr>
              <w:t>$</w:t>
            </w:r>
          </w:p>
        </w:tc>
        <w:tc>
          <w:tcPr>
            <w:tcW w:w="780" w:type="dxa"/>
            <w:vAlign w:val="bottom"/>
          </w:tcPr>
          <w:p>
            <w:pPr>
              <w:jc w:val="right"/>
              <w:ind w:right="81"/>
              <w:spacing w:after="0"/>
              <w:rPr>
                <w:sz w:val="20"/>
                <w:szCs w:val="20"/>
                <w:color w:val="auto"/>
              </w:rPr>
            </w:pPr>
            <w:r>
              <w:rPr>
                <w:rFonts w:ascii="Arial" w:cs="Arial" w:eastAsia="Arial" w:hAnsi="Arial"/>
                <w:sz w:val="16"/>
                <w:szCs w:val="16"/>
                <w:color w:val="auto"/>
              </w:rPr>
              <w:t>0.39</w:t>
            </w:r>
          </w:p>
        </w:tc>
        <w:tc>
          <w:tcPr>
            <w:tcW w:w="220" w:type="dxa"/>
            <w:vAlign w:val="bottom"/>
          </w:tcPr>
          <w:p>
            <w:pPr>
              <w:jc w:val="right"/>
              <w:spacing w:after="0"/>
              <w:rPr>
                <w:sz w:val="20"/>
                <w:szCs w:val="20"/>
                <w:color w:val="auto"/>
              </w:rPr>
            </w:pPr>
            <w:r>
              <w:rPr>
                <w:rFonts w:ascii="Arial" w:cs="Arial" w:eastAsia="Arial" w:hAnsi="Arial"/>
                <w:sz w:val="16"/>
                <w:szCs w:val="16"/>
                <w:color w:val="auto"/>
              </w:rPr>
              <w:t>$</w:t>
            </w:r>
          </w:p>
        </w:tc>
        <w:tc>
          <w:tcPr>
            <w:tcW w:w="800" w:type="dxa"/>
            <w:vAlign w:val="bottom"/>
          </w:tcPr>
          <w:p>
            <w:pPr>
              <w:jc w:val="right"/>
              <w:ind w:right="81"/>
              <w:spacing w:after="0"/>
              <w:rPr>
                <w:sz w:val="20"/>
                <w:szCs w:val="20"/>
                <w:color w:val="auto"/>
              </w:rPr>
            </w:pPr>
            <w:r>
              <w:rPr>
                <w:rFonts w:ascii="Arial" w:cs="Arial" w:eastAsia="Arial" w:hAnsi="Arial"/>
                <w:sz w:val="16"/>
                <w:szCs w:val="16"/>
                <w:color w:val="auto"/>
              </w:rPr>
              <w:t>0.16</w:t>
            </w:r>
          </w:p>
        </w:tc>
        <w:tc>
          <w:tcPr>
            <w:tcW w:w="220" w:type="dxa"/>
            <w:vAlign w:val="bottom"/>
          </w:tcPr>
          <w:p>
            <w:pPr>
              <w:jc w:val="right"/>
              <w:spacing w:after="0"/>
              <w:rPr>
                <w:sz w:val="20"/>
                <w:szCs w:val="20"/>
                <w:color w:val="auto"/>
              </w:rPr>
            </w:pPr>
            <w:r>
              <w:rPr>
                <w:rFonts w:ascii="Arial" w:cs="Arial" w:eastAsia="Arial" w:hAnsi="Arial"/>
                <w:sz w:val="16"/>
                <w:szCs w:val="16"/>
                <w:color w:val="auto"/>
              </w:rPr>
              <w:t>$</w:t>
            </w:r>
          </w:p>
        </w:tc>
        <w:tc>
          <w:tcPr>
            <w:tcW w:w="740" w:type="dxa"/>
            <w:vAlign w:val="bottom"/>
          </w:tcPr>
          <w:p>
            <w:pPr>
              <w:jc w:val="right"/>
              <w:spacing w:after="0"/>
              <w:rPr>
                <w:sz w:val="20"/>
                <w:szCs w:val="20"/>
                <w:color w:val="auto"/>
              </w:rPr>
            </w:pPr>
            <w:r>
              <w:rPr>
                <w:rFonts w:ascii="Arial" w:cs="Arial" w:eastAsia="Arial" w:hAnsi="Arial"/>
                <w:sz w:val="16"/>
                <w:szCs w:val="16"/>
                <w:color w:val="auto"/>
              </w:rPr>
              <w:t>(0.37)</w:t>
            </w:r>
          </w:p>
        </w:tc>
      </w:tr>
      <w:tr>
        <w:trPr>
          <w:trHeight w:val="270"/>
        </w:trPr>
        <w:tc>
          <w:tcPr>
            <w:tcW w:w="7400" w:type="dxa"/>
            <w:vAlign w:val="bottom"/>
          </w:tcPr>
          <w:p>
            <w:pPr>
              <w:ind w:left="20"/>
              <w:spacing w:after="0"/>
              <w:rPr>
                <w:sz w:val="20"/>
                <w:szCs w:val="20"/>
                <w:color w:val="auto"/>
              </w:rPr>
            </w:pPr>
            <w:r>
              <w:rPr>
                <w:rFonts w:ascii="Arial" w:cs="Arial" w:eastAsia="Arial" w:hAnsi="Arial"/>
                <w:sz w:val="16"/>
                <w:szCs w:val="16"/>
                <w:color w:val="auto"/>
              </w:rPr>
              <w:t>Ÿ Net deferred tax benefits of $177.5 million related to the Tax Act</w:t>
            </w:r>
          </w:p>
        </w:tc>
        <w:tc>
          <w:tcPr>
            <w:tcW w:w="18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220" w:type="dxa"/>
            <w:vAlign w:val="bottom"/>
          </w:tcPr>
          <w:p>
            <w:pPr>
              <w:jc w:val="right"/>
              <w:spacing w:after="0"/>
              <w:rPr>
                <w:sz w:val="20"/>
                <w:szCs w:val="20"/>
                <w:color w:val="auto"/>
              </w:rPr>
            </w:pPr>
            <w:r>
              <w:rPr>
                <w:rFonts w:ascii="Arial" w:cs="Arial" w:eastAsia="Arial" w:hAnsi="Arial"/>
                <w:sz w:val="16"/>
                <w:szCs w:val="16"/>
                <w:color w:val="auto"/>
              </w:rPr>
              <w:t>$</w:t>
            </w:r>
          </w:p>
        </w:tc>
        <w:tc>
          <w:tcPr>
            <w:tcW w:w="740" w:type="dxa"/>
            <w:vAlign w:val="bottom"/>
          </w:tcPr>
          <w:p>
            <w:pPr>
              <w:jc w:val="right"/>
              <w:ind w:right="41"/>
              <w:spacing w:after="0"/>
              <w:rPr>
                <w:sz w:val="20"/>
                <w:szCs w:val="20"/>
                <w:color w:val="auto"/>
              </w:rPr>
            </w:pPr>
            <w:r>
              <w:rPr>
                <w:rFonts w:ascii="Arial" w:cs="Arial" w:eastAsia="Arial" w:hAnsi="Arial"/>
                <w:sz w:val="16"/>
                <w:szCs w:val="16"/>
                <w:color w:val="auto"/>
              </w:rPr>
              <w:t>31.68</w:t>
            </w:r>
          </w:p>
        </w:tc>
      </w:tr>
      <w:tr>
        <w:trPr>
          <w:trHeight w:val="270"/>
        </w:trPr>
        <w:tc>
          <w:tcPr>
            <w:tcW w:w="7400" w:type="dxa"/>
            <w:vAlign w:val="bottom"/>
          </w:tcPr>
          <w:p>
            <w:pPr>
              <w:ind w:left="20"/>
              <w:spacing w:after="0"/>
              <w:rPr>
                <w:sz w:val="20"/>
                <w:szCs w:val="20"/>
                <w:color w:val="auto"/>
              </w:rPr>
            </w:pPr>
            <w:r>
              <w:rPr>
                <w:rFonts w:ascii="Arial" w:cs="Arial" w:eastAsia="Arial" w:hAnsi="Arial"/>
                <w:sz w:val="16"/>
                <w:szCs w:val="16"/>
                <w:color w:val="auto"/>
              </w:rPr>
              <w:t>Ÿ Income tax benefit of $5.9 million related to stock compensation</w:t>
            </w:r>
          </w:p>
        </w:tc>
        <w:tc>
          <w:tcPr>
            <w:tcW w:w="180" w:type="dxa"/>
            <w:vAlign w:val="bottom"/>
          </w:tcPr>
          <w:p>
            <w:pPr>
              <w:jc w:val="right"/>
              <w:spacing w:after="0"/>
              <w:rPr>
                <w:sz w:val="20"/>
                <w:szCs w:val="20"/>
                <w:color w:val="auto"/>
              </w:rPr>
            </w:pPr>
            <w:r>
              <w:rPr>
                <w:rFonts w:ascii="Arial" w:cs="Arial" w:eastAsia="Arial" w:hAnsi="Arial"/>
                <w:sz w:val="16"/>
                <w:szCs w:val="16"/>
                <w:color w:val="auto"/>
              </w:rPr>
              <w:t>$</w:t>
            </w:r>
          </w:p>
        </w:tc>
        <w:tc>
          <w:tcPr>
            <w:tcW w:w="780" w:type="dxa"/>
            <w:vAlign w:val="bottom"/>
          </w:tcPr>
          <w:p>
            <w:pPr>
              <w:jc w:val="right"/>
              <w:ind w:right="81"/>
              <w:spacing w:after="0"/>
              <w:rPr>
                <w:sz w:val="20"/>
                <w:szCs w:val="20"/>
                <w:color w:val="auto"/>
              </w:rPr>
            </w:pPr>
            <w:r>
              <w:rPr>
                <w:rFonts w:ascii="Arial" w:cs="Arial" w:eastAsia="Arial" w:hAnsi="Arial"/>
                <w:sz w:val="16"/>
                <w:szCs w:val="16"/>
                <w:color w:val="auto"/>
              </w:rPr>
              <w:t>1.06</w:t>
            </w:r>
          </w:p>
        </w:tc>
        <w:tc>
          <w:tcPr>
            <w:tcW w:w="24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740" w:type="dxa"/>
            <w:vAlign w:val="bottom"/>
          </w:tcPr>
          <w:p>
            <w:pPr>
              <w:spacing w:after="0"/>
              <w:rPr>
                <w:sz w:val="23"/>
                <w:szCs w:val="23"/>
                <w:color w:val="auto"/>
              </w:rPr>
            </w:pPr>
          </w:p>
        </w:tc>
      </w:tr>
      <w:tr>
        <w:trPr>
          <w:trHeight w:val="413"/>
        </w:trPr>
        <w:tc>
          <w:tcPr>
            <w:tcW w:w="7400" w:type="dxa"/>
            <w:vAlign w:val="bottom"/>
          </w:tcPr>
          <w:p>
            <w:pPr>
              <w:spacing w:after="0"/>
              <w:rPr>
                <w:sz w:val="20"/>
                <w:szCs w:val="20"/>
                <w:color w:val="auto"/>
              </w:rPr>
            </w:pPr>
            <w:r>
              <w:rPr>
                <w:rFonts w:ascii="Arial" w:cs="Arial" w:eastAsia="Arial" w:hAnsi="Arial"/>
                <w:sz w:val="14"/>
                <w:szCs w:val="14"/>
                <w:b w:val="1"/>
                <w:bCs w:val="1"/>
                <w:color w:val="auto"/>
              </w:rPr>
              <w:t>2016</w:t>
            </w:r>
          </w:p>
        </w:tc>
        <w:tc>
          <w:tcPr>
            <w:tcW w:w="1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40" w:type="dxa"/>
            <w:vAlign w:val="bottom"/>
          </w:tcPr>
          <w:p>
            <w:pPr>
              <w:spacing w:after="0"/>
              <w:rPr>
                <w:sz w:val="24"/>
                <w:szCs w:val="24"/>
                <w:color w:val="auto"/>
              </w:rPr>
            </w:pPr>
          </w:p>
        </w:tc>
      </w:tr>
      <w:tr>
        <w:trPr>
          <w:trHeight w:val="263"/>
        </w:trPr>
        <w:tc>
          <w:tcPr>
            <w:tcW w:w="7400" w:type="dxa"/>
            <w:vAlign w:val="bottom"/>
          </w:tcPr>
          <w:p>
            <w:pPr>
              <w:ind w:left="20"/>
              <w:spacing w:after="0"/>
              <w:rPr>
                <w:sz w:val="20"/>
                <w:szCs w:val="20"/>
                <w:color w:val="auto"/>
              </w:rPr>
            </w:pPr>
            <w:r>
              <w:rPr>
                <w:rFonts w:ascii="Arial" w:cs="Arial" w:eastAsia="Arial" w:hAnsi="Arial"/>
                <w:sz w:val="16"/>
                <w:szCs w:val="16"/>
                <w:color w:val="auto"/>
              </w:rPr>
              <w:t>Ÿ Settlement gain of $10.8 million related to a bulk lump sum pension offering</w:t>
            </w:r>
          </w:p>
        </w:tc>
        <w:tc>
          <w:tcPr>
            <w:tcW w:w="18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220" w:type="dxa"/>
            <w:vAlign w:val="bottom"/>
          </w:tcPr>
          <w:p>
            <w:pPr>
              <w:jc w:val="right"/>
              <w:spacing w:after="0"/>
              <w:rPr>
                <w:sz w:val="20"/>
                <w:szCs w:val="20"/>
                <w:color w:val="auto"/>
              </w:rPr>
            </w:pPr>
            <w:r>
              <w:rPr>
                <w:rFonts w:ascii="Arial" w:cs="Arial" w:eastAsia="Arial" w:hAnsi="Arial"/>
                <w:sz w:val="16"/>
                <w:szCs w:val="16"/>
                <w:color w:val="auto"/>
              </w:rPr>
              <w:t>$</w:t>
            </w:r>
          </w:p>
        </w:tc>
        <w:tc>
          <w:tcPr>
            <w:tcW w:w="740" w:type="dxa"/>
            <w:vAlign w:val="bottom"/>
          </w:tcPr>
          <w:p>
            <w:pPr>
              <w:jc w:val="right"/>
              <w:ind w:right="1"/>
              <w:spacing w:after="0"/>
              <w:rPr>
                <w:sz w:val="20"/>
                <w:szCs w:val="20"/>
                <w:color w:val="auto"/>
              </w:rPr>
            </w:pPr>
            <w:r>
              <w:rPr>
                <w:rFonts w:ascii="Arial" w:cs="Arial" w:eastAsia="Arial" w:hAnsi="Arial"/>
                <w:sz w:val="16"/>
                <w:szCs w:val="16"/>
                <w:color w:val="auto"/>
              </w:rPr>
              <w:t>1.92</w:t>
            </w:r>
          </w:p>
        </w:tc>
      </w:tr>
      <w:tr>
        <w:trPr>
          <w:trHeight w:val="238"/>
        </w:trPr>
        <w:tc>
          <w:tcPr>
            <w:tcW w:w="7400" w:type="dxa"/>
            <w:vAlign w:val="bottom"/>
          </w:tcPr>
          <w:p>
            <w:pPr>
              <w:ind w:left="20"/>
              <w:spacing w:after="0"/>
              <w:rPr>
                <w:sz w:val="20"/>
                <w:szCs w:val="20"/>
                <w:color w:val="auto"/>
              </w:rPr>
            </w:pPr>
            <w:r>
              <w:rPr>
                <w:rFonts w:ascii="Arial" w:cs="Arial" w:eastAsia="Arial" w:hAnsi="Arial"/>
                <w:sz w:val="16"/>
                <w:szCs w:val="16"/>
                <w:color w:val="auto"/>
              </w:rPr>
              <w:t>Ÿ Charges of $7.7 million related to restructuring at the education division ($1.2 million, $0.9 million,</w:t>
            </w:r>
          </w:p>
        </w:tc>
        <w:tc>
          <w:tcPr>
            <w:tcW w:w="18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40" w:type="dxa"/>
            <w:vAlign w:val="bottom"/>
          </w:tcPr>
          <w:p>
            <w:pPr>
              <w:spacing w:after="0"/>
              <w:rPr>
                <w:sz w:val="20"/>
                <w:szCs w:val="20"/>
                <w:color w:val="auto"/>
              </w:rPr>
            </w:pPr>
          </w:p>
        </w:tc>
      </w:tr>
      <w:tr>
        <w:trPr>
          <w:trHeight w:val="195"/>
        </w:trPr>
        <w:tc>
          <w:tcPr>
            <w:tcW w:w="7400" w:type="dxa"/>
            <w:vAlign w:val="bottom"/>
          </w:tcPr>
          <w:p>
            <w:pPr>
              <w:ind w:left="220"/>
              <w:spacing w:after="0"/>
              <w:rPr>
                <w:sz w:val="20"/>
                <w:szCs w:val="20"/>
                <w:color w:val="auto"/>
              </w:rPr>
            </w:pPr>
            <w:r>
              <w:rPr>
                <w:rFonts w:ascii="Arial" w:cs="Arial" w:eastAsia="Arial" w:hAnsi="Arial"/>
                <w:sz w:val="16"/>
                <w:szCs w:val="16"/>
                <w:color w:val="auto"/>
              </w:rPr>
              <w:t>$1.1 million and $4.5 million in the first, second, third and fourth quarters, respectively)</w:t>
            </w:r>
          </w:p>
        </w:tc>
        <w:tc>
          <w:tcPr>
            <w:tcW w:w="180" w:type="dxa"/>
            <w:vAlign w:val="bottom"/>
          </w:tcPr>
          <w:p>
            <w:pPr>
              <w:jc w:val="right"/>
              <w:spacing w:after="0"/>
              <w:rPr>
                <w:sz w:val="20"/>
                <w:szCs w:val="20"/>
                <w:color w:val="auto"/>
              </w:rPr>
            </w:pPr>
            <w:r>
              <w:rPr>
                <w:rFonts w:ascii="Arial" w:cs="Arial" w:eastAsia="Arial" w:hAnsi="Arial"/>
                <w:sz w:val="16"/>
                <w:szCs w:val="16"/>
                <w:color w:val="auto"/>
              </w:rPr>
              <w:t>$</w:t>
            </w:r>
          </w:p>
        </w:tc>
        <w:tc>
          <w:tcPr>
            <w:tcW w:w="780" w:type="dxa"/>
            <w:vAlign w:val="bottom"/>
          </w:tcPr>
          <w:p>
            <w:pPr>
              <w:jc w:val="right"/>
              <w:ind w:right="1"/>
              <w:spacing w:after="0"/>
              <w:rPr>
                <w:sz w:val="20"/>
                <w:szCs w:val="20"/>
                <w:color w:val="auto"/>
              </w:rPr>
            </w:pPr>
            <w:r>
              <w:rPr>
                <w:rFonts w:ascii="Arial" w:cs="Arial" w:eastAsia="Arial" w:hAnsi="Arial"/>
                <w:sz w:val="16"/>
                <w:szCs w:val="16"/>
                <w:color w:val="auto"/>
              </w:rPr>
              <w:t>(0.21)</w:t>
            </w:r>
          </w:p>
        </w:tc>
        <w:tc>
          <w:tcPr>
            <w:tcW w:w="240" w:type="dxa"/>
            <w:vAlign w:val="bottom"/>
          </w:tcPr>
          <w:p>
            <w:pPr>
              <w:jc w:val="right"/>
              <w:spacing w:after="0"/>
              <w:rPr>
                <w:sz w:val="20"/>
                <w:szCs w:val="20"/>
                <w:color w:val="auto"/>
              </w:rPr>
            </w:pPr>
            <w:r>
              <w:rPr>
                <w:rFonts w:ascii="Arial" w:cs="Arial" w:eastAsia="Arial" w:hAnsi="Arial"/>
                <w:sz w:val="16"/>
                <w:szCs w:val="16"/>
                <w:color w:val="auto"/>
              </w:rPr>
              <w:t>$</w:t>
            </w:r>
          </w:p>
        </w:tc>
        <w:tc>
          <w:tcPr>
            <w:tcW w:w="780" w:type="dxa"/>
            <w:vAlign w:val="bottom"/>
          </w:tcPr>
          <w:p>
            <w:pPr>
              <w:jc w:val="right"/>
              <w:ind w:right="1"/>
              <w:spacing w:after="0"/>
              <w:rPr>
                <w:sz w:val="20"/>
                <w:szCs w:val="20"/>
                <w:color w:val="auto"/>
              </w:rPr>
            </w:pPr>
            <w:r>
              <w:rPr>
                <w:rFonts w:ascii="Arial" w:cs="Arial" w:eastAsia="Arial" w:hAnsi="Arial"/>
                <w:sz w:val="16"/>
                <w:szCs w:val="16"/>
                <w:color w:val="auto"/>
              </w:rPr>
              <w:t>(0.15)</w:t>
            </w:r>
          </w:p>
        </w:tc>
        <w:tc>
          <w:tcPr>
            <w:tcW w:w="220" w:type="dxa"/>
            <w:vAlign w:val="bottom"/>
          </w:tcPr>
          <w:p>
            <w:pPr>
              <w:jc w:val="right"/>
              <w:spacing w:after="0"/>
              <w:rPr>
                <w:sz w:val="20"/>
                <w:szCs w:val="20"/>
                <w:color w:val="auto"/>
              </w:rPr>
            </w:pPr>
            <w:r>
              <w:rPr>
                <w:rFonts w:ascii="Arial" w:cs="Arial" w:eastAsia="Arial" w:hAnsi="Arial"/>
                <w:sz w:val="16"/>
                <w:szCs w:val="16"/>
                <w:color w:val="auto"/>
              </w:rPr>
              <w:t>$</w:t>
            </w:r>
          </w:p>
        </w:tc>
        <w:tc>
          <w:tcPr>
            <w:tcW w:w="800" w:type="dxa"/>
            <w:vAlign w:val="bottom"/>
          </w:tcPr>
          <w:p>
            <w:pPr>
              <w:jc w:val="right"/>
              <w:ind w:right="1"/>
              <w:spacing w:after="0"/>
              <w:rPr>
                <w:sz w:val="20"/>
                <w:szCs w:val="20"/>
                <w:color w:val="auto"/>
              </w:rPr>
            </w:pPr>
            <w:r>
              <w:rPr>
                <w:rFonts w:ascii="Arial" w:cs="Arial" w:eastAsia="Arial" w:hAnsi="Arial"/>
                <w:sz w:val="16"/>
                <w:szCs w:val="16"/>
                <w:color w:val="auto"/>
              </w:rPr>
              <w:t>(0.19)</w:t>
            </w:r>
          </w:p>
        </w:tc>
        <w:tc>
          <w:tcPr>
            <w:tcW w:w="220" w:type="dxa"/>
            <w:vAlign w:val="bottom"/>
          </w:tcPr>
          <w:p>
            <w:pPr>
              <w:jc w:val="right"/>
              <w:spacing w:after="0"/>
              <w:rPr>
                <w:sz w:val="20"/>
                <w:szCs w:val="20"/>
                <w:color w:val="auto"/>
              </w:rPr>
            </w:pPr>
            <w:r>
              <w:rPr>
                <w:rFonts w:ascii="Arial" w:cs="Arial" w:eastAsia="Arial" w:hAnsi="Arial"/>
                <w:sz w:val="16"/>
                <w:szCs w:val="16"/>
                <w:color w:val="auto"/>
              </w:rPr>
              <w:t>$</w:t>
            </w:r>
          </w:p>
        </w:tc>
        <w:tc>
          <w:tcPr>
            <w:tcW w:w="740" w:type="dxa"/>
            <w:vAlign w:val="bottom"/>
          </w:tcPr>
          <w:p>
            <w:pPr>
              <w:jc w:val="right"/>
              <w:spacing w:after="0"/>
              <w:rPr>
                <w:sz w:val="20"/>
                <w:szCs w:val="20"/>
                <w:color w:val="auto"/>
              </w:rPr>
            </w:pPr>
            <w:r>
              <w:rPr>
                <w:rFonts w:ascii="Arial" w:cs="Arial" w:eastAsia="Arial" w:hAnsi="Arial"/>
                <w:sz w:val="16"/>
                <w:szCs w:val="16"/>
                <w:color w:val="auto"/>
              </w:rPr>
              <w:t>(0.81)</w:t>
            </w:r>
          </w:p>
        </w:tc>
      </w:tr>
      <w:tr>
        <w:trPr>
          <w:trHeight w:val="238"/>
        </w:trPr>
        <w:tc>
          <w:tcPr>
            <w:tcW w:w="7400" w:type="dxa"/>
            <w:vAlign w:val="bottom"/>
          </w:tcPr>
          <w:p>
            <w:pPr>
              <w:ind w:left="20"/>
              <w:spacing w:after="0"/>
              <w:rPr>
                <w:sz w:val="20"/>
                <w:szCs w:val="20"/>
                <w:color w:val="auto"/>
              </w:rPr>
            </w:pPr>
            <w:r>
              <w:rPr>
                <w:rFonts w:ascii="Arial" w:cs="Arial" w:eastAsia="Arial" w:hAnsi="Arial"/>
                <w:sz w:val="16"/>
                <w:szCs w:val="16"/>
                <w:color w:val="auto"/>
              </w:rPr>
              <w:t>Ÿ Non-operating gain, net, of $20.0 million from the sales of land and marketable equity securities</w:t>
            </w:r>
          </w:p>
        </w:tc>
        <w:tc>
          <w:tcPr>
            <w:tcW w:w="18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40" w:type="dxa"/>
            <w:vAlign w:val="bottom"/>
          </w:tcPr>
          <w:p>
            <w:pPr>
              <w:spacing w:after="0"/>
              <w:rPr>
                <w:sz w:val="20"/>
                <w:szCs w:val="20"/>
                <w:color w:val="auto"/>
              </w:rPr>
            </w:pPr>
          </w:p>
        </w:tc>
      </w:tr>
      <w:tr>
        <w:trPr>
          <w:trHeight w:val="189"/>
        </w:trPr>
        <w:tc>
          <w:tcPr>
            <w:tcW w:w="7400" w:type="dxa"/>
            <w:vAlign w:val="bottom"/>
          </w:tcPr>
          <w:p>
            <w:pPr>
              <w:ind w:left="220"/>
              <w:spacing w:after="0"/>
              <w:rPr>
                <w:sz w:val="20"/>
                <w:szCs w:val="20"/>
                <w:color w:val="auto"/>
              </w:rPr>
            </w:pPr>
            <w:r>
              <w:rPr>
                <w:rFonts w:ascii="Arial" w:cs="Arial" w:eastAsia="Arial" w:hAnsi="Arial"/>
                <w:sz w:val="16"/>
                <w:szCs w:val="16"/>
                <w:color w:val="auto"/>
              </w:rPr>
              <w:t>($1.1 million gain, $23.9 million gain and $5.0 million loss in the first, second and fourth quarters,</w:t>
            </w:r>
          </w:p>
        </w:tc>
        <w:tc>
          <w:tcPr>
            <w:tcW w:w="18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40" w:type="dxa"/>
            <w:vAlign w:val="bottom"/>
          </w:tcPr>
          <w:p>
            <w:pPr>
              <w:spacing w:after="0"/>
              <w:rPr>
                <w:sz w:val="16"/>
                <w:szCs w:val="16"/>
                <w:color w:val="auto"/>
              </w:rPr>
            </w:pPr>
          </w:p>
        </w:tc>
      </w:tr>
      <w:tr>
        <w:trPr>
          <w:trHeight w:val="195"/>
        </w:trPr>
        <w:tc>
          <w:tcPr>
            <w:tcW w:w="7400" w:type="dxa"/>
            <w:vAlign w:val="bottom"/>
          </w:tcPr>
          <w:p>
            <w:pPr>
              <w:ind w:left="220"/>
              <w:spacing w:after="0"/>
              <w:rPr>
                <w:sz w:val="20"/>
                <w:szCs w:val="20"/>
                <w:color w:val="auto"/>
              </w:rPr>
            </w:pPr>
            <w:r>
              <w:rPr>
                <w:rFonts w:ascii="Arial" w:cs="Arial" w:eastAsia="Arial" w:hAnsi="Arial"/>
                <w:sz w:val="16"/>
                <w:szCs w:val="16"/>
                <w:color w:val="auto"/>
              </w:rPr>
              <w:t>respectively)</w:t>
            </w:r>
          </w:p>
        </w:tc>
        <w:tc>
          <w:tcPr>
            <w:tcW w:w="180" w:type="dxa"/>
            <w:vAlign w:val="bottom"/>
          </w:tcPr>
          <w:p>
            <w:pPr>
              <w:jc w:val="right"/>
              <w:spacing w:after="0"/>
              <w:rPr>
                <w:sz w:val="20"/>
                <w:szCs w:val="20"/>
                <w:color w:val="auto"/>
              </w:rPr>
            </w:pPr>
            <w:r>
              <w:rPr>
                <w:rFonts w:ascii="Arial" w:cs="Arial" w:eastAsia="Arial" w:hAnsi="Arial"/>
                <w:sz w:val="16"/>
                <w:szCs w:val="16"/>
                <w:color w:val="auto"/>
              </w:rPr>
              <w:t>$</w:t>
            </w:r>
          </w:p>
        </w:tc>
        <w:tc>
          <w:tcPr>
            <w:tcW w:w="780" w:type="dxa"/>
            <w:vAlign w:val="bottom"/>
          </w:tcPr>
          <w:p>
            <w:pPr>
              <w:jc w:val="right"/>
              <w:ind w:right="41"/>
              <w:spacing w:after="0"/>
              <w:rPr>
                <w:sz w:val="20"/>
                <w:szCs w:val="20"/>
                <w:color w:val="auto"/>
              </w:rPr>
            </w:pPr>
            <w:r>
              <w:rPr>
                <w:rFonts w:ascii="Arial" w:cs="Arial" w:eastAsia="Arial" w:hAnsi="Arial"/>
                <w:sz w:val="16"/>
                <w:szCs w:val="16"/>
                <w:color w:val="auto"/>
              </w:rPr>
              <w:t>0.19</w:t>
            </w:r>
          </w:p>
        </w:tc>
        <w:tc>
          <w:tcPr>
            <w:tcW w:w="240" w:type="dxa"/>
            <w:vAlign w:val="bottom"/>
          </w:tcPr>
          <w:p>
            <w:pPr>
              <w:jc w:val="right"/>
              <w:spacing w:after="0"/>
              <w:rPr>
                <w:sz w:val="20"/>
                <w:szCs w:val="20"/>
                <w:color w:val="auto"/>
              </w:rPr>
            </w:pPr>
            <w:r>
              <w:rPr>
                <w:rFonts w:ascii="Arial" w:cs="Arial" w:eastAsia="Arial" w:hAnsi="Arial"/>
                <w:sz w:val="16"/>
                <w:szCs w:val="16"/>
                <w:color w:val="auto"/>
              </w:rPr>
              <w:t>$</w:t>
            </w:r>
          </w:p>
        </w:tc>
        <w:tc>
          <w:tcPr>
            <w:tcW w:w="780" w:type="dxa"/>
            <w:vAlign w:val="bottom"/>
          </w:tcPr>
          <w:p>
            <w:pPr>
              <w:jc w:val="right"/>
              <w:ind w:right="61"/>
              <w:spacing w:after="0"/>
              <w:rPr>
                <w:sz w:val="20"/>
                <w:szCs w:val="20"/>
                <w:color w:val="auto"/>
              </w:rPr>
            </w:pPr>
            <w:r>
              <w:rPr>
                <w:rFonts w:ascii="Arial" w:cs="Arial" w:eastAsia="Arial" w:hAnsi="Arial"/>
                <w:sz w:val="16"/>
                <w:szCs w:val="16"/>
                <w:color w:val="auto"/>
              </w:rPr>
              <w:t>4.23</w:t>
            </w:r>
          </w:p>
        </w:tc>
        <w:tc>
          <w:tcPr>
            <w:tcW w:w="2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220" w:type="dxa"/>
            <w:vAlign w:val="bottom"/>
          </w:tcPr>
          <w:p>
            <w:pPr>
              <w:jc w:val="right"/>
              <w:spacing w:after="0"/>
              <w:rPr>
                <w:sz w:val="20"/>
                <w:szCs w:val="20"/>
                <w:color w:val="auto"/>
              </w:rPr>
            </w:pPr>
            <w:r>
              <w:rPr>
                <w:rFonts w:ascii="Arial" w:cs="Arial" w:eastAsia="Arial" w:hAnsi="Arial"/>
                <w:sz w:val="16"/>
                <w:szCs w:val="16"/>
                <w:color w:val="auto"/>
              </w:rPr>
              <w:t>$</w:t>
            </w:r>
          </w:p>
        </w:tc>
        <w:tc>
          <w:tcPr>
            <w:tcW w:w="740" w:type="dxa"/>
            <w:vAlign w:val="bottom"/>
          </w:tcPr>
          <w:p>
            <w:pPr>
              <w:jc w:val="right"/>
              <w:spacing w:after="0"/>
              <w:rPr>
                <w:sz w:val="20"/>
                <w:szCs w:val="20"/>
                <w:color w:val="auto"/>
              </w:rPr>
            </w:pPr>
            <w:r>
              <w:rPr>
                <w:rFonts w:ascii="Arial" w:cs="Arial" w:eastAsia="Arial" w:hAnsi="Arial"/>
                <w:sz w:val="16"/>
                <w:szCs w:val="16"/>
                <w:color w:val="auto"/>
              </w:rPr>
              <w:t>(0.90)</w:t>
            </w:r>
          </w:p>
        </w:tc>
      </w:tr>
      <w:tr>
        <w:trPr>
          <w:trHeight w:val="238"/>
        </w:trPr>
        <w:tc>
          <w:tcPr>
            <w:tcW w:w="7400" w:type="dxa"/>
            <w:vAlign w:val="bottom"/>
          </w:tcPr>
          <w:p>
            <w:pPr>
              <w:ind w:left="20"/>
              <w:spacing w:after="0"/>
              <w:rPr>
                <w:sz w:val="20"/>
                <w:szCs w:val="20"/>
                <w:color w:val="auto"/>
              </w:rPr>
            </w:pPr>
            <w:r>
              <w:rPr>
                <w:rFonts w:ascii="Arial" w:cs="Arial" w:eastAsia="Arial" w:hAnsi="Arial"/>
                <w:sz w:val="16"/>
                <w:szCs w:val="16"/>
                <w:color w:val="auto"/>
              </w:rPr>
              <w:t>Ÿ Non-operating gain of $13.6 million arising from the sale of a business and the formation of a joint</w:t>
            </w:r>
          </w:p>
        </w:tc>
        <w:tc>
          <w:tcPr>
            <w:tcW w:w="18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40" w:type="dxa"/>
            <w:vAlign w:val="bottom"/>
          </w:tcPr>
          <w:p>
            <w:pPr>
              <w:spacing w:after="0"/>
              <w:rPr>
                <w:sz w:val="20"/>
                <w:szCs w:val="20"/>
                <w:color w:val="auto"/>
              </w:rPr>
            </w:pPr>
          </w:p>
        </w:tc>
      </w:tr>
      <w:tr>
        <w:trPr>
          <w:trHeight w:val="195"/>
        </w:trPr>
        <w:tc>
          <w:tcPr>
            <w:tcW w:w="7400" w:type="dxa"/>
            <w:vAlign w:val="bottom"/>
          </w:tcPr>
          <w:p>
            <w:pPr>
              <w:ind w:left="220"/>
              <w:spacing w:after="0"/>
              <w:rPr>
                <w:sz w:val="20"/>
                <w:szCs w:val="20"/>
                <w:color w:val="auto"/>
              </w:rPr>
            </w:pPr>
            <w:r>
              <w:rPr>
                <w:rFonts w:ascii="Arial" w:cs="Arial" w:eastAsia="Arial" w:hAnsi="Arial"/>
                <w:sz w:val="16"/>
                <w:szCs w:val="16"/>
                <w:color w:val="auto"/>
              </w:rPr>
              <w:t>venture ($11.9 million and $1.7 million in the first and second quarters, respectively)</w:t>
            </w:r>
          </w:p>
        </w:tc>
        <w:tc>
          <w:tcPr>
            <w:tcW w:w="180" w:type="dxa"/>
            <w:vAlign w:val="bottom"/>
          </w:tcPr>
          <w:p>
            <w:pPr>
              <w:jc w:val="right"/>
              <w:spacing w:after="0"/>
              <w:rPr>
                <w:sz w:val="20"/>
                <w:szCs w:val="20"/>
                <w:color w:val="auto"/>
              </w:rPr>
            </w:pPr>
            <w:r>
              <w:rPr>
                <w:rFonts w:ascii="Arial" w:cs="Arial" w:eastAsia="Arial" w:hAnsi="Arial"/>
                <w:sz w:val="16"/>
                <w:szCs w:val="16"/>
                <w:color w:val="auto"/>
              </w:rPr>
              <w:t>$</w:t>
            </w:r>
          </w:p>
        </w:tc>
        <w:tc>
          <w:tcPr>
            <w:tcW w:w="780" w:type="dxa"/>
            <w:vAlign w:val="bottom"/>
          </w:tcPr>
          <w:p>
            <w:pPr>
              <w:jc w:val="right"/>
              <w:ind w:right="41"/>
              <w:spacing w:after="0"/>
              <w:rPr>
                <w:sz w:val="20"/>
                <w:szCs w:val="20"/>
                <w:color w:val="auto"/>
              </w:rPr>
            </w:pPr>
            <w:r>
              <w:rPr>
                <w:rFonts w:ascii="Arial" w:cs="Arial" w:eastAsia="Arial" w:hAnsi="Arial"/>
                <w:sz w:val="16"/>
                <w:szCs w:val="16"/>
                <w:color w:val="auto"/>
              </w:rPr>
              <w:t>2.08</w:t>
            </w:r>
          </w:p>
        </w:tc>
        <w:tc>
          <w:tcPr>
            <w:tcW w:w="240" w:type="dxa"/>
            <w:vAlign w:val="bottom"/>
          </w:tcPr>
          <w:p>
            <w:pPr>
              <w:jc w:val="right"/>
              <w:spacing w:after="0"/>
              <w:rPr>
                <w:sz w:val="20"/>
                <w:szCs w:val="20"/>
                <w:color w:val="auto"/>
              </w:rPr>
            </w:pPr>
            <w:r>
              <w:rPr>
                <w:rFonts w:ascii="Arial" w:cs="Arial" w:eastAsia="Arial" w:hAnsi="Arial"/>
                <w:sz w:val="16"/>
                <w:szCs w:val="16"/>
                <w:color w:val="auto"/>
              </w:rPr>
              <w:t>$</w:t>
            </w:r>
          </w:p>
        </w:tc>
        <w:tc>
          <w:tcPr>
            <w:tcW w:w="780" w:type="dxa"/>
            <w:vAlign w:val="bottom"/>
          </w:tcPr>
          <w:p>
            <w:pPr>
              <w:jc w:val="right"/>
              <w:ind w:right="61"/>
              <w:spacing w:after="0"/>
              <w:rPr>
                <w:sz w:val="20"/>
                <w:szCs w:val="20"/>
                <w:color w:val="auto"/>
              </w:rPr>
            </w:pPr>
            <w:r>
              <w:rPr>
                <w:rFonts w:ascii="Arial" w:cs="Arial" w:eastAsia="Arial" w:hAnsi="Arial"/>
                <w:sz w:val="16"/>
                <w:szCs w:val="16"/>
                <w:color w:val="auto"/>
              </w:rPr>
              <w:t>0.29</w:t>
            </w:r>
          </w:p>
        </w:tc>
        <w:tc>
          <w:tcPr>
            <w:tcW w:w="2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40" w:type="dxa"/>
            <w:vAlign w:val="bottom"/>
          </w:tcPr>
          <w:p>
            <w:pPr>
              <w:spacing w:after="0"/>
              <w:rPr>
                <w:sz w:val="16"/>
                <w:szCs w:val="16"/>
                <w:color w:val="auto"/>
              </w:rPr>
            </w:pPr>
          </w:p>
        </w:tc>
      </w:tr>
      <w:tr>
        <w:trPr>
          <w:trHeight w:val="238"/>
        </w:trPr>
        <w:tc>
          <w:tcPr>
            <w:tcW w:w="7400" w:type="dxa"/>
            <w:vAlign w:val="bottom"/>
          </w:tcPr>
          <w:p>
            <w:pPr>
              <w:ind w:left="20"/>
              <w:spacing w:after="0"/>
              <w:rPr>
                <w:sz w:val="20"/>
                <w:szCs w:val="20"/>
                <w:color w:val="auto"/>
              </w:rPr>
            </w:pPr>
            <w:r>
              <w:rPr>
                <w:rFonts w:ascii="Arial" w:cs="Arial" w:eastAsia="Arial" w:hAnsi="Arial"/>
                <w:sz w:val="16"/>
                <w:szCs w:val="16"/>
                <w:color w:val="auto"/>
              </w:rPr>
              <w:t>Ÿ Non-operating expense of $24.1 million from the write-down of cost method investments and</w:t>
            </w:r>
          </w:p>
        </w:tc>
        <w:tc>
          <w:tcPr>
            <w:tcW w:w="18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40" w:type="dxa"/>
            <w:vAlign w:val="bottom"/>
          </w:tcPr>
          <w:p>
            <w:pPr>
              <w:spacing w:after="0"/>
              <w:rPr>
                <w:sz w:val="20"/>
                <w:szCs w:val="20"/>
                <w:color w:val="auto"/>
              </w:rPr>
            </w:pPr>
          </w:p>
        </w:tc>
      </w:tr>
      <w:tr>
        <w:trPr>
          <w:trHeight w:val="195"/>
        </w:trPr>
        <w:tc>
          <w:tcPr>
            <w:tcW w:w="7400" w:type="dxa"/>
            <w:vAlign w:val="bottom"/>
          </w:tcPr>
          <w:p>
            <w:pPr>
              <w:ind w:left="220"/>
              <w:spacing w:after="0"/>
              <w:rPr>
                <w:sz w:val="20"/>
                <w:szCs w:val="20"/>
                <w:color w:val="auto"/>
              </w:rPr>
            </w:pPr>
            <w:r>
              <w:rPr>
                <w:rFonts w:ascii="Arial" w:cs="Arial" w:eastAsia="Arial" w:hAnsi="Arial"/>
                <w:sz w:val="16"/>
                <w:szCs w:val="16"/>
                <w:color w:val="auto"/>
              </w:rPr>
              <w:t>investments in affiliates ($9.6 million and $14.5 million in the third and fourth quarters, respectively)</w:t>
            </w:r>
          </w:p>
        </w:tc>
        <w:tc>
          <w:tcPr>
            <w:tcW w:w="18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220" w:type="dxa"/>
            <w:vAlign w:val="bottom"/>
          </w:tcPr>
          <w:p>
            <w:pPr>
              <w:jc w:val="right"/>
              <w:spacing w:after="0"/>
              <w:rPr>
                <w:sz w:val="20"/>
                <w:szCs w:val="20"/>
                <w:color w:val="auto"/>
              </w:rPr>
            </w:pPr>
            <w:r>
              <w:rPr>
                <w:rFonts w:ascii="Arial" w:cs="Arial" w:eastAsia="Arial" w:hAnsi="Arial"/>
                <w:sz w:val="16"/>
                <w:szCs w:val="16"/>
                <w:color w:val="auto"/>
              </w:rPr>
              <w:t>$</w:t>
            </w:r>
          </w:p>
        </w:tc>
        <w:tc>
          <w:tcPr>
            <w:tcW w:w="800" w:type="dxa"/>
            <w:vAlign w:val="bottom"/>
          </w:tcPr>
          <w:p>
            <w:pPr>
              <w:jc w:val="right"/>
              <w:ind w:right="1"/>
              <w:spacing w:after="0"/>
              <w:rPr>
                <w:sz w:val="20"/>
                <w:szCs w:val="20"/>
                <w:color w:val="auto"/>
              </w:rPr>
            </w:pPr>
            <w:r>
              <w:rPr>
                <w:rFonts w:ascii="Arial" w:cs="Arial" w:eastAsia="Arial" w:hAnsi="Arial"/>
                <w:sz w:val="16"/>
                <w:szCs w:val="16"/>
                <w:color w:val="auto"/>
              </w:rPr>
              <w:t>(1.70)</w:t>
            </w:r>
          </w:p>
        </w:tc>
        <w:tc>
          <w:tcPr>
            <w:tcW w:w="220" w:type="dxa"/>
            <w:vAlign w:val="bottom"/>
          </w:tcPr>
          <w:p>
            <w:pPr>
              <w:jc w:val="right"/>
              <w:spacing w:after="0"/>
              <w:rPr>
                <w:sz w:val="20"/>
                <w:szCs w:val="20"/>
                <w:color w:val="auto"/>
              </w:rPr>
            </w:pPr>
            <w:r>
              <w:rPr>
                <w:rFonts w:ascii="Arial" w:cs="Arial" w:eastAsia="Arial" w:hAnsi="Arial"/>
                <w:sz w:val="16"/>
                <w:szCs w:val="16"/>
                <w:color w:val="auto"/>
              </w:rPr>
              <w:t>$</w:t>
            </w:r>
          </w:p>
        </w:tc>
        <w:tc>
          <w:tcPr>
            <w:tcW w:w="740" w:type="dxa"/>
            <w:vAlign w:val="bottom"/>
          </w:tcPr>
          <w:p>
            <w:pPr>
              <w:jc w:val="right"/>
              <w:spacing w:after="0"/>
              <w:rPr>
                <w:sz w:val="20"/>
                <w:szCs w:val="20"/>
                <w:color w:val="auto"/>
              </w:rPr>
            </w:pPr>
            <w:r>
              <w:rPr>
                <w:rFonts w:ascii="Arial" w:cs="Arial" w:eastAsia="Arial" w:hAnsi="Arial"/>
                <w:sz w:val="16"/>
                <w:szCs w:val="16"/>
                <w:color w:val="auto"/>
              </w:rPr>
              <w:t>(2.57)</w:t>
            </w:r>
          </w:p>
        </w:tc>
      </w:tr>
      <w:tr>
        <w:trPr>
          <w:trHeight w:val="238"/>
        </w:trPr>
        <w:tc>
          <w:tcPr>
            <w:tcW w:w="7400" w:type="dxa"/>
            <w:vAlign w:val="bottom"/>
          </w:tcPr>
          <w:p>
            <w:pPr>
              <w:ind w:left="20"/>
              <w:spacing w:after="0"/>
              <w:rPr>
                <w:sz w:val="20"/>
                <w:szCs w:val="20"/>
                <w:color w:val="auto"/>
              </w:rPr>
            </w:pPr>
            <w:r>
              <w:rPr>
                <w:rFonts w:ascii="Arial" w:cs="Arial" w:eastAsia="Arial" w:hAnsi="Arial"/>
                <w:sz w:val="16"/>
                <w:szCs w:val="16"/>
                <w:color w:val="auto"/>
              </w:rPr>
              <w:t>Ÿ Losses, net, of $25.5 million for non-operating foreign currency losses ($3.4 million, $15.4 million,</w:t>
            </w:r>
          </w:p>
        </w:tc>
        <w:tc>
          <w:tcPr>
            <w:tcW w:w="18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40" w:type="dxa"/>
            <w:vAlign w:val="bottom"/>
          </w:tcPr>
          <w:p>
            <w:pPr>
              <w:spacing w:after="0"/>
              <w:rPr>
                <w:sz w:val="20"/>
                <w:szCs w:val="20"/>
                <w:color w:val="auto"/>
              </w:rPr>
            </w:pPr>
          </w:p>
        </w:tc>
      </w:tr>
      <w:tr>
        <w:trPr>
          <w:trHeight w:val="195"/>
        </w:trPr>
        <w:tc>
          <w:tcPr>
            <w:tcW w:w="7400" w:type="dxa"/>
            <w:vAlign w:val="bottom"/>
          </w:tcPr>
          <w:p>
            <w:pPr>
              <w:ind w:left="220"/>
              <w:spacing w:after="0"/>
              <w:rPr>
                <w:sz w:val="20"/>
                <w:szCs w:val="20"/>
                <w:color w:val="auto"/>
              </w:rPr>
            </w:pPr>
            <w:r>
              <w:rPr>
                <w:rFonts w:ascii="Arial" w:cs="Arial" w:eastAsia="Arial" w:hAnsi="Arial"/>
                <w:sz w:val="16"/>
                <w:szCs w:val="16"/>
                <w:color w:val="auto"/>
              </w:rPr>
              <w:t>$2.4 million and $4.2 million in the first, second, third and fourth quarters, respectively)</w:t>
            </w:r>
          </w:p>
        </w:tc>
        <w:tc>
          <w:tcPr>
            <w:tcW w:w="180" w:type="dxa"/>
            <w:vAlign w:val="bottom"/>
          </w:tcPr>
          <w:p>
            <w:pPr>
              <w:jc w:val="right"/>
              <w:spacing w:after="0"/>
              <w:rPr>
                <w:sz w:val="20"/>
                <w:szCs w:val="20"/>
                <w:color w:val="auto"/>
              </w:rPr>
            </w:pPr>
            <w:r>
              <w:rPr>
                <w:rFonts w:ascii="Arial" w:cs="Arial" w:eastAsia="Arial" w:hAnsi="Arial"/>
                <w:sz w:val="16"/>
                <w:szCs w:val="16"/>
                <w:color w:val="auto"/>
              </w:rPr>
              <w:t>$</w:t>
            </w:r>
          </w:p>
        </w:tc>
        <w:tc>
          <w:tcPr>
            <w:tcW w:w="780" w:type="dxa"/>
            <w:vAlign w:val="bottom"/>
          </w:tcPr>
          <w:p>
            <w:pPr>
              <w:jc w:val="right"/>
              <w:ind w:right="1"/>
              <w:spacing w:after="0"/>
              <w:rPr>
                <w:sz w:val="20"/>
                <w:szCs w:val="20"/>
                <w:color w:val="auto"/>
              </w:rPr>
            </w:pPr>
            <w:r>
              <w:rPr>
                <w:rFonts w:ascii="Arial" w:cs="Arial" w:eastAsia="Arial" w:hAnsi="Arial"/>
                <w:sz w:val="16"/>
                <w:szCs w:val="16"/>
                <w:color w:val="auto"/>
              </w:rPr>
              <w:t>(0.60)</w:t>
            </w:r>
          </w:p>
        </w:tc>
        <w:tc>
          <w:tcPr>
            <w:tcW w:w="240" w:type="dxa"/>
            <w:vAlign w:val="bottom"/>
          </w:tcPr>
          <w:p>
            <w:pPr>
              <w:jc w:val="right"/>
              <w:spacing w:after="0"/>
              <w:rPr>
                <w:sz w:val="20"/>
                <w:szCs w:val="20"/>
                <w:color w:val="auto"/>
              </w:rPr>
            </w:pPr>
            <w:r>
              <w:rPr>
                <w:rFonts w:ascii="Arial" w:cs="Arial" w:eastAsia="Arial" w:hAnsi="Arial"/>
                <w:sz w:val="16"/>
                <w:szCs w:val="16"/>
                <w:color w:val="auto"/>
              </w:rPr>
              <w:t>$</w:t>
            </w:r>
          </w:p>
        </w:tc>
        <w:tc>
          <w:tcPr>
            <w:tcW w:w="780" w:type="dxa"/>
            <w:vAlign w:val="bottom"/>
          </w:tcPr>
          <w:p>
            <w:pPr>
              <w:jc w:val="right"/>
              <w:ind w:right="1"/>
              <w:spacing w:after="0"/>
              <w:rPr>
                <w:sz w:val="20"/>
                <w:szCs w:val="20"/>
                <w:color w:val="auto"/>
              </w:rPr>
            </w:pPr>
            <w:r>
              <w:rPr>
                <w:rFonts w:ascii="Arial" w:cs="Arial" w:eastAsia="Arial" w:hAnsi="Arial"/>
                <w:sz w:val="16"/>
                <w:szCs w:val="16"/>
                <w:color w:val="auto"/>
              </w:rPr>
              <w:t>(2.73)</w:t>
            </w:r>
          </w:p>
        </w:tc>
        <w:tc>
          <w:tcPr>
            <w:tcW w:w="220" w:type="dxa"/>
            <w:vAlign w:val="bottom"/>
          </w:tcPr>
          <w:p>
            <w:pPr>
              <w:jc w:val="right"/>
              <w:spacing w:after="0"/>
              <w:rPr>
                <w:sz w:val="20"/>
                <w:szCs w:val="20"/>
                <w:color w:val="auto"/>
              </w:rPr>
            </w:pPr>
            <w:r>
              <w:rPr>
                <w:rFonts w:ascii="Arial" w:cs="Arial" w:eastAsia="Arial" w:hAnsi="Arial"/>
                <w:sz w:val="16"/>
                <w:szCs w:val="16"/>
                <w:color w:val="auto"/>
              </w:rPr>
              <w:t>$</w:t>
            </w:r>
          </w:p>
        </w:tc>
        <w:tc>
          <w:tcPr>
            <w:tcW w:w="800" w:type="dxa"/>
            <w:vAlign w:val="bottom"/>
          </w:tcPr>
          <w:p>
            <w:pPr>
              <w:jc w:val="right"/>
              <w:ind w:right="1"/>
              <w:spacing w:after="0"/>
              <w:rPr>
                <w:sz w:val="20"/>
                <w:szCs w:val="20"/>
                <w:color w:val="auto"/>
              </w:rPr>
            </w:pPr>
            <w:r>
              <w:rPr>
                <w:rFonts w:ascii="Arial" w:cs="Arial" w:eastAsia="Arial" w:hAnsi="Arial"/>
                <w:sz w:val="16"/>
                <w:szCs w:val="16"/>
                <w:color w:val="auto"/>
              </w:rPr>
              <w:t>(0.43)</w:t>
            </w:r>
          </w:p>
        </w:tc>
        <w:tc>
          <w:tcPr>
            <w:tcW w:w="220" w:type="dxa"/>
            <w:vAlign w:val="bottom"/>
          </w:tcPr>
          <w:p>
            <w:pPr>
              <w:jc w:val="right"/>
              <w:spacing w:after="0"/>
              <w:rPr>
                <w:sz w:val="20"/>
                <w:szCs w:val="20"/>
                <w:color w:val="auto"/>
              </w:rPr>
            </w:pPr>
            <w:r>
              <w:rPr>
                <w:rFonts w:ascii="Arial" w:cs="Arial" w:eastAsia="Arial" w:hAnsi="Arial"/>
                <w:sz w:val="16"/>
                <w:szCs w:val="16"/>
                <w:color w:val="auto"/>
              </w:rPr>
              <w:t>$</w:t>
            </w:r>
          </w:p>
        </w:tc>
        <w:tc>
          <w:tcPr>
            <w:tcW w:w="740" w:type="dxa"/>
            <w:vAlign w:val="bottom"/>
          </w:tcPr>
          <w:p>
            <w:pPr>
              <w:jc w:val="right"/>
              <w:spacing w:after="0"/>
              <w:rPr>
                <w:sz w:val="20"/>
                <w:szCs w:val="20"/>
                <w:color w:val="auto"/>
              </w:rPr>
            </w:pPr>
            <w:r>
              <w:rPr>
                <w:rFonts w:ascii="Arial" w:cs="Arial" w:eastAsia="Arial" w:hAnsi="Arial"/>
                <w:sz w:val="16"/>
                <w:szCs w:val="16"/>
                <w:color w:val="auto"/>
              </w:rPr>
              <w:t>(0.75)</w:t>
            </w:r>
          </w:p>
        </w:tc>
      </w:tr>
      <w:tr>
        <w:trPr>
          <w:trHeight w:val="270"/>
        </w:trPr>
        <w:tc>
          <w:tcPr>
            <w:tcW w:w="7400" w:type="dxa"/>
            <w:vAlign w:val="bottom"/>
          </w:tcPr>
          <w:p>
            <w:pPr>
              <w:ind w:left="20"/>
              <w:spacing w:after="0"/>
              <w:rPr>
                <w:sz w:val="20"/>
                <w:szCs w:val="20"/>
                <w:color w:val="auto"/>
              </w:rPr>
            </w:pPr>
            <w:r>
              <w:rPr>
                <w:rFonts w:ascii="Arial" w:cs="Arial" w:eastAsia="Arial" w:hAnsi="Arial"/>
                <w:sz w:val="16"/>
                <w:szCs w:val="16"/>
                <w:color w:val="auto"/>
              </w:rPr>
              <w:t>Ÿ Net nonrecurring $8.3 million deferred tax benefit related to Kaplan’s international operations</w:t>
            </w:r>
          </w:p>
        </w:tc>
        <w:tc>
          <w:tcPr>
            <w:tcW w:w="18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220" w:type="dxa"/>
            <w:vAlign w:val="bottom"/>
          </w:tcPr>
          <w:p>
            <w:pPr>
              <w:jc w:val="right"/>
              <w:spacing w:after="0"/>
              <w:rPr>
                <w:sz w:val="20"/>
                <w:szCs w:val="20"/>
                <w:color w:val="auto"/>
              </w:rPr>
            </w:pPr>
            <w:r>
              <w:rPr>
                <w:rFonts w:ascii="Arial" w:cs="Arial" w:eastAsia="Arial" w:hAnsi="Arial"/>
                <w:sz w:val="16"/>
                <w:szCs w:val="16"/>
                <w:color w:val="auto"/>
              </w:rPr>
              <w:t>$</w:t>
            </w:r>
          </w:p>
        </w:tc>
        <w:tc>
          <w:tcPr>
            <w:tcW w:w="800" w:type="dxa"/>
            <w:vAlign w:val="bottom"/>
          </w:tcPr>
          <w:p>
            <w:pPr>
              <w:jc w:val="right"/>
              <w:ind w:right="61"/>
              <w:spacing w:after="0"/>
              <w:rPr>
                <w:sz w:val="20"/>
                <w:szCs w:val="20"/>
                <w:color w:val="auto"/>
              </w:rPr>
            </w:pPr>
            <w:r>
              <w:rPr>
                <w:rFonts w:ascii="Arial" w:cs="Arial" w:eastAsia="Arial" w:hAnsi="Arial"/>
                <w:sz w:val="16"/>
                <w:szCs w:val="16"/>
                <w:color w:val="auto"/>
              </w:rPr>
              <w:t>1.47</w:t>
            </w:r>
          </w:p>
        </w:tc>
        <w:tc>
          <w:tcPr>
            <w:tcW w:w="220" w:type="dxa"/>
            <w:vAlign w:val="bottom"/>
          </w:tcPr>
          <w:p>
            <w:pPr>
              <w:spacing w:after="0"/>
              <w:rPr>
                <w:sz w:val="23"/>
                <w:szCs w:val="23"/>
                <w:color w:val="auto"/>
              </w:rPr>
            </w:pPr>
          </w:p>
        </w:tc>
        <w:tc>
          <w:tcPr>
            <w:tcW w:w="740" w:type="dxa"/>
            <w:vAlign w:val="bottom"/>
          </w:tcPr>
          <w:p>
            <w:pPr>
              <w:spacing w:after="0"/>
              <w:rPr>
                <w:sz w:val="23"/>
                <w:szCs w:val="23"/>
                <w:color w:val="auto"/>
              </w:rPr>
            </w:pPr>
          </w:p>
        </w:tc>
      </w:tr>
      <w:tr>
        <w:trPr>
          <w:trHeight w:val="238"/>
        </w:trPr>
        <w:tc>
          <w:tcPr>
            <w:tcW w:w="7400" w:type="dxa"/>
            <w:vAlign w:val="bottom"/>
          </w:tcPr>
          <w:p>
            <w:pPr>
              <w:ind w:left="20"/>
              <w:spacing w:after="0"/>
              <w:rPr>
                <w:sz w:val="20"/>
                <w:szCs w:val="20"/>
                <w:color w:val="auto"/>
              </w:rPr>
            </w:pPr>
            <w:r>
              <w:rPr>
                <w:rFonts w:ascii="Arial" w:cs="Arial" w:eastAsia="Arial" w:hAnsi="Arial"/>
                <w:sz w:val="16"/>
                <w:szCs w:val="16"/>
                <w:color w:val="auto"/>
              </w:rPr>
              <w:t>Ÿ Favorable $5.6 million out of period deferred tax adjustment related to the KHE goodwill impairment</w:t>
            </w:r>
          </w:p>
        </w:tc>
        <w:tc>
          <w:tcPr>
            <w:tcW w:w="18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40" w:type="dxa"/>
            <w:vAlign w:val="bottom"/>
          </w:tcPr>
          <w:p>
            <w:pPr>
              <w:spacing w:after="0"/>
              <w:rPr>
                <w:sz w:val="20"/>
                <w:szCs w:val="20"/>
                <w:color w:val="auto"/>
              </w:rPr>
            </w:pPr>
          </w:p>
        </w:tc>
      </w:tr>
      <w:tr>
        <w:trPr>
          <w:trHeight w:val="195"/>
        </w:trPr>
        <w:tc>
          <w:tcPr>
            <w:tcW w:w="7400" w:type="dxa"/>
            <w:vAlign w:val="bottom"/>
          </w:tcPr>
          <w:p>
            <w:pPr>
              <w:ind w:left="220"/>
              <w:spacing w:after="0"/>
              <w:rPr>
                <w:sz w:val="20"/>
                <w:szCs w:val="20"/>
                <w:color w:val="auto"/>
              </w:rPr>
            </w:pPr>
            <w:r>
              <w:rPr>
                <w:rFonts w:ascii="Arial" w:cs="Arial" w:eastAsia="Arial" w:hAnsi="Arial"/>
                <w:sz w:val="16"/>
                <w:szCs w:val="16"/>
                <w:color w:val="auto"/>
              </w:rPr>
              <w:t>recorded in the third quarter of 2015</w:t>
            </w:r>
          </w:p>
        </w:tc>
        <w:tc>
          <w:tcPr>
            <w:tcW w:w="18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240" w:type="dxa"/>
            <w:vAlign w:val="bottom"/>
          </w:tcPr>
          <w:p>
            <w:pPr>
              <w:jc w:val="right"/>
              <w:spacing w:after="0"/>
              <w:rPr>
                <w:sz w:val="20"/>
                <w:szCs w:val="20"/>
                <w:color w:val="auto"/>
              </w:rPr>
            </w:pPr>
            <w:r>
              <w:rPr>
                <w:rFonts w:ascii="Arial" w:cs="Arial" w:eastAsia="Arial" w:hAnsi="Arial"/>
                <w:sz w:val="16"/>
                <w:szCs w:val="16"/>
                <w:color w:val="auto"/>
              </w:rPr>
              <w:t>$</w:t>
            </w:r>
          </w:p>
        </w:tc>
        <w:tc>
          <w:tcPr>
            <w:tcW w:w="780" w:type="dxa"/>
            <w:vAlign w:val="bottom"/>
          </w:tcPr>
          <w:p>
            <w:pPr>
              <w:jc w:val="right"/>
              <w:ind w:right="61"/>
              <w:spacing w:after="0"/>
              <w:rPr>
                <w:sz w:val="20"/>
                <w:szCs w:val="20"/>
                <w:color w:val="auto"/>
              </w:rPr>
            </w:pPr>
            <w:r>
              <w:rPr>
                <w:rFonts w:ascii="Arial" w:cs="Arial" w:eastAsia="Arial" w:hAnsi="Arial"/>
                <w:sz w:val="16"/>
                <w:szCs w:val="16"/>
                <w:color w:val="auto"/>
              </w:rPr>
              <w:t>1.00</w:t>
            </w:r>
          </w:p>
        </w:tc>
        <w:tc>
          <w:tcPr>
            <w:tcW w:w="2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40" w:type="dxa"/>
            <w:vAlign w:val="bottom"/>
          </w:tcPr>
          <w:p>
            <w:pPr>
              <w:spacing w:after="0"/>
              <w:rPr>
                <w:sz w:val="16"/>
                <w:szCs w:val="16"/>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123</w:t>
      </w:r>
    </w:p>
    <w:p>
      <w:pPr>
        <w:sectPr>
          <w:pgSz w:w="11900" w:h="16838" w:orient="portrait"/>
          <w:cols w:equalWidth="0" w:num="1">
            <w:col w:w="11400"/>
          </w:cols>
          <w:pgMar w:left="240" w:top="760" w:right="259" w:bottom="1440" w:gutter="0" w:footer="0" w:header="0"/>
        </w:sectPr>
      </w:pPr>
    </w:p>
    <w:bookmarkStart w:id="128" w:name="page129"/>
    <w:bookmarkEnd w:id="128"/>
    <w:p>
      <w:pPr>
        <w:jc w:val="center"/>
        <w:ind w:right="-19"/>
        <w:spacing w:after="0"/>
        <w:rPr>
          <w:sz w:val="20"/>
          <w:szCs w:val="20"/>
          <w:color w:val="auto"/>
        </w:rPr>
      </w:pPr>
      <w:r>
        <w:rPr>
          <w:rFonts w:ascii="Arial" w:cs="Arial" w:eastAsia="Arial" w:hAnsi="Arial"/>
          <w:sz w:val="18"/>
          <w:szCs w:val="18"/>
          <w:b w:val="1"/>
          <w:bCs w:val="1"/>
          <w:color w:val="auto"/>
        </w:rPr>
        <w:t>GRAHAM HOLDINGS COMPANY</w:t>
      </w:r>
    </w:p>
    <w:p>
      <w:pPr>
        <w:spacing w:after="0" w:line="3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FIVE-YEAR SUMMARY OF SELECTED HISTORICAL FINANCIAL DATA</w:t>
      </w:r>
    </w:p>
    <w:p>
      <w:pPr>
        <w:spacing w:after="0" w:line="174" w:lineRule="exact"/>
        <w:rPr>
          <w:sz w:val="20"/>
          <w:szCs w:val="20"/>
          <w:color w:val="auto"/>
        </w:rPr>
      </w:pPr>
    </w:p>
    <w:p>
      <w:pPr>
        <w:ind w:right="120"/>
        <w:spacing w:after="0" w:line="260" w:lineRule="auto"/>
        <w:rPr>
          <w:sz w:val="20"/>
          <w:szCs w:val="20"/>
          <w:color w:val="auto"/>
        </w:rPr>
      </w:pPr>
      <w:r>
        <w:rPr>
          <w:rFonts w:ascii="Arial" w:cs="Arial" w:eastAsia="Arial" w:hAnsi="Arial"/>
          <w:sz w:val="16"/>
          <w:szCs w:val="16"/>
          <w:color w:val="auto"/>
        </w:rPr>
        <w:t>See Notes to Consolidated Financial Statements for the summary of significant accounting policies and additional information relative to the years 2015–2017 and refer to Note 4 for discussion of discontinued operations.</w:t>
      </w:r>
    </w:p>
    <w:p>
      <w:pPr>
        <w:spacing w:after="0" w:line="199"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5240" w:type="dxa"/>
            <w:vAlign w:val="bottom"/>
            <w:tcBorders>
              <w:bottom w:val="single" w:sz="8" w:color="auto"/>
            </w:tcBorders>
          </w:tcPr>
          <w:p>
            <w:pPr>
              <w:ind w:left="40"/>
              <w:spacing w:after="0"/>
              <w:rPr>
                <w:sz w:val="20"/>
                <w:szCs w:val="20"/>
                <w:color w:val="auto"/>
              </w:rPr>
            </w:pPr>
            <w:r>
              <w:rPr>
                <w:rFonts w:ascii="Arial" w:cs="Arial" w:eastAsia="Arial" w:hAnsi="Arial"/>
                <w:sz w:val="13"/>
                <w:szCs w:val="13"/>
                <w:color w:val="auto"/>
              </w:rPr>
              <w:t>(in thousands, except per share amounts)</w:t>
            </w:r>
          </w:p>
        </w:tc>
        <w:tc>
          <w:tcPr>
            <w:tcW w:w="26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jc w:val="right"/>
              <w:ind w:right="389"/>
              <w:spacing w:after="0"/>
              <w:rPr>
                <w:sz w:val="20"/>
                <w:szCs w:val="20"/>
                <w:color w:val="auto"/>
              </w:rPr>
            </w:pPr>
            <w:r>
              <w:rPr>
                <w:rFonts w:ascii="Arial" w:cs="Arial" w:eastAsia="Arial" w:hAnsi="Arial"/>
                <w:sz w:val="13"/>
                <w:szCs w:val="13"/>
                <w:b w:val="1"/>
                <w:bCs w:val="1"/>
                <w:color w:val="auto"/>
              </w:rPr>
              <w:t>2017</w:t>
            </w:r>
          </w:p>
        </w:tc>
        <w:tc>
          <w:tcPr>
            <w:tcW w:w="36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jc w:val="right"/>
              <w:ind w:right="369"/>
              <w:spacing w:after="0"/>
              <w:rPr>
                <w:sz w:val="20"/>
                <w:szCs w:val="20"/>
                <w:color w:val="auto"/>
              </w:rPr>
            </w:pPr>
            <w:r>
              <w:rPr>
                <w:rFonts w:ascii="Arial" w:cs="Arial" w:eastAsia="Arial" w:hAnsi="Arial"/>
                <w:sz w:val="13"/>
                <w:szCs w:val="13"/>
                <w:color w:val="auto"/>
              </w:rPr>
              <w:t>2016</w:t>
            </w:r>
          </w:p>
        </w:tc>
        <w:tc>
          <w:tcPr>
            <w:tcW w:w="36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jc w:val="right"/>
              <w:ind w:right="389"/>
              <w:spacing w:after="0"/>
              <w:rPr>
                <w:sz w:val="20"/>
                <w:szCs w:val="20"/>
                <w:color w:val="auto"/>
              </w:rPr>
            </w:pPr>
            <w:r>
              <w:rPr>
                <w:rFonts w:ascii="Arial" w:cs="Arial" w:eastAsia="Arial" w:hAnsi="Arial"/>
                <w:sz w:val="13"/>
                <w:szCs w:val="13"/>
                <w:color w:val="auto"/>
              </w:rPr>
              <w:t>2015</w:t>
            </w:r>
          </w:p>
        </w:tc>
        <w:tc>
          <w:tcPr>
            <w:tcW w:w="30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jc w:val="right"/>
              <w:ind w:right="369"/>
              <w:spacing w:after="0"/>
              <w:rPr>
                <w:sz w:val="20"/>
                <w:szCs w:val="20"/>
                <w:color w:val="auto"/>
              </w:rPr>
            </w:pPr>
            <w:r>
              <w:rPr>
                <w:rFonts w:ascii="Arial" w:cs="Arial" w:eastAsia="Arial" w:hAnsi="Arial"/>
                <w:sz w:val="13"/>
                <w:szCs w:val="13"/>
                <w:color w:val="auto"/>
              </w:rPr>
              <w:t>2014</w:t>
            </w:r>
          </w:p>
        </w:tc>
        <w:tc>
          <w:tcPr>
            <w:tcW w:w="34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jc w:val="right"/>
              <w:ind w:right="349"/>
              <w:spacing w:after="0"/>
              <w:rPr>
                <w:sz w:val="20"/>
                <w:szCs w:val="20"/>
                <w:color w:val="auto"/>
              </w:rPr>
            </w:pPr>
            <w:r>
              <w:rPr>
                <w:rFonts w:ascii="Arial" w:cs="Arial" w:eastAsia="Arial" w:hAnsi="Arial"/>
                <w:sz w:val="13"/>
                <w:szCs w:val="13"/>
                <w:color w:val="auto"/>
              </w:rPr>
              <w:t>2013</w:t>
            </w:r>
          </w:p>
        </w:tc>
        <w:tc>
          <w:tcPr>
            <w:tcW w:w="0" w:type="dxa"/>
            <w:vAlign w:val="bottom"/>
          </w:tcPr>
          <w:p>
            <w:pPr>
              <w:spacing w:after="0"/>
              <w:rPr>
                <w:sz w:val="1"/>
                <w:szCs w:val="1"/>
                <w:color w:val="auto"/>
              </w:rPr>
            </w:pPr>
          </w:p>
        </w:tc>
      </w:tr>
      <w:tr>
        <w:trPr>
          <w:trHeight w:val="258"/>
        </w:trPr>
        <w:tc>
          <w:tcPr>
            <w:tcW w:w="5240" w:type="dxa"/>
            <w:vAlign w:val="bottom"/>
          </w:tcPr>
          <w:p>
            <w:pPr>
              <w:ind w:left="40"/>
              <w:spacing w:after="0"/>
              <w:rPr>
                <w:sz w:val="20"/>
                <w:szCs w:val="20"/>
                <w:color w:val="auto"/>
              </w:rPr>
            </w:pPr>
            <w:r>
              <w:rPr>
                <w:rFonts w:ascii="Arial" w:cs="Arial" w:eastAsia="Arial" w:hAnsi="Arial"/>
                <w:sz w:val="14"/>
                <w:szCs w:val="14"/>
                <w:b w:val="1"/>
                <w:bCs w:val="1"/>
                <w:color w:val="auto"/>
              </w:rPr>
              <w:t>Results of Operations</w:t>
            </w:r>
          </w:p>
        </w:tc>
        <w:tc>
          <w:tcPr>
            <w:tcW w:w="26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0"/>
        </w:trPr>
        <w:tc>
          <w:tcPr>
            <w:tcW w:w="5240" w:type="dxa"/>
            <w:vAlign w:val="bottom"/>
          </w:tcPr>
          <w:p>
            <w:pPr>
              <w:ind w:left="280"/>
              <w:spacing w:after="0"/>
              <w:rPr>
                <w:sz w:val="20"/>
                <w:szCs w:val="20"/>
                <w:color w:val="auto"/>
              </w:rPr>
            </w:pPr>
            <w:r>
              <w:rPr>
                <w:rFonts w:ascii="Arial" w:cs="Arial" w:eastAsia="Arial" w:hAnsi="Arial"/>
                <w:sz w:val="14"/>
                <w:szCs w:val="14"/>
                <w:color w:val="auto"/>
              </w:rPr>
              <w:t>Operating revenues</w:t>
            </w:r>
          </w:p>
        </w:tc>
        <w:tc>
          <w:tcPr>
            <w:tcW w:w="260" w:type="dxa"/>
            <w:vAlign w:val="bottom"/>
          </w:tcPr>
          <w:p>
            <w:pPr>
              <w:jc w:val="right"/>
              <w:ind w:right="68"/>
              <w:spacing w:after="0"/>
              <w:rPr>
                <w:sz w:val="20"/>
                <w:szCs w:val="20"/>
                <w:color w:val="auto"/>
              </w:rPr>
            </w:pPr>
            <w:r>
              <w:rPr>
                <w:rFonts w:ascii="Arial" w:cs="Arial" w:eastAsia="Arial" w:hAnsi="Arial"/>
                <w:sz w:val="14"/>
                <w:szCs w:val="14"/>
                <w:b w:val="1"/>
                <w:bCs w:val="1"/>
                <w:color w:val="auto"/>
              </w:rPr>
              <w:t>$</w:t>
            </w:r>
          </w:p>
        </w:tc>
        <w:tc>
          <w:tcPr>
            <w:tcW w:w="920" w:type="dxa"/>
            <w:vAlign w:val="bottom"/>
          </w:tcPr>
          <w:p>
            <w:pPr>
              <w:jc w:val="right"/>
              <w:ind w:right="69"/>
              <w:spacing w:after="0"/>
              <w:rPr>
                <w:sz w:val="20"/>
                <w:szCs w:val="20"/>
                <w:color w:val="auto"/>
              </w:rPr>
            </w:pPr>
            <w:r>
              <w:rPr>
                <w:rFonts w:ascii="Arial" w:cs="Arial" w:eastAsia="Arial" w:hAnsi="Arial"/>
                <w:sz w:val="14"/>
                <w:szCs w:val="14"/>
                <w:b w:val="1"/>
                <w:bCs w:val="1"/>
                <w:color w:val="auto"/>
              </w:rPr>
              <w:t>2,591,846</w:t>
            </w:r>
          </w:p>
        </w:tc>
        <w:tc>
          <w:tcPr>
            <w:tcW w:w="36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920" w:type="dxa"/>
            <w:vAlign w:val="bottom"/>
          </w:tcPr>
          <w:p>
            <w:pPr>
              <w:jc w:val="right"/>
              <w:ind w:right="49"/>
              <w:spacing w:after="0"/>
              <w:rPr>
                <w:sz w:val="20"/>
                <w:szCs w:val="20"/>
                <w:color w:val="auto"/>
              </w:rPr>
            </w:pPr>
            <w:r>
              <w:rPr>
                <w:rFonts w:ascii="Arial" w:cs="Arial" w:eastAsia="Arial" w:hAnsi="Arial"/>
                <w:sz w:val="14"/>
                <w:szCs w:val="14"/>
                <w:color w:val="auto"/>
              </w:rPr>
              <w:t>2,481,890</w:t>
            </w:r>
          </w:p>
        </w:tc>
        <w:tc>
          <w:tcPr>
            <w:tcW w:w="36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920" w:type="dxa"/>
            <w:vAlign w:val="bottom"/>
          </w:tcPr>
          <w:p>
            <w:pPr>
              <w:jc w:val="right"/>
              <w:ind w:right="89"/>
              <w:spacing w:after="0"/>
              <w:rPr>
                <w:sz w:val="20"/>
                <w:szCs w:val="20"/>
                <w:color w:val="auto"/>
              </w:rPr>
            </w:pPr>
            <w:r>
              <w:rPr>
                <w:rFonts w:ascii="Arial" w:cs="Arial" w:eastAsia="Arial" w:hAnsi="Arial"/>
                <w:sz w:val="14"/>
                <w:szCs w:val="14"/>
                <w:color w:val="auto"/>
              </w:rPr>
              <w:t>2,586,114</w:t>
            </w:r>
          </w:p>
        </w:tc>
        <w:tc>
          <w:tcPr>
            <w:tcW w:w="30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900" w:type="dxa"/>
            <w:vAlign w:val="bottom"/>
          </w:tcPr>
          <w:p>
            <w:pPr>
              <w:jc w:val="right"/>
              <w:ind w:right="49"/>
              <w:spacing w:after="0"/>
              <w:rPr>
                <w:sz w:val="20"/>
                <w:szCs w:val="20"/>
                <w:color w:val="auto"/>
              </w:rPr>
            </w:pPr>
            <w:r>
              <w:rPr>
                <w:rFonts w:ascii="Arial" w:cs="Arial" w:eastAsia="Arial" w:hAnsi="Arial"/>
                <w:sz w:val="14"/>
                <w:szCs w:val="14"/>
                <w:color w:val="auto"/>
              </w:rPr>
              <w:t>2,737,032</w:t>
            </w:r>
          </w:p>
        </w:tc>
        <w:tc>
          <w:tcPr>
            <w:tcW w:w="34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880" w:type="dxa"/>
            <w:vAlign w:val="bottom"/>
          </w:tcPr>
          <w:p>
            <w:pPr>
              <w:jc w:val="right"/>
              <w:ind w:right="49"/>
              <w:spacing w:after="0"/>
              <w:rPr>
                <w:sz w:val="20"/>
                <w:szCs w:val="20"/>
                <w:color w:val="auto"/>
              </w:rPr>
            </w:pPr>
            <w:r>
              <w:rPr>
                <w:rFonts w:ascii="Arial" w:cs="Arial" w:eastAsia="Arial" w:hAnsi="Arial"/>
                <w:sz w:val="14"/>
                <w:szCs w:val="14"/>
                <w:color w:val="auto"/>
              </w:rPr>
              <w:t>2,600,602</w:t>
            </w:r>
          </w:p>
        </w:tc>
        <w:tc>
          <w:tcPr>
            <w:tcW w:w="0" w:type="dxa"/>
            <w:vAlign w:val="bottom"/>
          </w:tcPr>
          <w:p>
            <w:pPr>
              <w:spacing w:after="0"/>
              <w:rPr>
                <w:sz w:val="1"/>
                <w:szCs w:val="1"/>
                <w:color w:val="auto"/>
              </w:rPr>
            </w:pPr>
          </w:p>
        </w:tc>
      </w:tr>
      <w:tr>
        <w:trPr>
          <w:trHeight w:val="270"/>
        </w:trPr>
        <w:tc>
          <w:tcPr>
            <w:tcW w:w="5240" w:type="dxa"/>
            <w:vAlign w:val="bottom"/>
          </w:tcPr>
          <w:p>
            <w:pPr>
              <w:ind w:left="280"/>
              <w:spacing w:after="0"/>
              <w:rPr>
                <w:sz w:val="20"/>
                <w:szCs w:val="20"/>
                <w:color w:val="auto"/>
              </w:rPr>
            </w:pPr>
            <w:r>
              <w:rPr>
                <w:rFonts w:ascii="Arial" w:cs="Arial" w:eastAsia="Arial" w:hAnsi="Arial"/>
                <w:sz w:val="14"/>
                <w:szCs w:val="14"/>
                <w:color w:val="auto"/>
              </w:rPr>
              <w:t>Income (loss) from operations</w:t>
            </w:r>
          </w:p>
        </w:tc>
        <w:tc>
          <w:tcPr>
            <w:tcW w:w="260" w:type="dxa"/>
            <w:vAlign w:val="bottom"/>
          </w:tcPr>
          <w:p>
            <w:pPr>
              <w:spacing w:after="0"/>
              <w:rPr>
                <w:sz w:val="23"/>
                <w:szCs w:val="23"/>
                <w:color w:val="auto"/>
              </w:rPr>
            </w:pPr>
          </w:p>
        </w:tc>
        <w:tc>
          <w:tcPr>
            <w:tcW w:w="920" w:type="dxa"/>
            <w:vAlign w:val="bottom"/>
          </w:tcPr>
          <w:p>
            <w:pPr>
              <w:jc w:val="right"/>
              <w:ind w:right="69"/>
              <w:spacing w:after="0"/>
              <w:rPr>
                <w:sz w:val="20"/>
                <w:szCs w:val="20"/>
                <w:color w:val="auto"/>
              </w:rPr>
            </w:pPr>
            <w:r>
              <w:rPr>
                <w:rFonts w:ascii="Arial" w:cs="Arial" w:eastAsia="Arial" w:hAnsi="Arial"/>
                <w:sz w:val="14"/>
                <w:szCs w:val="14"/>
                <w:b w:val="1"/>
                <w:bCs w:val="1"/>
                <w:color w:val="auto"/>
              </w:rPr>
              <w:t>209,102</w:t>
            </w:r>
          </w:p>
        </w:tc>
        <w:tc>
          <w:tcPr>
            <w:tcW w:w="360" w:type="dxa"/>
            <w:vAlign w:val="bottom"/>
          </w:tcPr>
          <w:p>
            <w:pPr>
              <w:spacing w:after="0"/>
              <w:rPr>
                <w:sz w:val="23"/>
                <w:szCs w:val="23"/>
                <w:color w:val="auto"/>
              </w:rPr>
            </w:pPr>
          </w:p>
        </w:tc>
        <w:tc>
          <w:tcPr>
            <w:tcW w:w="920" w:type="dxa"/>
            <w:vAlign w:val="bottom"/>
          </w:tcPr>
          <w:p>
            <w:pPr>
              <w:jc w:val="right"/>
              <w:ind w:right="49"/>
              <w:spacing w:after="0"/>
              <w:rPr>
                <w:sz w:val="20"/>
                <w:szCs w:val="20"/>
                <w:color w:val="auto"/>
              </w:rPr>
            </w:pPr>
            <w:r>
              <w:rPr>
                <w:rFonts w:ascii="Arial" w:cs="Arial" w:eastAsia="Arial" w:hAnsi="Arial"/>
                <w:sz w:val="14"/>
                <w:szCs w:val="14"/>
                <w:color w:val="auto"/>
              </w:rPr>
              <w:t>303,534</w:t>
            </w:r>
          </w:p>
        </w:tc>
        <w:tc>
          <w:tcPr>
            <w:tcW w:w="360" w:type="dxa"/>
            <w:vAlign w:val="bottom"/>
          </w:tcPr>
          <w:p>
            <w:pPr>
              <w:spacing w:after="0"/>
              <w:rPr>
                <w:sz w:val="23"/>
                <w:szCs w:val="23"/>
                <w:color w:val="auto"/>
              </w:rPr>
            </w:pPr>
          </w:p>
        </w:tc>
        <w:tc>
          <w:tcPr>
            <w:tcW w:w="920" w:type="dxa"/>
            <w:vAlign w:val="bottom"/>
          </w:tcPr>
          <w:p>
            <w:pPr>
              <w:jc w:val="right"/>
              <w:ind w:right="29"/>
              <w:spacing w:after="0"/>
              <w:rPr>
                <w:sz w:val="20"/>
                <w:szCs w:val="20"/>
                <w:color w:val="auto"/>
              </w:rPr>
            </w:pPr>
            <w:r>
              <w:rPr>
                <w:rFonts w:ascii="Arial" w:cs="Arial" w:eastAsia="Arial" w:hAnsi="Arial"/>
                <w:sz w:val="14"/>
                <w:szCs w:val="14"/>
                <w:color w:val="auto"/>
              </w:rPr>
              <w:t>(80,825)</w:t>
            </w:r>
          </w:p>
        </w:tc>
        <w:tc>
          <w:tcPr>
            <w:tcW w:w="300" w:type="dxa"/>
            <w:vAlign w:val="bottom"/>
          </w:tcPr>
          <w:p>
            <w:pPr>
              <w:spacing w:after="0"/>
              <w:rPr>
                <w:sz w:val="23"/>
                <w:szCs w:val="23"/>
                <w:color w:val="auto"/>
              </w:rPr>
            </w:pPr>
          </w:p>
        </w:tc>
        <w:tc>
          <w:tcPr>
            <w:tcW w:w="900" w:type="dxa"/>
            <w:vAlign w:val="bottom"/>
          </w:tcPr>
          <w:p>
            <w:pPr>
              <w:jc w:val="right"/>
              <w:ind w:right="49"/>
              <w:spacing w:after="0"/>
              <w:rPr>
                <w:sz w:val="20"/>
                <w:szCs w:val="20"/>
                <w:color w:val="auto"/>
              </w:rPr>
            </w:pPr>
            <w:r>
              <w:rPr>
                <w:rFonts w:ascii="Arial" w:cs="Arial" w:eastAsia="Arial" w:hAnsi="Arial"/>
                <w:sz w:val="14"/>
                <w:szCs w:val="14"/>
                <w:color w:val="auto"/>
              </w:rPr>
              <w:t>232,720</w:t>
            </w:r>
          </w:p>
        </w:tc>
        <w:tc>
          <w:tcPr>
            <w:tcW w:w="340" w:type="dxa"/>
            <w:vAlign w:val="bottom"/>
          </w:tcPr>
          <w:p>
            <w:pPr>
              <w:spacing w:after="0"/>
              <w:rPr>
                <w:sz w:val="23"/>
                <w:szCs w:val="23"/>
                <w:color w:val="auto"/>
              </w:rPr>
            </w:pPr>
          </w:p>
        </w:tc>
        <w:tc>
          <w:tcPr>
            <w:tcW w:w="880" w:type="dxa"/>
            <w:vAlign w:val="bottom"/>
          </w:tcPr>
          <w:p>
            <w:pPr>
              <w:jc w:val="right"/>
              <w:ind w:right="49"/>
              <w:spacing w:after="0"/>
              <w:rPr>
                <w:sz w:val="20"/>
                <w:szCs w:val="20"/>
                <w:color w:val="auto"/>
              </w:rPr>
            </w:pPr>
            <w:r>
              <w:rPr>
                <w:rFonts w:ascii="Arial" w:cs="Arial" w:eastAsia="Arial" w:hAnsi="Arial"/>
                <w:sz w:val="14"/>
                <w:szCs w:val="14"/>
                <w:color w:val="auto"/>
              </w:rPr>
              <w:t>149,434</w:t>
            </w:r>
          </w:p>
        </w:tc>
        <w:tc>
          <w:tcPr>
            <w:tcW w:w="0" w:type="dxa"/>
            <w:vAlign w:val="bottom"/>
          </w:tcPr>
          <w:p>
            <w:pPr>
              <w:spacing w:after="0"/>
              <w:rPr>
                <w:sz w:val="1"/>
                <w:szCs w:val="1"/>
                <w:color w:val="auto"/>
              </w:rPr>
            </w:pPr>
          </w:p>
        </w:tc>
      </w:tr>
      <w:tr>
        <w:trPr>
          <w:trHeight w:val="270"/>
        </w:trPr>
        <w:tc>
          <w:tcPr>
            <w:tcW w:w="5240" w:type="dxa"/>
            <w:vAlign w:val="bottom"/>
          </w:tcPr>
          <w:p>
            <w:pPr>
              <w:ind w:left="280"/>
              <w:spacing w:after="0"/>
              <w:rPr>
                <w:sz w:val="20"/>
                <w:szCs w:val="20"/>
                <w:color w:val="auto"/>
              </w:rPr>
            </w:pPr>
            <w:r>
              <w:rPr>
                <w:rFonts w:ascii="Arial" w:cs="Arial" w:eastAsia="Arial" w:hAnsi="Arial"/>
                <w:sz w:val="14"/>
                <w:szCs w:val="14"/>
                <w:color w:val="auto"/>
              </w:rPr>
              <w:t>Income (loss) from continuing operations</w:t>
            </w:r>
          </w:p>
        </w:tc>
        <w:tc>
          <w:tcPr>
            <w:tcW w:w="260" w:type="dxa"/>
            <w:vAlign w:val="bottom"/>
          </w:tcPr>
          <w:p>
            <w:pPr>
              <w:spacing w:after="0"/>
              <w:rPr>
                <w:sz w:val="23"/>
                <w:szCs w:val="23"/>
                <w:color w:val="auto"/>
              </w:rPr>
            </w:pPr>
          </w:p>
        </w:tc>
        <w:tc>
          <w:tcPr>
            <w:tcW w:w="920" w:type="dxa"/>
            <w:vAlign w:val="bottom"/>
          </w:tcPr>
          <w:p>
            <w:pPr>
              <w:jc w:val="right"/>
              <w:ind w:right="69"/>
              <w:spacing w:after="0"/>
              <w:rPr>
                <w:sz w:val="20"/>
                <w:szCs w:val="20"/>
                <w:color w:val="auto"/>
              </w:rPr>
            </w:pPr>
            <w:r>
              <w:rPr>
                <w:rFonts w:ascii="Arial" w:cs="Arial" w:eastAsia="Arial" w:hAnsi="Arial"/>
                <w:sz w:val="14"/>
                <w:szCs w:val="14"/>
                <w:b w:val="1"/>
                <w:bCs w:val="1"/>
                <w:color w:val="auto"/>
              </w:rPr>
              <w:t>302,489</w:t>
            </w:r>
          </w:p>
        </w:tc>
        <w:tc>
          <w:tcPr>
            <w:tcW w:w="360" w:type="dxa"/>
            <w:vAlign w:val="bottom"/>
          </w:tcPr>
          <w:p>
            <w:pPr>
              <w:spacing w:after="0"/>
              <w:rPr>
                <w:sz w:val="23"/>
                <w:szCs w:val="23"/>
                <w:color w:val="auto"/>
              </w:rPr>
            </w:pPr>
          </w:p>
        </w:tc>
        <w:tc>
          <w:tcPr>
            <w:tcW w:w="920" w:type="dxa"/>
            <w:vAlign w:val="bottom"/>
          </w:tcPr>
          <w:p>
            <w:pPr>
              <w:jc w:val="right"/>
              <w:ind w:right="49"/>
              <w:spacing w:after="0"/>
              <w:rPr>
                <w:sz w:val="20"/>
                <w:szCs w:val="20"/>
                <w:color w:val="auto"/>
              </w:rPr>
            </w:pPr>
            <w:r>
              <w:rPr>
                <w:rFonts w:ascii="Arial" w:cs="Arial" w:eastAsia="Arial" w:hAnsi="Arial"/>
                <w:sz w:val="14"/>
                <w:szCs w:val="14"/>
                <w:color w:val="auto"/>
              </w:rPr>
              <w:t>169,458</w:t>
            </w:r>
          </w:p>
        </w:tc>
        <w:tc>
          <w:tcPr>
            <w:tcW w:w="360" w:type="dxa"/>
            <w:vAlign w:val="bottom"/>
          </w:tcPr>
          <w:p>
            <w:pPr>
              <w:spacing w:after="0"/>
              <w:rPr>
                <w:sz w:val="23"/>
                <w:szCs w:val="23"/>
                <w:color w:val="auto"/>
              </w:rPr>
            </w:pPr>
          </w:p>
        </w:tc>
        <w:tc>
          <w:tcPr>
            <w:tcW w:w="920" w:type="dxa"/>
            <w:vAlign w:val="bottom"/>
          </w:tcPr>
          <w:p>
            <w:pPr>
              <w:jc w:val="right"/>
              <w:ind w:right="29"/>
              <w:spacing w:after="0"/>
              <w:rPr>
                <w:sz w:val="20"/>
                <w:szCs w:val="20"/>
                <w:color w:val="auto"/>
              </w:rPr>
            </w:pPr>
            <w:r>
              <w:rPr>
                <w:rFonts w:ascii="Arial" w:cs="Arial" w:eastAsia="Arial" w:hAnsi="Arial"/>
                <w:sz w:val="14"/>
                <w:szCs w:val="14"/>
                <w:color w:val="auto"/>
              </w:rPr>
              <w:t>(141,390)</w:t>
            </w:r>
          </w:p>
        </w:tc>
        <w:tc>
          <w:tcPr>
            <w:tcW w:w="300" w:type="dxa"/>
            <w:vAlign w:val="bottom"/>
          </w:tcPr>
          <w:p>
            <w:pPr>
              <w:spacing w:after="0"/>
              <w:rPr>
                <w:sz w:val="23"/>
                <w:szCs w:val="23"/>
                <w:color w:val="auto"/>
              </w:rPr>
            </w:pPr>
          </w:p>
        </w:tc>
        <w:tc>
          <w:tcPr>
            <w:tcW w:w="900" w:type="dxa"/>
            <w:vAlign w:val="bottom"/>
          </w:tcPr>
          <w:p>
            <w:pPr>
              <w:jc w:val="right"/>
              <w:ind w:right="49"/>
              <w:spacing w:after="0"/>
              <w:rPr>
                <w:sz w:val="20"/>
                <w:szCs w:val="20"/>
                <w:color w:val="auto"/>
              </w:rPr>
            </w:pPr>
            <w:r>
              <w:rPr>
                <w:rFonts w:ascii="Arial" w:cs="Arial" w:eastAsia="Arial" w:hAnsi="Arial"/>
                <w:sz w:val="14"/>
                <w:szCs w:val="14"/>
                <w:color w:val="auto"/>
              </w:rPr>
              <w:t>765,403</w:t>
            </w:r>
          </w:p>
        </w:tc>
        <w:tc>
          <w:tcPr>
            <w:tcW w:w="340" w:type="dxa"/>
            <w:vAlign w:val="bottom"/>
          </w:tcPr>
          <w:p>
            <w:pPr>
              <w:spacing w:after="0"/>
              <w:rPr>
                <w:sz w:val="23"/>
                <w:szCs w:val="23"/>
                <w:color w:val="auto"/>
              </w:rPr>
            </w:pPr>
          </w:p>
        </w:tc>
        <w:tc>
          <w:tcPr>
            <w:tcW w:w="880" w:type="dxa"/>
            <w:vAlign w:val="bottom"/>
          </w:tcPr>
          <w:p>
            <w:pPr>
              <w:jc w:val="right"/>
              <w:ind w:right="49"/>
              <w:spacing w:after="0"/>
              <w:rPr>
                <w:sz w:val="20"/>
                <w:szCs w:val="20"/>
                <w:color w:val="auto"/>
              </w:rPr>
            </w:pPr>
            <w:r>
              <w:rPr>
                <w:rFonts w:ascii="Arial" w:cs="Arial" w:eastAsia="Arial" w:hAnsi="Arial"/>
                <w:sz w:val="14"/>
                <w:szCs w:val="14"/>
                <w:color w:val="auto"/>
              </w:rPr>
              <w:t>64,731</w:t>
            </w:r>
          </w:p>
        </w:tc>
        <w:tc>
          <w:tcPr>
            <w:tcW w:w="0" w:type="dxa"/>
            <w:vAlign w:val="bottom"/>
          </w:tcPr>
          <w:p>
            <w:pPr>
              <w:spacing w:after="0"/>
              <w:rPr>
                <w:sz w:val="1"/>
                <w:szCs w:val="1"/>
                <w:color w:val="auto"/>
              </w:rPr>
            </w:pPr>
          </w:p>
        </w:tc>
      </w:tr>
      <w:tr>
        <w:trPr>
          <w:trHeight w:val="206"/>
        </w:trPr>
        <w:tc>
          <w:tcPr>
            <w:tcW w:w="5240" w:type="dxa"/>
            <w:vAlign w:val="bottom"/>
          </w:tcPr>
          <w:p>
            <w:pPr>
              <w:ind w:left="280"/>
              <w:spacing w:after="0"/>
              <w:rPr>
                <w:sz w:val="20"/>
                <w:szCs w:val="20"/>
                <w:color w:val="auto"/>
              </w:rPr>
            </w:pPr>
            <w:r>
              <w:rPr>
                <w:rFonts w:ascii="Arial" w:cs="Arial" w:eastAsia="Arial" w:hAnsi="Arial"/>
                <w:sz w:val="14"/>
                <w:szCs w:val="14"/>
                <w:color w:val="auto"/>
              </w:rPr>
              <w:t>Net income (loss) attributable to Graham Holdings Company</w:t>
            </w:r>
          </w:p>
        </w:tc>
        <w:tc>
          <w:tcPr>
            <w:tcW w:w="260" w:type="dxa"/>
            <w:vAlign w:val="bottom"/>
          </w:tcPr>
          <w:p>
            <w:pPr>
              <w:spacing w:after="0"/>
              <w:rPr>
                <w:sz w:val="17"/>
                <w:szCs w:val="17"/>
                <w:color w:val="auto"/>
              </w:rPr>
            </w:pPr>
          </w:p>
        </w:tc>
        <w:tc>
          <w:tcPr>
            <w:tcW w:w="920" w:type="dxa"/>
            <w:vAlign w:val="bottom"/>
            <w:vMerge w:val="restart"/>
          </w:tcPr>
          <w:p>
            <w:pPr>
              <w:jc w:val="right"/>
              <w:ind w:right="69"/>
              <w:spacing w:after="0"/>
              <w:rPr>
                <w:sz w:val="20"/>
                <w:szCs w:val="20"/>
                <w:color w:val="auto"/>
              </w:rPr>
            </w:pPr>
            <w:r>
              <w:rPr>
                <w:rFonts w:ascii="Arial" w:cs="Arial" w:eastAsia="Arial" w:hAnsi="Arial"/>
                <w:sz w:val="14"/>
                <w:szCs w:val="14"/>
                <w:b w:val="1"/>
                <w:bCs w:val="1"/>
                <w:color w:val="auto"/>
              </w:rPr>
              <w:t>302,044</w:t>
            </w:r>
          </w:p>
        </w:tc>
        <w:tc>
          <w:tcPr>
            <w:tcW w:w="3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72"/>
        </w:trPr>
        <w:tc>
          <w:tcPr>
            <w:tcW w:w="5240" w:type="dxa"/>
            <w:vAlign w:val="bottom"/>
          </w:tcPr>
          <w:p>
            <w:pPr>
              <w:ind w:left="520"/>
              <w:spacing w:after="0"/>
              <w:rPr>
                <w:sz w:val="20"/>
                <w:szCs w:val="20"/>
                <w:color w:val="auto"/>
              </w:rPr>
            </w:pPr>
            <w:r>
              <w:rPr>
                <w:rFonts w:ascii="Arial" w:cs="Arial" w:eastAsia="Arial" w:hAnsi="Arial"/>
                <w:sz w:val="14"/>
                <w:szCs w:val="14"/>
                <w:color w:val="auto"/>
              </w:rPr>
              <w:t>common stockholders</w:t>
            </w:r>
          </w:p>
        </w:tc>
        <w:tc>
          <w:tcPr>
            <w:tcW w:w="260" w:type="dxa"/>
            <w:vAlign w:val="bottom"/>
          </w:tcPr>
          <w:p>
            <w:pPr>
              <w:spacing w:after="0"/>
              <w:rPr>
                <w:sz w:val="14"/>
                <w:szCs w:val="14"/>
                <w:color w:val="auto"/>
              </w:rPr>
            </w:pPr>
          </w:p>
        </w:tc>
        <w:tc>
          <w:tcPr>
            <w:tcW w:w="920" w:type="dxa"/>
            <w:vAlign w:val="bottom"/>
            <w:vMerge w:val="continue"/>
          </w:tcPr>
          <w:p>
            <w:pPr>
              <w:spacing w:after="0"/>
              <w:rPr>
                <w:sz w:val="14"/>
                <w:szCs w:val="14"/>
                <w:color w:val="auto"/>
              </w:rPr>
            </w:pPr>
          </w:p>
        </w:tc>
        <w:tc>
          <w:tcPr>
            <w:tcW w:w="360" w:type="dxa"/>
            <w:vAlign w:val="bottom"/>
          </w:tcPr>
          <w:p>
            <w:pPr>
              <w:spacing w:after="0"/>
              <w:rPr>
                <w:sz w:val="14"/>
                <w:szCs w:val="14"/>
                <w:color w:val="auto"/>
              </w:rPr>
            </w:pPr>
          </w:p>
        </w:tc>
        <w:tc>
          <w:tcPr>
            <w:tcW w:w="920" w:type="dxa"/>
            <w:vAlign w:val="bottom"/>
          </w:tcPr>
          <w:p>
            <w:pPr>
              <w:jc w:val="right"/>
              <w:ind w:right="49"/>
              <w:spacing w:after="0"/>
              <w:rPr>
                <w:sz w:val="20"/>
                <w:szCs w:val="20"/>
                <w:color w:val="auto"/>
              </w:rPr>
            </w:pPr>
            <w:r>
              <w:rPr>
                <w:rFonts w:ascii="Arial" w:cs="Arial" w:eastAsia="Arial" w:hAnsi="Arial"/>
                <w:sz w:val="14"/>
                <w:szCs w:val="14"/>
                <w:color w:val="auto"/>
              </w:rPr>
              <w:t>168,590</w:t>
            </w:r>
          </w:p>
        </w:tc>
        <w:tc>
          <w:tcPr>
            <w:tcW w:w="360" w:type="dxa"/>
            <w:vAlign w:val="bottom"/>
          </w:tcPr>
          <w:p>
            <w:pPr>
              <w:spacing w:after="0"/>
              <w:rPr>
                <w:sz w:val="14"/>
                <w:szCs w:val="14"/>
                <w:color w:val="auto"/>
              </w:rPr>
            </w:pPr>
          </w:p>
        </w:tc>
        <w:tc>
          <w:tcPr>
            <w:tcW w:w="920" w:type="dxa"/>
            <w:vAlign w:val="bottom"/>
          </w:tcPr>
          <w:p>
            <w:pPr>
              <w:jc w:val="right"/>
              <w:ind w:right="29"/>
              <w:spacing w:after="0"/>
              <w:rPr>
                <w:sz w:val="20"/>
                <w:szCs w:val="20"/>
                <w:color w:val="auto"/>
              </w:rPr>
            </w:pPr>
            <w:r>
              <w:rPr>
                <w:rFonts w:ascii="Arial" w:cs="Arial" w:eastAsia="Arial" w:hAnsi="Arial"/>
                <w:sz w:val="14"/>
                <w:szCs w:val="14"/>
                <w:color w:val="auto"/>
              </w:rPr>
              <w:t>(101,286)</w:t>
            </w:r>
          </w:p>
        </w:tc>
        <w:tc>
          <w:tcPr>
            <w:tcW w:w="300" w:type="dxa"/>
            <w:vAlign w:val="bottom"/>
          </w:tcPr>
          <w:p>
            <w:pPr>
              <w:spacing w:after="0"/>
              <w:rPr>
                <w:sz w:val="14"/>
                <w:szCs w:val="14"/>
                <w:color w:val="auto"/>
              </w:rPr>
            </w:pPr>
          </w:p>
        </w:tc>
        <w:tc>
          <w:tcPr>
            <w:tcW w:w="900" w:type="dxa"/>
            <w:vAlign w:val="bottom"/>
          </w:tcPr>
          <w:p>
            <w:pPr>
              <w:jc w:val="right"/>
              <w:ind w:right="49"/>
              <w:spacing w:after="0"/>
              <w:rPr>
                <w:sz w:val="20"/>
                <w:szCs w:val="20"/>
                <w:color w:val="auto"/>
              </w:rPr>
            </w:pPr>
            <w:r>
              <w:rPr>
                <w:rFonts w:ascii="Arial" w:cs="Arial" w:eastAsia="Arial" w:hAnsi="Arial"/>
                <w:sz w:val="14"/>
                <w:szCs w:val="14"/>
                <w:color w:val="auto"/>
              </w:rPr>
              <w:t>1,292,996</w:t>
            </w:r>
          </w:p>
        </w:tc>
        <w:tc>
          <w:tcPr>
            <w:tcW w:w="340" w:type="dxa"/>
            <w:vAlign w:val="bottom"/>
          </w:tcPr>
          <w:p>
            <w:pPr>
              <w:spacing w:after="0"/>
              <w:rPr>
                <w:sz w:val="14"/>
                <w:szCs w:val="14"/>
                <w:color w:val="auto"/>
              </w:rPr>
            </w:pPr>
          </w:p>
        </w:tc>
        <w:tc>
          <w:tcPr>
            <w:tcW w:w="880" w:type="dxa"/>
            <w:vAlign w:val="bottom"/>
          </w:tcPr>
          <w:p>
            <w:pPr>
              <w:jc w:val="right"/>
              <w:ind w:right="49"/>
              <w:spacing w:after="0"/>
              <w:rPr>
                <w:sz w:val="20"/>
                <w:szCs w:val="20"/>
                <w:color w:val="auto"/>
              </w:rPr>
            </w:pPr>
            <w:r>
              <w:rPr>
                <w:rFonts w:ascii="Arial" w:cs="Arial" w:eastAsia="Arial" w:hAnsi="Arial"/>
                <w:sz w:val="14"/>
                <w:szCs w:val="14"/>
                <w:color w:val="auto"/>
              </w:rPr>
              <w:t>236,010</w:t>
            </w:r>
          </w:p>
        </w:tc>
        <w:tc>
          <w:tcPr>
            <w:tcW w:w="0" w:type="dxa"/>
            <w:vAlign w:val="bottom"/>
          </w:tcPr>
          <w:p>
            <w:pPr>
              <w:spacing w:after="0"/>
              <w:rPr>
                <w:sz w:val="1"/>
                <w:szCs w:val="1"/>
                <w:color w:val="auto"/>
              </w:rPr>
            </w:pPr>
          </w:p>
        </w:tc>
      </w:tr>
      <w:tr>
        <w:trPr>
          <w:trHeight w:val="270"/>
        </w:trPr>
        <w:tc>
          <w:tcPr>
            <w:tcW w:w="5240" w:type="dxa"/>
            <w:vAlign w:val="bottom"/>
          </w:tcPr>
          <w:p>
            <w:pPr>
              <w:ind w:left="40"/>
              <w:spacing w:after="0"/>
              <w:rPr>
                <w:sz w:val="20"/>
                <w:szCs w:val="20"/>
                <w:color w:val="auto"/>
              </w:rPr>
            </w:pPr>
            <w:r>
              <w:rPr>
                <w:rFonts w:ascii="Arial" w:cs="Arial" w:eastAsia="Arial" w:hAnsi="Arial"/>
                <w:sz w:val="14"/>
                <w:szCs w:val="14"/>
                <w:b w:val="1"/>
                <w:bCs w:val="1"/>
                <w:color w:val="auto"/>
              </w:rPr>
              <w:t>Per Share Amounts</w:t>
            </w:r>
          </w:p>
        </w:tc>
        <w:tc>
          <w:tcPr>
            <w:tcW w:w="26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06"/>
        </w:trPr>
        <w:tc>
          <w:tcPr>
            <w:tcW w:w="5240" w:type="dxa"/>
            <w:vAlign w:val="bottom"/>
          </w:tcPr>
          <w:p>
            <w:pPr>
              <w:ind w:left="280"/>
              <w:spacing w:after="0"/>
              <w:rPr>
                <w:sz w:val="20"/>
                <w:szCs w:val="20"/>
                <w:color w:val="auto"/>
              </w:rPr>
            </w:pPr>
            <w:r>
              <w:rPr>
                <w:rFonts w:ascii="Arial" w:cs="Arial" w:eastAsia="Arial" w:hAnsi="Arial"/>
                <w:sz w:val="14"/>
                <w:szCs w:val="14"/>
                <w:color w:val="auto"/>
              </w:rPr>
              <w:t>Basic earnings (loss) per common share attributable to Graham Holdings</w:t>
            </w:r>
          </w:p>
        </w:tc>
        <w:tc>
          <w:tcPr>
            <w:tcW w:w="2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72"/>
        </w:trPr>
        <w:tc>
          <w:tcPr>
            <w:tcW w:w="5240" w:type="dxa"/>
            <w:vAlign w:val="bottom"/>
          </w:tcPr>
          <w:p>
            <w:pPr>
              <w:ind w:left="360"/>
              <w:spacing w:after="0"/>
              <w:rPr>
                <w:sz w:val="20"/>
                <w:szCs w:val="20"/>
                <w:color w:val="auto"/>
              </w:rPr>
            </w:pPr>
            <w:r>
              <w:rPr>
                <w:rFonts w:ascii="Arial" w:cs="Arial" w:eastAsia="Arial" w:hAnsi="Arial"/>
                <w:sz w:val="14"/>
                <w:szCs w:val="14"/>
                <w:color w:val="auto"/>
              </w:rPr>
              <w:t>Company common stockholders</w:t>
            </w:r>
          </w:p>
        </w:tc>
        <w:tc>
          <w:tcPr>
            <w:tcW w:w="2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70"/>
        </w:trPr>
        <w:tc>
          <w:tcPr>
            <w:tcW w:w="5240" w:type="dxa"/>
            <w:vAlign w:val="bottom"/>
          </w:tcPr>
          <w:p>
            <w:pPr>
              <w:ind w:left="720"/>
              <w:spacing w:after="0"/>
              <w:rPr>
                <w:sz w:val="20"/>
                <w:szCs w:val="20"/>
                <w:color w:val="auto"/>
              </w:rPr>
            </w:pPr>
            <w:r>
              <w:rPr>
                <w:rFonts w:ascii="Arial" w:cs="Arial" w:eastAsia="Arial" w:hAnsi="Arial"/>
                <w:sz w:val="14"/>
                <w:szCs w:val="14"/>
                <w:color w:val="auto"/>
              </w:rPr>
              <w:t>Income (loss) from continuing operations</w:t>
            </w:r>
          </w:p>
        </w:tc>
        <w:tc>
          <w:tcPr>
            <w:tcW w:w="260" w:type="dxa"/>
            <w:vAlign w:val="bottom"/>
          </w:tcPr>
          <w:p>
            <w:pPr>
              <w:jc w:val="right"/>
              <w:ind w:right="68"/>
              <w:spacing w:after="0"/>
              <w:rPr>
                <w:sz w:val="20"/>
                <w:szCs w:val="20"/>
                <w:color w:val="auto"/>
              </w:rPr>
            </w:pPr>
            <w:r>
              <w:rPr>
                <w:rFonts w:ascii="Arial" w:cs="Arial" w:eastAsia="Arial" w:hAnsi="Arial"/>
                <w:sz w:val="14"/>
                <w:szCs w:val="14"/>
                <w:b w:val="1"/>
                <w:bCs w:val="1"/>
                <w:color w:val="auto"/>
              </w:rPr>
              <w:t>$</w:t>
            </w:r>
          </w:p>
        </w:tc>
        <w:tc>
          <w:tcPr>
            <w:tcW w:w="920" w:type="dxa"/>
            <w:vAlign w:val="bottom"/>
          </w:tcPr>
          <w:p>
            <w:pPr>
              <w:jc w:val="right"/>
              <w:ind w:right="69"/>
              <w:spacing w:after="0"/>
              <w:rPr>
                <w:sz w:val="20"/>
                <w:szCs w:val="20"/>
                <w:color w:val="auto"/>
              </w:rPr>
            </w:pPr>
            <w:r>
              <w:rPr>
                <w:rFonts w:ascii="Arial" w:cs="Arial" w:eastAsia="Arial" w:hAnsi="Arial"/>
                <w:sz w:val="14"/>
                <w:szCs w:val="14"/>
                <w:b w:val="1"/>
                <w:bCs w:val="1"/>
                <w:color w:val="auto"/>
              </w:rPr>
              <w:t>54.24</w:t>
            </w:r>
          </w:p>
        </w:tc>
        <w:tc>
          <w:tcPr>
            <w:tcW w:w="36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920" w:type="dxa"/>
            <w:vAlign w:val="bottom"/>
          </w:tcPr>
          <w:p>
            <w:pPr>
              <w:jc w:val="right"/>
              <w:ind w:right="49"/>
              <w:spacing w:after="0"/>
              <w:rPr>
                <w:sz w:val="20"/>
                <w:szCs w:val="20"/>
                <w:color w:val="auto"/>
              </w:rPr>
            </w:pPr>
            <w:r>
              <w:rPr>
                <w:rFonts w:ascii="Arial" w:cs="Arial" w:eastAsia="Arial" w:hAnsi="Arial"/>
                <w:sz w:val="14"/>
                <w:szCs w:val="14"/>
                <w:color w:val="auto"/>
              </w:rPr>
              <w:t>29.95</w:t>
            </w:r>
          </w:p>
        </w:tc>
        <w:tc>
          <w:tcPr>
            <w:tcW w:w="36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920" w:type="dxa"/>
            <w:vAlign w:val="bottom"/>
          </w:tcPr>
          <w:p>
            <w:pPr>
              <w:jc w:val="right"/>
              <w:ind w:right="29"/>
              <w:spacing w:after="0"/>
              <w:rPr>
                <w:sz w:val="20"/>
                <w:szCs w:val="20"/>
                <w:color w:val="auto"/>
              </w:rPr>
            </w:pPr>
            <w:r>
              <w:rPr>
                <w:rFonts w:ascii="Arial" w:cs="Arial" w:eastAsia="Arial" w:hAnsi="Arial"/>
                <w:sz w:val="14"/>
                <w:szCs w:val="14"/>
                <w:color w:val="auto"/>
              </w:rPr>
              <w:t>(25.23)</w:t>
            </w:r>
          </w:p>
        </w:tc>
        <w:tc>
          <w:tcPr>
            <w:tcW w:w="30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900" w:type="dxa"/>
            <w:vAlign w:val="bottom"/>
          </w:tcPr>
          <w:p>
            <w:pPr>
              <w:jc w:val="right"/>
              <w:ind w:right="49"/>
              <w:spacing w:after="0"/>
              <w:rPr>
                <w:sz w:val="20"/>
                <w:szCs w:val="20"/>
                <w:color w:val="auto"/>
              </w:rPr>
            </w:pPr>
            <w:r>
              <w:rPr>
                <w:rFonts w:ascii="Arial" w:cs="Arial" w:eastAsia="Arial" w:hAnsi="Arial"/>
                <w:sz w:val="14"/>
                <w:szCs w:val="14"/>
                <w:color w:val="auto"/>
              </w:rPr>
              <w:t>115.88</w:t>
            </w:r>
          </w:p>
        </w:tc>
        <w:tc>
          <w:tcPr>
            <w:tcW w:w="34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880" w:type="dxa"/>
            <w:vAlign w:val="bottom"/>
          </w:tcPr>
          <w:p>
            <w:pPr>
              <w:jc w:val="right"/>
              <w:ind w:right="49"/>
              <w:spacing w:after="0"/>
              <w:rPr>
                <w:sz w:val="20"/>
                <w:szCs w:val="20"/>
                <w:color w:val="auto"/>
              </w:rPr>
            </w:pPr>
            <w:r>
              <w:rPr>
                <w:rFonts w:ascii="Arial" w:cs="Arial" w:eastAsia="Arial" w:hAnsi="Arial"/>
                <w:sz w:val="14"/>
                <w:szCs w:val="14"/>
                <w:color w:val="auto"/>
              </w:rPr>
              <w:t>8.62</w:t>
            </w:r>
          </w:p>
        </w:tc>
        <w:tc>
          <w:tcPr>
            <w:tcW w:w="0" w:type="dxa"/>
            <w:vAlign w:val="bottom"/>
          </w:tcPr>
          <w:p>
            <w:pPr>
              <w:spacing w:after="0"/>
              <w:rPr>
                <w:sz w:val="1"/>
                <w:szCs w:val="1"/>
                <w:color w:val="auto"/>
              </w:rPr>
            </w:pPr>
          </w:p>
        </w:tc>
      </w:tr>
      <w:tr>
        <w:trPr>
          <w:trHeight w:val="270"/>
        </w:trPr>
        <w:tc>
          <w:tcPr>
            <w:tcW w:w="5240" w:type="dxa"/>
            <w:vAlign w:val="bottom"/>
          </w:tcPr>
          <w:p>
            <w:pPr>
              <w:ind w:left="720"/>
              <w:spacing w:after="0"/>
              <w:rPr>
                <w:sz w:val="20"/>
                <w:szCs w:val="20"/>
                <w:color w:val="auto"/>
              </w:rPr>
            </w:pPr>
            <w:r>
              <w:rPr>
                <w:rFonts w:ascii="Arial" w:cs="Arial" w:eastAsia="Arial" w:hAnsi="Arial"/>
                <w:sz w:val="14"/>
                <w:szCs w:val="14"/>
                <w:color w:val="auto"/>
              </w:rPr>
              <w:t>Net income (loss)</w:t>
            </w:r>
          </w:p>
        </w:tc>
        <w:tc>
          <w:tcPr>
            <w:tcW w:w="260" w:type="dxa"/>
            <w:vAlign w:val="bottom"/>
          </w:tcPr>
          <w:p>
            <w:pPr>
              <w:spacing w:after="0"/>
              <w:rPr>
                <w:sz w:val="23"/>
                <w:szCs w:val="23"/>
                <w:color w:val="auto"/>
              </w:rPr>
            </w:pPr>
          </w:p>
        </w:tc>
        <w:tc>
          <w:tcPr>
            <w:tcW w:w="920" w:type="dxa"/>
            <w:vAlign w:val="bottom"/>
          </w:tcPr>
          <w:p>
            <w:pPr>
              <w:jc w:val="right"/>
              <w:ind w:right="69"/>
              <w:spacing w:after="0"/>
              <w:rPr>
                <w:sz w:val="20"/>
                <w:szCs w:val="20"/>
                <w:color w:val="auto"/>
              </w:rPr>
            </w:pPr>
            <w:r>
              <w:rPr>
                <w:rFonts w:ascii="Arial" w:cs="Arial" w:eastAsia="Arial" w:hAnsi="Arial"/>
                <w:sz w:val="14"/>
                <w:szCs w:val="14"/>
                <w:b w:val="1"/>
                <w:bCs w:val="1"/>
                <w:color w:val="auto"/>
              </w:rPr>
              <w:t>54.24</w:t>
            </w:r>
          </w:p>
        </w:tc>
        <w:tc>
          <w:tcPr>
            <w:tcW w:w="360" w:type="dxa"/>
            <w:vAlign w:val="bottom"/>
          </w:tcPr>
          <w:p>
            <w:pPr>
              <w:spacing w:after="0"/>
              <w:rPr>
                <w:sz w:val="23"/>
                <w:szCs w:val="23"/>
                <w:color w:val="auto"/>
              </w:rPr>
            </w:pPr>
          </w:p>
        </w:tc>
        <w:tc>
          <w:tcPr>
            <w:tcW w:w="920" w:type="dxa"/>
            <w:vAlign w:val="bottom"/>
          </w:tcPr>
          <w:p>
            <w:pPr>
              <w:jc w:val="right"/>
              <w:ind w:right="49"/>
              <w:spacing w:after="0"/>
              <w:rPr>
                <w:sz w:val="20"/>
                <w:szCs w:val="20"/>
                <w:color w:val="auto"/>
              </w:rPr>
            </w:pPr>
            <w:r>
              <w:rPr>
                <w:rFonts w:ascii="Arial" w:cs="Arial" w:eastAsia="Arial" w:hAnsi="Arial"/>
                <w:sz w:val="14"/>
                <w:szCs w:val="14"/>
                <w:color w:val="auto"/>
              </w:rPr>
              <w:t>29.95</w:t>
            </w:r>
          </w:p>
        </w:tc>
        <w:tc>
          <w:tcPr>
            <w:tcW w:w="360" w:type="dxa"/>
            <w:vAlign w:val="bottom"/>
          </w:tcPr>
          <w:p>
            <w:pPr>
              <w:spacing w:after="0"/>
              <w:rPr>
                <w:sz w:val="23"/>
                <w:szCs w:val="23"/>
                <w:color w:val="auto"/>
              </w:rPr>
            </w:pPr>
          </w:p>
        </w:tc>
        <w:tc>
          <w:tcPr>
            <w:tcW w:w="920" w:type="dxa"/>
            <w:vAlign w:val="bottom"/>
          </w:tcPr>
          <w:p>
            <w:pPr>
              <w:jc w:val="right"/>
              <w:ind w:right="29"/>
              <w:spacing w:after="0"/>
              <w:rPr>
                <w:sz w:val="20"/>
                <w:szCs w:val="20"/>
                <w:color w:val="auto"/>
              </w:rPr>
            </w:pPr>
            <w:r>
              <w:rPr>
                <w:rFonts w:ascii="Arial" w:cs="Arial" w:eastAsia="Arial" w:hAnsi="Arial"/>
                <w:sz w:val="14"/>
                <w:szCs w:val="14"/>
                <w:color w:val="auto"/>
              </w:rPr>
              <w:t>(17.87)</w:t>
            </w:r>
          </w:p>
        </w:tc>
        <w:tc>
          <w:tcPr>
            <w:tcW w:w="300" w:type="dxa"/>
            <w:vAlign w:val="bottom"/>
          </w:tcPr>
          <w:p>
            <w:pPr>
              <w:spacing w:after="0"/>
              <w:rPr>
                <w:sz w:val="23"/>
                <w:szCs w:val="23"/>
                <w:color w:val="auto"/>
              </w:rPr>
            </w:pPr>
          </w:p>
        </w:tc>
        <w:tc>
          <w:tcPr>
            <w:tcW w:w="900" w:type="dxa"/>
            <w:vAlign w:val="bottom"/>
          </w:tcPr>
          <w:p>
            <w:pPr>
              <w:jc w:val="right"/>
              <w:ind w:right="49"/>
              <w:spacing w:after="0"/>
              <w:rPr>
                <w:sz w:val="20"/>
                <w:szCs w:val="20"/>
                <w:color w:val="auto"/>
              </w:rPr>
            </w:pPr>
            <w:r>
              <w:rPr>
                <w:rFonts w:ascii="Arial" w:cs="Arial" w:eastAsia="Arial" w:hAnsi="Arial"/>
                <w:sz w:val="14"/>
                <w:szCs w:val="14"/>
                <w:color w:val="auto"/>
              </w:rPr>
              <w:t>195.81</w:t>
            </w:r>
          </w:p>
        </w:tc>
        <w:tc>
          <w:tcPr>
            <w:tcW w:w="340" w:type="dxa"/>
            <w:vAlign w:val="bottom"/>
          </w:tcPr>
          <w:p>
            <w:pPr>
              <w:spacing w:after="0"/>
              <w:rPr>
                <w:sz w:val="23"/>
                <w:szCs w:val="23"/>
                <w:color w:val="auto"/>
              </w:rPr>
            </w:pPr>
          </w:p>
        </w:tc>
        <w:tc>
          <w:tcPr>
            <w:tcW w:w="880" w:type="dxa"/>
            <w:vAlign w:val="bottom"/>
          </w:tcPr>
          <w:p>
            <w:pPr>
              <w:jc w:val="right"/>
              <w:ind w:right="49"/>
              <w:spacing w:after="0"/>
              <w:rPr>
                <w:sz w:val="20"/>
                <w:szCs w:val="20"/>
                <w:color w:val="auto"/>
              </w:rPr>
            </w:pPr>
            <w:r>
              <w:rPr>
                <w:rFonts w:ascii="Arial" w:cs="Arial" w:eastAsia="Arial" w:hAnsi="Arial"/>
                <w:sz w:val="14"/>
                <w:szCs w:val="14"/>
                <w:color w:val="auto"/>
              </w:rPr>
              <w:t>32.10</w:t>
            </w:r>
          </w:p>
        </w:tc>
        <w:tc>
          <w:tcPr>
            <w:tcW w:w="0" w:type="dxa"/>
            <w:vAlign w:val="bottom"/>
          </w:tcPr>
          <w:p>
            <w:pPr>
              <w:spacing w:after="0"/>
              <w:rPr>
                <w:sz w:val="1"/>
                <w:szCs w:val="1"/>
                <w:color w:val="auto"/>
              </w:rPr>
            </w:pPr>
          </w:p>
        </w:tc>
      </w:tr>
      <w:tr>
        <w:trPr>
          <w:trHeight w:val="206"/>
        </w:trPr>
        <w:tc>
          <w:tcPr>
            <w:tcW w:w="5240" w:type="dxa"/>
            <w:vAlign w:val="bottom"/>
          </w:tcPr>
          <w:p>
            <w:pPr>
              <w:ind w:left="280"/>
              <w:spacing w:after="0"/>
              <w:rPr>
                <w:sz w:val="20"/>
                <w:szCs w:val="20"/>
                <w:color w:val="auto"/>
              </w:rPr>
            </w:pPr>
            <w:r>
              <w:rPr>
                <w:rFonts w:ascii="Arial" w:cs="Arial" w:eastAsia="Arial" w:hAnsi="Arial"/>
                <w:sz w:val="14"/>
                <w:szCs w:val="14"/>
                <w:color w:val="auto"/>
              </w:rPr>
              <w:t>Diluted earnings (loss) per common share attributable to Graham Holdings</w:t>
            </w:r>
          </w:p>
        </w:tc>
        <w:tc>
          <w:tcPr>
            <w:tcW w:w="2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72"/>
        </w:trPr>
        <w:tc>
          <w:tcPr>
            <w:tcW w:w="5240" w:type="dxa"/>
            <w:vAlign w:val="bottom"/>
          </w:tcPr>
          <w:p>
            <w:pPr>
              <w:ind w:left="360"/>
              <w:spacing w:after="0"/>
              <w:rPr>
                <w:sz w:val="20"/>
                <w:szCs w:val="20"/>
                <w:color w:val="auto"/>
              </w:rPr>
            </w:pPr>
            <w:r>
              <w:rPr>
                <w:rFonts w:ascii="Arial" w:cs="Arial" w:eastAsia="Arial" w:hAnsi="Arial"/>
                <w:sz w:val="14"/>
                <w:szCs w:val="14"/>
                <w:color w:val="auto"/>
              </w:rPr>
              <w:t>Company common stockholders</w:t>
            </w:r>
          </w:p>
        </w:tc>
        <w:tc>
          <w:tcPr>
            <w:tcW w:w="2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70"/>
        </w:trPr>
        <w:tc>
          <w:tcPr>
            <w:tcW w:w="5240" w:type="dxa"/>
            <w:vAlign w:val="bottom"/>
          </w:tcPr>
          <w:p>
            <w:pPr>
              <w:ind w:left="720"/>
              <w:spacing w:after="0"/>
              <w:rPr>
                <w:sz w:val="20"/>
                <w:szCs w:val="20"/>
                <w:color w:val="auto"/>
              </w:rPr>
            </w:pPr>
            <w:r>
              <w:rPr>
                <w:rFonts w:ascii="Arial" w:cs="Arial" w:eastAsia="Arial" w:hAnsi="Arial"/>
                <w:sz w:val="14"/>
                <w:szCs w:val="14"/>
                <w:color w:val="auto"/>
              </w:rPr>
              <w:t>Income (loss) from continuing operations</w:t>
            </w:r>
          </w:p>
        </w:tc>
        <w:tc>
          <w:tcPr>
            <w:tcW w:w="260" w:type="dxa"/>
            <w:vAlign w:val="bottom"/>
          </w:tcPr>
          <w:p>
            <w:pPr>
              <w:jc w:val="right"/>
              <w:ind w:right="68"/>
              <w:spacing w:after="0"/>
              <w:rPr>
                <w:sz w:val="20"/>
                <w:szCs w:val="20"/>
                <w:color w:val="auto"/>
              </w:rPr>
            </w:pPr>
            <w:r>
              <w:rPr>
                <w:rFonts w:ascii="Arial" w:cs="Arial" w:eastAsia="Arial" w:hAnsi="Arial"/>
                <w:sz w:val="14"/>
                <w:szCs w:val="14"/>
                <w:b w:val="1"/>
                <w:bCs w:val="1"/>
                <w:color w:val="auto"/>
              </w:rPr>
              <w:t>$</w:t>
            </w:r>
          </w:p>
        </w:tc>
        <w:tc>
          <w:tcPr>
            <w:tcW w:w="920" w:type="dxa"/>
            <w:vAlign w:val="bottom"/>
          </w:tcPr>
          <w:p>
            <w:pPr>
              <w:jc w:val="right"/>
              <w:ind w:right="69"/>
              <w:spacing w:after="0"/>
              <w:rPr>
                <w:sz w:val="20"/>
                <w:szCs w:val="20"/>
                <w:color w:val="auto"/>
              </w:rPr>
            </w:pPr>
            <w:r>
              <w:rPr>
                <w:rFonts w:ascii="Arial" w:cs="Arial" w:eastAsia="Arial" w:hAnsi="Arial"/>
                <w:sz w:val="14"/>
                <w:szCs w:val="14"/>
                <w:b w:val="1"/>
                <w:bCs w:val="1"/>
                <w:color w:val="auto"/>
              </w:rPr>
              <w:t>53.89</w:t>
            </w:r>
          </w:p>
        </w:tc>
        <w:tc>
          <w:tcPr>
            <w:tcW w:w="36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920" w:type="dxa"/>
            <w:vAlign w:val="bottom"/>
          </w:tcPr>
          <w:p>
            <w:pPr>
              <w:jc w:val="right"/>
              <w:ind w:right="49"/>
              <w:spacing w:after="0"/>
              <w:rPr>
                <w:sz w:val="20"/>
                <w:szCs w:val="20"/>
                <w:color w:val="auto"/>
              </w:rPr>
            </w:pPr>
            <w:r>
              <w:rPr>
                <w:rFonts w:ascii="Arial" w:cs="Arial" w:eastAsia="Arial" w:hAnsi="Arial"/>
                <w:sz w:val="14"/>
                <w:szCs w:val="14"/>
                <w:color w:val="auto"/>
              </w:rPr>
              <w:t>29.80</w:t>
            </w:r>
          </w:p>
        </w:tc>
        <w:tc>
          <w:tcPr>
            <w:tcW w:w="36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920" w:type="dxa"/>
            <w:vAlign w:val="bottom"/>
          </w:tcPr>
          <w:p>
            <w:pPr>
              <w:jc w:val="right"/>
              <w:ind w:right="29"/>
              <w:spacing w:after="0"/>
              <w:rPr>
                <w:sz w:val="20"/>
                <w:szCs w:val="20"/>
                <w:color w:val="auto"/>
              </w:rPr>
            </w:pPr>
            <w:r>
              <w:rPr>
                <w:rFonts w:ascii="Arial" w:cs="Arial" w:eastAsia="Arial" w:hAnsi="Arial"/>
                <w:sz w:val="14"/>
                <w:szCs w:val="14"/>
                <w:color w:val="auto"/>
              </w:rPr>
              <w:t>(25.23)</w:t>
            </w:r>
          </w:p>
        </w:tc>
        <w:tc>
          <w:tcPr>
            <w:tcW w:w="30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900" w:type="dxa"/>
            <w:vAlign w:val="bottom"/>
          </w:tcPr>
          <w:p>
            <w:pPr>
              <w:jc w:val="right"/>
              <w:ind w:right="49"/>
              <w:spacing w:after="0"/>
              <w:rPr>
                <w:sz w:val="20"/>
                <w:szCs w:val="20"/>
                <w:color w:val="auto"/>
              </w:rPr>
            </w:pPr>
            <w:r>
              <w:rPr>
                <w:rFonts w:ascii="Arial" w:cs="Arial" w:eastAsia="Arial" w:hAnsi="Arial"/>
                <w:sz w:val="14"/>
                <w:szCs w:val="14"/>
                <w:color w:val="auto"/>
              </w:rPr>
              <w:t>115.40</w:t>
            </w:r>
          </w:p>
        </w:tc>
        <w:tc>
          <w:tcPr>
            <w:tcW w:w="34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880" w:type="dxa"/>
            <w:vAlign w:val="bottom"/>
          </w:tcPr>
          <w:p>
            <w:pPr>
              <w:jc w:val="right"/>
              <w:ind w:right="49"/>
              <w:spacing w:after="0"/>
              <w:rPr>
                <w:sz w:val="20"/>
                <w:szCs w:val="20"/>
                <w:color w:val="auto"/>
              </w:rPr>
            </w:pPr>
            <w:r>
              <w:rPr>
                <w:rFonts w:ascii="Arial" w:cs="Arial" w:eastAsia="Arial" w:hAnsi="Arial"/>
                <w:sz w:val="14"/>
                <w:szCs w:val="14"/>
                <w:color w:val="auto"/>
              </w:rPr>
              <w:t>8.61</w:t>
            </w:r>
          </w:p>
        </w:tc>
        <w:tc>
          <w:tcPr>
            <w:tcW w:w="0" w:type="dxa"/>
            <w:vAlign w:val="bottom"/>
          </w:tcPr>
          <w:p>
            <w:pPr>
              <w:spacing w:after="0"/>
              <w:rPr>
                <w:sz w:val="1"/>
                <w:szCs w:val="1"/>
                <w:color w:val="auto"/>
              </w:rPr>
            </w:pPr>
          </w:p>
        </w:tc>
      </w:tr>
      <w:tr>
        <w:trPr>
          <w:trHeight w:val="270"/>
        </w:trPr>
        <w:tc>
          <w:tcPr>
            <w:tcW w:w="5240" w:type="dxa"/>
            <w:vAlign w:val="bottom"/>
          </w:tcPr>
          <w:p>
            <w:pPr>
              <w:ind w:left="720"/>
              <w:spacing w:after="0"/>
              <w:rPr>
                <w:sz w:val="20"/>
                <w:szCs w:val="20"/>
                <w:color w:val="auto"/>
              </w:rPr>
            </w:pPr>
            <w:r>
              <w:rPr>
                <w:rFonts w:ascii="Arial" w:cs="Arial" w:eastAsia="Arial" w:hAnsi="Arial"/>
                <w:sz w:val="14"/>
                <w:szCs w:val="14"/>
                <w:color w:val="auto"/>
              </w:rPr>
              <w:t>Net income (loss)</w:t>
            </w:r>
          </w:p>
        </w:tc>
        <w:tc>
          <w:tcPr>
            <w:tcW w:w="260" w:type="dxa"/>
            <w:vAlign w:val="bottom"/>
          </w:tcPr>
          <w:p>
            <w:pPr>
              <w:spacing w:after="0"/>
              <w:rPr>
                <w:sz w:val="23"/>
                <w:szCs w:val="23"/>
                <w:color w:val="auto"/>
              </w:rPr>
            </w:pPr>
          </w:p>
        </w:tc>
        <w:tc>
          <w:tcPr>
            <w:tcW w:w="920" w:type="dxa"/>
            <w:vAlign w:val="bottom"/>
          </w:tcPr>
          <w:p>
            <w:pPr>
              <w:jc w:val="right"/>
              <w:ind w:right="69"/>
              <w:spacing w:after="0"/>
              <w:rPr>
                <w:sz w:val="20"/>
                <w:szCs w:val="20"/>
                <w:color w:val="auto"/>
              </w:rPr>
            </w:pPr>
            <w:r>
              <w:rPr>
                <w:rFonts w:ascii="Arial" w:cs="Arial" w:eastAsia="Arial" w:hAnsi="Arial"/>
                <w:sz w:val="14"/>
                <w:szCs w:val="14"/>
                <w:b w:val="1"/>
                <w:bCs w:val="1"/>
                <w:color w:val="auto"/>
              </w:rPr>
              <w:t>53.89</w:t>
            </w:r>
          </w:p>
        </w:tc>
        <w:tc>
          <w:tcPr>
            <w:tcW w:w="360" w:type="dxa"/>
            <w:vAlign w:val="bottom"/>
          </w:tcPr>
          <w:p>
            <w:pPr>
              <w:spacing w:after="0"/>
              <w:rPr>
                <w:sz w:val="23"/>
                <w:szCs w:val="23"/>
                <w:color w:val="auto"/>
              </w:rPr>
            </w:pPr>
          </w:p>
        </w:tc>
        <w:tc>
          <w:tcPr>
            <w:tcW w:w="920" w:type="dxa"/>
            <w:vAlign w:val="bottom"/>
          </w:tcPr>
          <w:p>
            <w:pPr>
              <w:jc w:val="right"/>
              <w:ind w:right="49"/>
              <w:spacing w:after="0"/>
              <w:rPr>
                <w:sz w:val="20"/>
                <w:szCs w:val="20"/>
                <w:color w:val="auto"/>
              </w:rPr>
            </w:pPr>
            <w:r>
              <w:rPr>
                <w:rFonts w:ascii="Arial" w:cs="Arial" w:eastAsia="Arial" w:hAnsi="Arial"/>
                <w:sz w:val="14"/>
                <w:szCs w:val="14"/>
                <w:color w:val="auto"/>
              </w:rPr>
              <w:t>29.80</w:t>
            </w:r>
          </w:p>
        </w:tc>
        <w:tc>
          <w:tcPr>
            <w:tcW w:w="360" w:type="dxa"/>
            <w:vAlign w:val="bottom"/>
          </w:tcPr>
          <w:p>
            <w:pPr>
              <w:spacing w:after="0"/>
              <w:rPr>
                <w:sz w:val="23"/>
                <w:szCs w:val="23"/>
                <w:color w:val="auto"/>
              </w:rPr>
            </w:pPr>
          </w:p>
        </w:tc>
        <w:tc>
          <w:tcPr>
            <w:tcW w:w="920" w:type="dxa"/>
            <w:vAlign w:val="bottom"/>
          </w:tcPr>
          <w:p>
            <w:pPr>
              <w:jc w:val="right"/>
              <w:ind w:right="29"/>
              <w:spacing w:after="0"/>
              <w:rPr>
                <w:sz w:val="20"/>
                <w:szCs w:val="20"/>
                <w:color w:val="auto"/>
              </w:rPr>
            </w:pPr>
            <w:r>
              <w:rPr>
                <w:rFonts w:ascii="Arial" w:cs="Arial" w:eastAsia="Arial" w:hAnsi="Arial"/>
                <w:sz w:val="14"/>
                <w:szCs w:val="14"/>
                <w:color w:val="auto"/>
              </w:rPr>
              <w:t>(17.87)</w:t>
            </w:r>
          </w:p>
        </w:tc>
        <w:tc>
          <w:tcPr>
            <w:tcW w:w="300" w:type="dxa"/>
            <w:vAlign w:val="bottom"/>
          </w:tcPr>
          <w:p>
            <w:pPr>
              <w:spacing w:after="0"/>
              <w:rPr>
                <w:sz w:val="23"/>
                <w:szCs w:val="23"/>
                <w:color w:val="auto"/>
              </w:rPr>
            </w:pPr>
          </w:p>
        </w:tc>
        <w:tc>
          <w:tcPr>
            <w:tcW w:w="900" w:type="dxa"/>
            <w:vAlign w:val="bottom"/>
          </w:tcPr>
          <w:p>
            <w:pPr>
              <w:jc w:val="right"/>
              <w:ind w:right="49"/>
              <w:spacing w:after="0"/>
              <w:rPr>
                <w:sz w:val="20"/>
                <w:szCs w:val="20"/>
                <w:color w:val="auto"/>
              </w:rPr>
            </w:pPr>
            <w:r>
              <w:rPr>
                <w:rFonts w:ascii="Arial" w:cs="Arial" w:eastAsia="Arial" w:hAnsi="Arial"/>
                <w:sz w:val="14"/>
                <w:szCs w:val="14"/>
                <w:color w:val="auto"/>
              </w:rPr>
              <w:t>195.03</w:t>
            </w:r>
          </w:p>
        </w:tc>
        <w:tc>
          <w:tcPr>
            <w:tcW w:w="340" w:type="dxa"/>
            <w:vAlign w:val="bottom"/>
          </w:tcPr>
          <w:p>
            <w:pPr>
              <w:spacing w:after="0"/>
              <w:rPr>
                <w:sz w:val="23"/>
                <w:szCs w:val="23"/>
                <w:color w:val="auto"/>
              </w:rPr>
            </w:pPr>
          </w:p>
        </w:tc>
        <w:tc>
          <w:tcPr>
            <w:tcW w:w="880" w:type="dxa"/>
            <w:vAlign w:val="bottom"/>
          </w:tcPr>
          <w:p>
            <w:pPr>
              <w:jc w:val="right"/>
              <w:ind w:right="49"/>
              <w:spacing w:after="0"/>
              <w:rPr>
                <w:sz w:val="20"/>
                <w:szCs w:val="20"/>
                <w:color w:val="auto"/>
              </w:rPr>
            </w:pPr>
            <w:r>
              <w:rPr>
                <w:rFonts w:ascii="Arial" w:cs="Arial" w:eastAsia="Arial" w:hAnsi="Arial"/>
                <w:sz w:val="14"/>
                <w:szCs w:val="14"/>
                <w:color w:val="auto"/>
              </w:rPr>
              <w:t>32.05</w:t>
            </w:r>
          </w:p>
        </w:tc>
        <w:tc>
          <w:tcPr>
            <w:tcW w:w="0" w:type="dxa"/>
            <w:vAlign w:val="bottom"/>
          </w:tcPr>
          <w:p>
            <w:pPr>
              <w:spacing w:after="0"/>
              <w:rPr>
                <w:sz w:val="1"/>
                <w:szCs w:val="1"/>
                <w:color w:val="auto"/>
              </w:rPr>
            </w:pPr>
          </w:p>
        </w:tc>
      </w:tr>
      <w:tr>
        <w:trPr>
          <w:trHeight w:val="270"/>
        </w:trPr>
        <w:tc>
          <w:tcPr>
            <w:tcW w:w="5240" w:type="dxa"/>
            <w:vAlign w:val="bottom"/>
          </w:tcPr>
          <w:p>
            <w:pPr>
              <w:ind w:left="280"/>
              <w:spacing w:after="0"/>
              <w:rPr>
                <w:sz w:val="20"/>
                <w:szCs w:val="20"/>
                <w:color w:val="auto"/>
              </w:rPr>
            </w:pPr>
            <w:r>
              <w:rPr>
                <w:rFonts w:ascii="Arial" w:cs="Arial" w:eastAsia="Arial" w:hAnsi="Arial"/>
                <w:sz w:val="14"/>
                <w:szCs w:val="14"/>
                <w:color w:val="auto"/>
              </w:rPr>
              <w:t>Weighted average shares outstanding:</w:t>
            </w:r>
          </w:p>
        </w:tc>
        <w:tc>
          <w:tcPr>
            <w:tcW w:w="26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5240" w:type="dxa"/>
            <w:vAlign w:val="bottom"/>
          </w:tcPr>
          <w:p>
            <w:pPr>
              <w:ind w:left="500"/>
              <w:spacing w:after="0"/>
              <w:rPr>
                <w:sz w:val="20"/>
                <w:szCs w:val="20"/>
                <w:color w:val="auto"/>
              </w:rPr>
            </w:pPr>
            <w:r>
              <w:rPr>
                <w:rFonts w:ascii="Arial" w:cs="Arial" w:eastAsia="Arial" w:hAnsi="Arial"/>
                <w:sz w:val="14"/>
                <w:szCs w:val="14"/>
                <w:color w:val="auto"/>
              </w:rPr>
              <w:t>Basic</w:t>
            </w:r>
          </w:p>
        </w:tc>
        <w:tc>
          <w:tcPr>
            <w:tcW w:w="260" w:type="dxa"/>
            <w:vAlign w:val="bottom"/>
          </w:tcPr>
          <w:p>
            <w:pPr>
              <w:spacing w:after="0"/>
              <w:rPr>
                <w:sz w:val="23"/>
                <w:szCs w:val="23"/>
                <w:color w:val="auto"/>
              </w:rPr>
            </w:pPr>
          </w:p>
        </w:tc>
        <w:tc>
          <w:tcPr>
            <w:tcW w:w="920" w:type="dxa"/>
            <w:vAlign w:val="bottom"/>
          </w:tcPr>
          <w:p>
            <w:pPr>
              <w:jc w:val="right"/>
              <w:ind w:right="69"/>
              <w:spacing w:after="0"/>
              <w:rPr>
                <w:sz w:val="20"/>
                <w:szCs w:val="20"/>
                <w:color w:val="auto"/>
              </w:rPr>
            </w:pPr>
            <w:r>
              <w:rPr>
                <w:rFonts w:ascii="Arial" w:cs="Arial" w:eastAsia="Arial" w:hAnsi="Arial"/>
                <w:sz w:val="14"/>
                <w:szCs w:val="14"/>
                <w:b w:val="1"/>
                <w:bCs w:val="1"/>
                <w:color w:val="auto"/>
              </w:rPr>
              <w:t>5,516</w:t>
            </w:r>
          </w:p>
        </w:tc>
        <w:tc>
          <w:tcPr>
            <w:tcW w:w="360" w:type="dxa"/>
            <w:vAlign w:val="bottom"/>
          </w:tcPr>
          <w:p>
            <w:pPr>
              <w:spacing w:after="0"/>
              <w:rPr>
                <w:sz w:val="23"/>
                <w:szCs w:val="23"/>
                <w:color w:val="auto"/>
              </w:rPr>
            </w:pPr>
          </w:p>
        </w:tc>
        <w:tc>
          <w:tcPr>
            <w:tcW w:w="920" w:type="dxa"/>
            <w:vAlign w:val="bottom"/>
          </w:tcPr>
          <w:p>
            <w:pPr>
              <w:jc w:val="right"/>
              <w:ind w:right="49"/>
              <w:spacing w:after="0"/>
              <w:rPr>
                <w:sz w:val="20"/>
                <w:szCs w:val="20"/>
                <w:color w:val="auto"/>
              </w:rPr>
            </w:pPr>
            <w:r>
              <w:rPr>
                <w:rFonts w:ascii="Arial" w:cs="Arial" w:eastAsia="Arial" w:hAnsi="Arial"/>
                <w:sz w:val="14"/>
                <w:szCs w:val="14"/>
                <w:color w:val="auto"/>
              </w:rPr>
              <w:t>5,559</w:t>
            </w:r>
          </w:p>
        </w:tc>
        <w:tc>
          <w:tcPr>
            <w:tcW w:w="360" w:type="dxa"/>
            <w:vAlign w:val="bottom"/>
          </w:tcPr>
          <w:p>
            <w:pPr>
              <w:spacing w:after="0"/>
              <w:rPr>
                <w:sz w:val="23"/>
                <w:szCs w:val="23"/>
                <w:color w:val="auto"/>
              </w:rPr>
            </w:pPr>
          </w:p>
        </w:tc>
        <w:tc>
          <w:tcPr>
            <w:tcW w:w="920" w:type="dxa"/>
            <w:vAlign w:val="bottom"/>
          </w:tcPr>
          <w:p>
            <w:pPr>
              <w:jc w:val="right"/>
              <w:ind w:right="89"/>
              <w:spacing w:after="0"/>
              <w:rPr>
                <w:sz w:val="20"/>
                <w:szCs w:val="20"/>
                <w:color w:val="auto"/>
              </w:rPr>
            </w:pPr>
            <w:r>
              <w:rPr>
                <w:rFonts w:ascii="Arial" w:cs="Arial" w:eastAsia="Arial" w:hAnsi="Arial"/>
                <w:sz w:val="14"/>
                <w:szCs w:val="14"/>
                <w:color w:val="auto"/>
              </w:rPr>
              <w:t>5,727</w:t>
            </w:r>
          </w:p>
        </w:tc>
        <w:tc>
          <w:tcPr>
            <w:tcW w:w="300" w:type="dxa"/>
            <w:vAlign w:val="bottom"/>
          </w:tcPr>
          <w:p>
            <w:pPr>
              <w:spacing w:after="0"/>
              <w:rPr>
                <w:sz w:val="23"/>
                <w:szCs w:val="23"/>
                <w:color w:val="auto"/>
              </w:rPr>
            </w:pPr>
          </w:p>
        </w:tc>
        <w:tc>
          <w:tcPr>
            <w:tcW w:w="900" w:type="dxa"/>
            <w:vAlign w:val="bottom"/>
          </w:tcPr>
          <w:p>
            <w:pPr>
              <w:jc w:val="right"/>
              <w:ind w:right="49"/>
              <w:spacing w:after="0"/>
              <w:rPr>
                <w:sz w:val="20"/>
                <w:szCs w:val="20"/>
                <w:color w:val="auto"/>
              </w:rPr>
            </w:pPr>
            <w:r>
              <w:rPr>
                <w:rFonts w:ascii="Arial" w:cs="Arial" w:eastAsia="Arial" w:hAnsi="Arial"/>
                <w:sz w:val="14"/>
                <w:szCs w:val="14"/>
                <w:color w:val="auto"/>
              </w:rPr>
              <w:t>6,470</w:t>
            </w:r>
          </w:p>
        </w:tc>
        <w:tc>
          <w:tcPr>
            <w:tcW w:w="340" w:type="dxa"/>
            <w:vAlign w:val="bottom"/>
          </w:tcPr>
          <w:p>
            <w:pPr>
              <w:spacing w:after="0"/>
              <w:rPr>
                <w:sz w:val="23"/>
                <w:szCs w:val="23"/>
                <w:color w:val="auto"/>
              </w:rPr>
            </w:pPr>
          </w:p>
        </w:tc>
        <w:tc>
          <w:tcPr>
            <w:tcW w:w="880" w:type="dxa"/>
            <w:vAlign w:val="bottom"/>
          </w:tcPr>
          <w:p>
            <w:pPr>
              <w:jc w:val="right"/>
              <w:ind w:right="49"/>
              <w:spacing w:after="0"/>
              <w:rPr>
                <w:sz w:val="20"/>
                <w:szCs w:val="20"/>
                <w:color w:val="auto"/>
              </w:rPr>
            </w:pPr>
            <w:r>
              <w:rPr>
                <w:rFonts w:ascii="Arial" w:cs="Arial" w:eastAsia="Arial" w:hAnsi="Arial"/>
                <w:sz w:val="14"/>
                <w:szCs w:val="14"/>
                <w:color w:val="auto"/>
              </w:rPr>
              <w:t>7,238</w:t>
            </w:r>
          </w:p>
        </w:tc>
        <w:tc>
          <w:tcPr>
            <w:tcW w:w="0" w:type="dxa"/>
            <w:vAlign w:val="bottom"/>
          </w:tcPr>
          <w:p>
            <w:pPr>
              <w:spacing w:after="0"/>
              <w:rPr>
                <w:sz w:val="1"/>
                <w:szCs w:val="1"/>
                <w:color w:val="auto"/>
              </w:rPr>
            </w:pPr>
          </w:p>
        </w:tc>
      </w:tr>
      <w:tr>
        <w:trPr>
          <w:trHeight w:val="270"/>
        </w:trPr>
        <w:tc>
          <w:tcPr>
            <w:tcW w:w="5240" w:type="dxa"/>
            <w:vAlign w:val="bottom"/>
          </w:tcPr>
          <w:p>
            <w:pPr>
              <w:ind w:left="500"/>
              <w:spacing w:after="0"/>
              <w:rPr>
                <w:sz w:val="20"/>
                <w:szCs w:val="20"/>
                <w:color w:val="auto"/>
              </w:rPr>
            </w:pPr>
            <w:r>
              <w:rPr>
                <w:rFonts w:ascii="Arial" w:cs="Arial" w:eastAsia="Arial" w:hAnsi="Arial"/>
                <w:sz w:val="14"/>
                <w:szCs w:val="14"/>
                <w:color w:val="auto"/>
              </w:rPr>
              <w:t>Diluted</w:t>
            </w:r>
          </w:p>
        </w:tc>
        <w:tc>
          <w:tcPr>
            <w:tcW w:w="260" w:type="dxa"/>
            <w:vAlign w:val="bottom"/>
          </w:tcPr>
          <w:p>
            <w:pPr>
              <w:spacing w:after="0"/>
              <w:rPr>
                <w:sz w:val="23"/>
                <w:szCs w:val="23"/>
                <w:color w:val="auto"/>
              </w:rPr>
            </w:pPr>
          </w:p>
        </w:tc>
        <w:tc>
          <w:tcPr>
            <w:tcW w:w="920" w:type="dxa"/>
            <w:vAlign w:val="bottom"/>
          </w:tcPr>
          <w:p>
            <w:pPr>
              <w:jc w:val="right"/>
              <w:ind w:right="69"/>
              <w:spacing w:after="0"/>
              <w:rPr>
                <w:sz w:val="20"/>
                <w:szCs w:val="20"/>
                <w:color w:val="auto"/>
              </w:rPr>
            </w:pPr>
            <w:r>
              <w:rPr>
                <w:rFonts w:ascii="Arial" w:cs="Arial" w:eastAsia="Arial" w:hAnsi="Arial"/>
                <w:sz w:val="14"/>
                <w:szCs w:val="14"/>
                <w:b w:val="1"/>
                <w:bCs w:val="1"/>
                <w:color w:val="auto"/>
              </w:rPr>
              <w:t>5,552</w:t>
            </w:r>
          </w:p>
        </w:tc>
        <w:tc>
          <w:tcPr>
            <w:tcW w:w="360" w:type="dxa"/>
            <w:vAlign w:val="bottom"/>
          </w:tcPr>
          <w:p>
            <w:pPr>
              <w:spacing w:after="0"/>
              <w:rPr>
                <w:sz w:val="23"/>
                <w:szCs w:val="23"/>
                <w:color w:val="auto"/>
              </w:rPr>
            </w:pPr>
          </w:p>
        </w:tc>
        <w:tc>
          <w:tcPr>
            <w:tcW w:w="920" w:type="dxa"/>
            <w:vAlign w:val="bottom"/>
          </w:tcPr>
          <w:p>
            <w:pPr>
              <w:jc w:val="right"/>
              <w:ind w:right="49"/>
              <w:spacing w:after="0"/>
              <w:rPr>
                <w:sz w:val="20"/>
                <w:szCs w:val="20"/>
                <w:color w:val="auto"/>
              </w:rPr>
            </w:pPr>
            <w:r>
              <w:rPr>
                <w:rFonts w:ascii="Arial" w:cs="Arial" w:eastAsia="Arial" w:hAnsi="Arial"/>
                <w:sz w:val="14"/>
                <w:szCs w:val="14"/>
                <w:color w:val="auto"/>
              </w:rPr>
              <w:t>5,589</w:t>
            </w:r>
          </w:p>
        </w:tc>
        <w:tc>
          <w:tcPr>
            <w:tcW w:w="360" w:type="dxa"/>
            <w:vAlign w:val="bottom"/>
          </w:tcPr>
          <w:p>
            <w:pPr>
              <w:spacing w:after="0"/>
              <w:rPr>
                <w:sz w:val="23"/>
                <w:szCs w:val="23"/>
                <w:color w:val="auto"/>
              </w:rPr>
            </w:pPr>
          </w:p>
        </w:tc>
        <w:tc>
          <w:tcPr>
            <w:tcW w:w="920" w:type="dxa"/>
            <w:vAlign w:val="bottom"/>
          </w:tcPr>
          <w:p>
            <w:pPr>
              <w:jc w:val="right"/>
              <w:ind w:right="89"/>
              <w:spacing w:after="0"/>
              <w:rPr>
                <w:sz w:val="20"/>
                <w:szCs w:val="20"/>
                <w:color w:val="auto"/>
              </w:rPr>
            </w:pPr>
            <w:r>
              <w:rPr>
                <w:rFonts w:ascii="Arial" w:cs="Arial" w:eastAsia="Arial" w:hAnsi="Arial"/>
                <w:sz w:val="14"/>
                <w:szCs w:val="14"/>
                <w:color w:val="auto"/>
              </w:rPr>
              <w:t>5,727</w:t>
            </w:r>
          </w:p>
        </w:tc>
        <w:tc>
          <w:tcPr>
            <w:tcW w:w="300" w:type="dxa"/>
            <w:vAlign w:val="bottom"/>
          </w:tcPr>
          <w:p>
            <w:pPr>
              <w:spacing w:after="0"/>
              <w:rPr>
                <w:sz w:val="23"/>
                <w:szCs w:val="23"/>
                <w:color w:val="auto"/>
              </w:rPr>
            </w:pPr>
          </w:p>
        </w:tc>
        <w:tc>
          <w:tcPr>
            <w:tcW w:w="900" w:type="dxa"/>
            <w:vAlign w:val="bottom"/>
          </w:tcPr>
          <w:p>
            <w:pPr>
              <w:jc w:val="right"/>
              <w:ind w:right="49"/>
              <w:spacing w:after="0"/>
              <w:rPr>
                <w:sz w:val="20"/>
                <w:szCs w:val="20"/>
                <w:color w:val="auto"/>
              </w:rPr>
            </w:pPr>
            <w:r>
              <w:rPr>
                <w:rFonts w:ascii="Arial" w:cs="Arial" w:eastAsia="Arial" w:hAnsi="Arial"/>
                <w:sz w:val="14"/>
                <w:szCs w:val="14"/>
                <w:color w:val="auto"/>
              </w:rPr>
              <w:t>6,559</w:t>
            </w:r>
          </w:p>
        </w:tc>
        <w:tc>
          <w:tcPr>
            <w:tcW w:w="340" w:type="dxa"/>
            <w:vAlign w:val="bottom"/>
          </w:tcPr>
          <w:p>
            <w:pPr>
              <w:spacing w:after="0"/>
              <w:rPr>
                <w:sz w:val="23"/>
                <w:szCs w:val="23"/>
                <w:color w:val="auto"/>
              </w:rPr>
            </w:pPr>
          </w:p>
        </w:tc>
        <w:tc>
          <w:tcPr>
            <w:tcW w:w="880" w:type="dxa"/>
            <w:vAlign w:val="bottom"/>
          </w:tcPr>
          <w:p>
            <w:pPr>
              <w:jc w:val="right"/>
              <w:ind w:right="49"/>
              <w:spacing w:after="0"/>
              <w:rPr>
                <w:sz w:val="20"/>
                <w:szCs w:val="20"/>
                <w:color w:val="auto"/>
              </w:rPr>
            </w:pPr>
            <w:r>
              <w:rPr>
                <w:rFonts w:ascii="Arial" w:cs="Arial" w:eastAsia="Arial" w:hAnsi="Arial"/>
                <w:sz w:val="14"/>
                <w:szCs w:val="14"/>
                <w:color w:val="auto"/>
              </w:rPr>
              <w:t>7,333</w:t>
            </w:r>
          </w:p>
        </w:tc>
        <w:tc>
          <w:tcPr>
            <w:tcW w:w="0" w:type="dxa"/>
            <w:vAlign w:val="bottom"/>
          </w:tcPr>
          <w:p>
            <w:pPr>
              <w:spacing w:after="0"/>
              <w:rPr>
                <w:sz w:val="1"/>
                <w:szCs w:val="1"/>
                <w:color w:val="auto"/>
              </w:rPr>
            </w:pPr>
          </w:p>
        </w:tc>
      </w:tr>
      <w:tr>
        <w:trPr>
          <w:trHeight w:val="270"/>
        </w:trPr>
        <w:tc>
          <w:tcPr>
            <w:tcW w:w="5240" w:type="dxa"/>
            <w:vAlign w:val="bottom"/>
          </w:tcPr>
          <w:p>
            <w:pPr>
              <w:ind w:left="280"/>
              <w:spacing w:after="0"/>
              <w:rPr>
                <w:sz w:val="20"/>
                <w:szCs w:val="20"/>
                <w:color w:val="auto"/>
              </w:rPr>
            </w:pPr>
            <w:r>
              <w:rPr>
                <w:rFonts w:ascii="Arial" w:cs="Arial" w:eastAsia="Arial" w:hAnsi="Arial"/>
                <w:sz w:val="14"/>
                <w:szCs w:val="14"/>
                <w:color w:val="auto"/>
              </w:rPr>
              <w:t>Cash dividends per common share</w:t>
            </w:r>
          </w:p>
        </w:tc>
        <w:tc>
          <w:tcPr>
            <w:tcW w:w="260" w:type="dxa"/>
            <w:vAlign w:val="bottom"/>
          </w:tcPr>
          <w:p>
            <w:pPr>
              <w:jc w:val="right"/>
              <w:ind w:right="68"/>
              <w:spacing w:after="0"/>
              <w:rPr>
                <w:sz w:val="20"/>
                <w:szCs w:val="20"/>
                <w:color w:val="auto"/>
              </w:rPr>
            </w:pPr>
            <w:r>
              <w:rPr>
                <w:rFonts w:ascii="Arial" w:cs="Arial" w:eastAsia="Arial" w:hAnsi="Arial"/>
                <w:sz w:val="14"/>
                <w:szCs w:val="14"/>
                <w:b w:val="1"/>
                <w:bCs w:val="1"/>
                <w:color w:val="auto"/>
              </w:rPr>
              <w:t>$</w:t>
            </w:r>
          </w:p>
        </w:tc>
        <w:tc>
          <w:tcPr>
            <w:tcW w:w="920" w:type="dxa"/>
            <w:vAlign w:val="bottom"/>
          </w:tcPr>
          <w:p>
            <w:pPr>
              <w:jc w:val="right"/>
              <w:ind w:right="69"/>
              <w:spacing w:after="0"/>
              <w:rPr>
                <w:sz w:val="20"/>
                <w:szCs w:val="20"/>
                <w:color w:val="auto"/>
              </w:rPr>
            </w:pPr>
            <w:r>
              <w:rPr>
                <w:rFonts w:ascii="Arial" w:cs="Arial" w:eastAsia="Arial" w:hAnsi="Arial"/>
                <w:sz w:val="14"/>
                <w:szCs w:val="14"/>
                <w:b w:val="1"/>
                <w:bCs w:val="1"/>
                <w:color w:val="auto"/>
              </w:rPr>
              <w:t>5.08</w:t>
            </w:r>
          </w:p>
        </w:tc>
        <w:tc>
          <w:tcPr>
            <w:tcW w:w="36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920" w:type="dxa"/>
            <w:vAlign w:val="bottom"/>
          </w:tcPr>
          <w:p>
            <w:pPr>
              <w:jc w:val="right"/>
              <w:ind w:right="49"/>
              <w:spacing w:after="0"/>
              <w:rPr>
                <w:sz w:val="20"/>
                <w:szCs w:val="20"/>
                <w:color w:val="auto"/>
              </w:rPr>
            </w:pPr>
            <w:r>
              <w:rPr>
                <w:rFonts w:ascii="Arial" w:cs="Arial" w:eastAsia="Arial" w:hAnsi="Arial"/>
                <w:sz w:val="14"/>
                <w:szCs w:val="14"/>
                <w:color w:val="auto"/>
              </w:rPr>
              <w:t>4.84</w:t>
            </w:r>
          </w:p>
        </w:tc>
        <w:tc>
          <w:tcPr>
            <w:tcW w:w="36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920" w:type="dxa"/>
            <w:vAlign w:val="bottom"/>
          </w:tcPr>
          <w:p>
            <w:pPr>
              <w:jc w:val="right"/>
              <w:ind w:right="89"/>
              <w:spacing w:after="0"/>
              <w:rPr>
                <w:sz w:val="20"/>
                <w:szCs w:val="20"/>
                <w:color w:val="auto"/>
              </w:rPr>
            </w:pPr>
            <w:r>
              <w:rPr>
                <w:rFonts w:ascii="Arial" w:cs="Arial" w:eastAsia="Arial" w:hAnsi="Arial"/>
                <w:sz w:val="14"/>
                <w:szCs w:val="14"/>
                <w:color w:val="auto"/>
              </w:rPr>
              <w:t>9.10</w:t>
            </w:r>
          </w:p>
        </w:tc>
        <w:tc>
          <w:tcPr>
            <w:tcW w:w="30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900" w:type="dxa"/>
            <w:vAlign w:val="bottom"/>
          </w:tcPr>
          <w:p>
            <w:pPr>
              <w:jc w:val="right"/>
              <w:ind w:right="49"/>
              <w:spacing w:after="0"/>
              <w:rPr>
                <w:sz w:val="20"/>
                <w:szCs w:val="20"/>
                <w:color w:val="auto"/>
              </w:rPr>
            </w:pPr>
            <w:r>
              <w:rPr>
                <w:rFonts w:ascii="Arial" w:cs="Arial" w:eastAsia="Arial" w:hAnsi="Arial"/>
                <w:sz w:val="14"/>
                <w:szCs w:val="14"/>
                <w:color w:val="auto"/>
              </w:rPr>
              <w:t>10.20</w:t>
            </w:r>
          </w:p>
        </w:tc>
        <w:tc>
          <w:tcPr>
            <w:tcW w:w="34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880" w:type="dxa"/>
            <w:vAlign w:val="bottom"/>
          </w:tcPr>
          <w:p>
            <w:pPr>
              <w:jc w:val="right"/>
              <w:ind w:right="49"/>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70"/>
        </w:trPr>
        <w:tc>
          <w:tcPr>
            <w:tcW w:w="5240" w:type="dxa"/>
            <w:vAlign w:val="bottom"/>
          </w:tcPr>
          <w:p>
            <w:pPr>
              <w:ind w:left="280"/>
              <w:spacing w:after="0"/>
              <w:rPr>
                <w:sz w:val="20"/>
                <w:szCs w:val="20"/>
                <w:color w:val="auto"/>
              </w:rPr>
            </w:pPr>
            <w:r>
              <w:rPr>
                <w:rFonts w:ascii="Arial" w:cs="Arial" w:eastAsia="Arial" w:hAnsi="Arial"/>
                <w:sz w:val="14"/>
                <w:szCs w:val="14"/>
                <w:color w:val="auto"/>
              </w:rPr>
              <w:t>Graham Holdings Company common stockholders’ equity per common share</w:t>
            </w:r>
          </w:p>
        </w:tc>
        <w:tc>
          <w:tcPr>
            <w:tcW w:w="260" w:type="dxa"/>
            <w:vAlign w:val="bottom"/>
          </w:tcPr>
          <w:p>
            <w:pPr>
              <w:jc w:val="right"/>
              <w:ind w:right="68"/>
              <w:spacing w:after="0"/>
              <w:rPr>
                <w:sz w:val="20"/>
                <w:szCs w:val="20"/>
                <w:color w:val="auto"/>
              </w:rPr>
            </w:pPr>
            <w:r>
              <w:rPr>
                <w:rFonts w:ascii="Arial" w:cs="Arial" w:eastAsia="Arial" w:hAnsi="Arial"/>
                <w:sz w:val="14"/>
                <w:szCs w:val="14"/>
                <w:b w:val="1"/>
                <w:bCs w:val="1"/>
                <w:color w:val="auto"/>
              </w:rPr>
              <w:t>$</w:t>
            </w:r>
          </w:p>
        </w:tc>
        <w:tc>
          <w:tcPr>
            <w:tcW w:w="920" w:type="dxa"/>
            <w:vAlign w:val="bottom"/>
          </w:tcPr>
          <w:p>
            <w:pPr>
              <w:jc w:val="right"/>
              <w:ind w:right="69"/>
              <w:spacing w:after="0"/>
              <w:rPr>
                <w:sz w:val="20"/>
                <w:szCs w:val="20"/>
                <w:color w:val="auto"/>
              </w:rPr>
            </w:pPr>
            <w:r>
              <w:rPr>
                <w:rFonts w:ascii="Arial" w:cs="Arial" w:eastAsia="Arial" w:hAnsi="Arial"/>
                <w:sz w:val="14"/>
                <w:szCs w:val="14"/>
                <w:b w:val="1"/>
                <w:bCs w:val="1"/>
                <w:color w:val="auto"/>
              </w:rPr>
              <w:t>529.59</w:t>
            </w:r>
          </w:p>
        </w:tc>
        <w:tc>
          <w:tcPr>
            <w:tcW w:w="36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920" w:type="dxa"/>
            <w:vAlign w:val="bottom"/>
          </w:tcPr>
          <w:p>
            <w:pPr>
              <w:jc w:val="right"/>
              <w:ind w:right="49"/>
              <w:spacing w:after="0"/>
              <w:rPr>
                <w:sz w:val="20"/>
                <w:szCs w:val="20"/>
                <w:color w:val="auto"/>
              </w:rPr>
            </w:pPr>
            <w:r>
              <w:rPr>
                <w:rFonts w:ascii="Arial" w:cs="Arial" w:eastAsia="Arial" w:hAnsi="Arial"/>
                <w:sz w:val="14"/>
                <w:szCs w:val="14"/>
                <w:color w:val="auto"/>
              </w:rPr>
              <w:t>439.88</w:t>
            </w:r>
          </w:p>
        </w:tc>
        <w:tc>
          <w:tcPr>
            <w:tcW w:w="36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920" w:type="dxa"/>
            <w:vAlign w:val="bottom"/>
          </w:tcPr>
          <w:p>
            <w:pPr>
              <w:jc w:val="right"/>
              <w:ind w:right="89"/>
              <w:spacing w:after="0"/>
              <w:rPr>
                <w:sz w:val="20"/>
                <w:szCs w:val="20"/>
                <w:color w:val="auto"/>
              </w:rPr>
            </w:pPr>
            <w:r>
              <w:rPr>
                <w:rFonts w:ascii="Arial" w:cs="Arial" w:eastAsia="Arial" w:hAnsi="Arial"/>
                <w:sz w:val="14"/>
                <w:szCs w:val="14"/>
                <w:color w:val="auto"/>
              </w:rPr>
              <w:t>429.15</w:t>
            </w:r>
          </w:p>
        </w:tc>
        <w:tc>
          <w:tcPr>
            <w:tcW w:w="30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900" w:type="dxa"/>
            <w:vAlign w:val="bottom"/>
          </w:tcPr>
          <w:p>
            <w:pPr>
              <w:jc w:val="right"/>
              <w:ind w:right="49"/>
              <w:spacing w:after="0"/>
              <w:rPr>
                <w:sz w:val="20"/>
                <w:szCs w:val="20"/>
                <w:color w:val="auto"/>
              </w:rPr>
            </w:pPr>
            <w:r>
              <w:rPr>
                <w:rFonts w:ascii="Arial" w:cs="Arial" w:eastAsia="Arial" w:hAnsi="Arial"/>
                <w:sz w:val="14"/>
                <w:szCs w:val="14"/>
                <w:color w:val="auto"/>
              </w:rPr>
              <w:t>541.54</w:t>
            </w:r>
          </w:p>
        </w:tc>
        <w:tc>
          <w:tcPr>
            <w:tcW w:w="34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880" w:type="dxa"/>
            <w:vAlign w:val="bottom"/>
          </w:tcPr>
          <w:p>
            <w:pPr>
              <w:jc w:val="right"/>
              <w:ind w:right="49"/>
              <w:spacing w:after="0"/>
              <w:rPr>
                <w:sz w:val="20"/>
                <w:szCs w:val="20"/>
                <w:color w:val="auto"/>
              </w:rPr>
            </w:pPr>
            <w:r>
              <w:rPr>
                <w:rFonts w:ascii="Arial" w:cs="Arial" w:eastAsia="Arial" w:hAnsi="Arial"/>
                <w:sz w:val="14"/>
                <w:szCs w:val="14"/>
                <w:color w:val="auto"/>
              </w:rPr>
              <w:t>446.73</w:t>
            </w:r>
          </w:p>
        </w:tc>
        <w:tc>
          <w:tcPr>
            <w:tcW w:w="0" w:type="dxa"/>
            <w:vAlign w:val="bottom"/>
          </w:tcPr>
          <w:p>
            <w:pPr>
              <w:spacing w:after="0"/>
              <w:rPr>
                <w:sz w:val="1"/>
                <w:szCs w:val="1"/>
                <w:color w:val="auto"/>
              </w:rPr>
            </w:pPr>
          </w:p>
        </w:tc>
      </w:tr>
      <w:tr>
        <w:trPr>
          <w:trHeight w:val="270"/>
        </w:trPr>
        <w:tc>
          <w:tcPr>
            <w:tcW w:w="5240" w:type="dxa"/>
            <w:vAlign w:val="bottom"/>
          </w:tcPr>
          <w:p>
            <w:pPr>
              <w:ind w:left="40"/>
              <w:spacing w:after="0"/>
              <w:rPr>
                <w:sz w:val="20"/>
                <w:szCs w:val="20"/>
                <w:color w:val="auto"/>
              </w:rPr>
            </w:pPr>
            <w:r>
              <w:rPr>
                <w:rFonts w:ascii="Arial" w:cs="Arial" w:eastAsia="Arial" w:hAnsi="Arial"/>
                <w:sz w:val="14"/>
                <w:szCs w:val="14"/>
                <w:b w:val="1"/>
                <w:bCs w:val="1"/>
                <w:color w:val="auto"/>
              </w:rPr>
              <w:t>Financial Position</w:t>
            </w:r>
          </w:p>
        </w:tc>
        <w:tc>
          <w:tcPr>
            <w:tcW w:w="26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5240" w:type="dxa"/>
            <w:vAlign w:val="bottom"/>
          </w:tcPr>
          <w:p>
            <w:pPr>
              <w:ind w:left="280"/>
              <w:spacing w:after="0"/>
              <w:rPr>
                <w:sz w:val="20"/>
                <w:szCs w:val="20"/>
                <w:color w:val="auto"/>
              </w:rPr>
            </w:pPr>
            <w:r>
              <w:rPr>
                <w:rFonts w:ascii="Arial" w:cs="Arial" w:eastAsia="Arial" w:hAnsi="Arial"/>
                <w:sz w:val="14"/>
                <w:szCs w:val="14"/>
                <w:color w:val="auto"/>
              </w:rPr>
              <w:t>Working capital</w:t>
            </w:r>
          </w:p>
        </w:tc>
        <w:tc>
          <w:tcPr>
            <w:tcW w:w="260" w:type="dxa"/>
            <w:vAlign w:val="bottom"/>
          </w:tcPr>
          <w:p>
            <w:pPr>
              <w:jc w:val="right"/>
              <w:ind w:right="68"/>
              <w:spacing w:after="0"/>
              <w:rPr>
                <w:sz w:val="20"/>
                <w:szCs w:val="20"/>
                <w:color w:val="auto"/>
              </w:rPr>
            </w:pPr>
            <w:r>
              <w:rPr>
                <w:rFonts w:ascii="Arial" w:cs="Arial" w:eastAsia="Arial" w:hAnsi="Arial"/>
                <w:sz w:val="14"/>
                <w:szCs w:val="14"/>
                <w:b w:val="1"/>
                <w:bCs w:val="1"/>
                <w:color w:val="auto"/>
              </w:rPr>
              <w:t>$</w:t>
            </w:r>
          </w:p>
        </w:tc>
        <w:tc>
          <w:tcPr>
            <w:tcW w:w="920" w:type="dxa"/>
            <w:vAlign w:val="bottom"/>
          </w:tcPr>
          <w:p>
            <w:pPr>
              <w:jc w:val="right"/>
              <w:ind w:right="69"/>
              <w:spacing w:after="0"/>
              <w:rPr>
                <w:sz w:val="20"/>
                <w:szCs w:val="20"/>
                <w:color w:val="auto"/>
              </w:rPr>
            </w:pPr>
            <w:r>
              <w:rPr>
                <w:rFonts w:ascii="Arial" w:cs="Arial" w:eastAsia="Arial" w:hAnsi="Arial"/>
                <w:sz w:val="14"/>
                <w:szCs w:val="14"/>
                <w:b w:val="1"/>
                <w:bCs w:val="1"/>
                <w:color w:val="auto"/>
              </w:rPr>
              <w:t>857,192</w:t>
            </w:r>
          </w:p>
        </w:tc>
        <w:tc>
          <w:tcPr>
            <w:tcW w:w="36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920" w:type="dxa"/>
            <w:vAlign w:val="bottom"/>
          </w:tcPr>
          <w:p>
            <w:pPr>
              <w:jc w:val="right"/>
              <w:ind w:right="49"/>
              <w:spacing w:after="0"/>
              <w:rPr>
                <w:sz w:val="20"/>
                <w:szCs w:val="20"/>
                <w:color w:val="auto"/>
              </w:rPr>
            </w:pPr>
            <w:r>
              <w:rPr>
                <w:rFonts w:ascii="Arial" w:cs="Arial" w:eastAsia="Arial" w:hAnsi="Arial"/>
                <w:sz w:val="14"/>
                <w:szCs w:val="14"/>
                <w:color w:val="auto"/>
              </w:rPr>
              <w:t>1,052,385</w:t>
            </w:r>
          </w:p>
        </w:tc>
        <w:tc>
          <w:tcPr>
            <w:tcW w:w="36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920" w:type="dxa"/>
            <w:vAlign w:val="bottom"/>
          </w:tcPr>
          <w:p>
            <w:pPr>
              <w:jc w:val="right"/>
              <w:ind w:right="89"/>
              <w:spacing w:after="0"/>
              <w:rPr>
                <w:sz w:val="20"/>
                <w:szCs w:val="20"/>
                <w:color w:val="auto"/>
              </w:rPr>
            </w:pPr>
            <w:r>
              <w:rPr>
                <w:rFonts w:ascii="Arial" w:cs="Arial" w:eastAsia="Arial" w:hAnsi="Arial"/>
                <w:sz w:val="14"/>
                <w:szCs w:val="14"/>
                <w:color w:val="auto"/>
              </w:rPr>
              <w:t>1,135,573</w:t>
            </w:r>
          </w:p>
        </w:tc>
        <w:tc>
          <w:tcPr>
            <w:tcW w:w="30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900" w:type="dxa"/>
            <w:vAlign w:val="bottom"/>
          </w:tcPr>
          <w:p>
            <w:pPr>
              <w:jc w:val="right"/>
              <w:ind w:right="49"/>
              <w:spacing w:after="0"/>
              <w:rPr>
                <w:sz w:val="20"/>
                <w:szCs w:val="20"/>
                <w:color w:val="auto"/>
              </w:rPr>
            </w:pPr>
            <w:r>
              <w:rPr>
                <w:rFonts w:ascii="Arial" w:cs="Arial" w:eastAsia="Arial" w:hAnsi="Arial"/>
                <w:sz w:val="14"/>
                <w:szCs w:val="14"/>
                <w:color w:val="auto"/>
              </w:rPr>
              <w:t>639,911</w:t>
            </w:r>
          </w:p>
        </w:tc>
        <w:tc>
          <w:tcPr>
            <w:tcW w:w="34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880" w:type="dxa"/>
            <w:vAlign w:val="bottom"/>
          </w:tcPr>
          <w:p>
            <w:pPr>
              <w:jc w:val="right"/>
              <w:ind w:right="49"/>
              <w:spacing w:after="0"/>
              <w:rPr>
                <w:sz w:val="20"/>
                <w:szCs w:val="20"/>
                <w:color w:val="auto"/>
              </w:rPr>
            </w:pPr>
            <w:r>
              <w:rPr>
                <w:rFonts w:ascii="Arial" w:cs="Arial" w:eastAsia="Arial" w:hAnsi="Arial"/>
                <w:sz w:val="14"/>
                <w:szCs w:val="14"/>
                <w:color w:val="auto"/>
              </w:rPr>
              <w:t>768,278</w:t>
            </w:r>
          </w:p>
        </w:tc>
        <w:tc>
          <w:tcPr>
            <w:tcW w:w="0" w:type="dxa"/>
            <w:vAlign w:val="bottom"/>
          </w:tcPr>
          <w:p>
            <w:pPr>
              <w:spacing w:after="0"/>
              <w:rPr>
                <w:sz w:val="1"/>
                <w:szCs w:val="1"/>
                <w:color w:val="auto"/>
              </w:rPr>
            </w:pPr>
          </w:p>
        </w:tc>
      </w:tr>
      <w:tr>
        <w:trPr>
          <w:trHeight w:val="270"/>
        </w:trPr>
        <w:tc>
          <w:tcPr>
            <w:tcW w:w="5240" w:type="dxa"/>
            <w:vAlign w:val="bottom"/>
          </w:tcPr>
          <w:p>
            <w:pPr>
              <w:ind w:left="280"/>
              <w:spacing w:after="0"/>
              <w:rPr>
                <w:sz w:val="20"/>
                <w:szCs w:val="20"/>
                <w:color w:val="auto"/>
              </w:rPr>
            </w:pPr>
            <w:r>
              <w:rPr>
                <w:rFonts w:ascii="Arial" w:cs="Arial" w:eastAsia="Arial" w:hAnsi="Arial"/>
                <w:sz w:val="14"/>
                <w:szCs w:val="14"/>
                <w:color w:val="auto"/>
              </w:rPr>
              <w:t>Total assets</w:t>
            </w:r>
          </w:p>
        </w:tc>
        <w:tc>
          <w:tcPr>
            <w:tcW w:w="260" w:type="dxa"/>
            <w:vAlign w:val="bottom"/>
          </w:tcPr>
          <w:p>
            <w:pPr>
              <w:spacing w:after="0"/>
              <w:rPr>
                <w:sz w:val="23"/>
                <w:szCs w:val="23"/>
                <w:color w:val="auto"/>
              </w:rPr>
            </w:pPr>
          </w:p>
        </w:tc>
        <w:tc>
          <w:tcPr>
            <w:tcW w:w="920" w:type="dxa"/>
            <w:vAlign w:val="bottom"/>
          </w:tcPr>
          <w:p>
            <w:pPr>
              <w:jc w:val="right"/>
              <w:ind w:right="69"/>
              <w:spacing w:after="0"/>
              <w:rPr>
                <w:sz w:val="20"/>
                <w:szCs w:val="20"/>
                <w:color w:val="auto"/>
              </w:rPr>
            </w:pPr>
            <w:r>
              <w:rPr>
                <w:rFonts w:ascii="Arial" w:cs="Arial" w:eastAsia="Arial" w:hAnsi="Arial"/>
                <w:sz w:val="14"/>
                <w:szCs w:val="14"/>
                <w:b w:val="1"/>
                <w:bCs w:val="1"/>
                <w:color w:val="auto"/>
              </w:rPr>
              <w:t>4,937,823</w:t>
            </w:r>
          </w:p>
        </w:tc>
        <w:tc>
          <w:tcPr>
            <w:tcW w:w="360" w:type="dxa"/>
            <w:vAlign w:val="bottom"/>
          </w:tcPr>
          <w:p>
            <w:pPr>
              <w:spacing w:after="0"/>
              <w:rPr>
                <w:sz w:val="23"/>
                <w:szCs w:val="23"/>
                <w:color w:val="auto"/>
              </w:rPr>
            </w:pPr>
          </w:p>
        </w:tc>
        <w:tc>
          <w:tcPr>
            <w:tcW w:w="920" w:type="dxa"/>
            <w:vAlign w:val="bottom"/>
          </w:tcPr>
          <w:p>
            <w:pPr>
              <w:jc w:val="right"/>
              <w:ind w:right="49"/>
              <w:spacing w:after="0"/>
              <w:rPr>
                <w:sz w:val="20"/>
                <w:szCs w:val="20"/>
                <w:color w:val="auto"/>
              </w:rPr>
            </w:pPr>
            <w:r>
              <w:rPr>
                <w:rFonts w:ascii="Arial" w:cs="Arial" w:eastAsia="Arial" w:hAnsi="Arial"/>
                <w:sz w:val="14"/>
                <w:szCs w:val="14"/>
                <w:color w:val="auto"/>
              </w:rPr>
              <w:t>4,432,670</w:t>
            </w:r>
          </w:p>
        </w:tc>
        <w:tc>
          <w:tcPr>
            <w:tcW w:w="360" w:type="dxa"/>
            <w:vAlign w:val="bottom"/>
          </w:tcPr>
          <w:p>
            <w:pPr>
              <w:spacing w:after="0"/>
              <w:rPr>
                <w:sz w:val="23"/>
                <w:szCs w:val="23"/>
                <w:color w:val="auto"/>
              </w:rPr>
            </w:pPr>
          </w:p>
        </w:tc>
        <w:tc>
          <w:tcPr>
            <w:tcW w:w="920" w:type="dxa"/>
            <w:vAlign w:val="bottom"/>
          </w:tcPr>
          <w:p>
            <w:pPr>
              <w:jc w:val="right"/>
              <w:ind w:right="89"/>
              <w:spacing w:after="0"/>
              <w:rPr>
                <w:sz w:val="20"/>
                <w:szCs w:val="20"/>
                <w:color w:val="auto"/>
              </w:rPr>
            </w:pPr>
            <w:r>
              <w:rPr>
                <w:rFonts w:ascii="Arial" w:cs="Arial" w:eastAsia="Arial" w:hAnsi="Arial"/>
                <w:sz w:val="14"/>
                <w:szCs w:val="14"/>
                <w:color w:val="auto"/>
              </w:rPr>
              <w:t>4,352,825</w:t>
            </w:r>
          </w:p>
        </w:tc>
        <w:tc>
          <w:tcPr>
            <w:tcW w:w="300" w:type="dxa"/>
            <w:vAlign w:val="bottom"/>
          </w:tcPr>
          <w:p>
            <w:pPr>
              <w:spacing w:after="0"/>
              <w:rPr>
                <w:sz w:val="23"/>
                <w:szCs w:val="23"/>
                <w:color w:val="auto"/>
              </w:rPr>
            </w:pPr>
          </w:p>
        </w:tc>
        <w:tc>
          <w:tcPr>
            <w:tcW w:w="900" w:type="dxa"/>
            <w:vAlign w:val="bottom"/>
          </w:tcPr>
          <w:p>
            <w:pPr>
              <w:jc w:val="right"/>
              <w:ind w:right="49"/>
              <w:spacing w:after="0"/>
              <w:rPr>
                <w:sz w:val="20"/>
                <w:szCs w:val="20"/>
                <w:color w:val="auto"/>
              </w:rPr>
            </w:pPr>
            <w:r>
              <w:rPr>
                <w:rFonts w:ascii="Arial" w:cs="Arial" w:eastAsia="Arial" w:hAnsi="Arial"/>
                <w:sz w:val="14"/>
                <w:szCs w:val="14"/>
                <w:color w:val="auto"/>
              </w:rPr>
              <w:t>5,752,319</w:t>
            </w:r>
          </w:p>
        </w:tc>
        <w:tc>
          <w:tcPr>
            <w:tcW w:w="340" w:type="dxa"/>
            <w:vAlign w:val="bottom"/>
          </w:tcPr>
          <w:p>
            <w:pPr>
              <w:spacing w:after="0"/>
              <w:rPr>
                <w:sz w:val="23"/>
                <w:szCs w:val="23"/>
                <w:color w:val="auto"/>
              </w:rPr>
            </w:pPr>
          </w:p>
        </w:tc>
        <w:tc>
          <w:tcPr>
            <w:tcW w:w="880" w:type="dxa"/>
            <w:vAlign w:val="bottom"/>
          </w:tcPr>
          <w:p>
            <w:pPr>
              <w:jc w:val="right"/>
              <w:ind w:right="49"/>
              <w:spacing w:after="0"/>
              <w:rPr>
                <w:sz w:val="20"/>
                <w:szCs w:val="20"/>
                <w:color w:val="auto"/>
              </w:rPr>
            </w:pPr>
            <w:r>
              <w:rPr>
                <w:rFonts w:ascii="Arial" w:cs="Arial" w:eastAsia="Arial" w:hAnsi="Arial"/>
                <w:sz w:val="14"/>
                <w:szCs w:val="14"/>
                <w:color w:val="auto"/>
              </w:rPr>
              <w:t>5,811,046</w:t>
            </w:r>
          </w:p>
        </w:tc>
        <w:tc>
          <w:tcPr>
            <w:tcW w:w="0" w:type="dxa"/>
            <w:vAlign w:val="bottom"/>
          </w:tcPr>
          <w:p>
            <w:pPr>
              <w:spacing w:after="0"/>
              <w:rPr>
                <w:sz w:val="1"/>
                <w:szCs w:val="1"/>
                <w:color w:val="auto"/>
              </w:rPr>
            </w:pPr>
          </w:p>
        </w:tc>
      </w:tr>
      <w:tr>
        <w:trPr>
          <w:trHeight w:val="270"/>
        </w:trPr>
        <w:tc>
          <w:tcPr>
            <w:tcW w:w="5240" w:type="dxa"/>
            <w:vAlign w:val="bottom"/>
          </w:tcPr>
          <w:p>
            <w:pPr>
              <w:ind w:left="280"/>
              <w:spacing w:after="0"/>
              <w:rPr>
                <w:sz w:val="20"/>
                <w:szCs w:val="20"/>
                <w:color w:val="auto"/>
              </w:rPr>
            </w:pPr>
            <w:r>
              <w:rPr>
                <w:rFonts w:ascii="Arial" w:cs="Arial" w:eastAsia="Arial" w:hAnsi="Arial"/>
                <w:sz w:val="14"/>
                <w:szCs w:val="14"/>
                <w:color w:val="auto"/>
              </w:rPr>
              <w:t>Long-term debt</w:t>
            </w:r>
          </w:p>
        </w:tc>
        <w:tc>
          <w:tcPr>
            <w:tcW w:w="260" w:type="dxa"/>
            <w:vAlign w:val="bottom"/>
          </w:tcPr>
          <w:p>
            <w:pPr>
              <w:spacing w:after="0"/>
              <w:rPr>
                <w:sz w:val="23"/>
                <w:szCs w:val="23"/>
                <w:color w:val="auto"/>
              </w:rPr>
            </w:pPr>
          </w:p>
        </w:tc>
        <w:tc>
          <w:tcPr>
            <w:tcW w:w="920" w:type="dxa"/>
            <w:vAlign w:val="bottom"/>
          </w:tcPr>
          <w:p>
            <w:pPr>
              <w:jc w:val="right"/>
              <w:ind w:right="69"/>
              <w:spacing w:after="0"/>
              <w:rPr>
                <w:sz w:val="20"/>
                <w:szCs w:val="20"/>
                <w:color w:val="auto"/>
              </w:rPr>
            </w:pPr>
            <w:r>
              <w:rPr>
                <w:rFonts w:ascii="Arial" w:cs="Arial" w:eastAsia="Arial" w:hAnsi="Arial"/>
                <w:sz w:val="14"/>
                <w:szCs w:val="14"/>
                <w:b w:val="1"/>
                <w:bCs w:val="1"/>
                <w:color w:val="auto"/>
              </w:rPr>
              <w:t>486,561</w:t>
            </w:r>
          </w:p>
        </w:tc>
        <w:tc>
          <w:tcPr>
            <w:tcW w:w="360" w:type="dxa"/>
            <w:vAlign w:val="bottom"/>
          </w:tcPr>
          <w:p>
            <w:pPr>
              <w:spacing w:after="0"/>
              <w:rPr>
                <w:sz w:val="23"/>
                <w:szCs w:val="23"/>
                <w:color w:val="auto"/>
              </w:rPr>
            </w:pPr>
          </w:p>
        </w:tc>
        <w:tc>
          <w:tcPr>
            <w:tcW w:w="920" w:type="dxa"/>
            <w:vAlign w:val="bottom"/>
          </w:tcPr>
          <w:p>
            <w:pPr>
              <w:jc w:val="right"/>
              <w:ind w:right="49"/>
              <w:spacing w:after="0"/>
              <w:rPr>
                <w:sz w:val="20"/>
                <w:szCs w:val="20"/>
                <w:color w:val="auto"/>
              </w:rPr>
            </w:pPr>
            <w:r>
              <w:rPr>
                <w:rFonts w:ascii="Arial" w:cs="Arial" w:eastAsia="Arial" w:hAnsi="Arial"/>
                <w:sz w:val="14"/>
                <w:szCs w:val="14"/>
                <w:color w:val="auto"/>
              </w:rPr>
              <w:t>485,719</w:t>
            </w:r>
          </w:p>
        </w:tc>
        <w:tc>
          <w:tcPr>
            <w:tcW w:w="360" w:type="dxa"/>
            <w:vAlign w:val="bottom"/>
          </w:tcPr>
          <w:p>
            <w:pPr>
              <w:spacing w:after="0"/>
              <w:rPr>
                <w:sz w:val="23"/>
                <w:szCs w:val="23"/>
                <w:color w:val="auto"/>
              </w:rPr>
            </w:pPr>
          </w:p>
        </w:tc>
        <w:tc>
          <w:tcPr>
            <w:tcW w:w="920" w:type="dxa"/>
            <w:vAlign w:val="bottom"/>
          </w:tcPr>
          <w:p>
            <w:pPr>
              <w:jc w:val="right"/>
              <w:ind w:right="89"/>
              <w:spacing w:after="0"/>
              <w:rPr>
                <w:sz w:val="20"/>
                <w:szCs w:val="20"/>
                <w:color w:val="auto"/>
              </w:rPr>
            </w:pPr>
            <w:r>
              <w:rPr>
                <w:rFonts w:ascii="Arial" w:cs="Arial" w:eastAsia="Arial" w:hAnsi="Arial"/>
                <w:sz w:val="14"/>
                <w:szCs w:val="14"/>
                <w:color w:val="auto"/>
              </w:rPr>
              <w:t>399,800</w:t>
            </w:r>
          </w:p>
        </w:tc>
        <w:tc>
          <w:tcPr>
            <w:tcW w:w="300" w:type="dxa"/>
            <w:vAlign w:val="bottom"/>
          </w:tcPr>
          <w:p>
            <w:pPr>
              <w:spacing w:after="0"/>
              <w:rPr>
                <w:sz w:val="23"/>
                <w:szCs w:val="23"/>
                <w:color w:val="auto"/>
              </w:rPr>
            </w:pPr>
          </w:p>
        </w:tc>
        <w:tc>
          <w:tcPr>
            <w:tcW w:w="900" w:type="dxa"/>
            <w:vAlign w:val="bottom"/>
          </w:tcPr>
          <w:p>
            <w:pPr>
              <w:jc w:val="right"/>
              <w:ind w:right="49"/>
              <w:spacing w:after="0"/>
              <w:rPr>
                <w:sz w:val="20"/>
                <w:szCs w:val="20"/>
                <w:color w:val="auto"/>
              </w:rPr>
            </w:pPr>
            <w:r>
              <w:rPr>
                <w:rFonts w:ascii="Arial" w:cs="Arial" w:eastAsia="Arial" w:hAnsi="Arial"/>
                <w:sz w:val="14"/>
                <w:szCs w:val="14"/>
                <w:color w:val="auto"/>
              </w:rPr>
              <w:t>399,545</w:t>
            </w:r>
          </w:p>
        </w:tc>
        <w:tc>
          <w:tcPr>
            <w:tcW w:w="340" w:type="dxa"/>
            <w:vAlign w:val="bottom"/>
          </w:tcPr>
          <w:p>
            <w:pPr>
              <w:spacing w:after="0"/>
              <w:rPr>
                <w:sz w:val="23"/>
                <w:szCs w:val="23"/>
                <w:color w:val="auto"/>
              </w:rPr>
            </w:pPr>
          </w:p>
        </w:tc>
        <w:tc>
          <w:tcPr>
            <w:tcW w:w="880" w:type="dxa"/>
            <w:vAlign w:val="bottom"/>
          </w:tcPr>
          <w:p>
            <w:pPr>
              <w:jc w:val="right"/>
              <w:ind w:right="49"/>
              <w:spacing w:after="0"/>
              <w:rPr>
                <w:sz w:val="20"/>
                <w:szCs w:val="20"/>
                <w:color w:val="auto"/>
              </w:rPr>
            </w:pPr>
            <w:r>
              <w:rPr>
                <w:rFonts w:ascii="Arial" w:cs="Arial" w:eastAsia="Arial" w:hAnsi="Arial"/>
                <w:sz w:val="14"/>
                <w:szCs w:val="14"/>
                <w:color w:val="auto"/>
              </w:rPr>
              <w:t>447,608</w:t>
            </w:r>
          </w:p>
        </w:tc>
        <w:tc>
          <w:tcPr>
            <w:tcW w:w="0" w:type="dxa"/>
            <w:vAlign w:val="bottom"/>
          </w:tcPr>
          <w:p>
            <w:pPr>
              <w:spacing w:after="0"/>
              <w:rPr>
                <w:sz w:val="1"/>
                <w:szCs w:val="1"/>
                <w:color w:val="auto"/>
              </w:rPr>
            </w:pPr>
          </w:p>
        </w:tc>
      </w:tr>
      <w:tr>
        <w:trPr>
          <w:trHeight w:val="270"/>
        </w:trPr>
        <w:tc>
          <w:tcPr>
            <w:tcW w:w="5240" w:type="dxa"/>
            <w:vAlign w:val="bottom"/>
          </w:tcPr>
          <w:p>
            <w:pPr>
              <w:ind w:left="280"/>
              <w:spacing w:after="0"/>
              <w:rPr>
                <w:sz w:val="20"/>
                <w:szCs w:val="20"/>
                <w:color w:val="auto"/>
              </w:rPr>
            </w:pPr>
            <w:r>
              <w:rPr>
                <w:rFonts w:ascii="Arial" w:cs="Arial" w:eastAsia="Arial" w:hAnsi="Arial"/>
                <w:sz w:val="14"/>
                <w:szCs w:val="14"/>
                <w:color w:val="auto"/>
              </w:rPr>
              <w:t>Graham Holdings Company common stockholders’ equity</w:t>
            </w:r>
          </w:p>
        </w:tc>
        <w:tc>
          <w:tcPr>
            <w:tcW w:w="260" w:type="dxa"/>
            <w:vAlign w:val="bottom"/>
          </w:tcPr>
          <w:p>
            <w:pPr>
              <w:spacing w:after="0"/>
              <w:rPr>
                <w:sz w:val="23"/>
                <w:szCs w:val="23"/>
                <w:color w:val="auto"/>
              </w:rPr>
            </w:pPr>
          </w:p>
        </w:tc>
        <w:tc>
          <w:tcPr>
            <w:tcW w:w="920" w:type="dxa"/>
            <w:vAlign w:val="bottom"/>
          </w:tcPr>
          <w:p>
            <w:pPr>
              <w:jc w:val="right"/>
              <w:ind w:right="69"/>
              <w:spacing w:after="0"/>
              <w:rPr>
                <w:sz w:val="20"/>
                <w:szCs w:val="20"/>
                <w:color w:val="auto"/>
              </w:rPr>
            </w:pPr>
            <w:r>
              <w:rPr>
                <w:rFonts w:ascii="Arial" w:cs="Arial" w:eastAsia="Arial" w:hAnsi="Arial"/>
                <w:sz w:val="14"/>
                <w:szCs w:val="14"/>
                <w:b w:val="1"/>
                <w:bCs w:val="1"/>
                <w:color w:val="auto"/>
              </w:rPr>
              <w:t>2,915,145</w:t>
            </w:r>
          </w:p>
        </w:tc>
        <w:tc>
          <w:tcPr>
            <w:tcW w:w="360" w:type="dxa"/>
            <w:vAlign w:val="bottom"/>
          </w:tcPr>
          <w:p>
            <w:pPr>
              <w:spacing w:after="0"/>
              <w:rPr>
                <w:sz w:val="23"/>
                <w:szCs w:val="23"/>
                <w:color w:val="auto"/>
              </w:rPr>
            </w:pPr>
          </w:p>
        </w:tc>
        <w:tc>
          <w:tcPr>
            <w:tcW w:w="920" w:type="dxa"/>
            <w:vAlign w:val="bottom"/>
          </w:tcPr>
          <w:p>
            <w:pPr>
              <w:jc w:val="right"/>
              <w:ind w:right="49"/>
              <w:spacing w:after="0"/>
              <w:rPr>
                <w:sz w:val="20"/>
                <w:szCs w:val="20"/>
                <w:color w:val="auto"/>
              </w:rPr>
            </w:pPr>
            <w:r>
              <w:rPr>
                <w:rFonts w:ascii="Arial" w:cs="Arial" w:eastAsia="Arial" w:hAnsi="Arial"/>
                <w:sz w:val="14"/>
                <w:szCs w:val="14"/>
                <w:color w:val="auto"/>
              </w:rPr>
              <w:t>2,452,941</w:t>
            </w:r>
          </w:p>
        </w:tc>
        <w:tc>
          <w:tcPr>
            <w:tcW w:w="360" w:type="dxa"/>
            <w:vAlign w:val="bottom"/>
          </w:tcPr>
          <w:p>
            <w:pPr>
              <w:spacing w:after="0"/>
              <w:rPr>
                <w:sz w:val="23"/>
                <w:szCs w:val="23"/>
                <w:color w:val="auto"/>
              </w:rPr>
            </w:pPr>
          </w:p>
        </w:tc>
        <w:tc>
          <w:tcPr>
            <w:tcW w:w="920" w:type="dxa"/>
            <w:vAlign w:val="bottom"/>
          </w:tcPr>
          <w:p>
            <w:pPr>
              <w:jc w:val="right"/>
              <w:ind w:right="89"/>
              <w:spacing w:after="0"/>
              <w:rPr>
                <w:sz w:val="20"/>
                <w:szCs w:val="20"/>
                <w:color w:val="auto"/>
              </w:rPr>
            </w:pPr>
            <w:r>
              <w:rPr>
                <w:rFonts w:ascii="Arial" w:cs="Arial" w:eastAsia="Arial" w:hAnsi="Arial"/>
                <w:sz w:val="14"/>
                <w:szCs w:val="14"/>
                <w:color w:val="auto"/>
              </w:rPr>
              <w:t>2,490,698</w:t>
            </w:r>
          </w:p>
        </w:tc>
        <w:tc>
          <w:tcPr>
            <w:tcW w:w="300" w:type="dxa"/>
            <w:vAlign w:val="bottom"/>
          </w:tcPr>
          <w:p>
            <w:pPr>
              <w:spacing w:after="0"/>
              <w:rPr>
                <w:sz w:val="23"/>
                <w:szCs w:val="23"/>
                <w:color w:val="auto"/>
              </w:rPr>
            </w:pPr>
          </w:p>
        </w:tc>
        <w:tc>
          <w:tcPr>
            <w:tcW w:w="900" w:type="dxa"/>
            <w:vAlign w:val="bottom"/>
          </w:tcPr>
          <w:p>
            <w:pPr>
              <w:jc w:val="right"/>
              <w:ind w:right="49"/>
              <w:spacing w:after="0"/>
              <w:rPr>
                <w:sz w:val="20"/>
                <w:szCs w:val="20"/>
                <w:color w:val="auto"/>
              </w:rPr>
            </w:pPr>
            <w:r>
              <w:rPr>
                <w:rFonts w:ascii="Arial" w:cs="Arial" w:eastAsia="Arial" w:hAnsi="Arial"/>
                <w:sz w:val="14"/>
                <w:szCs w:val="14"/>
                <w:color w:val="auto"/>
              </w:rPr>
              <w:t>3,140,299</w:t>
            </w:r>
          </w:p>
        </w:tc>
        <w:tc>
          <w:tcPr>
            <w:tcW w:w="340" w:type="dxa"/>
            <w:vAlign w:val="bottom"/>
          </w:tcPr>
          <w:p>
            <w:pPr>
              <w:spacing w:after="0"/>
              <w:rPr>
                <w:sz w:val="23"/>
                <w:szCs w:val="23"/>
                <w:color w:val="auto"/>
              </w:rPr>
            </w:pPr>
          </w:p>
        </w:tc>
        <w:tc>
          <w:tcPr>
            <w:tcW w:w="880" w:type="dxa"/>
            <w:vAlign w:val="bottom"/>
          </w:tcPr>
          <w:p>
            <w:pPr>
              <w:jc w:val="right"/>
              <w:ind w:right="49"/>
              <w:spacing w:after="0"/>
              <w:rPr>
                <w:sz w:val="20"/>
                <w:szCs w:val="20"/>
                <w:color w:val="auto"/>
              </w:rPr>
            </w:pPr>
            <w:r>
              <w:rPr>
                <w:rFonts w:ascii="Arial" w:cs="Arial" w:eastAsia="Arial" w:hAnsi="Arial"/>
                <w:sz w:val="14"/>
                <w:szCs w:val="14"/>
                <w:color w:val="auto"/>
              </w:rPr>
              <w:t>3,300,067</w:t>
            </w:r>
          </w:p>
        </w:tc>
        <w:tc>
          <w:tcPr>
            <w:tcW w:w="0" w:type="dxa"/>
            <w:vAlign w:val="bottom"/>
          </w:tcPr>
          <w:p>
            <w:pPr>
              <w:spacing w:after="0"/>
              <w:rPr>
                <w:sz w:val="1"/>
                <w:szCs w:val="1"/>
                <w:color w:val="auto"/>
              </w:rPr>
            </w:pPr>
          </w:p>
        </w:tc>
      </w:tr>
    </w:tbl>
    <w:p>
      <w:pPr>
        <w:spacing w:after="0" w:line="14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Impact from certain items included in income from continuing operations (after-tax and diluted EPS amounts):</w:t>
      </w:r>
    </w:p>
    <w:p>
      <w:pPr>
        <w:spacing w:after="0" w:line="104"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2017</w:t>
      </w:r>
    </w:p>
    <w:p>
      <w:pPr>
        <w:spacing w:after="0" w:line="19" w:lineRule="exact"/>
        <w:rPr>
          <w:sz w:val="20"/>
          <w:szCs w:val="20"/>
          <w:color w:val="auto"/>
        </w:rPr>
      </w:pPr>
    </w:p>
    <w:p>
      <w:pPr>
        <w:ind w:left="80" w:hanging="72"/>
        <w:spacing w:after="0"/>
        <w:tabs>
          <w:tab w:leader="none" w:pos="80" w:val="left"/>
        </w:tabs>
        <w:numPr>
          <w:ilvl w:val="0"/>
          <w:numId w:val="87"/>
        </w:numPr>
        <w:rPr>
          <w:rFonts w:ascii="Arial" w:cs="Arial" w:eastAsia="Arial" w:hAnsi="Arial"/>
          <w:sz w:val="14"/>
          <w:szCs w:val="14"/>
          <w:color w:val="auto"/>
        </w:rPr>
      </w:pPr>
      <w:r>
        <w:rPr>
          <w:rFonts w:ascii="Arial" w:cs="Arial" w:eastAsia="Arial" w:hAnsi="Arial"/>
          <w:sz w:val="14"/>
          <w:szCs w:val="14"/>
          <w:color w:val="auto"/>
        </w:rPr>
        <w:t>Charges of $6.3 million ($1.12 per share) related to restructuring at the education division</w:t>
      </w:r>
    </w:p>
    <w:p>
      <w:pPr>
        <w:spacing w:after="0" w:line="1" w:lineRule="exact"/>
        <w:rPr>
          <w:rFonts w:ascii="Arial" w:cs="Arial" w:eastAsia="Arial" w:hAnsi="Arial"/>
          <w:sz w:val="14"/>
          <w:szCs w:val="14"/>
          <w:color w:val="auto"/>
        </w:rPr>
      </w:pPr>
    </w:p>
    <w:p>
      <w:pPr>
        <w:ind w:left="80" w:hanging="72"/>
        <w:spacing w:after="0"/>
        <w:tabs>
          <w:tab w:leader="none" w:pos="80" w:val="left"/>
        </w:tabs>
        <w:numPr>
          <w:ilvl w:val="0"/>
          <w:numId w:val="87"/>
        </w:numPr>
        <w:rPr>
          <w:rFonts w:ascii="Arial" w:cs="Arial" w:eastAsia="Arial" w:hAnsi="Arial"/>
          <w:sz w:val="14"/>
          <w:szCs w:val="14"/>
          <w:color w:val="auto"/>
        </w:rPr>
      </w:pPr>
      <w:r>
        <w:rPr>
          <w:rFonts w:ascii="Arial" w:cs="Arial" w:eastAsia="Arial" w:hAnsi="Arial"/>
          <w:sz w:val="14"/>
          <w:szCs w:val="14"/>
          <w:color w:val="auto"/>
        </w:rPr>
        <w:t>Goodwill and other long-lived assets impairment charges of $5.8 million ($1.03 per share) in other businesses</w:t>
      </w:r>
    </w:p>
    <w:p>
      <w:pPr>
        <w:spacing w:after="0" w:line="1" w:lineRule="exact"/>
        <w:rPr>
          <w:rFonts w:ascii="Arial" w:cs="Arial" w:eastAsia="Arial" w:hAnsi="Arial"/>
          <w:sz w:val="14"/>
          <w:szCs w:val="14"/>
          <w:color w:val="auto"/>
        </w:rPr>
      </w:pPr>
    </w:p>
    <w:p>
      <w:pPr>
        <w:ind w:left="80" w:hanging="72"/>
        <w:spacing w:after="0"/>
        <w:tabs>
          <w:tab w:leader="none" w:pos="80" w:val="left"/>
        </w:tabs>
        <w:numPr>
          <w:ilvl w:val="0"/>
          <w:numId w:val="87"/>
        </w:numPr>
        <w:rPr>
          <w:rFonts w:ascii="Arial" w:cs="Arial" w:eastAsia="Arial" w:hAnsi="Arial"/>
          <w:sz w:val="14"/>
          <w:szCs w:val="14"/>
          <w:color w:val="auto"/>
        </w:rPr>
      </w:pPr>
      <w:r>
        <w:rPr>
          <w:rFonts w:ascii="Arial" w:cs="Arial" w:eastAsia="Arial" w:hAnsi="Arial"/>
          <w:sz w:val="14"/>
          <w:szCs w:val="14"/>
          <w:color w:val="auto"/>
        </w:rPr>
        <w:t>Gains, net, of $2.1 million ($0.37 per share) from non-operating foreign currency gains</w:t>
      </w:r>
    </w:p>
    <w:p>
      <w:pPr>
        <w:spacing w:after="0" w:line="1" w:lineRule="exact"/>
        <w:rPr>
          <w:rFonts w:ascii="Arial" w:cs="Arial" w:eastAsia="Arial" w:hAnsi="Arial"/>
          <w:sz w:val="14"/>
          <w:szCs w:val="14"/>
          <w:color w:val="auto"/>
        </w:rPr>
      </w:pPr>
    </w:p>
    <w:p>
      <w:pPr>
        <w:ind w:left="80" w:hanging="72"/>
        <w:spacing w:after="0"/>
        <w:tabs>
          <w:tab w:leader="none" w:pos="80" w:val="left"/>
        </w:tabs>
        <w:numPr>
          <w:ilvl w:val="0"/>
          <w:numId w:val="87"/>
        </w:numPr>
        <w:rPr>
          <w:rFonts w:ascii="Arial" w:cs="Arial" w:eastAsia="Arial" w:hAnsi="Arial"/>
          <w:sz w:val="14"/>
          <w:szCs w:val="14"/>
          <w:color w:val="auto"/>
        </w:rPr>
      </w:pPr>
      <w:r>
        <w:rPr>
          <w:rFonts w:ascii="Arial" w:cs="Arial" w:eastAsia="Arial" w:hAnsi="Arial"/>
          <w:sz w:val="14"/>
          <w:szCs w:val="14"/>
          <w:color w:val="auto"/>
        </w:rPr>
        <w:t>Net deferred tax benefits of $177.5 million ($31.68 per share) related to the Tax Act</w:t>
      </w:r>
    </w:p>
    <w:p>
      <w:pPr>
        <w:spacing w:after="0" w:line="1" w:lineRule="exact"/>
        <w:rPr>
          <w:rFonts w:ascii="Arial" w:cs="Arial" w:eastAsia="Arial" w:hAnsi="Arial"/>
          <w:sz w:val="14"/>
          <w:szCs w:val="14"/>
          <w:color w:val="auto"/>
        </w:rPr>
      </w:pPr>
    </w:p>
    <w:p>
      <w:pPr>
        <w:ind w:left="80" w:hanging="72"/>
        <w:spacing w:after="0"/>
        <w:tabs>
          <w:tab w:leader="none" w:pos="80" w:val="left"/>
        </w:tabs>
        <w:numPr>
          <w:ilvl w:val="0"/>
          <w:numId w:val="87"/>
        </w:numPr>
        <w:rPr>
          <w:rFonts w:ascii="Arial" w:cs="Arial" w:eastAsia="Arial" w:hAnsi="Arial"/>
          <w:sz w:val="14"/>
          <w:szCs w:val="14"/>
          <w:color w:val="auto"/>
        </w:rPr>
      </w:pPr>
      <w:r>
        <w:rPr>
          <w:rFonts w:ascii="Arial" w:cs="Arial" w:eastAsia="Arial" w:hAnsi="Arial"/>
          <w:sz w:val="14"/>
          <w:szCs w:val="14"/>
          <w:color w:val="auto"/>
        </w:rPr>
        <w:t>Income tax benefit of $5.9 million ($1.06 per share) related to stock compensation</w:t>
      </w:r>
    </w:p>
    <w:p>
      <w:pPr>
        <w:spacing w:after="0" w:line="1"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2016</w:t>
      </w:r>
    </w:p>
    <w:p>
      <w:pPr>
        <w:spacing w:after="0" w:line="1" w:lineRule="exact"/>
        <w:rPr>
          <w:sz w:val="20"/>
          <w:szCs w:val="20"/>
          <w:color w:val="auto"/>
        </w:rPr>
      </w:pPr>
    </w:p>
    <w:p>
      <w:pPr>
        <w:ind w:left="80" w:hanging="72"/>
        <w:spacing w:after="0"/>
        <w:tabs>
          <w:tab w:leader="none" w:pos="80" w:val="left"/>
        </w:tabs>
        <w:numPr>
          <w:ilvl w:val="0"/>
          <w:numId w:val="88"/>
        </w:numPr>
        <w:rPr>
          <w:rFonts w:ascii="Arial" w:cs="Arial" w:eastAsia="Arial" w:hAnsi="Arial"/>
          <w:sz w:val="14"/>
          <w:szCs w:val="14"/>
          <w:color w:val="auto"/>
        </w:rPr>
      </w:pPr>
      <w:r>
        <w:rPr>
          <w:rFonts w:ascii="Arial" w:cs="Arial" w:eastAsia="Arial" w:hAnsi="Arial"/>
          <w:sz w:val="14"/>
          <w:szCs w:val="14"/>
          <w:color w:val="auto"/>
        </w:rPr>
        <w:t>Settlement gain of $10.8 million ($1.92 per share) related to a bulk lump sum pension offering</w:t>
      </w:r>
    </w:p>
    <w:p>
      <w:pPr>
        <w:spacing w:after="0" w:line="1" w:lineRule="exact"/>
        <w:rPr>
          <w:rFonts w:ascii="Arial" w:cs="Arial" w:eastAsia="Arial" w:hAnsi="Arial"/>
          <w:sz w:val="14"/>
          <w:szCs w:val="14"/>
          <w:color w:val="auto"/>
        </w:rPr>
      </w:pPr>
    </w:p>
    <w:p>
      <w:pPr>
        <w:ind w:left="80" w:hanging="72"/>
        <w:spacing w:after="0"/>
        <w:tabs>
          <w:tab w:leader="none" w:pos="80" w:val="left"/>
        </w:tabs>
        <w:numPr>
          <w:ilvl w:val="0"/>
          <w:numId w:val="88"/>
        </w:numPr>
        <w:rPr>
          <w:rFonts w:ascii="Arial" w:cs="Arial" w:eastAsia="Arial" w:hAnsi="Arial"/>
          <w:sz w:val="14"/>
          <w:szCs w:val="14"/>
          <w:color w:val="auto"/>
        </w:rPr>
      </w:pPr>
      <w:r>
        <w:rPr>
          <w:rFonts w:ascii="Arial" w:cs="Arial" w:eastAsia="Arial" w:hAnsi="Arial"/>
          <w:sz w:val="14"/>
          <w:szCs w:val="14"/>
          <w:color w:val="auto"/>
        </w:rPr>
        <w:t>Charges of $7.7 million ($1.36 per share) related to restructuring at the education division</w:t>
      </w:r>
    </w:p>
    <w:p>
      <w:pPr>
        <w:spacing w:after="0" w:line="1" w:lineRule="exact"/>
        <w:rPr>
          <w:rFonts w:ascii="Arial" w:cs="Arial" w:eastAsia="Arial" w:hAnsi="Arial"/>
          <w:sz w:val="14"/>
          <w:szCs w:val="14"/>
          <w:color w:val="auto"/>
        </w:rPr>
      </w:pPr>
    </w:p>
    <w:p>
      <w:pPr>
        <w:ind w:left="80" w:hanging="72"/>
        <w:spacing w:after="0"/>
        <w:tabs>
          <w:tab w:leader="none" w:pos="80" w:val="left"/>
        </w:tabs>
        <w:numPr>
          <w:ilvl w:val="0"/>
          <w:numId w:val="88"/>
        </w:numPr>
        <w:rPr>
          <w:rFonts w:ascii="Arial" w:cs="Arial" w:eastAsia="Arial" w:hAnsi="Arial"/>
          <w:sz w:val="14"/>
          <w:szCs w:val="14"/>
          <w:color w:val="auto"/>
        </w:rPr>
      </w:pPr>
      <w:r>
        <w:rPr>
          <w:rFonts w:ascii="Arial" w:cs="Arial" w:eastAsia="Arial" w:hAnsi="Arial"/>
          <w:sz w:val="14"/>
          <w:szCs w:val="14"/>
          <w:color w:val="auto"/>
        </w:rPr>
        <w:t>$20.0 million ($3.52 per share) net non-operating gain from the sales of land and marketable equity securities</w:t>
      </w:r>
    </w:p>
    <w:p>
      <w:pPr>
        <w:spacing w:after="0" w:line="1" w:lineRule="exact"/>
        <w:rPr>
          <w:rFonts w:ascii="Arial" w:cs="Arial" w:eastAsia="Arial" w:hAnsi="Arial"/>
          <w:sz w:val="14"/>
          <w:szCs w:val="14"/>
          <w:color w:val="auto"/>
        </w:rPr>
      </w:pPr>
    </w:p>
    <w:p>
      <w:pPr>
        <w:ind w:left="80" w:hanging="72"/>
        <w:spacing w:after="0"/>
        <w:tabs>
          <w:tab w:leader="none" w:pos="80" w:val="left"/>
        </w:tabs>
        <w:numPr>
          <w:ilvl w:val="0"/>
          <w:numId w:val="88"/>
        </w:numPr>
        <w:rPr>
          <w:rFonts w:ascii="Arial" w:cs="Arial" w:eastAsia="Arial" w:hAnsi="Arial"/>
          <w:sz w:val="14"/>
          <w:szCs w:val="14"/>
          <w:color w:val="auto"/>
        </w:rPr>
      </w:pPr>
      <w:r>
        <w:rPr>
          <w:rFonts w:ascii="Arial" w:cs="Arial" w:eastAsia="Arial" w:hAnsi="Arial"/>
          <w:sz w:val="14"/>
          <w:szCs w:val="14"/>
          <w:color w:val="auto"/>
        </w:rPr>
        <w:t>$13.6 million ($2.37 per share) non-operating gain arising from the sale of a business and the formation of a joint venture</w:t>
      </w:r>
    </w:p>
    <w:p>
      <w:pPr>
        <w:spacing w:after="0" w:line="1" w:lineRule="exact"/>
        <w:rPr>
          <w:rFonts w:ascii="Arial" w:cs="Arial" w:eastAsia="Arial" w:hAnsi="Arial"/>
          <w:sz w:val="14"/>
          <w:szCs w:val="14"/>
          <w:color w:val="auto"/>
        </w:rPr>
      </w:pPr>
    </w:p>
    <w:p>
      <w:pPr>
        <w:ind w:left="80" w:hanging="72"/>
        <w:spacing w:after="0"/>
        <w:tabs>
          <w:tab w:leader="none" w:pos="80" w:val="left"/>
        </w:tabs>
        <w:numPr>
          <w:ilvl w:val="0"/>
          <w:numId w:val="88"/>
        </w:numPr>
        <w:rPr>
          <w:rFonts w:ascii="Arial" w:cs="Arial" w:eastAsia="Arial" w:hAnsi="Arial"/>
          <w:sz w:val="14"/>
          <w:szCs w:val="14"/>
          <w:color w:val="auto"/>
        </w:rPr>
      </w:pPr>
      <w:r>
        <w:rPr>
          <w:rFonts w:ascii="Arial" w:cs="Arial" w:eastAsia="Arial" w:hAnsi="Arial"/>
          <w:sz w:val="14"/>
          <w:szCs w:val="14"/>
          <w:color w:val="auto"/>
        </w:rPr>
        <w:t>$24.1 million ($4.27 per share) non-operating expense from the write-down of cost method investments and investments in affiliates</w:t>
      </w:r>
    </w:p>
    <w:p>
      <w:pPr>
        <w:spacing w:after="0" w:line="1" w:lineRule="exact"/>
        <w:rPr>
          <w:rFonts w:ascii="Arial" w:cs="Arial" w:eastAsia="Arial" w:hAnsi="Arial"/>
          <w:sz w:val="14"/>
          <w:szCs w:val="14"/>
          <w:color w:val="auto"/>
        </w:rPr>
      </w:pPr>
    </w:p>
    <w:p>
      <w:pPr>
        <w:ind w:left="80" w:hanging="72"/>
        <w:spacing w:after="0"/>
        <w:tabs>
          <w:tab w:leader="none" w:pos="80" w:val="left"/>
        </w:tabs>
        <w:numPr>
          <w:ilvl w:val="0"/>
          <w:numId w:val="88"/>
        </w:numPr>
        <w:rPr>
          <w:rFonts w:ascii="Arial" w:cs="Arial" w:eastAsia="Arial" w:hAnsi="Arial"/>
          <w:sz w:val="14"/>
          <w:szCs w:val="14"/>
          <w:color w:val="auto"/>
        </w:rPr>
      </w:pPr>
      <w:r>
        <w:rPr>
          <w:rFonts w:ascii="Arial" w:cs="Arial" w:eastAsia="Arial" w:hAnsi="Arial"/>
          <w:sz w:val="14"/>
          <w:szCs w:val="14"/>
          <w:color w:val="auto"/>
        </w:rPr>
        <w:t>Losses, net, of $25.5 million ($4.51 per share) from non-operating foreign currency losses</w:t>
      </w:r>
    </w:p>
    <w:p>
      <w:pPr>
        <w:spacing w:after="0" w:line="1" w:lineRule="exact"/>
        <w:rPr>
          <w:rFonts w:ascii="Arial" w:cs="Arial" w:eastAsia="Arial" w:hAnsi="Arial"/>
          <w:sz w:val="14"/>
          <w:szCs w:val="14"/>
          <w:color w:val="auto"/>
        </w:rPr>
      </w:pPr>
    </w:p>
    <w:p>
      <w:pPr>
        <w:ind w:left="80" w:hanging="72"/>
        <w:spacing w:after="0"/>
        <w:tabs>
          <w:tab w:leader="none" w:pos="80" w:val="left"/>
        </w:tabs>
        <w:numPr>
          <w:ilvl w:val="0"/>
          <w:numId w:val="88"/>
        </w:numPr>
        <w:rPr>
          <w:rFonts w:ascii="Arial" w:cs="Arial" w:eastAsia="Arial" w:hAnsi="Arial"/>
          <w:sz w:val="14"/>
          <w:szCs w:val="14"/>
          <w:color w:val="auto"/>
        </w:rPr>
      </w:pPr>
      <w:r>
        <w:rPr>
          <w:rFonts w:ascii="Arial" w:cs="Arial" w:eastAsia="Arial" w:hAnsi="Arial"/>
          <w:sz w:val="14"/>
          <w:szCs w:val="14"/>
          <w:color w:val="auto"/>
        </w:rPr>
        <w:t>Net nonrecurring $8.3 million ($1.47 per share) deferred tax benefit related to Kaplan’s international operations</w:t>
      </w:r>
    </w:p>
    <w:p>
      <w:pPr>
        <w:spacing w:after="0" w:line="1" w:lineRule="exact"/>
        <w:rPr>
          <w:rFonts w:ascii="Arial" w:cs="Arial" w:eastAsia="Arial" w:hAnsi="Arial"/>
          <w:sz w:val="14"/>
          <w:szCs w:val="14"/>
          <w:color w:val="auto"/>
        </w:rPr>
      </w:pPr>
    </w:p>
    <w:p>
      <w:pPr>
        <w:ind w:left="80" w:hanging="72"/>
        <w:spacing w:after="0"/>
        <w:tabs>
          <w:tab w:leader="none" w:pos="80" w:val="left"/>
        </w:tabs>
        <w:numPr>
          <w:ilvl w:val="0"/>
          <w:numId w:val="88"/>
        </w:numPr>
        <w:rPr>
          <w:rFonts w:ascii="Arial" w:cs="Arial" w:eastAsia="Arial" w:hAnsi="Arial"/>
          <w:sz w:val="14"/>
          <w:szCs w:val="14"/>
          <w:color w:val="auto"/>
        </w:rPr>
      </w:pPr>
      <w:r>
        <w:rPr>
          <w:rFonts w:ascii="Arial" w:cs="Arial" w:eastAsia="Arial" w:hAnsi="Arial"/>
          <w:sz w:val="14"/>
          <w:szCs w:val="14"/>
          <w:color w:val="auto"/>
        </w:rPr>
        <w:t>Favorable $5.6 million ($1.00 per share) out of period deferred tax adjustment related to the KHE goodwill impairment from 2015</w:t>
      </w:r>
    </w:p>
    <w:p>
      <w:pPr>
        <w:spacing w:after="0" w:line="11"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2015</w:t>
      </w:r>
    </w:p>
    <w:p>
      <w:pPr>
        <w:spacing w:after="0" w:line="4" w:lineRule="exact"/>
        <w:rPr>
          <w:sz w:val="20"/>
          <w:szCs w:val="20"/>
          <w:color w:val="auto"/>
        </w:rPr>
      </w:pPr>
    </w:p>
    <w:p>
      <w:pPr>
        <w:ind w:left="80" w:hanging="72"/>
        <w:spacing w:after="0"/>
        <w:tabs>
          <w:tab w:leader="none" w:pos="80" w:val="left"/>
        </w:tabs>
        <w:numPr>
          <w:ilvl w:val="0"/>
          <w:numId w:val="89"/>
        </w:numPr>
        <w:rPr>
          <w:rFonts w:ascii="Arial" w:cs="Arial" w:eastAsia="Arial" w:hAnsi="Arial"/>
          <w:sz w:val="14"/>
          <w:szCs w:val="14"/>
          <w:color w:val="auto"/>
        </w:rPr>
      </w:pPr>
      <w:r>
        <w:rPr>
          <w:rFonts w:ascii="Arial" w:cs="Arial" w:eastAsia="Arial" w:hAnsi="Arial"/>
          <w:sz w:val="14"/>
          <w:szCs w:val="14"/>
          <w:color w:val="auto"/>
        </w:rPr>
        <w:t>Goodwill and other long-lived assets impairment charges of $225.2 million ($38.96 per share) at the education division and other business</w:t>
      </w:r>
    </w:p>
    <w:p>
      <w:pPr>
        <w:spacing w:after="0" w:line="1" w:lineRule="exact"/>
        <w:rPr>
          <w:rFonts w:ascii="Arial" w:cs="Arial" w:eastAsia="Arial" w:hAnsi="Arial"/>
          <w:sz w:val="14"/>
          <w:szCs w:val="14"/>
          <w:color w:val="auto"/>
        </w:rPr>
      </w:pPr>
    </w:p>
    <w:p>
      <w:pPr>
        <w:ind w:left="80" w:hanging="72"/>
        <w:spacing w:after="0"/>
        <w:tabs>
          <w:tab w:leader="none" w:pos="80" w:val="left"/>
        </w:tabs>
        <w:numPr>
          <w:ilvl w:val="0"/>
          <w:numId w:val="89"/>
        </w:numPr>
        <w:rPr>
          <w:rFonts w:ascii="Arial" w:cs="Arial" w:eastAsia="Arial" w:hAnsi="Arial"/>
          <w:sz w:val="14"/>
          <w:szCs w:val="14"/>
          <w:color w:val="auto"/>
        </w:rPr>
      </w:pPr>
      <w:r>
        <w:rPr>
          <w:rFonts w:ascii="Arial" w:cs="Arial" w:eastAsia="Arial" w:hAnsi="Arial"/>
          <w:sz w:val="14"/>
          <w:szCs w:val="14"/>
          <w:color w:val="auto"/>
        </w:rPr>
        <w:t>Charges of $28.9 million ($4.97 per share) related to restructuring at the education division, corporate office and other businesses</w:t>
      </w:r>
    </w:p>
    <w:p>
      <w:pPr>
        <w:spacing w:after="0" w:line="1" w:lineRule="exact"/>
        <w:rPr>
          <w:rFonts w:ascii="Arial" w:cs="Arial" w:eastAsia="Arial" w:hAnsi="Arial"/>
          <w:sz w:val="14"/>
          <w:szCs w:val="14"/>
          <w:color w:val="auto"/>
        </w:rPr>
      </w:pPr>
    </w:p>
    <w:p>
      <w:pPr>
        <w:ind w:left="80" w:hanging="72"/>
        <w:spacing w:after="0"/>
        <w:tabs>
          <w:tab w:leader="none" w:pos="80" w:val="left"/>
        </w:tabs>
        <w:numPr>
          <w:ilvl w:val="0"/>
          <w:numId w:val="89"/>
        </w:numPr>
        <w:rPr>
          <w:rFonts w:ascii="Arial" w:cs="Arial" w:eastAsia="Arial" w:hAnsi="Arial"/>
          <w:sz w:val="14"/>
          <w:szCs w:val="14"/>
          <w:color w:val="auto"/>
        </w:rPr>
      </w:pPr>
      <w:r>
        <w:rPr>
          <w:rFonts w:ascii="Arial" w:cs="Arial" w:eastAsia="Arial" w:hAnsi="Arial"/>
          <w:sz w:val="14"/>
          <w:szCs w:val="14"/>
          <w:color w:val="auto"/>
        </w:rPr>
        <w:t>$15.3 million ($2.64 per share) in expense related to the modification of stock option awards and restricted stock awards</w:t>
      </w:r>
    </w:p>
    <w:p>
      <w:pPr>
        <w:spacing w:after="0" w:line="1" w:lineRule="exact"/>
        <w:rPr>
          <w:rFonts w:ascii="Arial" w:cs="Arial" w:eastAsia="Arial" w:hAnsi="Arial"/>
          <w:sz w:val="14"/>
          <w:szCs w:val="14"/>
          <w:color w:val="auto"/>
        </w:rPr>
      </w:pPr>
    </w:p>
    <w:p>
      <w:pPr>
        <w:ind w:left="80" w:hanging="72"/>
        <w:spacing w:after="0"/>
        <w:tabs>
          <w:tab w:leader="none" w:pos="80" w:val="left"/>
        </w:tabs>
        <w:numPr>
          <w:ilvl w:val="0"/>
          <w:numId w:val="89"/>
        </w:numPr>
        <w:rPr>
          <w:rFonts w:ascii="Arial" w:cs="Arial" w:eastAsia="Arial" w:hAnsi="Arial"/>
          <w:sz w:val="14"/>
          <w:szCs w:val="14"/>
          <w:color w:val="auto"/>
        </w:rPr>
      </w:pPr>
      <w:r>
        <w:rPr>
          <w:rFonts w:ascii="Arial" w:cs="Arial" w:eastAsia="Arial" w:hAnsi="Arial"/>
          <w:sz w:val="14"/>
          <w:szCs w:val="14"/>
          <w:color w:val="auto"/>
        </w:rPr>
        <w:t>Net non-operating losses of $15.7 million ($2.82 per share) arising from the sales of five businesses and an investment, and on the formation of a joint venture</w:t>
      </w:r>
    </w:p>
    <w:p>
      <w:pPr>
        <w:spacing w:after="0" w:line="1" w:lineRule="exact"/>
        <w:rPr>
          <w:rFonts w:ascii="Arial" w:cs="Arial" w:eastAsia="Arial" w:hAnsi="Arial"/>
          <w:sz w:val="14"/>
          <w:szCs w:val="14"/>
          <w:color w:val="auto"/>
        </w:rPr>
      </w:pPr>
    </w:p>
    <w:p>
      <w:pPr>
        <w:ind w:left="80" w:hanging="72"/>
        <w:spacing w:after="0"/>
        <w:tabs>
          <w:tab w:leader="none" w:pos="80" w:val="left"/>
        </w:tabs>
        <w:numPr>
          <w:ilvl w:val="0"/>
          <w:numId w:val="89"/>
        </w:numPr>
        <w:rPr>
          <w:rFonts w:ascii="Arial" w:cs="Arial" w:eastAsia="Arial" w:hAnsi="Arial"/>
          <w:sz w:val="14"/>
          <w:szCs w:val="14"/>
          <w:color w:val="auto"/>
        </w:rPr>
      </w:pPr>
      <w:r>
        <w:rPr>
          <w:rFonts w:ascii="Arial" w:cs="Arial" w:eastAsia="Arial" w:hAnsi="Arial"/>
          <w:sz w:val="14"/>
          <w:szCs w:val="14"/>
          <w:color w:val="auto"/>
        </w:rPr>
        <w:t>$13.2 million ($2.27 per share) gain on the sale of land</w:t>
      </w:r>
    </w:p>
    <w:p>
      <w:pPr>
        <w:spacing w:after="0" w:line="1" w:lineRule="exact"/>
        <w:rPr>
          <w:rFonts w:ascii="Arial" w:cs="Arial" w:eastAsia="Arial" w:hAnsi="Arial"/>
          <w:sz w:val="14"/>
          <w:szCs w:val="14"/>
          <w:color w:val="auto"/>
        </w:rPr>
      </w:pPr>
    </w:p>
    <w:p>
      <w:pPr>
        <w:ind w:left="80" w:hanging="72"/>
        <w:spacing w:after="0"/>
        <w:tabs>
          <w:tab w:leader="none" w:pos="80" w:val="left"/>
        </w:tabs>
        <w:numPr>
          <w:ilvl w:val="0"/>
          <w:numId w:val="89"/>
        </w:numPr>
        <w:rPr>
          <w:rFonts w:ascii="Arial" w:cs="Arial" w:eastAsia="Arial" w:hAnsi="Arial"/>
          <w:sz w:val="14"/>
          <w:szCs w:val="14"/>
          <w:color w:val="auto"/>
        </w:rPr>
      </w:pPr>
      <w:r>
        <w:rPr>
          <w:rFonts w:ascii="Arial" w:cs="Arial" w:eastAsia="Arial" w:hAnsi="Arial"/>
          <w:sz w:val="14"/>
          <w:szCs w:val="14"/>
          <w:color w:val="auto"/>
        </w:rPr>
        <w:t>Losses, net, of $9.7 million ($1.67 per share) from non-operating unrealized foreign currency losses</w:t>
      </w:r>
    </w:p>
    <w:p>
      <w:pPr>
        <w:spacing w:after="0" w:line="24"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2014</w:t>
      </w:r>
    </w:p>
    <w:p>
      <w:pPr>
        <w:spacing w:after="0" w:line="19" w:lineRule="exact"/>
        <w:rPr>
          <w:sz w:val="20"/>
          <w:szCs w:val="20"/>
          <w:color w:val="auto"/>
        </w:rPr>
      </w:pPr>
    </w:p>
    <w:p>
      <w:pPr>
        <w:ind w:left="80" w:hanging="72"/>
        <w:spacing w:after="0"/>
        <w:tabs>
          <w:tab w:leader="none" w:pos="80" w:val="left"/>
        </w:tabs>
        <w:numPr>
          <w:ilvl w:val="0"/>
          <w:numId w:val="90"/>
        </w:numPr>
        <w:rPr>
          <w:rFonts w:ascii="Arial" w:cs="Arial" w:eastAsia="Arial" w:hAnsi="Arial"/>
          <w:sz w:val="14"/>
          <w:szCs w:val="14"/>
          <w:color w:val="auto"/>
        </w:rPr>
      </w:pPr>
      <w:r>
        <w:rPr>
          <w:rFonts w:ascii="Arial" w:cs="Arial" w:eastAsia="Arial" w:hAnsi="Arial"/>
          <w:sz w:val="14"/>
          <w:szCs w:val="14"/>
          <w:color w:val="auto"/>
        </w:rPr>
        <w:t>Charges of $20.2 million ($3.05 per share) related to restructuring and early retirement program expense and related charges at the education division and corporate office</w:t>
      </w:r>
    </w:p>
    <w:p>
      <w:pPr>
        <w:spacing w:after="0" w:line="1" w:lineRule="exact"/>
        <w:rPr>
          <w:rFonts w:ascii="Arial" w:cs="Arial" w:eastAsia="Arial" w:hAnsi="Arial"/>
          <w:sz w:val="14"/>
          <w:szCs w:val="14"/>
          <w:color w:val="auto"/>
        </w:rPr>
      </w:pPr>
    </w:p>
    <w:p>
      <w:pPr>
        <w:ind w:left="80" w:hanging="72"/>
        <w:spacing w:after="0"/>
        <w:tabs>
          <w:tab w:leader="none" w:pos="80" w:val="left"/>
        </w:tabs>
        <w:numPr>
          <w:ilvl w:val="0"/>
          <w:numId w:val="90"/>
        </w:numPr>
        <w:rPr>
          <w:rFonts w:ascii="Arial" w:cs="Arial" w:eastAsia="Arial" w:hAnsi="Arial"/>
          <w:sz w:val="14"/>
          <w:szCs w:val="14"/>
          <w:color w:val="auto"/>
        </w:rPr>
      </w:pPr>
      <w:r>
        <w:rPr>
          <w:rFonts w:ascii="Arial" w:cs="Arial" w:eastAsia="Arial" w:hAnsi="Arial"/>
          <w:sz w:val="14"/>
          <w:szCs w:val="14"/>
          <w:color w:val="auto"/>
        </w:rPr>
        <w:t>Intangible and other long-lived assets impairment charge of $11.2 million ($1.69 per share) at the education division and other business</w:t>
      </w:r>
    </w:p>
    <w:p>
      <w:pPr>
        <w:spacing w:after="0" w:line="1" w:lineRule="exact"/>
        <w:rPr>
          <w:rFonts w:ascii="Arial" w:cs="Arial" w:eastAsia="Arial" w:hAnsi="Arial"/>
          <w:sz w:val="14"/>
          <w:szCs w:val="14"/>
          <w:color w:val="auto"/>
        </w:rPr>
      </w:pPr>
    </w:p>
    <w:p>
      <w:pPr>
        <w:ind w:left="80" w:hanging="72"/>
        <w:spacing w:after="0"/>
        <w:tabs>
          <w:tab w:leader="none" w:pos="80" w:val="left"/>
        </w:tabs>
        <w:numPr>
          <w:ilvl w:val="0"/>
          <w:numId w:val="90"/>
        </w:numPr>
        <w:rPr>
          <w:rFonts w:ascii="Arial" w:cs="Arial" w:eastAsia="Arial" w:hAnsi="Arial"/>
          <w:sz w:val="14"/>
          <w:szCs w:val="14"/>
          <w:color w:val="auto"/>
        </w:rPr>
      </w:pPr>
      <w:r>
        <w:rPr>
          <w:rFonts w:ascii="Arial" w:cs="Arial" w:eastAsia="Arial" w:hAnsi="Arial"/>
          <w:sz w:val="14"/>
          <w:szCs w:val="14"/>
          <w:color w:val="auto"/>
        </w:rPr>
        <w:t>Gain from the sale of Classified Ventures of $249.8 million ($37.68 per share)</w:t>
      </w:r>
    </w:p>
    <w:p>
      <w:pPr>
        <w:spacing w:after="0" w:line="1" w:lineRule="exact"/>
        <w:rPr>
          <w:rFonts w:ascii="Arial" w:cs="Arial" w:eastAsia="Arial" w:hAnsi="Arial"/>
          <w:sz w:val="14"/>
          <w:szCs w:val="14"/>
          <w:color w:val="auto"/>
        </w:rPr>
      </w:pPr>
    </w:p>
    <w:p>
      <w:pPr>
        <w:ind w:left="80" w:hanging="72"/>
        <w:spacing w:after="0"/>
        <w:tabs>
          <w:tab w:leader="none" w:pos="80" w:val="left"/>
        </w:tabs>
        <w:numPr>
          <w:ilvl w:val="0"/>
          <w:numId w:val="90"/>
        </w:numPr>
        <w:rPr>
          <w:rFonts w:ascii="Arial" w:cs="Arial" w:eastAsia="Arial" w:hAnsi="Arial"/>
          <w:sz w:val="14"/>
          <w:szCs w:val="14"/>
          <w:color w:val="auto"/>
        </w:rPr>
      </w:pPr>
      <w:r>
        <w:rPr>
          <w:rFonts w:ascii="Arial" w:cs="Arial" w:eastAsia="Arial" w:hAnsi="Arial"/>
          <w:sz w:val="14"/>
          <w:szCs w:val="14"/>
          <w:color w:val="auto"/>
        </w:rPr>
        <w:t>$58.2 million ($8.78 per share) gain from the Classified Ventures’ sale of apartments.com</w:t>
      </w:r>
    </w:p>
    <w:p>
      <w:pPr>
        <w:spacing w:after="0" w:line="1" w:lineRule="exact"/>
        <w:rPr>
          <w:rFonts w:ascii="Arial" w:cs="Arial" w:eastAsia="Arial" w:hAnsi="Arial"/>
          <w:sz w:val="14"/>
          <w:szCs w:val="14"/>
          <w:color w:val="auto"/>
        </w:rPr>
      </w:pPr>
    </w:p>
    <w:p>
      <w:pPr>
        <w:ind w:left="80" w:hanging="72"/>
        <w:spacing w:after="0"/>
        <w:tabs>
          <w:tab w:leader="none" w:pos="80" w:val="left"/>
        </w:tabs>
        <w:numPr>
          <w:ilvl w:val="0"/>
          <w:numId w:val="90"/>
        </w:numPr>
        <w:rPr>
          <w:rFonts w:ascii="Arial" w:cs="Arial" w:eastAsia="Arial" w:hAnsi="Arial"/>
          <w:sz w:val="14"/>
          <w:szCs w:val="14"/>
          <w:color w:val="auto"/>
        </w:rPr>
      </w:pPr>
      <w:r>
        <w:rPr>
          <w:rFonts w:ascii="Arial" w:cs="Arial" w:eastAsia="Arial" w:hAnsi="Arial"/>
          <w:sz w:val="14"/>
          <w:szCs w:val="14"/>
          <w:color w:val="auto"/>
        </w:rPr>
        <w:t>Gain from the Berkshire exchange transaction of $266.7 million ($40.23 per share)</w:t>
      </w:r>
    </w:p>
    <w:p>
      <w:pPr>
        <w:spacing w:after="0" w:line="1" w:lineRule="exact"/>
        <w:rPr>
          <w:rFonts w:ascii="Arial" w:cs="Arial" w:eastAsia="Arial" w:hAnsi="Arial"/>
          <w:sz w:val="14"/>
          <w:szCs w:val="14"/>
          <w:color w:val="auto"/>
        </w:rPr>
      </w:pPr>
    </w:p>
    <w:p>
      <w:pPr>
        <w:ind w:left="80" w:hanging="72"/>
        <w:spacing w:after="0"/>
        <w:tabs>
          <w:tab w:leader="none" w:pos="80" w:val="left"/>
        </w:tabs>
        <w:numPr>
          <w:ilvl w:val="0"/>
          <w:numId w:val="90"/>
        </w:numPr>
        <w:rPr>
          <w:rFonts w:ascii="Arial" w:cs="Arial" w:eastAsia="Arial" w:hAnsi="Arial"/>
          <w:sz w:val="14"/>
          <w:szCs w:val="14"/>
          <w:color w:val="auto"/>
        </w:rPr>
      </w:pPr>
      <w:r>
        <w:rPr>
          <w:rFonts w:ascii="Arial" w:cs="Arial" w:eastAsia="Arial" w:hAnsi="Arial"/>
          <w:sz w:val="14"/>
          <w:szCs w:val="14"/>
          <w:color w:val="auto"/>
        </w:rPr>
        <w:t>$81.8 million ($12.34 per share) gain on the sale of the corporate headquarters building</w:t>
      </w:r>
    </w:p>
    <w:p>
      <w:pPr>
        <w:spacing w:after="0" w:line="1" w:lineRule="exact"/>
        <w:rPr>
          <w:rFonts w:ascii="Arial" w:cs="Arial" w:eastAsia="Arial" w:hAnsi="Arial"/>
          <w:sz w:val="14"/>
          <w:szCs w:val="14"/>
          <w:color w:val="auto"/>
        </w:rPr>
      </w:pPr>
    </w:p>
    <w:p>
      <w:pPr>
        <w:ind w:left="80" w:hanging="72"/>
        <w:spacing w:after="0"/>
        <w:tabs>
          <w:tab w:leader="none" w:pos="80" w:val="left"/>
        </w:tabs>
        <w:numPr>
          <w:ilvl w:val="0"/>
          <w:numId w:val="90"/>
        </w:numPr>
        <w:rPr>
          <w:rFonts w:ascii="Arial" w:cs="Arial" w:eastAsia="Arial" w:hAnsi="Arial"/>
          <w:sz w:val="14"/>
          <w:szCs w:val="14"/>
          <w:color w:val="auto"/>
        </w:rPr>
      </w:pPr>
      <w:r>
        <w:rPr>
          <w:rFonts w:ascii="Arial" w:cs="Arial" w:eastAsia="Arial" w:hAnsi="Arial"/>
          <w:sz w:val="14"/>
          <w:szCs w:val="14"/>
          <w:color w:val="auto"/>
        </w:rPr>
        <w:t>Losses, net, of $7.1 million ($1.08 per share) from non-operating unrealized foreign currency losses</w:t>
      </w:r>
    </w:p>
    <w:p>
      <w:pPr>
        <w:spacing w:after="0" w:line="42" w:lineRule="exact"/>
        <w:rPr>
          <w:sz w:val="20"/>
          <w:szCs w:val="20"/>
          <w:color w:val="auto"/>
        </w:rPr>
      </w:pPr>
    </w:p>
    <w:p>
      <w:pPr>
        <w:spacing w:after="0"/>
        <w:rPr>
          <w:sz w:val="20"/>
          <w:szCs w:val="20"/>
          <w:color w:val="auto"/>
        </w:rPr>
      </w:pPr>
      <w:r>
        <w:rPr>
          <w:rFonts w:ascii="Arial" w:cs="Arial" w:eastAsia="Arial" w:hAnsi="Arial"/>
          <w:sz w:val="14"/>
          <w:szCs w:val="14"/>
          <w:color w:val="auto"/>
        </w:rPr>
        <w:t>2013</w:t>
      </w:r>
    </w:p>
    <w:p>
      <w:pPr>
        <w:spacing w:after="0" w:line="1" w:lineRule="exact"/>
        <w:rPr>
          <w:sz w:val="20"/>
          <w:szCs w:val="20"/>
          <w:color w:val="auto"/>
        </w:rPr>
      </w:pPr>
    </w:p>
    <w:p>
      <w:pPr>
        <w:ind w:left="80" w:hanging="72"/>
        <w:spacing w:after="0"/>
        <w:tabs>
          <w:tab w:leader="none" w:pos="80" w:val="left"/>
        </w:tabs>
        <w:numPr>
          <w:ilvl w:val="0"/>
          <w:numId w:val="91"/>
        </w:numPr>
        <w:rPr>
          <w:rFonts w:ascii="Arial" w:cs="Arial" w:eastAsia="Arial" w:hAnsi="Arial"/>
          <w:sz w:val="14"/>
          <w:szCs w:val="14"/>
          <w:color w:val="auto"/>
        </w:rPr>
      </w:pPr>
      <w:r>
        <w:rPr>
          <w:rFonts w:ascii="Arial" w:cs="Arial" w:eastAsia="Arial" w:hAnsi="Arial"/>
          <w:sz w:val="14"/>
          <w:szCs w:val="14"/>
          <w:color w:val="auto"/>
        </w:rPr>
        <w:t>Charges of $25.3 million ($3.46 per share) related to severance and restructuring at the education division</w:t>
      </w:r>
    </w:p>
    <w:p>
      <w:pPr>
        <w:spacing w:after="0" w:line="1" w:lineRule="exact"/>
        <w:rPr>
          <w:rFonts w:ascii="Arial" w:cs="Arial" w:eastAsia="Arial" w:hAnsi="Arial"/>
          <w:sz w:val="14"/>
          <w:szCs w:val="14"/>
          <w:color w:val="auto"/>
        </w:rPr>
      </w:pPr>
    </w:p>
    <w:p>
      <w:pPr>
        <w:ind w:left="80" w:hanging="72"/>
        <w:spacing w:after="0"/>
        <w:tabs>
          <w:tab w:leader="none" w:pos="80" w:val="left"/>
        </w:tabs>
        <w:numPr>
          <w:ilvl w:val="0"/>
          <w:numId w:val="91"/>
        </w:numPr>
        <w:rPr>
          <w:rFonts w:ascii="Arial" w:cs="Arial" w:eastAsia="Arial" w:hAnsi="Arial"/>
          <w:sz w:val="14"/>
          <w:szCs w:val="14"/>
          <w:color w:val="auto"/>
        </w:rPr>
      </w:pPr>
      <w:r>
        <w:rPr>
          <w:rFonts w:ascii="Arial" w:cs="Arial" w:eastAsia="Arial" w:hAnsi="Arial"/>
          <w:sz w:val="14"/>
          <w:szCs w:val="14"/>
          <w:color w:val="auto"/>
        </w:rPr>
        <w:t>Intangible assets impairment charge of $3.2 million ($0.44 per share) at the education division</w:t>
      </w:r>
    </w:p>
    <w:p>
      <w:pPr>
        <w:spacing w:after="0" w:line="1" w:lineRule="exact"/>
        <w:rPr>
          <w:rFonts w:ascii="Arial" w:cs="Arial" w:eastAsia="Arial" w:hAnsi="Arial"/>
          <w:sz w:val="14"/>
          <w:szCs w:val="14"/>
          <w:color w:val="auto"/>
        </w:rPr>
      </w:pPr>
    </w:p>
    <w:p>
      <w:pPr>
        <w:ind w:left="80" w:hanging="72"/>
        <w:spacing w:after="0"/>
        <w:tabs>
          <w:tab w:leader="none" w:pos="80" w:val="left"/>
        </w:tabs>
        <w:numPr>
          <w:ilvl w:val="0"/>
          <w:numId w:val="91"/>
        </w:numPr>
        <w:rPr>
          <w:rFonts w:ascii="Arial" w:cs="Arial" w:eastAsia="Arial" w:hAnsi="Arial"/>
          <w:sz w:val="14"/>
          <w:szCs w:val="14"/>
          <w:color w:val="auto"/>
        </w:rPr>
      </w:pPr>
      <w:r>
        <w:rPr>
          <w:rFonts w:ascii="Arial" w:cs="Arial" w:eastAsia="Arial" w:hAnsi="Arial"/>
          <w:sz w:val="14"/>
          <w:szCs w:val="14"/>
          <w:color w:val="auto"/>
        </w:rPr>
        <w:t>Write-down of a marketable equity security of $6.7 million ($0.91 per share)</w:t>
      </w:r>
    </w:p>
    <w:p>
      <w:pPr>
        <w:spacing w:after="0" w:line="1" w:lineRule="exact"/>
        <w:rPr>
          <w:rFonts w:ascii="Arial" w:cs="Arial" w:eastAsia="Arial" w:hAnsi="Arial"/>
          <w:sz w:val="14"/>
          <w:szCs w:val="14"/>
          <w:color w:val="auto"/>
        </w:rPr>
      </w:pPr>
    </w:p>
    <w:p>
      <w:pPr>
        <w:ind w:left="80" w:hanging="72"/>
        <w:spacing w:after="0"/>
        <w:tabs>
          <w:tab w:leader="none" w:pos="80" w:val="left"/>
        </w:tabs>
        <w:numPr>
          <w:ilvl w:val="0"/>
          <w:numId w:val="91"/>
        </w:numPr>
        <w:rPr>
          <w:rFonts w:ascii="Arial" w:cs="Arial" w:eastAsia="Arial" w:hAnsi="Arial"/>
          <w:sz w:val="14"/>
          <w:szCs w:val="14"/>
          <w:color w:val="auto"/>
        </w:rPr>
      </w:pPr>
      <w:r>
        <w:rPr>
          <w:rFonts w:ascii="Arial" w:cs="Arial" w:eastAsia="Arial" w:hAnsi="Arial"/>
          <w:sz w:val="14"/>
          <w:szCs w:val="14"/>
          <w:color w:val="auto"/>
        </w:rPr>
        <w:t>Losses, net, of $8.6 million ($1.17 per share) from non-operating unrealized foreign currency losses</w:t>
      </w:r>
    </w:p>
    <w:p>
      <w:pPr>
        <w:sectPr>
          <w:pgSz w:w="11900" w:h="16838" w:orient="portrait"/>
          <w:cols w:equalWidth="0" w:num="1">
            <w:col w:w="11400"/>
          </w:cols>
          <w:pgMar w:left="240" w:top="738" w:right="259" w:bottom="1057" w:gutter="0" w:footer="0" w:header="0"/>
        </w:sectPr>
      </w:pPr>
    </w:p>
    <w:p>
      <w:pPr>
        <w:spacing w:after="0" w:line="200" w:lineRule="exact"/>
        <w:rPr>
          <w:sz w:val="20"/>
          <w:szCs w:val="20"/>
          <w:color w:val="auto"/>
        </w:rPr>
      </w:pPr>
    </w:p>
    <w:p>
      <w:pPr>
        <w:spacing w:after="0" w:line="201"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124</w:t>
      </w:r>
    </w:p>
    <w:p>
      <w:pPr>
        <w:sectPr>
          <w:pgSz w:w="11900" w:h="16838" w:orient="portrait"/>
          <w:cols w:equalWidth="0" w:num="1">
            <w:col w:w="11400"/>
          </w:cols>
          <w:pgMar w:left="240" w:top="738" w:right="259" w:bottom="1057" w:gutter="0" w:footer="0" w:header="0"/>
          <w:type w:val="continuous"/>
        </w:sectPr>
      </w:pPr>
    </w:p>
    <w:bookmarkStart w:id="129" w:name="page130"/>
    <w:bookmarkEnd w:id="129"/>
    <w:p>
      <w:pPr>
        <w:jc w:val="right"/>
        <w:spacing w:after="0"/>
        <w:rPr>
          <w:sz w:val="20"/>
          <w:szCs w:val="20"/>
          <w:color w:val="auto"/>
        </w:rPr>
      </w:pPr>
      <w:r>
        <w:rPr>
          <w:rFonts w:ascii="Arial" w:cs="Arial" w:eastAsia="Arial" w:hAnsi="Arial"/>
          <w:sz w:val="18"/>
          <w:szCs w:val="18"/>
          <w:color w:val="auto"/>
        </w:rPr>
        <w:t>EXHIBIT 10.9</w:t>
      </w:r>
    </w:p>
    <w:p>
      <w:pPr>
        <w:spacing w:after="0" w:line="200" w:lineRule="exact"/>
        <w:rPr>
          <w:sz w:val="20"/>
          <w:szCs w:val="20"/>
          <w:color w:val="auto"/>
        </w:rPr>
      </w:pPr>
    </w:p>
    <w:p>
      <w:pPr>
        <w:spacing w:after="0" w:line="200" w:lineRule="exact"/>
        <w:rPr>
          <w:sz w:val="20"/>
          <w:szCs w:val="20"/>
          <w:color w:val="auto"/>
        </w:rPr>
      </w:pPr>
    </w:p>
    <w:p>
      <w:pPr>
        <w:spacing w:after="0" w:line="376" w:lineRule="exact"/>
        <w:rPr>
          <w:sz w:val="20"/>
          <w:szCs w:val="20"/>
          <w:color w:val="auto"/>
        </w:rPr>
      </w:pPr>
    </w:p>
    <w:p>
      <w:pPr>
        <w:spacing w:after="0"/>
        <w:rPr>
          <w:sz w:val="20"/>
          <w:szCs w:val="20"/>
          <w:color w:val="auto"/>
        </w:rPr>
      </w:pPr>
      <w:r>
        <w:rPr>
          <w:rFonts w:ascii="Arial" w:cs="Arial" w:eastAsia="Arial" w:hAnsi="Arial"/>
          <w:sz w:val="20"/>
          <w:szCs w:val="20"/>
          <w:color w:val="auto"/>
        </w:rPr>
        <w:t>March 23, 2015</w:t>
      </w:r>
    </w:p>
    <w:p>
      <w:pPr>
        <w:spacing w:after="0" w:line="216" w:lineRule="exact"/>
        <w:rPr>
          <w:sz w:val="20"/>
          <w:szCs w:val="20"/>
          <w:color w:val="auto"/>
        </w:rPr>
      </w:pPr>
    </w:p>
    <w:p>
      <w:pPr>
        <w:spacing w:after="0"/>
        <w:rPr>
          <w:sz w:val="20"/>
          <w:szCs w:val="20"/>
          <w:color w:val="auto"/>
        </w:rPr>
      </w:pPr>
      <w:r>
        <w:rPr>
          <w:rFonts w:ascii="Arial" w:cs="Arial" w:eastAsia="Arial" w:hAnsi="Arial"/>
          <w:sz w:val="20"/>
          <w:szCs w:val="20"/>
          <w:color w:val="auto"/>
        </w:rPr>
        <w:t>Ms. Denise Demeter</w:t>
      </w:r>
    </w:p>
    <w:p>
      <w:pPr>
        <w:spacing w:after="0" w:line="12" w:lineRule="exact"/>
        <w:rPr>
          <w:sz w:val="20"/>
          <w:szCs w:val="20"/>
          <w:color w:val="auto"/>
        </w:rPr>
      </w:pPr>
    </w:p>
    <w:p>
      <w:pPr>
        <w:spacing w:after="0"/>
        <w:rPr>
          <w:sz w:val="20"/>
          <w:szCs w:val="20"/>
          <w:color w:val="auto"/>
        </w:rPr>
      </w:pPr>
      <w:r>
        <w:rPr>
          <w:rFonts w:ascii="Arial" w:cs="Arial" w:eastAsia="Arial" w:hAnsi="Arial"/>
          <w:sz w:val="20"/>
          <w:szCs w:val="20"/>
          <w:color w:val="auto"/>
        </w:rPr>
        <w:t>Graham Holdings</w:t>
      </w:r>
    </w:p>
    <w:p>
      <w:pPr>
        <w:spacing w:after="0" w:line="194" w:lineRule="auto"/>
        <w:rPr>
          <w:sz w:val="20"/>
          <w:szCs w:val="20"/>
          <w:color w:val="auto"/>
        </w:rPr>
      </w:pPr>
      <w:r>
        <w:rPr>
          <w:rFonts w:ascii="Arial" w:cs="Arial" w:eastAsia="Arial" w:hAnsi="Arial"/>
          <w:sz w:val="20"/>
          <w:szCs w:val="20"/>
          <w:color w:val="auto"/>
        </w:rPr>
        <w:t>1300 N. 17</w:t>
      </w:r>
      <w:r>
        <w:rPr>
          <w:rFonts w:ascii="Arial" w:cs="Arial" w:eastAsia="Arial" w:hAnsi="Arial"/>
          <w:sz w:val="25"/>
          <w:szCs w:val="25"/>
          <w:color w:val="auto"/>
          <w:vertAlign w:val="superscript"/>
        </w:rPr>
        <w:t>th</w:t>
      </w:r>
      <w:r>
        <w:rPr>
          <w:rFonts w:ascii="Arial" w:cs="Arial" w:eastAsia="Arial" w:hAnsi="Arial"/>
          <w:sz w:val="20"/>
          <w:szCs w:val="20"/>
          <w:color w:val="auto"/>
        </w:rPr>
        <w:t xml:space="preserve"> Street</w:t>
      </w:r>
    </w:p>
    <w:p>
      <w:pPr>
        <w:spacing w:after="0"/>
        <w:rPr>
          <w:sz w:val="20"/>
          <w:szCs w:val="20"/>
          <w:color w:val="auto"/>
        </w:rPr>
      </w:pPr>
      <w:r>
        <w:rPr>
          <w:rFonts w:ascii="Arial" w:cs="Arial" w:eastAsia="Arial" w:hAnsi="Arial"/>
          <w:sz w:val="20"/>
          <w:szCs w:val="20"/>
          <w:color w:val="auto"/>
        </w:rPr>
        <w:t>Suite 17</w:t>
      </w:r>
    </w:p>
    <w:p>
      <w:pPr>
        <w:spacing w:after="0"/>
        <w:rPr>
          <w:sz w:val="20"/>
          <w:szCs w:val="20"/>
          <w:color w:val="auto"/>
        </w:rPr>
      </w:pPr>
      <w:r>
        <w:rPr>
          <w:rFonts w:ascii="Arial" w:cs="Arial" w:eastAsia="Arial" w:hAnsi="Arial"/>
          <w:sz w:val="20"/>
          <w:szCs w:val="20"/>
          <w:color w:val="auto"/>
        </w:rPr>
        <w:t>Arlington, VA 22209</w:t>
      </w:r>
    </w:p>
    <w:p>
      <w:pPr>
        <w:spacing w:after="0" w:line="200" w:lineRule="exact"/>
        <w:rPr>
          <w:sz w:val="20"/>
          <w:szCs w:val="20"/>
          <w:color w:val="auto"/>
        </w:rPr>
      </w:pPr>
    </w:p>
    <w:p>
      <w:pPr>
        <w:spacing w:after="0"/>
        <w:rPr>
          <w:sz w:val="20"/>
          <w:szCs w:val="20"/>
          <w:color w:val="auto"/>
        </w:rPr>
      </w:pPr>
      <w:r>
        <w:rPr>
          <w:rFonts w:ascii="Arial" w:cs="Arial" w:eastAsia="Arial" w:hAnsi="Arial"/>
          <w:sz w:val="20"/>
          <w:szCs w:val="20"/>
          <w:color w:val="auto"/>
        </w:rPr>
        <w:t>Dear Denise:</w:t>
      </w:r>
    </w:p>
    <w:p>
      <w:pPr>
        <w:spacing w:after="0" w:line="216" w:lineRule="exact"/>
        <w:rPr>
          <w:sz w:val="20"/>
          <w:szCs w:val="20"/>
          <w:color w:val="auto"/>
        </w:rPr>
      </w:pPr>
    </w:p>
    <w:p>
      <w:pPr>
        <w:ind w:right="140"/>
        <w:spacing w:after="0" w:line="260" w:lineRule="auto"/>
        <w:rPr>
          <w:sz w:val="20"/>
          <w:szCs w:val="20"/>
          <w:color w:val="auto"/>
        </w:rPr>
      </w:pPr>
      <w:r>
        <w:rPr>
          <w:rFonts w:ascii="Arial" w:cs="Arial" w:eastAsia="Arial" w:hAnsi="Arial"/>
          <w:sz w:val="19"/>
          <w:szCs w:val="19"/>
          <w:color w:val="auto"/>
        </w:rPr>
        <w:t>Per your request, this letter assures that however unlikely, should you be terminated anytime between now and June 1, 2018 for any reason other than cause, your pension benefit will be calculated as if you satisfied the Rule of 90 in §4.2(b) of the GHC Schedule of The Retirement Plan for Graham Holdings Company, provided however that all components of your Unrestricted Benefit other than the early retirement factor shall be computed using your actual age and years of service. The enhanced benefit shall be payable in the same form and at the same time as your benefit would otherwise be paid if you had not been terminated.</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It is my strong hope that this letter will never be pulled from your files and that you will finish a long, productive and happy career at GHCO.</w:t>
      </w:r>
    </w:p>
    <w:p>
      <w:pPr>
        <w:spacing w:after="0" w:line="39" w:lineRule="exact"/>
        <w:rPr>
          <w:sz w:val="20"/>
          <w:szCs w:val="20"/>
          <w:color w:val="auto"/>
        </w:rPr>
      </w:pPr>
    </w:p>
    <w:p>
      <w:pPr>
        <w:spacing w:after="0"/>
        <w:rPr>
          <w:sz w:val="20"/>
          <w:szCs w:val="20"/>
          <w:color w:val="auto"/>
        </w:rPr>
      </w:pPr>
      <w:r>
        <w:rPr>
          <w:rFonts w:ascii="Arial" w:cs="Arial" w:eastAsia="Arial" w:hAnsi="Arial"/>
          <w:sz w:val="20"/>
          <w:szCs w:val="20"/>
          <w:color w:val="auto"/>
        </w:rPr>
        <w:t>Shareholders and employees will benefit if you do. It has been, and will continue to be I am sure, my pleasure to work with you.</w:t>
      </w:r>
    </w:p>
    <w:p>
      <w:pPr>
        <w:spacing w:after="0" w:line="200" w:lineRule="exact"/>
        <w:rPr>
          <w:sz w:val="20"/>
          <w:szCs w:val="20"/>
          <w:color w:val="auto"/>
        </w:rPr>
      </w:pPr>
    </w:p>
    <w:p>
      <w:pPr>
        <w:spacing w:after="0"/>
        <w:rPr>
          <w:sz w:val="20"/>
          <w:szCs w:val="20"/>
          <w:color w:val="auto"/>
        </w:rPr>
      </w:pPr>
      <w:r>
        <w:rPr>
          <w:rFonts w:ascii="Arial" w:cs="Arial" w:eastAsia="Arial" w:hAnsi="Arial"/>
          <w:sz w:val="20"/>
          <w:szCs w:val="20"/>
          <w:color w:val="auto"/>
        </w:rPr>
        <w:t>Sincerely yours,</w:t>
      </w:r>
    </w:p>
    <w:p>
      <w:pPr>
        <w:spacing w:after="0" w:line="200" w:lineRule="exact"/>
        <w:rPr>
          <w:sz w:val="20"/>
          <w:szCs w:val="20"/>
          <w:color w:val="auto"/>
        </w:rPr>
      </w:pPr>
    </w:p>
    <w:p>
      <w:pPr>
        <w:spacing w:after="0" w:line="232" w:lineRule="exact"/>
        <w:rPr>
          <w:sz w:val="20"/>
          <w:szCs w:val="20"/>
          <w:color w:val="auto"/>
        </w:rPr>
      </w:pPr>
    </w:p>
    <w:p>
      <w:pPr>
        <w:spacing w:after="0"/>
        <w:rPr>
          <w:sz w:val="20"/>
          <w:szCs w:val="20"/>
          <w:color w:val="auto"/>
        </w:rPr>
      </w:pPr>
      <w:r>
        <w:rPr>
          <w:rFonts w:ascii="Arial" w:cs="Arial" w:eastAsia="Arial" w:hAnsi="Arial"/>
          <w:sz w:val="20"/>
          <w:szCs w:val="20"/>
          <w:color w:val="auto"/>
        </w:rPr>
        <w:t>/s</w:t>
      </w:r>
      <w:r>
        <w:rPr>
          <w:rFonts w:ascii="Arial" w:cs="Arial" w:eastAsia="Arial" w:hAnsi="Arial"/>
          <w:sz w:val="20"/>
          <w:szCs w:val="20"/>
          <w:u w:val="single" w:color="auto"/>
          <w:color w:val="auto"/>
        </w:rPr>
        <w:t>/ Ann L. McDaniel</w:t>
      </w:r>
    </w:p>
    <w:p>
      <w:pPr>
        <w:spacing w:after="0" w:line="15" w:lineRule="exact"/>
        <w:rPr>
          <w:sz w:val="20"/>
          <w:szCs w:val="20"/>
          <w:color w:val="auto"/>
        </w:rPr>
      </w:pPr>
    </w:p>
    <w:p>
      <w:pPr>
        <w:spacing w:after="0"/>
        <w:rPr>
          <w:sz w:val="20"/>
          <w:szCs w:val="20"/>
          <w:color w:val="auto"/>
        </w:rPr>
      </w:pPr>
      <w:r>
        <w:rPr>
          <w:rFonts w:ascii="Arial" w:cs="Arial" w:eastAsia="Arial" w:hAnsi="Arial"/>
          <w:sz w:val="20"/>
          <w:szCs w:val="20"/>
          <w:color w:val="auto"/>
        </w:rPr>
        <w:t>Ann L. McDaniel</w:t>
      </w:r>
    </w:p>
    <w:p>
      <w:pPr>
        <w:spacing w:after="0"/>
        <w:rPr>
          <w:sz w:val="20"/>
          <w:szCs w:val="20"/>
          <w:color w:val="auto"/>
        </w:rPr>
      </w:pPr>
      <w:r>
        <w:rPr>
          <w:rFonts w:ascii="Arial" w:cs="Arial" w:eastAsia="Arial" w:hAnsi="Arial"/>
          <w:sz w:val="20"/>
          <w:szCs w:val="20"/>
          <w:color w:val="auto"/>
        </w:rPr>
        <w:t>Senior Vice President</w:t>
      </w:r>
    </w:p>
    <w:p>
      <w:pPr>
        <w:sectPr>
          <w:pgSz w:w="11900" w:h="16838" w:orient="portrait"/>
          <w:cols w:equalWidth="0" w:num="1">
            <w:col w:w="11420"/>
          </w:cols>
          <w:pgMar w:left="240" w:top="598" w:right="239" w:bottom="1440" w:gutter="0" w:footer="0" w:header="0"/>
        </w:sectPr>
      </w:pPr>
    </w:p>
    <w:bookmarkStart w:id="130" w:name="page131"/>
    <w:bookmarkEnd w:id="130"/>
    <w:p>
      <w:pPr>
        <w:jc w:val="right"/>
        <w:spacing w:after="0"/>
        <w:rPr>
          <w:sz w:val="20"/>
          <w:szCs w:val="20"/>
          <w:color w:val="auto"/>
        </w:rPr>
      </w:pPr>
      <w:r>
        <w:rPr>
          <w:rFonts w:ascii="Arial" w:cs="Arial" w:eastAsia="Arial" w:hAnsi="Arial"/>
          <w:sz w:val="18"/>
          <w:szCs w:val="18"/>
          <w:color w:val="auto"/>
        </w:rPr>
        <w:t>EXHIBIT 21</w:t>
      </w:r>
    </w:p>
    <w:p>
      <w:pPr>
        <w:spacing w:after="0" w:line="39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5980" w:type="dxa"/>
            <w:vAlign w:val="bottom"/>
            <w:vMerge w:val="restart"/>
          </w:tcPr>
          <w:p>
            <w:pPr>
              <w:ind w:left="20"/>
              <w:spacing w:after="0"/>
              <w:rPr>
                <w:sz w:val="20"/>
                <w:szCs w:val="20"/>
                <w:color w:val="auto"/>
              </w:rPr>
            </w:pPr>
            <w:r>
              <w:rPr>
                <w:rFonts w:ascii="Arial" w:cs="Arial" w:eastAsia="Arial" w:hAnsi="Arial"/>
                <w:sz w:val="14"/>
                <w:szCs w:val="14"/>
                <w:color w:val="auto"/>
              </w:rPr>
              <w:t>Name of Subsidiary</w:t>
            </w:r>
          </w:p>
        </w:tc>
        <w:tc>
          <w:tcPr>
            <w:tcW w:w="2660" w:type="dxa"/>
            <w:vAlign w:val="bottom"/>
          </w:tcPr>
          <w:p>
            <w:pPr>
              <w:ind w:left="740"/>
              <w:spacing w:after="0"/>
              <w:rPr>
                <w:sz w:val="20"/>
                <w:szCs w:val="20"/>
                <w:color w:val="auto"/>
              </w:rPr>
            </w:pPr>
            <w:r>
              <w:rPr>
                <w:rFonts w:ascii="Arial" w:cs="Arial" w:eastAsia="Arial" w:hAnsi="Arial"/>
                <w:sz w:val="14"/>
                <w:szCs w:val="14"/>
                <w:color w:val="auto"/>
              </w:rPr>
              <w:t>Jurisdiction of Incorporation</w:t>
            </w:r>
          </w:p>
        </w:tc>
        <w:tc>
          <w:tcPr>
            <w:tcW w:w="1460" w:type="dxa"/>
            <w:vAlign w:val="bottom"/>
          </w:tcPr>
          <w:p>
            <w:pPr>
              <w:jc w:val="right"/>
              <w:ind w:right="59"/>
              <w:spacing w:after="0"/>
              <w:rPr>
                <w:sz w:val="20"/>
                <w:szCs w:val="20"/>
                <w:color w:val="auto"/>
              </w:rPr>
            </w:pPr>
            <w:r>
              <w:rPr>
                <w:rFonts w:ascii="Arial" w:cs="Arial" w:eastAsia="Arial" w:hAnsi="Arial"/>
                <w:sz w:val="14"/>
                <w:szCs w:val="14"/>
                <w:color w:val="auto"/>
              </w:rPr>
              <w:t>% of Voting Equity</w:t>
            </w:r>
          </w:p>
        </w:tc>
        <w:tc>
          <w:tcPr>
            <w:tcW w:w="5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91"/>
        </w:trPr>
        <w:tc>
          <w:tcPr>
            <w:tcW w:w="5980" w:type="dxa"/>
            <w:vAlign w:val="bottom"/>
            <w:vMerge w:val="continue"/>
          </w:tcPr>
          <w:p>
            <w:pPr>
              <w:spacing w:after="0"/>
              <w:rPr>
                <w:sz w:val="7"/>
                <w:szCs w:val="7"/>
                <w:color w:val="auto"/>
              </w:rPr>
            </w:pPr>
          </w:p>
        </w:tc>
        <w:tc>
          <w:tcPr>
            <w:tcW w:w="2660" w:type="dxa"/>
            <w:vAlign w:val="bottom"/>
            <w:vMerge w:val="restart"/>
          </w:tcPr>
          <w:p>
            <w:pPr>
              <w:ind w:left="1140"/>
              <w:spacing w:after="0"/>
              <w:rPr>
                <w:sz w:val="20"/>
                <w:szCs w:val="20"/>
                <w:color w:val="auto"/>
              </w:rPr>
            </w:pPr>
            <w:r>
              <w:rPr>
                <w:rFonts w:ascii="Arial" w:cs="Arial" w:eastAsia="Arial" w:hAnsi="Arial"/>
                <w:sz w:val="14"/>
                <w:szCs w:val="14"/>
                <w:color w:val="auto"/>
              </w:rPr>
              <w:t>or Organization</w:t>
            </w:r>
          </w:p>
        </w:tc>
        <w:tc>
          <w:tcPr>
            <w:tcW w:w="1460" w:type="dxa"/>
            <w:vAlign w:val="bottom"/>
            <w:vMerge w:val="restart"/>
          </w:tcPr>
          <w:p>
            <w:pPr>
              <w:jc w:val="right"/>
              <w:ind w:right="79"/>
              <w:spacing w:after="0"/>
              <w:rPr>
                <w:sz w:val="20"/>
                <w:szCs w:val="20"/>
                <w:color w:val="auto"/>
              </w:rPr>
            </w:pPr>
            <w:r>
              <w:rPr>
                <w:rFonts w:ascii="Arial" w:cs="Arial" w:eastAsia="Arial" w:hAnsi="Arial"/>
                <w:sz w:val="14"/>
                <w:szCs w:val="14"/>
                <w:color w:val="auto"/>
              </w:rPr>
              <w:t>Owned by Parent</w:t>
            </w:r>
          </w:p>
        </w:tc>
        <w:tc>
          <w:tcPr>
            <w:tcW w:w="5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87"/>
        </w:trPr>
        <w:tc>
          <w:tcPr>
            <w:tcW w:w="5980" w:type="dxa"/>
            <w:vAlign w:val="bottom"/>
            <w:tcBorders>
              <w:bottom w:val="single" w:sz="8" w:color="auto"/>
            </w:tcBorders>
          </w:tcPr>
          <w:p>
            <w:pPr>
              <w:spacing w:after="0"/>
              <w:rPr>
                <w:sz w:val="7"/>
                <w:szCs w:val="7"/>
                <w:color w:val="auto"/>
              </w:rPr>
            </w:pPr>
          </w:p>
        </w:tc>
        <w:tc>
          <w:tcPr>
            <w:tcW w:w="2660" w:type="dxa"/>
            <w:vAlign w:val="bottom"/>
            <w:tcBorders>
              <w:bottom w:val="single" w:sz="8" w:color="auto"/>
            </w:tcBorders>
            <w:vMerge w:val="continue"/>
          </w:tcPr>
          <w:p>
            <w:pPr>
              <w:spacing w:after="0"/>
              <w:rPr>
                <w:sz w:val="7"/>
                <w:szCs w:val="7"/>
                <w:color w:val="auto"/>
              </w:rPr>
            </w:pPr>
          </w:p>
        </w:tc>
        <w:tc>
          <w:tcPr>
            <w:tcW w:w="1460" w:type="dxa"/>
            <w:vAlign w:val="bottom"/>
            <w:tcBorders>
              <w:bottom w:val="single" w:sz="8" w:color="auto"/>
            </w:tcBorders>
            <w:vMerge w:val="continue"/>
          </w:tcPr>
          <w:p>
            <w:pPr>
              <w:spacing w:after="0"/>
              <w:rPr>
                <w:sz w:val="7"/>
                <w:szCs w:val="7"/>
                <w:color w:val="auto"/>
              </w:rPr>
            </w:pPr>
          </w:p>
        </w:tc>
        <w:tc>
          <w:tcPr>
            <w:tcW w:w="540" w:type="dxa"/>
            <w:vAlign w:val="bottom"/>
            <w:tcBorders>
              <w:bottom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37"/>
        </w:trPr>
        <w:tc>
          <w:tcPr>
            <w:tcW w:w="5980" w:type="dxa"/>
            <w:vAlign w:val="bottom"/>
          </w:tcPr>
          <w:p>
            <w:pPr>
              <w:ind w:left="20"/>
              <w:spacing w:after="0"/>
              <w:rPr>
                <w:sz w:val="20"/>
                <w:szCs w:val="20"/>
                <w:color w:val="auto"/>
              </w:rPr>
            </w:pPr>
            <w:r>
              <w:rPr>
                <w:rFonts w:ascii="Arial" w:cs="Arial" w:eastAsia="Arial" w:hAnsi="Arial"/>
                <w:sz w:val="16"/>
                <w:szCs w:val="16"/>
                <w:color w:val="auto"/>
              </w:rPr>
              <w:t>199 Sunbeam Realty, LLC</w:t>
            </w:r>
          </w:p>
        </w:tc>
        <w:tc>
          <w:tcPr>
            <w:tcW w:w="2660" w:type="dxa"/>
            <w:vAlign w:val="bottom"/>
          </w:tcPr>
          <w:p>
            <w:pPr>
              <w:ind w:left="700"/>
              <w:spacing w:after="0"/>
              <w:rPr>
                <w:sz w:val="20"/>
                <w:szCs w:val="20"/>
                <w:color w:val="auto"/>
              </w:rPr>
            </w:pPr>
            <w:r>
              <w:rPr>
                <w:rFonts w:ascii="Arial" w:cs="Arial" w:eastAsia="Arial" w:hAnsi="Arial"/>
                <w:sz w:val="16"/>
                <w:szCs w:val="16"/>
                <w:color w:val="auto"/>
              </w:rPr>
              <w:t>Delaware</w:t>
            </w:r>
          </w:p>
        </w:tc>
        <w:tc>
          <w:tcPr>
            <w:tcW w:w="1460" w:type="dxa"/>
            <w:vAlign w:val="bottom"/>
          </w:tcPr>
          <w:p>
            <w:pPr>
              <w:jc w:val="right"/>
              <w:spacing w:after="0"/>
              <w:rPr>
                <w:sz w:val="20"/>
                <w:szCs w:val="20"/>
                <w:color w:val="auto"/>
              </w:rPr>
            </w:pPr>
            <w:r>
              <w:rPr>
                <w:rFonts w:ascii="Arial" w:cs="Arial" w:eastAsia="Arial" w:hAnsi="Arial"/>
                <w:sz w:val="16"/>
                <w:szCs w:val="16"/>
                <w:color w:val="auto"/>
              </w:rPr>
              <w:t>100%</w:t>
            </w:r>
          </w:p>
        </w:tc>
        <w:tc>
          <w:tcPr>
            <w:tcW w:w="5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0"/>
        </w:trPr>
        <w:tc>
          <w:tcPr>
            <w:tcW w:w="5980" w:type="dxa"/>
            <w:vAlign w:val="bottom"/>
          </w:tcPr>
          <w:p>
            <w:pPr>
              <w:ind w:left="20"/>
              <w:spacing w:after="0"/>
              <w:rPr>
                <w:sz w:val="20"/>
                <w:szCs w:val="20"/>
                <w:color w:val="auto"/>
              </w:rPr>
            </w:pPr>
            <w:r>
              <w:rPr>
                <w:rFonts w:ascii="Arial" w:cs="Arial" w:eastAsia="Arial" w:hAnsi="Arial"/>
                <w:sz w:val="16"/>
                <w:szCs w:val="16"/>
                <w:color w:val="auto"/>
              </w:rPr>
              <w:t>Cybervista LLC</w:t>
            </w:r>
          </w:p>
        </w:tc>
        <w:tc>
          <w:tcPr>
            <w:tcW w:w="2660" w:type="dxa"/>
            <w:vAlign w:val="bottom"/>
          </w:tcPr>
          <w:p>
            <w:pPr>
              <w:ind w:left="700"/>
              <w:spacing w:after="0"/>
              <w:rPr>
                <w:sz w:val="20"/>
                <w:szCs w:val="20"/>
                <w:color w:val="auto"/>
              </w:rPr>
            </w:pPr>
            <w:r>
              <w:rPr>
                <w:rFonts w:ascii="Arial" w:cs="Arial" w:eastAsia="Arial" w:hAnsi="Arial"/>
                <w:sz w:val="16"/>
                <w:szCs w:val="16"/>
                <w:color w:val="auto"/>
              </w:rPr>
              <w:t>Delaware</w:t>
            </w:r>
          </w:p>
        </w:tc>
        <w:tc>
          <w:tcPr>
            <w:tcW w:w="1460" w:type="dxa"/>
            <w:vAlign w:val="bottom"/>
          </w:tcPr>
          <w:p>
            <w:pPr>
              <w:jc w:val="right"/>
              <w:spacing w:after="0"/>
              <w:rPr>
                <w:sz w:val="20"/>
                <w:szCs w:val="20"/>
                <w:color w:val="auto"/>
              </w:rPr>
            </w:pPr>
            <w:r>
              <w:rPr>
                <w:rFonts w:ascii="Arial" w:cs="Arial" w:eastAsia="Arial" w:hAnsi="Arial"/>
                <w:sz w:val="16"/>
                <w:szCs w:val="16"/>
                <w:color w:val="auto"/>
              </w:rPr>
              <w:t>100%</w:t>
            </w:r>
          </w:p>
        </w:tc>
        <w:tc>
          <w:tcPr>
            <w:tcW w:w="5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5980" w:type="dxa"/>
            <w:vAlign w:val="bottom"/>
          </w:tcPr>
          <w:p>
            <w:pPr>
              <w:ind w:left="20"/>
              <w:spacing w:after="0"/>
              <w:rPr>
                <w:sz w:val="20"/>
                <w:szCs w:val="20"/>
                <w:color w:val="auto"/>
              </w:rPr>
            </w:pPr>
            <w:r>
              <w:rPr>
                <w:rFonts w:ascii="Arial" w:cs="Arial" w:eastAsia="Arial" w:hAnsi="Arial"/>
                <w:sz w:val="16"/>
                <w:szCs w:val="16"/>
                <w:color w:val="auto"/>
              </w:rPr>
              <w:t>Group Dekko Holdings Inc.</w:t>
            </w:r>
          </w:p>
        </w:tc>
        <w:tc>
          <w:tcPr>
            <w:tcW w:w="2660" w:type="dxa"/>
            <w:vAlign w:val="bottom"/>
          </w:tcPr>
          <w:p>
            <w:pPr>
              <w:ind w:left="700"/>
              <w:spacing w:after="0"/>
              <w:rPr>
                <w:sz w:val="20"/>
                <w:szCs w:val="20"/>
                <w:color w:val="auto"/>
              </w:rPr>
            </w:pPr>
            <w:r>
              <w:rPr>
                <w:rFonts w:ascii="Arial" w:cs="Arial" w:eastAsia="Arial" w:hAnsi="Arial"/>
                <w:sz w:val="16"/>
                <w:szCs w:val="16"/>
                <w:color w:val="auto"/>
              </w:rPr>
              <w:t>Delaware</w:t>
            </w:r>
          </w:p>
        </w:tc>
        <w:tc>
          <w:tcPr>
            <w:tcW w:w="1460" w:type="dxa"/>
            <w:vAlign w:val="bottom"/>
          </w:tcPr>
          <w:p>
            <w:pPr>
              <w:jc w:val="right"/>
              <w:spacing w:after="0"/>
              <w:rPr>
                <w:sz w:val="20"/>
                <w:szCs w:val="20"/>
                <w:color w:val="auto"/>
              </w:rPr>
            </w:pPr>
            <w:r>
              <w:rPr>
                <w:rFonts w:ascii="Arial" w:cs="Arial" w:eastAsia="Arial" w:hAnsi="Arial"/>
                <w:sz w:val="16"/>
                <w:szCs w:val="16"/>
                <w:color w:val="auto"/>
              </w:rPr>
              <w:t>100%</w:t>
            </w:r>
          </w:p>
        </w:tc>
        <w:tc>
          <w:tcPr>
            <w:tcW w:w="5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5980" w:type="dxa"/>
            <w:vAlign w:val="bottom"/>
          </w:tcPr>
          <w:p>
            <w:pPr>
              <w:ind w:left="200"/>
              <w:spacing w:after="0"/>
              <w:rPr>
                <w:sz w:val="20"/>
                <w:szCs w:val="20"/>
                <w:color w:val="auto"/>
              </w:rPr>
            </w:pPr>
            <w:r>
              <w:rPr>
                <w:rFonts w:ascii="Arial" w:cs="Arial" w:eastAsia="Arial" w:hAnsi="Arial"/>
                <w:sz w:val="16"/>
                <w:szCs w:val="16"/>
                <w:color w:val="auto"/>
              </w:rPr>
              <w:t>Group Dekko, Inc.</w:t>
            </w:r>
          </w:p>
        </w:tc>
        <w:tc>
          <w:tcPr>
            <w:tcW w:w="2660" w:type="dxa"/>
            <w:vAlign w:val="bottom"/>
          </w:tcPr>
          <w:p>
            <w:pPr>
              <w:ind w:left="700"/>
              <w:spacing w:after="0"/>
              <w:rPr>
                <w:sz w:val="20"/>
                <w:szCs w:val="20"/>
                <w:color w:val="auto"/>
              </w:rPr>
            </w:pPr>
            <w:r>
              <w:rPr>
                <w:rFonts w:ascii="Arial" w:cs="Arial" w:eastAsia="Arial" w:hAnsi="Arial"/>
                <w:sz w:val="16"/>
                <w:szCs w:val="16"/>
                <w:color w:val="auto"/>
              </w:rPr>
              <w:t>Indiana</w:t>
            </w:r>
          </w:p>
        </w:tc>
        <w:tc>
          <w:tcPr>
            <w:tcW w:w="1460" w:type="dxa"/>
            <w:vAlign w:val="bottom"/>
          </w:tcPr>
          <w:p>
            <w:pPr>
              <w:jc w:val="right"/>
              <w:spacing w:after="0"/>
              <w:rPr>
                <w:sz w:val="20"/>
                <w:szCs w:val="20"/>
                <w:color w:val="auto"/>
              </w:rPr>
            </w:pPr>
            <w:r>
              <w:rPr>
                <w:rFonts w:ascii="Arial" w:cs="Arial" w:eastAsia="Arial" w:hAnsi="Arial"/>
                <w:sz w:val="16"/>
                <w:szCs w:val="16"/>
                <w:color w:val="auto"/>
              </w:rPr>
              <w:t>100%</w:t>
            </w:r>
          </w:p>
        </w:tc>
        <w:tc>
          <w:tcPr>
            <w:tcW w:w="5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5980" w:type="dxa"/>
            <w:vAlign w:val="bottom"/>
          </w:tcPr>
          <w:p>
            <w:pPr>
              <w:ind w:left="420"/>
              <w:spacing w:after="0"/>
              <w:rPr>
                <w:sz w:val="20"/>
                <w:szCs w:val="20"/>
                <w:color w:val="auto"/>
              </w:rPr>
            </w:pPr>
            <w:r>
              <w:rPr>
                <w:rFonts w:ascii="Arial" w:cs="Arial" w:eastAsia="Arial" w:hAnsi="Arial"/>
                <w:sz w:val="16"/>
                <w:szCs w:val="16"/>
                <w:color w:val="auto"/>
              </w:rPr>
              <w:t>Premier Manufacturing Group, Inc. (d/b/a Electri-Cable Assemblies)</w:t>
            </w:r>
          </w:p>
        </w:tc>
        <w:tc>
          <w:tcPr>
            <w:tcW w:w="2660" w:type="dxa"/>
            <w:vAlign w:val="bottom"/>
          </w:tcPr>
          <w:p>
            <w:pPr>
              <w:ind w:left="700"/>
              <w:spacing w:after="0"/>
              <w:rPr>
                <w:sz w:val="20"/>
                <w:szCs w:val="20"/>
                <w:color w:val="auto"/>
              </w:rPr>
            </w:pPr>
            <w:r>
              <w:rPr>
                <w:rFonts w:ascii="Arial" w:cs="Arial" w:eastAsia="Arial" w:hAnsi="Arial"/>
                <w:sz w:val="16"/>
                <w:szCs w:val="16"/>
                <w:color w:val="auto"/>
              </w:rPr>
              <w:t>Connecticut</w:t>
            </w:r>
          </w:p>
        </w:tc>
        <w:tc>
          <w:tcPr>
            <w:tcW w:w="1460" w:type="dxa"/>
            <w:vAlign w:val="bottom"/>
          </w:tcPr>
          <w:p>
            <w:pPr>
              <w:jc w:val="right"/>
              <w:spacing w:after="0"/>
              <w:rPr>
                <w:sz w:val="20"/>
                <w:szCs w:val="20"/>
                <w:color w:val="auto"/>
              </w:rPr>
            </w:pPr>
            <w:r>
              <w:rPr>
                <w:rFonts w:ascii="Arial" w:cs="Arial" w:eastAsia="Arial" w:hAnsi="Arial"/>
                <w:sz w:val="16"/>
                <w:szCs w:val="16"/>
                <w:color w:val="auto"/>
              </w:rPr>
              <w:t>100%</w:t>
            </w:r>
          </w:p>
        </w:tc>
        <w:tc>
          <w:tcPr>
            <w:tcW w:w="5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5980" w:type="dxa"/>
            <w:vAlign w:val="bottom"/>
          </w:tcPr>
          <w:p>
            <w:pPr>
              <w:ind w:left="420"/>
              <w:spacing w:after="0"/>
              <w:rPr>
                <w:sz w:val="20"/>
                <w:szCs w:val="20"/>
                <w:color w:val="auto"/>
              </w:rPr>
            </w:pPr>
            <w:r>
              <w:rPr>
                <w:rFonts w:ascii="Arial" w:cs="Arial" w:eastAsia="Arial" w:hAnsi="Arial"/>
                <w:sz w:val="16"/>
                <w:szCs w:val="16"/>
                <w:color w:val="auto"/>
              </w:rPr>
              <w:t>Dekko Global Enterprise LLC</w:t>
            </w:r>
          </w:p>
        </w:tc>
        <w:tc>
          <w:tcPr>
            <w:tcW w:w="2660" w:type="dxa"/>
            <w:vAlign w:val="bottom"/>
          </w:tcPr>
          <w:p>
            <w:pPr>
              <w:ind w:left="700"/>
              <w:spacing w:after="0"/>
              <w:rPr>
                <w:sz w:val="20"/>
                <w:szCs w:val="20"/>
                <w:color w:val="auto"/>
              </w:rPr>
            </w:pPr>
            <w:r>
              <w:rPr>
                <w:rFonts w:ascii="Arial" w:cs="Arial" w:eastAsia="Arial" w:hAnsi="Arial"/>
                <w:sz w:val="16"/>
                <w:szCs w:val="16"/>
                <w:color w:val="auto"/>
              </w:rPr>
              <w:t>Indiana</w:t>
            </w:r>
          </w:p>
        </w:tc>
        <w:tc>
          <w:tcPr>
            <w:tcW w:w="1460" w:type="dxa"/>
            <w:vAlign w:val="bottom"/>
          </w:tcPr>
          <w:p>
            <w:pPr>
              <w:jc w:val="right"/>
              <w:spacing w:after="0"/>
              <w:rPr>
                <w:sz w:val="20"/>
                <w:szCs w:val="20"/>
                <w:color w:val="auto"/>
              </w:rPr>
            </w:pPr>
            <w:r>
              <w:rPr>
                <w:rFonts w:ascii="Arial" w:cs="Arial" w:eastAsia="Arial" w:hAnsi="Arial"/>
                <w:sz w:val="16"/>
                <w:szCs w:val="16"/>
                <w:color w:val="auto"/>
              </w:rPr>
              <w:t>100%</w:t>
            </w:r>
          </w:p>
        </w:tc>
        <w:tc>
          <w:tcPr>
            <w:tcW w:w="5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90"/>
        </w:trPr>
        <w:tc>
          <w:tcPr>
            <w:tcW w:w="5980" w:type="dxa"/>
            <w:vAlign w:val="bottom"/>
          </w:tcPr>
          <w:p>
            <w:pPr>
              <w:ind w:left="600"/>
              <w:spacing w:after="0"/>
              <w:rPr>
                <w:sz w:val="20"/>
                <w:szCs w:val="20"/>
                <w:color w:val="auto"/>
              </w:rPr>
            </w:pPr>
            <w:r>
              <w:rPr>
                <w:rFonts w:ascii="Arial" w:cs="Arial" w:eastAsia="Arial" w:hAnsi="Arial"/>
                <w:sz w:val="16"/>
                <w:szCs w:val="16"/>
                <w:color w:val="auto"/>
              </w:rPr>
              <w:t>Grupo Dekko Mexico S.A. de C.V.</w:t>
            </w:r>
          </w:p>
        </w:tc>
        <w:tc>
          <w:tcPr>
            <w:tcW w:w="2660" w:type="dxa"/>
            <w:vAlign w:val="bottom"/>
          </w:tcPr>
          <w:p>
            <w:pPr>
              <w:ind w:left="700"/>
              <w:spacing w:after="0"/>
              <w:rPr>
                <w:sz w:val="20"/>
                <w:szCs w:val="20"/>
                <w:color w:val="auto"/>
              </w:rPr>
            </w:pPr>
            <w:r>
              <w:rPr>
                <w:rFonts w:ascii="Arial" w:cs="Arial" w:eastAsia="Arial" w:hAnsi="Arial"/>
                <w:sz w:val="16"/>
                <w:szCs w:val="16"/>
                <w:color w:val="auto"/>
              </w:rPr>
              <w:t>Mexico</w:t>
            </w:r>
          </w:p>
        </w:tc>
        <w:tc>
          <w:tcPr>
            <w:tcW w:w="1460" w:type="dxa"/>
            <w:vAlign w:val="bottom"/>
          </w:tcPr>
          <w:p>
            <w:pPr>
              <w:jc w:val="right"/>
              <w:spacing w:after="0"/>
              <w:rPr>
                <w:sz w:val="20"/>
                <w:szCs w:val="20"/>
                <w:color w:val="auto"/>
              </w:rPr>
            </w:pPr>
            <w:r>
              <w:rPr>
                <w:rFonts w:ascii="Arial" w:cs="Arial" w:eastAsia="Arial" w:hAnsi="Arial"/>
                <w:sz w:val="16"/>
                <w:szCs w:val="16"/>
                <w:color w:val="auto"/>
              </w:rPr>
              <w:t>100%</w:t>
            </w:r>
          </w:p>
        </w:tc>
        <w:tc>
          <w:tcPr>
            <w:tcW w:w="540" w:type="dxa"/>
            <w:vAlign w:val="bottom"/>
          </w:tcPr>
          <w:p>
            <w:pPr>
              <w:ind w:left="40"/>
              <w:spacing w:after="0"/>
              <w:rPr>
                <w:sz w:val="20"/>
                <w:szCs w:val="20"/>
                <w:color w:val="auto"/>
              </w:rPr>
            </w:pPr>
            <w:r>
              <w:rPr>
                <w:rFonts w:ascii="Arial" w:cs="Arial" w:eastAsia="Arial" w:hAnsi="Arial"/>
                <w:sz w:val="18"/>
                <w:szCs w:val="18"/>
                <w:color w:val="auto"/>
              </w:rPr>
              <w:t>(a)</w:t>
            </w:r>
          </w:p>
        </w:tc>
        <w:tc>
          <w:tcPr>
            <w:tcW w:w="0" w:type="dxa"/>
            <w:vAlign w:val="bottom"/>
          </w:tcPr>
          <w:p>
            <w:pPr>
              <w:spacing w:after="0"/>
              <w:rPr>
                <w:sz w:val="1"/>
                <w:szCs w:val="1"/>
                <w:color w:val="auto"/>
              </w:rPr>
            </w:pPr>
          </w:p>
        </w:tc>
      </w:tr>
      <w:tr>
        <w:trPr>
          <w:trHeight w:val="251"/>
        </w:trPr>
        <w:tc>
          <w:tcPr>
            <w:tcW w:w="5980" w:type="dxa"/>
            <w:vAlign w:val="bottom"/>
          </w:tcPr>
          <w:p>
            <w:pPr>
              <w:ind w:left="20"/>
              <w:spacing w:after="0"/>
              <w:rPr>
                <w:sz w:val="20"/>
                <w:szCs w:val="20"/>
                <w:color w:val="auto"/>
              </w:rPr>
            </w:pPr>
            <w:r>
              <w:rPr>
                <w:rFonts w:ascii="Arial" w:cs="Arial" w:eastAsia="Arial" w:hAnsi="Arial"/>
                <w:sz w:val="16"/>
                <w:szCs w:val="16"/>
                <w:color w:val="auto"/>
              </w:rPr>
              <w:t>Forney Corporation</w:t>
            </w:r>
          </w:p>
        </w:tc>
        <w:tc>
          <w:tcPr>
            <w:tcW w:w="2660" w:type="dxa"/>
            <w:vAlign w:val="bottom"/>
          </w:tcPr>
          <w:p>
            <w:pPr>
              <w:ind w:left="700"/>
              <w:spacing w:after="0"/>
              <w:rPr>
                <w:sz w:val="20"/>
                <w:szCs w:val="20"/>
                <w:color w:val="auto"/>
              </w:rPr>
            </w:pPr>
            <w:r>
              <w:rPr>
                <w:rFonts w:ascii="Arial" w:cs="Arial" w:eastAsia="Arial" w:hAnsi="Arial"/>
                <w:sz w:val="16"/>
                <w:szCs w:val="16"/>
                <w:color w:val="auto"/>
              </w:rPr>
              <w:t>Delaware</w:t>
            </w:r>
          </w:p>
        </w:tc>
        <w:tc>
          <w:tcPr>
            <w:tcW w:w="1460" w:type="dxa"/>
            <w:vAlign w:val="bottom"/>
          </w:tcPr>
          <w:p>
            <w:pPr>
              <w:jc w:val="right"/>
              <w:spacing w:after="0"/>
              <w:rPr>
                <w:sz w:val="20"/>
                <w:szCs w:val="20"/>
                <w:color w:val="auto"/>
              </w:rPr>
            </w:pPr>
            <w:r>
              <w:rPr>
                <w:rFonts w:ascii="Arial" w:cs="Arial" w:eastAsia="Arial" w:hAnsi="Arial"/>
                <w:sz w:val="16"/>
                <w:szCs w:val="16"/>
                <w:color w:val="auto"/>
              </w:rPr>
              <w:t>100%</w:t>
            </w:r>
          </w:p>
        </w:tc>
        <w:tc>
          <w:tcPr>
            <w:tcW w:w="5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0"/>
        </w:trPr>
        <w:tc>
          <w:tcPr>
            <w:tcW w:w="5980" w:type="dxa"/>
            <w:vAlign w:val="bottom"/>
          </w:tcPr>
          <w:p>
            <w:pPr>
              <w:ind w:left="200"/>
              <w:spacing w:after="0"/>
              <w:rPr>
                <w:sz w:val="20"/>
                <w:szCs w:val="20"/>
                <w:color w:val="auto"/>
              </w:rPr>
            </w:pPr>
            <w:r>
              <w:rPr>
                <w:rFonts w:ascii="Arial" w:cs="Arial" w:eastAsia="Arial" w:hAnsi="Arial"/>
                <w:sz w:val="16"/>
                <w:szCs w:val="16"/>
                <w:color w:val="auto"/>
              </w:rPr>
              <w:t>Forney Maquila, LLC</w:t>
            </w:r>
          </w:p>
        </w:tc>
        <w:tc>
          <w:tcPr>
            <w:tcW w:w="2660" w:type="dxa"/>
            <w:vAlign w:val="bottom"/>
          </w:tcPr>
          <w:p>
            <w:pPr>
              <w:ind w:left="700"/>
              <w:spacing w:after="0"/>
              <w:rPr>
                <w:sz w:val="20"/>
                <w:szCs w:val="20"/>
                <w:color w:val="auto"/>
              </w:rPr>
            </w:pPr>
            <w:r>
              <w:rPr>
                <w:rFonts w:ascii="Arial" w:cs="Arial" w:eastAsia="Arial" w:hAnsi="Arial"/>
                <w:sz w:val="16"/>
                <w:szCs w:val="16"/>
                <w:color w:val="auto"/>
              </w:rPr>
              <w:t>Delaware</w:t>
            </w:r>
          </w:p>
        </w:tc>
        <w:tc>
          <w:tcPr>
            <w:tcW w:w="1460" w:type="dxa"/>
            <w:vAlign w:val="bottom"/>
          </w:tcPr>
          <w:p>
            <w:pPr>
              <w:jc w:val="right"/>
              <w:spacing w:after="0"/>
              <w:rPr>
                <w:sz w:val="20"/>
                <w:szCs w:val="20"/>
                <w:color w:val="auto"/>
              </w:rPr>
            </w:pPr>
            <w:r>
              <w:rPr>
                <w:rFonts w:ascii="Arial" w:cs="Arial" w:eastAsia="Arial" w:hAnsi="Arial"/>
                <w:sz w:val="16"/>
                <w:szCs w:val="16"/>
                <w:color w:val="auto"/>
              </w:rPr>
              <w:t>100%</w:t>
            </w:r>
          </w:p>
        </w:tc>
        <w:tc>
          <w:tcPr>
            <w:tcW w:w="5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90"/>
        </w:trPr>
        <w:tc>
          <w:tcPr>
            <w:tcW w:w="5980" w:type="dxa"/>
            <w:vAlign w:val="bottom"/>
          </w:tcPr>
          <w:p>
            <w:pPr>
              <w:ind w:left="420"/>
              <w:spacing w:after="0"/>
              <w:rPr>
                <w:sz w:val="20"/>
                <w:szCs w:val="20"/>
                <w:color w:val="auto"/>
              </w:rPr>
            </w:pPr>
            <w:r>
              <w:rPr>
                <w:rFonts w:ascii="Arial" w:cs="Arial" w:eastAsia="Arial" w:hAnsi="Arial"/>
                <w:sz w:val="16"/>
                <w:szCs w:val="16"/>
                <w:color w:val="auto"/>
              </w:rPr>
              <w:t>FMMX S. de R.L. de C.V.</w:t>
            </w:r>
          </w:p>
        </w:tc>
        <w:tc>
          <w:tcPr>
            <w:tcW w:w="2660" w:type="dxa"/>
            <w:vAlign w:val="bottom"/>
          </w:tcPr>
          <w:p>
            <w:pPr>
              <w:ind w:left="700"/>
              <w:spacing w:after="0"/>
              <w:rPr>
                <w:sz w:val="20"/>
                <w:szCs w:val="20"/>
                <w:color w:val="auto"/>
              </w:rPr>
            </w:pPr>
            <w:r>
              <w:rPr>
                <w:rFonts w:ascii="Arial" w:cs="Arial" w:eastAsia="Arial" w:hAnsi="Arial"/>
                <w:sz w:val="16"/>
                <w:szCs w:val="16"/>
                <w:color w:val="auto"/>
              </w:rPr>
              <w:t>Mexico</w:t>
            </w:r>
          </w:p>
        </w:tc>
        <w:tc>
          <w:tcPr>
            <w:tcW w:w="1460" w:type="dxa"/>
            <w:vAlign w:val="bottom"/>
          </w:tcPr>
          <w:p>
            <w:pPr>
              <w:jc w:val="right"/>
              <w:spacing w:after="0"/>
              <w:rPr>
                <w:sz w:val="20"/>
                <w:szCs w:val="20"/>
                <w:color w:val="auto"/>
              </w:rPr>
            </w:pPr>
            <w:r>
              <w:rPr>
                <w:rFonts w:ascii="Arial" w:cs="Arial" w:eastAsia="Arial" w:hAnsi="Arial"/>
                <w:sz w:val="16"/>
                <w:szCs w:val="16"/>
                <w:color w:val="auto"/>
              </w:rPr>
              <w:t>100%</w:t>
            </w:r>
          </w:p>
        </w:tc>
        <w:tc>
          <w:tcPr>
            <w:tcW w:w="540" w:type="dxa"/>
            <w:vAlign w:val="bottom"/>
          </w:tcPr>
          <w:p>
            <w:pPr>
              <w:ind w:left="40"/>
              <w:spacing w:after="0"/>
              <w:rPr>
                <w:sz w:val="20"/>
                <w:szCs w:val="20"/>
                <w:color w:val="auto"/>
              </w:rPr>
            </w:pPr>
            <w:r>
              <w:rPr>
                <w:rFonts w:ascii="Arial" w:cs="Arial" w:eastAsia="Arial" w:hAnsi="Arial"/>
                <w:sz w:val="18"/>
                <w:szCs w:val="18"/>
                <w:color w:val="auto"/>
              </w:rPr>
              <w:t>(b)</w:t>
            </w:r>
          </w:p>
        </w:tc>
        <w:tc>
          <w:tcPr>
            <w:tcW w:w="0" w:type="dxa"/>
            <w:vAlign w:val="bottom"/>
          </w:tcPr>
          <w:p>
            <w:pPr>
              <w:spacing w:after="0"/>
              <w:rPr>
                <w:sz w:val="1"/>
                <w:szCs w:val="1"/>
                <w:color w:val="auto"/>
              </w:rPr>
            </w:pPr>
          </w:p>
        </w:tc>
      </w:tr>
      <w:tr>
        <w:trPr>
          <w:trHeight w:val="251"/>
        </w:trPr>
        <w:tc>
          <w:tcPr>
            <w:tcW w:w="5980" w:type="dxa"/>
            <w:vAlign w:val="bottom"/>
          </w:tcPr>
          <w:p>
            <w:pPr>
              <w:ind w:left="600"/>
              <w:spacing w:after="0"/>
              <w:rPr>
                <w:sz w:val="20"/>
                <w:szCs w:val="20"/>
                <w:color w:val="auto"/>
              </w:rPr>
            </w:pPr>
            <w:r>
              <w:rPr>
                <w:rFonts w:ascii="Arial" w:cs="Arial" w:eastAsia="Arial" w:hAnsi="Arial"/>
                <w:sz w:val="16"/>
                <w:szCs w:val="16"/>
                <w:color w:val="auto"/>
              </w:rPr>
              <w:t>FSM S. de R.L. de C.V</w:t>
            </w:r>
          </w:p>
        </w:tc>
        <w:tc>
          <w:tcPr>
            <w:tcW w:w="2660" w:type="dxa"/>
            <w:vAlign w:val="bottom"/>
          </w:tcPr>
          <w:p>
            <w:pPr>
              <w:ind w:left="700"/>
              <w:spacing w:after="0"/>
              <w:rPr>
                <w:sz w:val="20"/>
                <w:szCs w:val="20"/>
                <w:color w:val="auto"/>
              </w:rPr>
            </w:pPr>
            <w:r>
              <w:rPr>
                <w:rFonts w:ascii="Arial" w:cs="Arial" w:eastAsia="Arial" w:hAnsi="Arial"/>
                <w:sz w:val="16"/>
                <w:szCs w:val="16"/>
                <w:color w:val="auto"/>
              </w:rPr>
              <w:t>Mexico</w:t>
            </w:r>
          </w:p>
        </w:tc>
        <w:tc>
          <w:tcPr>
            <w:tcW w:w="1460" w:type="dxa"/>
            <w:vAlign w:val="bottom"/>
          </w:tcPr>
          <w:p>
            <w:pPr>
              <w:jc w:val="right"/>
              <w:spacing w:after="0"/>
              <w:rPr>
                <w:sz w:val="20"/>
                <w:szCs w:val="20"/>
                <w:color w:val="auto"/>
              </w:rPr>
            </w:pPr>
            <w:r>
              <w:rPr>
                <w:rFonts w:ascii="Arial" w:cs="Arial" w:eastAsia="Arial" w:hAnsi="Arial"/>
                <w:sz w:val="16"/>
                <w:szCs w:val="16"/>
                <w:color w:val="auto"/>
              </w:rPr>
              <w:t>100%</w:t>
            </w:r>
          </w:p>
        </w:tc>
        <w:tc>
          <w:tcPr>
            <w:tcW w:w="540" w:type="dxa"/>
            <w:vAlign w:val="bottom"/>
          </w:tcPr>
          <w:p>
            <w:pPr>
              <w:ind w:left="40"/>
              <w:spacing w:after="0"/>
              <w:rPr>
                <w:sz w:val="20"/>
                <w:szCs w:val="20"/>
                <w:color w:val="auto"/>
              </w:rPr>
            </w:pPr>
            <w:r>
              <w:rPr>
                <w:rFonts w:ascii="Arial" w:cs="Arial" w:eastAsia="Arial" w:hAnsi="Arial"/>
                <w:sz w:val="16"/>
                <w:szCs w:val="16"/>
                <w:color w:val="auto"/>
              </w:rPr>
              <w:t>(c)</w:t>
            </w:r>
          </w:p>
        </w:tc>
        <w:tc>
          <w:tcPr>
            <w:tcW w:w="0" w:type="dxa"/>
            <w:vAlign w:val="bottom"/>
          </w:tcPr>
          <w:p>
            <w:pPr>
              <w:spacing w:after="0"/>
              <w:rPr>
                <w:sz w:val="1"/>
                <w:szCs w:val="1"/>
                <w:color w:val="auto"/>
              </w:rPr>
            </w:pPr>
          </w:p>
        </w:tc>
      </w:tr>
      <w:tr>
        <w:trPr>
          <w:trHeight w:val="270"/>
        </w:trPr>
        <w:tc>
          <w:tcPr>
            <w:tcW w:w="5980" w:type="dxa"/>
            <w:vAlign w:val="bottom"/>
          </w:tcPr>
          <w:p>
            <w:pPr>
              <w:ind w:left="20"/>
              <w:spacing w:after="0"/>
              <w:rPr>
                <w:sz w:val="20"/>
                <w:szCs w:val="20"/>
                <w:color w:val="auto"/>
              </w:rPr>
            </w:pPr>
            <w:r>
              <w:rPr>
                <w:rFonts w:ascii="Arial" w:cs="Arial" w:eastAsia="Arial" w:hAnsi="Arial"/>
                <w:sz w:val="16"/>
                <w:szCs w:val="16"/>
                <w:color w:val="auto"/>
              </w:rPr>
              <w:t>FRTW Holdings LLC</w:t>
            </w:r>
          </w:p>
        </w:tc>
        <w:tc>
          <w:tcPr>
            <w:tcW w:w="2660" w:type="dxa"/>
            <w:vAlign w:val="bottom"/>
          </w:tcPr>
          <w:p>
            <w:pPr>
              <w:ind w:left="700"/>
              <w:spacing w:after="0"/>
              <w:rPr>
                <w:sz w:val="20"/>
                <w:szCs w:val="20"/>
                <w:color w:val="auto"/>
              </w:rPr>
            </w:pPr>
            <w:r>
              <w:rPr>
                <w:rFonts w:ascii="Arial" w:cs="Arial" w:eastAsia="Arial" w:hAnsi="Arial"/>
                <w:sz w:val="16"/>
                <w:szCs w:val="16"/>
                <w:color w:val="auto"/>
              </w:rPr>
              <w:t>Delaware</w:t>
            </w:r>
          </w:p>
        </w:tc>
        <w:tc>
          <w:tcPr>
            <w:tcW w:w="1460" w:type="dxa"/>
            <w:vAlign w:val="bottom"/>
          </w:tcPr>
          <w:p>
            <w:pPr>
              <w:jc w:val="right"/>
              <w:spacing w:after="0"/>
              <w:rPr>
                <w:sz w:val="20"/>
                <w:szCs w:val="20"/>
                <w:color w:val="auto"/>
              </w:rPr>
            </w:pPr>
            <w:r>
              <w:rPr>
                <w:rFonts w:ascii="Arial" w:cs="Arial" w:eastAsia="Arial" w:hAnsi="Arial"/>
                <w:sz w:val="16"/>
                <w:szCs w:val="16"/>
                <w:color w:val="auto"/>
              </w:rPr>
              <w:t>100%</w:t>
            </w:r>
          </w:p>
        </w:tc>
        <w:tc>
          <w:tcPr>
            <w:tcW w:w="5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5980" w:type="dxa"/>
            <w:vAlign w:val="bottom"/>
          </w:tcPr>
          <w:p>
            <w:pPr>
              <w:ind w:left="240"/>
              <w:spacing w:after="0"/>
              <w:rPr>
                <w:sz w:val="20"/>
                <w:szCs w:val="20"/>
                <w:color w:val="auto"/>
              </w:rPr>
            </w:pPr>
            <w:r>
              <w:rPr>
                <w:rFonts w:ascii="Arial" w:cs="Arial" w:eastAsia="Arial" w:hAnsi="Arial"/>
                <w:sz w:val="16"/>
                <w:szCs w:val="16"/>
                <w:color w:val="auto"/>
              </w:rPr>
              <w:t>Hoover Wood Products Holdings, Inc.</w:t>
            </w:r>
          </w:p>
        </w:tc>
        <w:tc>
          <w:tcPr>
            <w:tcW w:w="2660" w:type="dxa"/>
            <w:vAlign w:val="bottom"/>
          </w:tcPr>
          <w:p>
            <w:pPr>
              <w:ind w:left="700"/>
              <w:spacing w:after="0"/>
              <w:rPr>
                <w:sz w:val="20"/>
                <w:szCs w:val="20"/>
                <w:color w:val="auto"/>
              </w:rPr>
            </w:pPr>
            <w:r>
              <w:rPr>
                <w:rFonts w:ascii="Arial" w:cs="Arial" w:eastAsia="Arial" w:hAnsi="Arial"/>
                <w:sz w:val="16"/>
                <w:szCs w:val="16"/>
                <w:color w:val="auto"/>
              </w:rPr>
              <w:t>Delaware</w:t>
            </w:r>
          </w:p>
        </w:tc>
        <w:tc>
          <w:tcPr>
            <w:tcW w:w="1460" w:type="dxa"/>
            <w:vAlign w:val="bottom"/>
          </w:tcPr>
          <w:p>
            <w:pPr>
              <w:jc w:val="right"/>
              <w:spacing w:after="0"/>
              <w:rPr>
                <w:sz w:val="20"/>
                <w:szCs w:val="20"/>
                <w:color w:val="auto"/>
              </w:rPr>
            </w:pPr>
            <w:r>
              <w:rPr>
                <w:rFonts w:ascii="Arial" w:cs="Arial" w:eastAsia="Arial" w:hAnsi="Arial"/>
                <w:sz w:val="16"/>
                <w:szCs w:val="16"/>
                <w:color w:val="auto"/>
              </w:rPr>
              <w:t>97.7%</w:t>
            </w:r>
          </w:p>
        </w:tc>
        <w:tc>
          <w:tcPr>
            <w:tcW w:w="5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5980" w:type="dxa"/>
            <w:vAlign w:val="bottom"/>
          </w:tcPr>
          <w:p>
            <w:pPr>
              <w:ind w:left="420"/>
              <w:spacing w:after="0"/>
              <w:rPr>
                <w:sz w:val="20"/>
                <w:szCs w:val="20"/>
                <w:color w:val="auto"/>
              </w:rPr>
            </w:pPr>
            <w:r>
              <w:rPr>
                <w:rFonts w:ascii="Arial" w:cs="Arial" w:eastAsia="Arial" w:hAnsi="Arial"/>
                <w:sz w:val="16"/>
                <w:szCs w:val="16"/>
                <w:color w:val="auto"/>
              </w:rPr>
              <w:t>Hoover Treated Wood Products, Inc.</w:t>
            </w:r>
          </w:p>
        </w:tc>
        <w:tc>
          <w:tcPr>
            <w:tcW w:w="2660" w:type="dxa"/>
            <w:vAlign w:val="bottom"/>
          </w:tcPr>
          <w:p>
            <w:pPr>
              <w:ind w:left="700"/>
              <w:spacing w:after="0"/>
              <w:rPr>
                <w:sz w:val="20"/>
                <w:szCs w:val="20"/>
                <w:color w:val="auto"/>
              </w:rPr>
            </w:pPr>
            <w:r>
              <w:rPr>
                <w:rFonts w:ascii="Arial" w:cs="Arial" w:eastAsia="Arial" w:hAnsi="Arial"/>
                <w:sz w:val="16"/>
                <w:szCs w:val="16"/>
                <w:color w:val="auto"/>
              </w:rPr>
              <w:t>Delaware</w:t>
            </w:r>
          </w:p>
        </w:tc>
        <w:tc>
          <w:tcPr>
            <w:tcW w:w="1460" w:type="dxa"/>
            <w:vAlign w:val="bottom"/>
          </w:tcPr>
          <w:p>
            <w:pPr>
              <w:jc w:val="right"/>
              <w:spacing w:after="0"/>
              <w:rPr>
                <w:sz w:val="20"/>
                <w:szCs w:val="20"/>
                <w:color w:val="auto"/>
              </w:rPr>
            </w:pPr>
            <w:r>
              <w:rPr>
                <w:rFonts w:ascii="Arial" w:cs="Arial" w:eastAsia="Arial" w:hAnsi="Arial"/>
                <w:sz w:val="16"/>
                <w:szCs w:val="16"/>
                <w:color w:val="auto"/>
              </w:rPr>
              <w:t>97.7%</w:t>
            </w:r>
          </w:p>
        </w:tc>
        <w:tc>
          <w:tcPr>
            <w:tcW w:w="5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5980" w:type="dxa"/>
            <w:vAlign w:val="bottom"/>
          </w:tcPr>
          <w:p>
            <w:pPr>
              <w:ind w:left="20"/>
              <w:spacing w:after="0"/>
              <w:rPr>
                <w:sz w:val="20"/>
                <w:szCs w:val="20"/>
                <w:color w:val="auto"/>
              </w:rPr>
            </w:pPr>
            <w:r>
              <w:rPr>
                <w:rFonts w:ascii="Arial" w:cs="Arial" w:eastAsia="Arial" w:hAnsi="Arial"/>
                <w:sz w:val="16"/>
                <w:szCs w:val="16"/>
                <w:color w:val="auto"/>
              </w:rPr>
              <w:t>Graham Healthcare Group, Inc.</w:t>
            </w:r>
          </w:p>
        </w:tc>
        <w:tc>
          <w:tcPr>
            <w:tcW w:w="2660" w:type="dxa"/>
            <w:vAlign w:val="bottom"/>
          </w:tcPr>
          <w:p>
            <w:pPr>
              <w:ind w:left="700"/>
              <w:spacing w:after="0"/>
              <w:rPr>
                <w:sz w:val="20"/>
                <w:szCs w:val="20"/>
                <w:color w:val="auto"/>
              </w:rPr>
            </w:pPr>
            <w:r>
              <w:rPr>
                <w:rFonts w:ascii="Arial" w:cs="Arial" w:eastAsia="Arial" w:hAnsi="Arial"/>
                <w:sz w:val="16"/>
                <w:szCs w:val="16"/>
                <w:color w:val="auto"/>
              </w:rPr>
              <w:t>Delaware</w:t>
            </w:r>
          </w:p>
        </w:tc>
        <w:tc>
          <w:tcPr>
            <w:tcW w:w="1460" w:type="dxa"/>
            <w:vAlign w:val="bottom"/>
          </w:tcPr>
          <w:p>
            <w:pPr>
              <w:jc w:val="right"/>
              <w:spacing w:after="0"/>
              <w:rPr>
                <w:sz w:val="20"/>
                <w:szCs w:val="20"/>
                <w:color w:val="auto"/>
              </w:rPr>
            </w:pPr>
            <w:r>
              <w:rPr>
                <w:rFonts w:ascii="Arial" w:cs="Arial" w:eastAsia="Arial" w:hAnsi="Arial"/>
                <w:sz w:val="16"/>
                <w:szCs w:val="16"/>
                <w:color w:val="auto"/>
              </w:rPr>
              <w:t>90%</w:t>
            </w:r>
          </w:p>
        </w:tc>
        <w:tc>
          <w:tcPr>
            <w:tcW w:w="5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5980" w:type="dxa"/>
            <w:vAlign w:val="bottom"/>
          </w:tcPr>
          <w:p>
            <w:pPr>
              <w:ind w:left="240"/>
              <w:spacing w:after="0"/>
              <w:rPr>
                <w:sz w:val="20"/>
                <w:szCs w:val="20"/>
                <w:color w:val="auto"/>
              </w:rPr>
            </w:pPr>
            <w:r>
              <w:rPr>
                <w:rFonts w:ascii="Arial" w:cs="Arial" w:eastAsia="Arial" w:hAnsi="Arial"/>
                <w:sz w:val="16"/>
                <w:szCs w:val="16"/>
                <w:color w:val="auto"/>
              </w:rPr>
              <w:t>Celtic Healthcare, Inc.</w:t>
            </w:r>
          </w:p>
        </w:tc>
        <w:tc>
          <w:tcPr>
            <w:tcW w:w="2660" w:type="dxa"/>
            <w:vAlign w:val="bottom"/>
          </w:tcPr>
          <w:p>
            <w:pPr>
              <w:ind w:left="700"/>
              <w:spacing w:after="0"/>
              <w:rPr>
                <w:sz w:val="20"/>
                <w:szCs w:val="20"/>
                <w:color w:val="auto"/>
              </w:rPr>
            </w:pPr>
            <w:r>
              <w:rPr>
                <w:rFonts w:ascii="Arial" w:cs="Arial" w:eastAsia="Arial" w:hAnsi="Arial"/>
                <w:sz w:val="16"/>
                <w:szCs w:val="16"/>
                <w:color w:val="auto"/>
              </w:rPr>
              <w:t>Nevada</w:t>
            </w:r>
          </w:p>
        </w:tc>
        <w:tc>
          <w:tcPr>
            <w:tcW w:w="1460" w:type="dxa"/>
            <w:vAlign w:val="bottom"/>
          </w:tcPr>
          <w:p>
            <w:pPr>
              <w:jc w:val="right"/>
              <w:spacing w:after="0"/>
              <w:rPr>
                <w:sz w:val="20"/>
                <w:szCs w:val="20"/>
                <w:color w:val="auto"/>
              </w:rPr>
            </w:pPr>
            <w:r>
              <w:rPr>
                <w:rFonts w:ascii="Arial" w:cs="Arial" w:eastAsia="Arial" w:hAnsi="Arial"/>
                <w:sz w:val="16"/>
                <w:szCs w:val="16"/>
                <w:color w:val="auto"/>
              </w:rPr>
              <w:t>90%</w:t>
            </w:r>
          </w:p>
        </w:tc>
        <w:tc>
          <w:tcPr>
            <w:tcW w:w="5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5980" w:type="dxa"/>
            <w:vAlign w:val="bottom"/>
          </w:tcPr>
          <w:p>
            <w:pPr>
              <w:ind w:left="480"/>
              <w:spacing w:after="0"/>
              <w:rPr>
                <w:sz w:val="20"/>
                <w:szCs w:val="20"/>
                <w:color w:val="auto"/>
              </w:rPr>
            </w:pPr>
            <w:r>
              <w:rPr>
                <w:rFonts w:ascii="Arial" w:cs="Arial" w:eastAsia="Arial" w:hAnsi="Arial"/>
                <w:sz w:val="16"/>
                <w:szCs w:val="16"/>
                <w:color w:val="auto"/>
              </w:rPr>
              <w:t>Celtic Healthcare of Carlisle, Inc.</w:t>
            </w:r>
          </w:p>
        </w:tc>
        <w:tc>
          <w:tcPr>
            <w:tcW w:w="2660" w:type="dxa"/>
            <w:vAlign w:val="bottom"/>
          </w:tcPr>
          <w:p>
            <w:pPr>
              <w:ind w:left="700"/>
              <w:spacing w:after="0"/>
              <w:rPr>
                <w:sz w:val="20"/>
                <w:szCs w:val="20"/>
                <w:color w:val="auto"/>
              </w:rPr>
            </w:pPr>
            <w:r>
              <w:rPr>
                <w:rFonts w:ascii="Arial" w:cs="Arial" w:eastAsia="Arial" w:hAnsi="Arial"/>
                <w:sz w:val="16"/>
                <w:szCs w:val="16"/>
                <w:color w:val="auto"/>
              </w:rPr>
              <w:t>Pennsylvania</w:t>
            </w:r>
          </w:p>
        </w:tc>
        <w:tc>
          <w:tcPr>
            <w:tcW w:w="1460" w:type="dxa"/>
            <w:vAlign w:val="bottom"/>
          </w:tcPr>
          <w:p>
            <w:pPr>
              <w:jc w:val="right"/>
              <w:spacing w:after="0"/>
              <w:rPr>
                <w:sz w:val="20"/>
                <w:szCs w:val="20"/>
                <w:color w:val="auto"/>
              </w:rPr>
            </w:pPr>
            <w:r>
              <w:rPr>
                <w:rFonts w:ascii="Arial" w:cs="Arial" w:eastAsia="Arial" w:hAnsi="Arial"/>
                <w:sz w:val="16"/>
                <w:szCs w:val="16"/>
                <w:color w:val="auto"/>
              </w:rPr>
              <w:t>90%</w:t>
            </w:r>
          </w:p>
        </w:tc>
        <w:tc>
          <w:tcPr>
            <w:tcW w:w="5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5980" w:type="dxa"/>
            <w:vAlign w:val="bottom"/>
          </w:tcPr>
          <w:p>
            <w:pPr>
              <w:ind w:left="480"/>
              <w:spacing w:after="0"/>
              <w:rPr>
                <w:sz w:val="20"/>
                <w:szCs w:val="20"/>
                <w:color w:val="auto"/>
              </w:rPr>
            </w:pPr>
            <w:r>
              <w:rPr>
                <w:rFonts w:ascii="Arial" w:cs="Arial" w:eastAsia="Arial" w:hAnsi="Arial"/>
                <w:sz w:val="16"/>
                <w:szCs w:val="16"/>
                <w:color w:val="auto"/>
              </w:rPr>
              <w:t>Celtic Healthcare of E. MO, LLC</w:t>
            </w:r>
          </w:p>
        </w:tc>
        <w:tc>
          <w:tcPr>
            <w:tcW w:w="2660" w:type="dxa"/>
            <w:vAlign w:val="bottom"/>
          </w:tcPr>
          <w:p>
            <w:pPr>
              <w:ind w:left="700"/>
              <w:spacing w:after="0"/>
              <w:rPr>
                <w:sz w:val="20"/>
                <w:szCs w:val="20"/>
                <w:color w:val="auto"/>
              </w:rPr>
            </w:pPr>
            <w:r>
              <w:rPr>
                <w:rFonts w:ascii="Arial" w:cs="Arial" w:eastAsia="Arial" w:hAnsi="Arial"/>
                <w:sz w:val="16"/>
                <w:szCs w:val="16"/>
                <w:color w:val="auto"/>
              </w:rPr>
              <w:t>Pennsylvania</w:t>
            </w:r>
          </w:p>
        </w:tc>
        <w:tc>
          <w:tcPr>
            <w:tcW w:w="1460" w:type="dxa"/>
            <w:vAlign w:val="bottom"/>
          </w:tcPr>
          <w:p>
            <w:pPr>
              <w:jc w:val="right"/>
              <w:spacing w:after="0"/>
              <w:rPr>
                <w:sz w:val="20"/>
                <w:szCs w:val="20"/>
                <w:color w:val="auto"/>
              </w:rPr>
            </w:pPr>
            <w:r>
              <w:rPr>
                <w:rFonts w:ascii="Arial" w:cs="Arial" w:eastAsia="Arial" w:hAnsi="Arial"/>
                <w:sz w:val="16"/>
                <w:szCs w:val="16"/>
                <w:color w:val="auto"/>
              </w:rPr>
              <w:t>90%</w:t>
            </w:r>
          </w:p>
        </w:tc>
        <w:tc>
          <w:tcPr>
            <w:tcW w:w="5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5980" w:type="dxa"/>
            <w:vAlign w:val="bottom"/>
          </w:tcPr>
          <w:p>
            <w:pPr>
              <w:ind w:left="480"/>
              <w:spacing w:after="0"/>
              <w:rPr>
                <w:sz w:val="20"/>
                <w:szCs w:val="20"/>
                <w:color w:val="auto"/>
              </w:rPr>
            </w:pPr>
            <w:r>
              <w:rPr>
                <w:rFonts w:ascii="Arial" w:cs="Arial" w:eastAsia="Arial" w:hAnsi="Arial"/>
                <w:sz w:val="16"/>
                <w:szCs w:val="16"/>
                <w:color w:val="auto"/>
              </w:rPr>
              <w:t>Celtic Healthcare of S. IL, LLC</w:t>
            </w:r>
          </w:p>
        </w:tc>
        <w:tc>
          <w:tcPr>
            <w:tcW w:w="2660" w:type="dxa"/>
            <w:vAlign w:val="bottom"/>
          </w:tcPr>
          <w:p>
            <w:pPr>
              <w:ind w:left="700"/>
              <w:spacing w:after="0"/>
              <w:rPr>
                <w:sz w:val="20"/>
                <w:szCs w:val="20"/>
                <w:color w:val="auto"/>
              </w:rPr>
            </w:pPr>
            <w:r>
              <w:rPr>
                <w:rFonts w:ascii="Arial" w:cs="Arial" w:eastAsia="Arial" w:hAnsi="Arial"/>
                <w:sz w:val="16"/>
                <w:szCs w:val="16"/>
                <w:color w:val="auto"/>
              </w:rPr>
              <w:t>Pennsylvania</w:t>
            </w:r>
          </w:p>
        </w:tc>
        <w:tc>
          <w:tcPr>
            <w:tcW w:w="1460" w:type="dxa"/>
            <w:vAlign w:val="bottom"/>
          </w:tcPr>
          <w:p>
            <w:pPr>
              <w:jc w:val="right"/>
              <w:spacing w:after="0"/>
              <w:rPr>
                <w:sz w:val="20"/>
                <w:szCs w:val="20"/>
                <w:color w:val="auto"/>
              </w:rPr>
            </w:pPr>
            <w:r>
              <w:rPr>
                <w:rFonts w:ascii="Arial" w:cs="Arial" w:eastAsia="Arial" w:hAnsi="Arial"/>
                <w:sz w:val="16"/>
                <w:szCs w:val="16"/>
                <w:color w:val="auto"/>
              </w:rPr>
              <w:t>90%</w:t>
            </w:r>
          </w:p>
        </w:tc>
        <w:tc>
          <w:tcPr>
            <w:tcW w:w="5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5980" w:type="dxa"/>
            <w:vAlign w:val="bottom"/>
          </w:tcPr>
          <w:p>
            <w:pPr>
              <w:ind w:left="480"/>
              <w:spacing w:after="0"/>
              <w:rPr>
                <w:sz w:val="20"/>
                <w:szCs w:val="20"/>
                <w:color w:val="auto"/>
              </w:rPr>
            </w:pPr>
            <w:r>
              <w:rPr>
                <w:rFonts w:ascii="Arial" w:cs="Arial" w:eastAsia="Arial" w:hAnsi="Arial"/>
                <w:sz w:val="16"/>
                <w:szCs w:val="16"/>
                <w:color w:val="auto"/>
              </w:rPr>
              <w:t>Celtic Living Assistance Services, LLC</w:t>
            </w:r>
          </w:p>
        </w:tc>
        <w:tc>
          <w:tcPr>
            <w:tcW w:w="2660" w:type="dxa"/>
            <w:vAlign w:val="bottom"/>
          </w:tcPr>
          <w:p>
            <w:pPr>
              <w:ind w:left="700"/>
              <w:spacing w:after="0"/>
              <w:rPr>
                <w:sz w:val="20"/>
                <w:szCs w:val="20"/>
                <w:color w:val="auto"/>
              </w:rPr>
            </w:pPr>
            <w:r>
              <w:rPr>
                <w:rFonts w:ascii="Arial" w:cs="Arial" w:eastAsia="Arial" w:hAnsi="Arial"/>
                <w:sz w:val="16"/>
                <w:szCs w:val="16"/>
                <w:color w:val="auto"/>
              </w:rPr>
              <w:t>Pennsylvania</w:t>
            </w:r>
          </w:p>
        </w:tc>
        <w:tc>
          <w:tcPr>
            <w:tcW w:w="1460" w:type="dxa"/>
            <w:vAlign w:val="bottom"/>
          </w:tcPr>
          <w:p>
            <w:pPr>
              <w:jc w:val="right"/>
              <w:spacing w:after="0"/>
              <w:rPr>
                <w:sz w:val="20"/>
                <w:szCs w:val="20"/>
                <w:color w:val="auto"/>
              </w:rPr>
            </w:pPr>
            <w:r>
              <w:rPr>
                <w:rFonts w:ascii="Arial" w:cs="Arial" w:eastAsia="Arial" w:hAnsi="Arial"/>
                <w:sz w:val="16"/>
                <w:szCs w:val="16"/>
                <w:color w:val="auto"/>
              </w:rPr>
              <w:t>90%</w:t>
            </w:r>
          </w:p>
        </w:tc>
        <w:tc>
          <w:tcPr>
            <w:tcW w:w="5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5980" w:type="dxa"/>
            <w:vAlign w:val="bottom"/>
          </w:tcPr>
          <w:p>
            <w:pPr>
              <w:ind w:left="480"/>
              <w:spacing w:after="0"/>
              <w:rPr>
                <w:sz w:val="20"/>
                <w:szCs w:val="20"/>
                <w:color w:val="auto"/>
              </w:rPr>
            </w:pPr>
            <w:r>
              <w:rPr>
                <w:rFonts w:ascii="Arial" w:cs="Arial" w:eastAsia="Arial" w:hAnsi="Arial"/>
                <w:sz w:val="16"/>
                <w:szCs w:val="16"/>
                <w:color w:val="auto"/>
              </w:rPr>
              <w:t>Celtic Homecare, Inc.</w:t>
            </w:r>
          </w:p>
        </w:tc>
        <w:tc>
          <w:tcPr>
            <w:tcW w:w="2660" w:type="dxa"/>
            <w:vAlign w:val="bottom"/>
          </w:tcPr>
          <w:p>
            <w:pPr>
              <w:ind w:left="700"/>
              <w:spacing w:after="0"/>
              <w:rPr>
                <w:sz w:val="20"/>
                <w:szCs w:val="20"/>
                <w:color w:val="auto"/>
              </w:rPr>
            </w:pPr>
            <w:r>
              <w:rPr>
                <w:rFonts w:ascii="Arial" w:cs="Arial" w:eastAsia="Arial" w:hAnsi="Arial"/>
                <w:sz w:val="16"/>
                <w:szCs w:val="16"/>
                <w:color w:val="auto"/>
              </w:rPr>
              <w:t>Pennsylvania</w:t>
            </w:r>
          </w:p>
        </w:tc>
        <w:tc>
          <w:tcPr>
            <w:tcW w:w="1460" w:type="dxa"/>
            <w:vAlign w:val="bottom"/>
          </w:tcPr>
          <w:p>
            <w:pPr>
              <w:jc w:val="right"/>
              <w:spacing w:after="0"/>
              <w:rPr>
                <w:sz w:val="20"/>
                <w:szCs w:val="20"/>
                <w:color w:val="auto"/>
              </w:rPr>
            </w:pPr>
            <w:r>
              <w:rPr>
                <w:rFonts w:ascii="Arial" w:cs="Arial" w:eastAsia="Arial" w:hAnsi="Arial"/>
                <w:sz w:val="16"/>
                <w:szCs w:val="16"/>
                <w:color w:val="auto"/>
              </w:rPr>
              <w:t>90%</w:t>
            </w:r>
          </w:p>
        </w:tc>
        <w:tc>
          <w:tcPr>
            <w:tcW w:w="5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5980" w:type="dxa"/>
            <w:vAlign w:val="bottom"/>
          </w:tcPr>
          <w:p>
            <w:pPr>
              <w:ind w:left="480"/>
              <w:spacing w:after="0"/>
              <w:rPr>
                <w:sz w:val="20"/>
                <w:szCs w:val="20"/>
                <w:color w:val="auto"/>
              </w:rPr>
            </w:pPr>
            <w:r>
              <w:rPr>
                <w:rFonts w:ascii="Arial" w:cs="Arial" w:eastAsia="Arial" w:hAnsi="Arial"/>
                <w:sz w:val="16"/>
                <w:szCs w:val="16"/>
                <w:color w:val="auto"/>
              </w:rPr>
              <w:t>Celtic Support Services, Inc.</w:t>
            </w:r>
          </w:p>
        </w:tc>
        <w:tc>
          <w:tcPr>
            <w:tcW w:w="2660" w:type="dxa"/>
            <w:vAlign w:val="bottom"/>
          </w:tcPr>
          <w:p>
            <w:pPr>
              <w:ind w:left="700"/>
              <w:spacing w:after="0"/>
              <w:rPr>
                <w:sz w:val="20"/>
                <w:szCs w:val="20"/>
                <w:color w:val="auto"/>
              </w:rPr>
            </w:pPr>
            <w:r>
              <w:rPr>
                <w:rFonts w:ascii="Arial" w:cs="Arial" w:eastAsia="Arial" w:hAnsi="Arial"/>
                <w:sz w:val="16"/>
                <w:szCs w:val="16"/>
                <w:color w:val="auto"/>
              </w:rPr>
              <w:t>Pennsylvania</w:t>
            </w:r>
          </w:p>
        </w:tc>
        <w:tc>
          <w:tcPr>
            <w:tcW w:w="1460" w:type="dxa"/>
            <w:vAlign w:val="bottom"/>
          </w:tcPr>
          <w:p>
            <w:pPr>
              <w:jc w:val="right"/>
              <w:spacing w:after="0"/>
              <w:rPr>
                <w:sz w:val="20"/>
                <w:szCs w:val="20"/>
                <w:color w:val="auto"/>
              </w:rPr>
            </w:pPr>
            <w:r>
              <w:rPr>
                <w:rFonts w:ascii="Arial" w:cs="Arial" w:eastAsia="Arial" w:hAnsi="Arial"/>
                <w:sz w:val="16"/>
                <w:szCs w:val="16"/>
                <w:color w:val="auto"/>
              </w:rPr>
              <w:t>90%</w:t>
            </w:r>
          </w:p>
        </w:tc>
        <w:tc>
          <w:tcPr>
            <w:tcW w:w="5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5980" w:type="dxa"/>
            <w:vAlign w:val="bottom"/>
          </w:tcPr>
          <w:p>
            <w:pPr>
              <w:ind w:left="480"/>
              <w:spacing w:after="0"/>
              <w:rPr>
                <w:sz w:val="20"/>
                <w:szCs w:val="20"/>
                <w:color w:val="auto"/>
              </w:rPr>
            </w:pPr>
            <w:r>
              <w:rPr>
                <w:rFonts w:ascii="Arial" w:cs="Arial" w:eastAsia="Arial" w:hAnsi="Arial"/>
                <w:sz w:val="16"/>
                <w:szCs w:val="16"/>
                <w:color w:val="auto"/>
              </w:rPr>
              <w:t>Celtic Rehabilitation, Services, Inc.</w:t>
            </w:r>
          </w:p>
        </w:tc>
        <w:tc>
          <w:tcPr>
            <w:tcW w:w="2660" w:type="dxa"/>
            <w:vAlign w:val="bottom"/>
          </w:tcPr>
          <w:p>
            <w:pPr>
              <w:ind w:left="700"/>
              <w:spacing w:after="0"/>
              <w:rPr>
                <w:sz w:val="20"/>
                <w:szCs w:val="20"/>
                <w:color w:val="auto"/>
              </w:rPr>
            </w:pPr>
            <w:r>
              <w:rPr>
                <w:rFonts w:ascii="Arial" w:cs="Arial" w:eastAsia="Arial" w:hAnsi="Arial"/>
                <w:sz w:val="16"/>
                <w:szCs w:val="16"/>
                <w:color w:val="auto"/>
              </w:rPr>
              <w:t>Pennsylvania</w:t>
            </w:r>
          </w:p>
        </w:tc>
        <w:tc>
          <w:tcPr>
            <w:tcW w:w="1460" w:type="dxa"/>
            <w:vAlign w:val="bottom"/>
          </w:tcPr>
          <w:p>
            <w:pPr>
              <w:jc w:val="right"/>
              <w:spacing w:after="0"/>
              <w:rPr>
                <w:sz w:val="20"/>
                <w:szCs w:val="20"/>
                <w:color w:val="auto"/>
              </w:rPr>
            </w:pPr>
            <w:r>
              <w:rPr>
                <w:rFonts w:ascii="Arial" w:cs="Arial" w:eastAsia="Arial" w:hAnsi="Arial"/>
                <w:sz w:val="16"/>
                <w:szCs w:val="16"/>
                <w:color w:val="auto"/>
              </w:rPr>
              <w:t>90%</w:t>
            </w:r>
          </w:p>
        </w:tc>
        <w:tc>
          <w:tcPr>
            <w:tcW w:w="5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5980" w:type="dxa"/>
            <w:vAlign w:val="bottom"/>
          </w:tcPr>
          <w:p>
            <w:pPr>
              <w:ind w:left="480"/>
              <w:spacing w:after="0"/>
              <w:rPr>
                <w:sz w:val="20"/>
                <w:szCs w:val="20"/>
                <w:color w:val="auto"/>
              </w:rPr>
            </w:pPr>
            <w:r>
              <w:rPr>
                <w:rFonts w:ascii="Arial" w:cs="Arial" w:eastAsia="Arial" w:hAnsi="Arial"/>
                <w:sz w:val="16"/>
                <w:szCs w:val="16"/>
                <w:color w:val="auto"/>
              </w:rPr>
              <w:t>Celtic Healthcare of NC PA, LLC</w:t>
            </w:r>
          </w:p>
        </w:tc>
        <w:tc>
          <w:tcPr>
            <w:tcW w:w="2660" w:type="dxa"/>
            <w:vAlign w:val="bottom"/>
          </w:tcPr>
          <w:p>
            <w:pPr>
              <w:ind w:left="700"/>
              <w:spacing w:after="0"/>
              <w:rPr>
                <w:sz w:val="20"/>
                <w:szCs w:val="20"/>
                <w:color w:val="auto"/>
              </w:rPr>
            </w:pPr>
            <w:r>
              <w:rPr>
                <w:rFonts w:ascii="Arial" w:cs="Arial" w:eastAsia="Arial" w:hAnsi="Arial"/>
                <w:sz w:val="16"/>
                <w:szCs w:val="16"/>
                <w:color w:val="auto"/>
              </w:rPr>
              <w:t>Pennsylvania</w:t>
            </w:r>
          </w:p>
        </w:tc>
        <w:tc>
          <w:tcPr>
            <w:tcW w:w="1460" w:type="dxa"/>
            <w:vAlign w:val="bottom"/>
          </w:tcPr>
          <w:p>
            <w:pPr>
              <w:jc w:val="right"/>
              <w:spacing w:after="0"/>
              <w:rPr>
                <w:sz w:val="20"/>
                <w:szCs w:val="20"/>
                <w:color w:val="auto"/>
              </w:rPr>
            </w:pPr>
            <w:r>
              <w:rPr>
                <w:rFonts w:ascii="Arial" w:cs="Arial" w:eastAsia="Arial" w:hAnsi="Arial"/>
                <w:sz w:val="16"/>
                <w:szCs w:val="16"/>
                <w:color w:val="auto"/>
              </w:rPr>
              <w:t>90%</w:t>
            </w:r>
          </w:p>
        </w:tc>
        <w:tc>
          <w:tcPr>
            <w:tcW w:w="5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5980" w:type="dxa"/>
            <w:vAlign w:val="bottom"/>
          </w:tcPr>
          <w:p>
            <w:pPr>
              <w:ind w:left="480"/>
              <w:spacing w:after="0"/>
              <w:rPr>
                <w:sz w:val="20"/>
                <w:szCs w:val="20"/>
                <w:color w:val="auto"/>
              </w:rPr>
            </w:pPr>
            <w:r>
              <w:rPr>
                <w:rFonts w:ascii="Arial" w:cs="Arial" w:eastAsia="Arial" w:hAnsi="Arial"/>
                <w:sz w:val="16"/>
                <w:szCs w:val="16"/>
                <w:color w:val="auto"/>
              </w:rPr>
              <w:t>Celtic Healthcare of NE PA, Inc.</w:t>
            </w:r>
          </w:p>
        </w:tc>
        <w:tc>
          <w:tcPr>
            <w:tcW w:w="2660" w:type="dxa"/>
            <w:vAlign w:val="bottom"/>
          </w:tcPr>
          <w:p>
            <w:pPr>
              <w:ind w:left="700"/>
              <w:spacing w:after="0"/>
              <w:rPr>
                <w:sz w:val="20"/>
                <w:szCs w:val="20"/>
                <w:color w:val="auto"/>
              </w:rPr>
            </w:pPr>
            <w:r>
              <w:rPr>
                <w:rFonts w:ascii="Arial" w:cs="Arial" w:eastAsia="Arial" w:hAnsi="Arial"/>
                <w:sz w:val="16"/>
                <w:szCs w:val="16"/>
                <w:color w:val="auto"/>
              </w:rPr>
              <w:t>Pennsylvania</w:t>
            </w:r>
          </w:p>
        </w:tc>
        <w:tc>
          <w:tcPr>
            <w:tcW w:w="1460" w:type="dxa"/>
            <w:vAlign w:val="bottom"/>
          </w:tcPr>
          <w:p>
            <w:pPr>
              <w:jc w:val="right"/>
              <w:spacing w:after="0"/>
              <w:rPr>
                <w:sz w:val="20"/>
                <w:szCs w:val="20"/>
                <w:color w:val="auto"/>
              </w:rPr>
            </w:pPr>
            <w:r>
              <w:rPr>
                <w:rFonts w:ascii="Arial" w:cs="Arial" w:eastAsia="Arial" w:hAnsi="Arial"/>
                <w:sz w:val="16"/>
                <w:szCs w:val="16"/>
                <w:color w:val="auto"/>
              </w:rPr>
              <w:t>90%</w:t>
            </w:r>
          </w:p>
        </w:tc>
        <w:tc>
          <w:tcPr>
            <w:tcW w:w="5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5980" w:type="dxa"/>
            <w:vAlign w:val="bottom"/>
          </w:tcPr>
          <w:p>
            <w:pPr>
              <w:ind w:left="480"/>
              <w:spacing w:after="0"/>
              <w:rPr>
                <w:sz w:val="20"/>
                <w:szCs w:val="20"/>
                <w:color w:val="auto"/>
              </w:rPr>
            </w:pPr>
            <w:r>
              <w:rPr>
                <w:rFonts w:ascii="Arial" w:cs="Arial" w:eastAsia="Arial" w:hAnsi="Arial"/>
                <w:sz w:val="16"/>
                <w:szCs w:val="16"/>
                <w:color w:val="auto"/>
              </w:rPr>
              <w:t>Celtic Geriatric Care Management, Inc.</w:t>
            </w:r>
          </w:p>
        </w:tc>
        <w:tc>
          <w:tcPr>
            <w:tcW w:w="2660" w:type="dxa"/>
            <w:vAlign w:val="bottom"/>
          </w:tcPr>
          <w:p>
            <w:pPr>
              <w:ind w:left="700"/>
              <w:spacing w:after="0"/>
              <w:rPr>
                <w:sz w:val="20"/>
                <w:szCs w:val="20"/>
                <w:color w:val="auto"/>
              </w:rPr>
            </w:pPr>
            <w:r>
              <w:rPr>
                <w:rFonts w:ascii="Arial" w:cs="Arial" w:eastAsia="Arial" w:hAnsi="Arial"/>
                <w:sz w:val="16"/>
                <w:szCs w:val="16"/>
                <w:color w:val="auto"/>
              </w:rPr>
              <w:t>Pennsylvania</w:t>
            </w:r>
          </w:p>
        </w:tc>
        <w:tc>
          <w:tcPr>
            <w:tcW w:w="1460" w:type="dxa"/>
            <w:vAlign w:val="bottom"/>
          </w:tcPr>
          <w:p>
            <w:pPr>
              <w:jc w:val="right"/>
              <w:spacing w:after="0"/>
              <w:rPr>
                <w:sz w:val="20"/>
                <w:szCs w:val="20"/>
                <w:color w:val="auto"/>
              </w:rPr>
            </w:pPr>
            <w:r>
              <w:rPr>
                <w:rFonts w:ascii="Arial" w:cs="Arial" w:eastAsia="Arial" w:hAnsi="Arial"/>
                <w:sz w:val="16"/>
                <w:szCs w:val="16"/>
                <w:color w:val="auto"/>
              </w:rPr>
              <w:t>90%</w:t>
            </w:r>
          </w:p>
        </w:tc>
        <w:tc>
          <w:tcPr>
            <w:tcW w:w="5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5980" w:type="dxa"/>
            <w:vAlign w:val="bottom"/>
          </w:tcPr>
          <w:p>
            <w:pPr>
              <w:ind w:left="480"/>
              <w:spacing w:after="0"/>
              <w:rPr>
                <w:sz w:val="20"/>
                <w:szCs w:val="20"/>
                <w:color w:val="auto"/>
              </w:rPr>
            </w:pPr>
            <w:r>
              <w:rPr>
                <w:rFonts w:ascii="Arial" w:cs="Arial" w:eastAsia="Arial" w:hAnsi="Arial"/>
                <w:sz w:val="16"/>
                <w:szCs w:val="16"/>
                <w:color w:val="auto"/>
              </w:rPr>
              <w:t>Celtic Hospice &amp; Palliative Care Services of Carlisle, Inc.</w:t>
            </w:r>
          </w:p>
        </w:tc>
        <w:tc>
          <w:tcPr>
            <w:tcW w:w="2660" w:type="dxa"/>
            <w:vAlign w:val="bottom"/>
          </w:tcPr>
          <w:p>
            <w:pPr>
              <w:ind w:left="700"/>
              <w:spacing w:after="0"/>
              <w:rPr>
                <w:sz w:val="20"/>
                <w:szCs w:val="20"/>
                <w:color w:val="auto"/>
              </w:rPr>
            </w:pPr>
            <w:r>
              <w:rPr>
                <w:rFonts w:ascii="Arial" w:cs="Arial" w:eastAsia="Arial" w:hAnsi="Arial"/>
                <w:sz w:val="16"/>
                <w:szCs w:val="16"/>
                <w:color w:val="auto"/>
              </w:rPr>
              <w:t>Pennsylvania</w:t>
            </w:r>
          </w:p>
        </w:tc>
        <w:tc>
          <w:tcPr>
            <w:tcW w:w="1460" w:type="dxa"/>
            <w:vAlign w:val="bottom"/>
          </w:tcPr>
          <w:p>
            <w:pPr>
              <w:jc w:val="right"/>
              <w:spacing w:after="0"/>
              <w:rPr>
                <w:sz w:val="20"/>
                <w:szCs w:val="20"/>
                <w:color w:val="auto"/>
              </w:rPr>
            </w:pPr>
            <w:r>
              <w:rPr>
                <w:rFonts w:ascii="Arial" w:cs="Arial" w:eastAsia="Arial" w:hAnsi="Arial"/>
                <w:sz w:val="16"/>
                <w:szCs w:val="16"/>
                <w:color w:val="auto"/>
              </w:rPr>
              <w:t>90%</w:t>
            </w:r>
          </w:p>
        </w:tc>
        <w:tc>
          <w:tcPr>
            <w:tcW w:w="5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5980" w:type="dxa"/>
            <w:vAlign w:val="bottom"/>
          </w:tcPr>
          <w:p>
            <w:pPr>
              <w:ind w:left="480"/>
              <w:spacing w:after="0"/>
              <w:rPr>
                <w:sz w:val="20"/>
                <w:szCs w:val="20"/>
                <w:color w:val="auto"/>
              </w:rPr>
            </w:pPr>
            <w:r>
              <w:rPr>
                <w:rFonts w:ascii="Arial" w:cs="Arial" w:eastAsia="Arial" w:hAnsi="Arial"/>
                <w:sz w:val="16"/>
                <w:szCs w:val="16"/>
                <w:color w:val="auto"/>
              </w:rPr>
              <w:t>Celtic Hospice &amp; Palliative Care Services of E. MO, LLC</w:t>
            </w:r>
          </w:p>
        </w:tc>
        <w:tc>
          <w:tcPr>
            <w:tcW w:w="2660" w:type="dxa"/>
            <w:vAlign w:val="bottom"/>
          </w:tcPr>
          <w:p>
            <w:pPr>
              <w:ind w:left="700"/>
              <w:spacing w:after="0"/>
              <w:rPr>
                <w:sz w:val="20"/>
                <w:szCs w:val="20"/>
                <w:color w:val="auto"/>
              </w:rPr>
            </w:pPr>
            <w:r>
              <w:rPr>
                <w:rFonts w:ascii="Arial" w:cs="Arial" w:eastAsia="Arial" w:hAnsi="Arial"/>
                <w:sz w:val="16"/>
                <w:szCs w:val="16"/>
                <w:color w:val="auto"/>
              </w:rPr>
              <w:t>Pennsylvania</w:t>
            </w:r>
          </w:p>
        </w:tc>
        <w:tc>
          <w:tcPr>
            <w:tcW w:w="1460" w:type="dxa"/>
            <w:vAlign w:val="bottom"/>
          </w:tcPr>
          <w:p>
            <w:pPr>
              <w:jc w:val="right"/>
              <w:spacing w:after="0"/>
              <w:rPr>
                <w:sz w:val="20"/>
                <w:szCs w:val="20"/>
                <w:color w:val="auto"/>
              </w:rPr>
            </w:pPr>
            <w:r>
              <w:rPr>
                <w:rFonts w:ascii="Arial" w:cs="Arial" w:eastAsia="Arial" w:hAnsi="Arial"/>
                <w:sz w:val="16"/>
                <w:szCs w:val="16"/>
                <w:color w:val="auto"/>
              </w:rPr>
              <w:t>90%</w:t>
            </w:r>
          </w:p>
        </w:tc>
        <w:tc>
          <w:tcPr>
            <w:tcW w:w="5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5980" w:type="dxa"/>
            <w:vAlign w:val="bottom"/>
          </w:tcPr>
          <w:p>
            <w:pPr>
              <w:ind w:left="480"/>
              <w:spacing w:after="0"/>
              <w:rPr>
                <w:sz w:val="20"/>
                <w:szCs w:val="20"/>
                <w:color w:val="auto"/>
              </w:rPr>
            </w:pPr>
            <w:r>
              <w:rPr>
                <w:rFonts w:ascii="Arial" w:cs="Arial" w:eastAsia="Arial" w:hAnsi="Arial"/>
                <w:sz w:val="16"/>
                <w:szCs w:val="16"/>
                <w:color w:val="auto"/>
              </w:rPr>
              <w:t>Celtic Hospice &amp; Palliative Care Services of NC PA, LLC</w:t>
            </w:r>
          </w:p>
        </w:tc>
        <w:tc>
          <w:tcPr>
            <w:tcW w:w="2660" w:type="dxa"/>
            <w:vAlign w:val="bottom"/>
          </w:tcPr>
          <w:p>
            <w:pPr>
              <w:ind w:left="700"/>
              <w:spacing w:after="0"/>
              <w:rPr>
                <w:sz w:val="20"/>
                <w:szCs w:val="20"/>
                <w:color w:val="auto"/>
              </w:rPr>
            </w:pPr>
            <w:r>
              <w:rPr>
                <w:rFonts w:ascii="Arial" w:cs="Arial" w:eastAsia="Arial" w:hAnsi="Arial"/>
                <w:sz w:val="16"/>
                <w:szCs w:val="16"/>
                <w:color w:val="auto"/>
              </w:rPr>
              <w:t>Pennsylvania</w:t>
            </w:r>
          </w:p>
        </w:tc>
        <w:tc>
          <w:tcPr>
            <w:tcW w:w="1460" w:type="dxa"/>
            <w:vAlign w:val="bottom"/>
          </w:tcPr>
          <w:p>
            <w:pPr>
              <w:jc w:val="right"/>
              <w:spacing w:after="0"/>
              <w:rPr>
                <w:sz w:val="20"/>
                <w:szCs w:val="20"/>
                <w:color w:val="auto"/>
              </w:rPr>
            </w:pPr>
            <w:r>
              <w:rPr>
                <w:rFonts w:ascii="Arial" w:cs="Arial" w:eastAsia="Arial" w:hAnsi="Arial"/>
                <w:sz w:val="16"/>
                <w:szCs w:val="16"/>
                <w:color w:val="auto"/>
              </w:rPr>
              <w:t>90%</w:t>
            </w:r>
          </w:p>
        </w:tc>
        <w:tc>
          <w:tcPr>
            <w:tcW w:w="5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5980" w:type="dxa"/>
            <w:vAlign w:val="bottom"/>
          </w:tcPr>
          <w:p>
            <w:pPr>
              <w:ind w:left="480"/>
              <w:spacing w:after="0"/>
              <w:rPr>
                <w:sz w:val="20"/>
                <w:szCs w:val="20"/>
                <w:color w:val="auto"/>
              </w:rPr>
            </w:pPr>
            <w:r>
              <w:rPr>
                <w:rFonts w:ascii="Arial" w:cs="Arial" w:eastAsia="Arial" w:hAnsi="Arial"/>
                <w:sz w:val="16"/>
                <w:szCs w:val="16"/>
                <w:color w:val="auto"/>
              </w:rPr>
              <w:t>Celtic Hospice &amp; Palliative Care Services of S. IL, LLC</w:t>
            </w:r>
          </w:p>
        </w:tc>
        <w:tc>
          <w:tcPr>
            <w:tcW w:w="2660" w:type="dxa"/>
            <w:vAlign w:val="bottom"/>
          </w:tcPr>
          <w:p>
            <w:pPr>
              <w:ind w:left="700"/>
              <w:spacing w:after="0"/>
              <w:rPr>
                <w:sz w:val="20"/>
                <w:szCs w:val="20"/>
                <w:color w:val="auto"/>
              </w:rPr>
            </w:pPr>
            <w:r>
              <w:rPr>
                <w:rFonts w:ascii="Arial" w:cs="Arial" w:eastAsia="Arial" w:hAnsi="Arial"/>
                <w:sz w:val="16"/>
                <w:szCs w:val="16"/>
                <w:color w:val="auto"/>
              </w:rPr>
              <w:t>Pennsylvania</w:t>
            </w:r>
          </w:p>
        </w:tc>
        <w:tc>
          <w:tcPr>
            <w:tcW w:w="1460" w:type="dxa"/>
            <w:vAlign w:val="bottom"/>
          </w:tcPr>
          <w:p>
            <w:pPr>
              <w:jc w:val="right"/>
              <w:spacing w:after="0"/>
              <w:rPr>
                <w:sz w:val="20"/>
                <w:szCs w:val="20"/>
                <w:color w:val="auto"/>
              </w:rPr>
            </w:pPr>
            <w:r>
              <w:rPr>
                <w:rFonts w:ascii="Arial" w:cs="Arial" w:eastAsia="Arial" w:hAnsi="Arial"/>
                <w:sz w:val="16"/>
                <w:szCs w:val="16"/>
                <w:color w:val="auto"/>
              </w:rPr>
              <w:t>90%</w:t>
            </w:r>
          </w:p>
        </w:tc>
        <w:tc>
          <w:tcPr>
            <w:tcW w:w="5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5980" w:type="dxa"/>
            <w:vAlign w:val="bottom"/>
          </w:tcPr>
          <w:p>
            <w:pPr>
              <w:ind w:left="480"/>
              <w:spacing w:after="0"/>
              <w:rPr>
                <w:sz w:val="20"/>
                <w:szCs w:val="20"/>
                <w:color w:val="auto"/>
              </w:rPr>
            </w:pPr>
            <w:r>
              <w:rPr>
                <w:rFonts w:ascii="Arial" w:cs="Arial" w:eastAsia="Arial" w:hAnsi="Arial"/>
                <w:sz w:val="16"/>
                <w:szCs w:val="16"/>
                <w:color w:val="auto"/>
              </w:rPr>
              <w:t>Celtic Healthcare of NE Ohio, Inc.</w:t>
            </w:r>
          </w:p>
        </w:tc>
        <w:tc>
          <w:tcPr>
            <w:tcW w:w="2660" w:type="dxa"/>
            <w:vAlign w:val="bottom"/>
          </w:tcPr>
          <w:p>
            <w:pPr>
              <w:ind w:left="700"/>
              <w:spacing w:after="0"/>
              <w:rPr>
                <w:sz w:val="20"/>
                <w:szCs w:val="20"/>
                <w:color w:val="auto"/>
              </w:rPr>
            </w:pPr>
            <w:r>
              <w:rPr>
                <w:rFonts w:ascii="Arial" w:cs="Arial" w:eastAsia="Arial" w:hAnsi="Arial"/>
                <w:sz w:val="16"/>
                <w:szCs w:val="16"/>
                <w:color w:val="auto"/>
              </w:rPr>
              <w:t>Ohio</w:t>
            </w:r>
          </w:p>
        </w:tc>
        <w:tc>
          <w:tcPr>
            <w:tcW w:w="1460" w:type="dxa"/>
            <w:vAlign w:val="bottom"/>
          </w:tcPr>
          <w:p>
            <w:pPr>
              <w:jc w:val="right"/>
              <w:spacing w:after="0"/>
              <w:rPr>
                <w:sz w:val="20"/>
                <w:szCs w:val="20"/>
                <w:color w:val="auto"/>
              </w:rPr>
            </w:pPr>
            <w:r>
              <w:rPr>
                <w:rFonts w:ascii="Arial" w:cs="Arial" w:eastAsia="Arial" w:hAnsi="Arial"/>
                <w:sz w:val="16"/>
                <w:szCs w:val="16"/>
                <w:color w:val="auto"/>
              </w:rPr>
              <w:t>90%</w:t>
            </w:r>
          </w:p>
        </w:tc>
        <w:tc>
          <w:tcPr>
            <w:tcW w:w="5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5980" w:type="dxa"/>
            <w:vAlign w:val="bottom"/>
          </w:tcPr>
          <w:p>
            <w:pPr>
              <w:ind w:left="480"/>
              <w:spacing w:after="0"/>
              <w:rPr>
                <w:sz w:val="20"/>
                <w:szCs w:val="20"/>
                <w:color w:val="auto"/>
              </w:rPr>
            </w:pPr>
            <w:r>
              <w:rPr>
                <w:rFonts w:ascii="Arial" w:cs="Arial" w:eastAsia="Arial" w:hAnsi="Arial"/>
                <w:sz w:val="16"/>
                <w:szCs w:val="16"/>
                <w:color w:val="auto"/>
              </w:rPr>
              <w:t>Celtic Healthcare of Maryland, Inc.</w:t>
            </w:r>
          </w:p>
        </w:tc>
        <w:tc>
          <w:tcPr>
            <w:tcW w:w="2660" w:type="dxa"/>
            <w:vAlign w:val="bottom"/>
          </w:tcPr>
          <w:p>
            <w:pPr>
              <w:ind w:left="700"/>
              <w:spacing w:after="0"/>
              <w:rPr>
                <w:sz w:val="20"/>
                <w:szCs w:val="20"/>
                <w:color w:val="auto"/>
              </w:rPr>
            </w:pPr>
            <w:r>
              <w:rPr>
                <w:rFonts w:ascii="Arial" w:cs="Arial" w:eastAsia="Arial" w:hAnsi="Arial"/>
                <w:sz w:val="16"/>
                <w:szCs w:val="16"/>
                <w:color w:val="auto"/>
              </w:rPr>
              <w:t>Maryland</w:t>
            </w:r>
          </w:p>
        </w:tc>
        <w:tc>
          <w:tcPr>
            <w:tcW w:w="1460" w:type="dxa"/>
            <w:vAlign w:val="bottom"/>
          </w:tcPr>
          <w:p>
            <w:pPr>
              <w:jc w:val="right"/>
              <w:spacing w:after="0"/>
              <w:rPr>
                <w:sz w:val="20"/>
                <w:szCs w:val="20"/>
                <w:color w:val="auto"/>
              </w:rPr>
            </w:pPr>
            <w:r>
              <w:rPr>
                <w:rFonts w:ascii="Arial" w:cs="Arial" w:eastAsia="Arial" w:hAnsi="Arial"/>
                <w:sz w:val="16"/>
                <w:szCs w:val="16"/>
                <w:color w:val="auto"/>
              </w:rPr>
              <w:t>90%</w:t>
            </w:r>
          </w:p>
        </w:tc>
        <w:tc>
          <w:tcPr>
            <w:tcW w:w="5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5980" w:type="dxa"/>
            <w:vAlign w:val="bottom"/>
          </w:tcPr>
          <w:p>
            <w:pPr>
              <w:ind w:left="480"/>
              <w:spacing w:after="0"/>
              <w:rPr>
                <w:sz w:val="20"/>
                <w:szCs w:val="20"/>
                <w:color w:val="auto"/>
              </w:rPr>
            </w:pPr>
            <w:r>
              <w:rPr>
                <w:rFonts w:ascii="Arial" w:cs="Arial" w:eastAsia="Arial" w:hAnsi="Arial"/>
                <w:sz w:val="16"/>
                <w:szCs w:val="16"/>
                <w:color w:val="auto"/>
              </w:rPr>
              <w:t>Celtic Private Care of IL &amp; MO, LLC</w:t>
            </w:r>
          </w:p>
        </w:tc>
        <w:tc>
          <w:tcPr>
            <w:tcW w:w="2660" w:type="dxa"/>
            <w:vAlign w:val="bottom"/>
          </w:tcPr>
          <w:p>
            <w:pPr>
              <w:ind w:left="700"/>
              <w:spacing w:after="0"/>
              <w:rPr>
                <w:sz w:val="20"/>
                <w:szCs w:val="20"/>
                <w:color w:val="auto"/>
              </w:rPr>
            </w:pPr>
            <w:r>
              <w:rPr>
                <w:rFonts w:ascii="Arial" w:cs="Arial" w:eastAsia="Arial" w:hAnsi="Arial"/>
                <w:sz w:val="16"/>
                <w:szCs w:val="16"/>
                <w:color w:val="auto"/>
              </w:rPr>
              <w:t>Pennsylvania</w:t>
            </w:r>
          </w:p>
        </w:tc>
        <w:tc>
          <w:tcPr>
            <w:tcW w:w="1460" w:type="dxa"/>
            <w:vAlign w:val="bottom"/>
          </w:tcPr>
          <w:p>
            <w:pPr>
              <w:jc w:val="right"/>
              <w:spacing w:after="0"/>
              <w:rPr>
                <w:sz w:val="20"/>
                <w:szCs w:val="20"/>
                <w:color w:val="auto"/>
              </w:rPr>
            </w:pPr>
            <w:r>
              <w:rPr>
                <w:rFonts w:ascii="Arial" w:cs="Arial" w:eastAsia="Arial" w:hAnsi="Arial"/>
                <w:sz w:val="16"/>
                <w:szCs w:val="16"/>
                <w:color w:val="auto"/>
              </w:rPr>
              <w:t>90%</w:t>
            </w:r>
          </w:p>
        </w:tc>
        <w:tc>
          <w:tcPr>
            <w:tcW w:w="5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5980" w:type="dxa"/>
            <w:vAlign w:val="bottom"/>
          </w:tcPr>
          <w:p>
            <w:pPr>
              <w:ind w:left="480"/>
              <w:spacing w:after="0"/>
              <w:rPr>
                <w:sz w:val="20"/>
                <w:szCs w:val="20"/>
                <w:color w:val="auto"/>
              </w:rPr>
            </w:pPr>
            <w:r>
              <w:rPr>
                <w:rFonts w:ascii="Arial" w:cs="Arial" w:eastAsia="Arial" w:hAnsi="Arial"/>
                <w:sz w:val="16"/>
                <w:szCs w:val="16"/>
                <w:color w:val="auto"/>
              </w:rPr>
              <w:t>Home Health Utilization Management, LLC</w:t>
            </w:r>
          </w:p>
        </w:tc>
        <w:tc>
          <w:tcPr>
            <w:tcW w:w="2660" w:type="dxa"/>
            <w:vAlign w:val="bottom"/>
          </w:tcPr>
          <w:p>
            <w:pPr>
              <w:ind w:left="700"/>
              <w:spacing w:after="0"/>
              <w:rPr>
                <w:sz w:val="20"/>
                <w:szCs w:val="20"/>
                <w:color w:val="auto"/>
              </w:rPr>
            </w:pPr>
            <w:r>
              <w:rPr>
                <w:rFonts w:ascii="Arial" w:cs="Arial" w:eastAsia="Arial" w:hAnsi="Arial"/>
                <w:sz w:val="16"/>
                <w:szCs w:val="16"/>
                <w:color w:val="auto"/>
              </w:rPr>
              <w:t>Pennsylvania</w:t>
            </w:r>
          </w:p>
        </w:tc>
        <w:tc>
          <w:tcPr>
            <w:tcW w:w="1460" w:type="dxa"/>
            <w:vAlign w:val="bottom"/>
          </w:tcPr>
          <w:p>
            <w:pPr>
              <w:jc w:val="right"/>
              <w:spacing w:after="0"/>
              <w:rPr>
                <w:sz w:val="20"/>
                <w:szCs w:val="20"/>
                <w:color w:val="auto"/>
              </w:rPr>
            </w:pPr>
            <w:r>
              <w:rPr>
                <w:rFonts w:ascii="Arial" w:cs="Arial" w:eastAsia="Arial" w:hAnsi="Arial"/>
                <w:sz w:val="16"/>
                <w:szCs w:val="16"/>
                <w:color w:val="auto"/>
              </w:rPr>
              <w:t>90%</w:t>
            </w:r>
          </w:p>
        </w:tc>
        <w:tc>
          <w:tcPr>
            <w:tcW w:w="5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5980" w:type="dxa"/>
            <w:vAlign w:val="bottom"/>
          </w:tcPr>
          <w:p>
            <w:pPr>
              <w:ind w:left="480"/>
              <w:spacing w:after="0"/>
              <w:rPr>
                <w:sz w:val="20"/>
                <w:szCs w:val="20"/>
                <w:color w:val="auto"/>
              </w:rPr>
            </w:pPr>
            <w:r>
              <w:rPr>
                <w:rFonts w:ascii="Arial" w:cs="Arial" w:eastAsia="Arial" w:hAnsi="Arial"/>
                <w:sz w:val="16"/>
                <w:szCs w:val="16"/>
                <w:color w:val="auto"/>
              </w:rPr>
              <w:t>Celtic Healthcare Technology Solutions, LLC</w:t>
            </w:r>
          </w:p>
        </w:tc>
        <w:tc>
          <w:tcPr>
            <w:tcW w:w="2660" w:type="dxa"/>
            <w:vAlign w:val="bottom"/>
          </w:tcPr>
          <w:p>
            <w:pPr>
              <w:ind w:left="700"/>
              <w:spacing w:after="0"/>
              <w:rPr>
                <w:sz w:val="20"/>
                <w:szCs w:val="20"/>
                <w:color w:val="auto"/>
              </w:rPr>
            </w:pPr>
            <w:r>
              <w:rPr>
                <w:rFonts w:ascii="Arial" w:cs="Arial" w:eastAsia="Arial" w:hAnsi="Arial"/>
                <w:sz w:val="16"/>
                <w:szCs w:val="16"/>
                <w:color w:val="auto"/>
              </w:rPr>
              <w:t>Pennsylvania</w:t>
            </w:r>
          </w:p>
        </w:tc>
        <w:tc>
          <w:tcPr>
            <w:tcW w:w="1460" w:type="dxa"/>
            <w:vAlign w:val="bottom"/>
          </w:tcPr>
          <w:p>
            <w:pPr>
              <w:jc w:val="right"/>
              <w:spacing w:after="0"/>
              <w:rPr>
                <w:sz w:val="20"/>
                <w:szCs w:val="20"/>
                <w:color w:val="auto"/>
              </w:rPr>
            </w:pPr>
            <w:r>
              <w:rPr>
                <w:rFonts w:ascii="Arial" w:cs="Arial" w:eastAsia="Arial" w:hAnsi="Arial"/>
                <w:sz w:val="16"/>
                <w:szCs w:val="16"/>
                <w:color w:val="auto"/>
              </w:rPr>
              <w:t>90%</w:t>
            </w:r>
          </w:p>
        </w:tc>
        <w:tc>
          <w:tcPr>
            <w:tcW w:w="5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5980" w:type="dxa"/>
            <w:vAlign w:val="bottom"/>
          </w:tcPr>
          <w:p>
            <w:pPr>
              <w:ind w:left="200"/>
              <w:spacing w:after="0"/>
              <w:rPr>
                <w:sz w:val="20"/>
                <w:szCs w:val="20"/>
                <w:color w:val="auto"/>
              </w:rPr>
            </w:pPr>
            <w:r>
              <w:rPr>
                <w:rFonts w:ascii="Arial" w:cs="Arial" w:eastAsia="Arial" w:hAnsi="Arial"/>
                <w:sz w:val="16"/>
                <w:szCs w:val="16"/>
                <w:color w:val="auto"/>
              </w:rPr>
              <w:t>Residential Healthcare Group, Inc.</w:t>
            </w:r>
          </w:p>
        </w:tc>
        <w:tc>
          <w:tcPr>
            <w:tcW w:w="2660" w:type="dxa"/>
            <w:vAlign w:val="bottom"/>
          </w:tcPr>
          <w:p>
            <w:pPr>
              <w:ind w:left="700"/>
              <w:spacing w:after="0"/>
              <w:rPr>
                <w:sz w:val="20"/>
                <w:szCs w:val="20"/>
                <w:color w:val="auto"/>
              </w:rPr>
            </w:pPr>
            <w:r>
              <w:rPr>
                <w:rFonts w:ascii="Arial" w:cs="Arial" w:eastAsia="Arial" w:hAnsi="Arial"/>
                <w:sz w:val="16"/>
                <w:szCs w:val="16"/>
                <w:color w:val="auto"/>
              </w:rPr>
              <w:t>Delaware</w:t>
            </w:r>
          </w:p>
        </w:tc>
        <w:tc>
          <w:tcPr>
            <w:tcW w:w="1460" w:type="dxa"/>
            <w:vAlign w:val="bottom"/>
          </w:tcPr>
          <w:p>
            <w:pPr>
              <w:jc w:val="right"/>
              <w:spacing w:after="0"/>
              <w:rPr>
                <w:sz w:val="20"/>
                <w:szCs w:val="20"/>
                <w:color w:val="auto"/>
              </w:rPr>
            </w:pPr>
            <w:r>
              <w:rPr>
                <w:rFonts w:ascii="Arial" w:cs="Arial" w:eastAsia="Arial" w:hAnsi="Arial"/>
                <w:sz w:val="16"/>
                <w:szCs w:val="16"/>
                <w:color w:val="auto"/>
              </w:rPr>
              <w:t>90%</w:t>
            </w:r>
          </w:p>
        </w:tc>
        <w:tc>
          <w:tcPr>
            <w:tcW w:w="5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5980" w:type="dxa"/>
            <w:vAlign w:val="bottom"/>
          </w:tcPr>
          <w:p>
            <w:pPr>
              <w:ind w:left="480"/>
              <w:spacing w:after="0"/>
              <w:rPr>
                <w:sz w:val="20"/>
                <w:szCs w:val="20"/>
                <w:color w:val="auto"/>
              </w:rPr>
            </w:pPr>
            <w:r>
              <w:rPr>
                <w:rFonts w:ascii="Arial" w:cs="Arial" w:eastAsia="Arial" w:hAnsi="Arial"/>
                <w:sz w:val="16"/>
                <w:szCs w:val="16"/>
                <w:color w:val="auto"/>
              </w:rPr>
              <w:t>Hometown Home Health Care Inc.</w:t>
            </w:r>
          </w:p>
        </w:tc>
        <w:tc>
          <w:tcPr>
            <w:tcW w:w="2660" w:type="dxa"/>
            <w:vAlign w:val="bottom"/>
          </w:tcPr>
          <w:p>
            <w:pPr>
              <w:ind w:left="700"/>
              <w:spacing w:after="0"/>
              <w:rPr>
                <w:sz w:val="20"/>
                <w:szCs w:val="20"/>
                <w:color w:val="auto"/>
              </w:rPr>
            </w:pPr>
            <w:r>
              <w:rPr>
                <w:rFonts w:ascii="Arial" w:cs="Arial" w:eastAsia="Arial" w:hAnsi="Arial"/>
                <w:sz w:val="16"/>
                <w:szCs w:val="16"/>
                <w:color w:val="auto"/>
              </w:rPr>
              <w:t>Michigan</w:t>
            </w:r>
          </w:p>
        </w:tc>
        <w:tc>
          <w:tcPr>
            <w:tcW w:w="1460" w:type="dxa"/>
            <w:vAlign w:val="bottom"/>
          </w:tcPr>
          <w:p>
            <w:pPr>
              <w:jc w:val="right"/>
              <w:spacing w:after="0"/>
              <w:rPr>
                <w:sz w:val="20"/>
                <w:szCs w:val="20"/>
                <w:color w:val="auto"/>
              </w:rPr>
            </w:pPr>
            <w:r>
              <w:rPr>
                <w:rFonts w:ascii="Arial" w:cs="Arial" w:eastAsia="Arial" w:hAnsi="Arial"/>
                <w:sz w:val="16"/>
                <w:szCs w:val="16"/>
                <w:color w:val="auto"/>
              </w:rPr>
              <w:t>90%</w:t>
            </w:r>
          </w:p>
        </w:tc>
        <w:tc>
          <w:tcPr>
            <w:tcW w:w="5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5980" w:type="dxa"/>
            <w:vAlign w:val="bottom"/>
          </w:tcPr>
          <w:p>
            <w:pPr>
              <w:ind w:left="480"/>
              <w:spacing w:after="0"/>
              <w:rPr>
                <w:sz w:val="20"/>
                <w:szCs w:val="20"/>
                <w:color w:val="auto"/>
              </w:rPr>
            </w:pPr>
            <w:r>
              <w:rPr>
                <w:rFonts w:ascii="Arial" w:cs="Arial" w:eastAsia="Arial" w:hAnsi="Arial"/>
                <w:sz w:val="16"/>
                <w:szCs w:val="16"/>
                <w:color w:val="auto"/>
              </w:rPr>
              <w:t>RHH Holdings Co.</w:t>
            </w:r>
          </w:p>
        </w:tc>
        <w:tc>
          <w:tcPr>
            <w:tcW w:w="2660" w:type="dxa"/>
            <w:vAlign w:val="bottom"/>
          </w:tcPr>
          <w:p>
            <w:pPr>
              <w:ind w:left="700"/>
              <w:spacing w:after="0"/>
              <w:rPr>
                <w:sz w:val="20"/>
                <w:szCs w:val="20"/>
                <w:color w:val="auto"/>
              </w:rPr>
            </w:pPr>
            <w:r>
              <w:rPr>
                <w:rFonts w:ascii="Arial" w:cs="Arial" w:eastAsia="Arial" w:hAnsi="Arial"/>
                <w:sz w:val="16"/>
                <w:szCs w:val="16"/>
                <w:color w:val="auto"/>
              </w:rPr>
              <w:t>Michigan</w:t>
            </w:r>
          </w:p>
        </w:tc>
        <w:tc>
          <w:tcPr>
            <w:tcW w:w="1460" w:type="dxa"/>
            <w:vAlign w:val="bottom"/>
          </w:tcPr>
          <w:p>
            <w:pPr>
              <w:jc w:val="right"/>
              <w:spacing w:after="0"/>
              <w:rPr>
                <w:sz w:val="20"/>
                <w:szCs w:val="20"/>
                <w:color w:val="auto"/>
              </w:rPr>
            </w:pPr>
            <w:r>
              <w:rPr>
                <w:rFonts w:ascii="Arial" w:cs="Arial" w:eastAsia="Arial" w:hAnsi="Arial"/>
                <w:sz w:val="16"/>
                <w:szCs w:val="16"/>
                <w:color w:val="auto"/>
              </w:rPr>
              <w:t>90%</w:t>
            </w:r>
          </w:p>
        </w:tc>
        <w:tc>
          <w:tcPr>
            <w:tcW w:w="5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5980" w:type="dxa"/>
            <w:vAlign w:val="bottom"/>
          </w:tcPr>
          <w:p>
            <w:pPr>
              <w:ind w:left="660"/>
              <w:spacing w:after="0"/>
              <w:rPr>
                <w:sz w:val="20"/>
                <w:szCs w:val="20"/>
                <w:color w:val="auto"/>
              </w:rPr>
            </w:pPr>
            <w:r>
              <w:rPr>
                <w:rFonts w:ascii="Arial" w:cs="Arial" w:eastAsia="Arial" w:hAnsi="Arial"/>
                <w:sz w:val="16"/>
                <w:szCs w:val="16"/>
                <w:color w:val="auto"/>
              </w:rPr>
              <w:t>Residential Home Health, LLC</w:t>
            </w:r>
          </w:p>
        </w:tc>
        <w:tc>
          <w:tcPr>
            <w:tcW w:w="2660" w:type="dxa"/>
            <w:vAlign w:val="bottom"/>
          </w:tcPr>
          <w:p>
            <w:pPr>
              <w:ind w:left="700"/>
              <w:spacing w:after="0"/>
              <w:rPr>
                <w:sz w:val="20"/>
                <w:szCs w:val="20"/>
                <w:color w:val="auto"/>
              </w:rPr>
            </w:pPr>
            <w:r>
              <w:rPr>
                <w:rFonts w:ascii="Arial" w:cs="Arial" w:eastAsia="Arial" w:hAnsi="Arial"/>
                <w:sz w:val="16"/>
                <w:szCs w:val="16"/>
                <w:color w:val="auto"/>
              </w:rPr>
              <w:t>Michigan</w:t>
            </w:r>
          </w:p>
        </w:tc>
        <w:tc>
          <w:tcPr>
            <w:tcW w:w="1460" w:type="dxa"/>
            <w:vAlign w:val="bottom"/>
          </w:tcPr>
          <w:p>
            <w:pPr>
              <w:jc w:val="right"/>
              <w:spacing w:after="0"/>
              <w:rPr>
                <w:sz w:val="20"/>
                <w:szCs w:val="20"/>
                <w:color w:val="auto"/>
              </w:rPr>
            </w:pPr>
            <w:r>
              <w:rPr>
                <w:rFonts w:ascii="Arial" w:cs="Arial" w:eastAsia="Arial" w:hAnsi="Arial"/>
                <w:sz w:val="16"/>
                <w:szCs w:val="16"/>
                <w:color w:val="auto"/>
              </w:rPr>
              <w:t>90%</w:t>
            </w:r>
          </w:p>
        </w:tc>
        <w:tc>
          <w:tcPr>
            <w:tcW w:w="5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5980" w:type="dxa"/>
            <w:vAlign w:val="bottom"/>
          </w:tcPr>
          <w:p>
            <w:pPr>
              <w:ind w:left="660"/>
              <w:spacing w:after="0"/>
              <w:rPr>
                <w:sz w:val="20"/>
                <w:szCs w:val="20"/>
                <w:color w:val="auto"/>
              </w:rPr>
            </w:pPr>
            <w:r>
              <w:rPr>
                <w:rFonts w:ascii="Arial" w:cs="Arial" w:eastAsia="Arial" w:hAnsi="Arial"/>
                <w:sz w:val="16"/>
                <w:szCs w:val="16"/>
                <w:color w:val="auto"/>
              </w:rPr>
              <w:t>Care Transition Specialists, LLP</w:t>
            </w:r>
          </w:p>
        </w:tc>
        <w:tc>
          <w:tcPr>
            <w:tcW w:w="2660" w:type="dxa"/>
            <w:vAlign w:val="bottom"/>
          </w:tcPr>
          <w:p>
            <w:pPr>
              <w:ind w:left="700"/>
              <w:spacing w:after="0"/>
              <w:rPr>
                <w:sz w:val="20"/>
                <w:szCs w:val="20"/>
                <w:color w:val="auto"/>
              </w:rPr>
            </w:pPr>
            <w:r>
              <w:rPr>
                <w:rFonts w:ascii="Arial" w:cs="Arial" w:eastAsia="Arial" w:hAnsi="Arial"/>
                <w:sz w:val="16"/>
                <w:szCs w:val="16"/>
                <w:color w:val="auto"/>
              </w:rPr>
              <w:t>Michigan</w:t>
            </w:r>
          </w:p>
        </w:tc>
        <w:tc>
          <w:tcPr>
            <w:tcW w:w="1460" w:type="dxa"/>
            <w:vAlign w:val="bottom"/>
          </w:tcPr>
          <w:p>
            <w:pPr>
              <w:jc w:val="right"/>
              <w:spacing w:after="0"/>
              <w:rPr>
                <w:sz w:val="20"/>
                <w:szCs w:val="20"/>
                <w:color w:val="auto"/>
              </w:rPr>
            </w:pPr>
            <w:r>
              <w:rPr>
                <w:rFonts w:ascii="Arial" w:cs="Arial" w:eastAsia="Arial" w:hAnsi="Arial"/>
                <w:sz w:val="16"/>
                <w:szCs w:val="16"/>
                <w:color w:val="auto"/>
              </w:rPr>
              <w:t>90%</w:t>
            </w:r>
          </w:p>
        </w:tc>
        <w:tc>
          <w:tcPr>
            <w:tcW w:w="5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5980" w:type="dxa"/>
            <w:vAlign w:val="bottom"/>
          </w:tcPr>
          <w:p>
            <w:pPr>
              <w:ind w:left="480"/>
              <w:spacing w:after="0"/>
              <w:rPr>
                <w:sz w:val="20"/>
                <w:szCs w:val="20"/>
                <w:color w:val="auto"/>
              </w:rPr>
            </w:pPr>
            <w:r>
              <w:rPr>
                <w:rFonts w:ascii="Arial" w:cs="Arial" w:eastAsia="Arial" w:hAnsi="Arial"/>
                <w:sz w:val="16"/>
                <w:szCs w:val="16"/>
                <w:color w:val="auto"/>
              </w:rPr>
              <w:t>Residential Hospice, LLC</w:t>
            </w:r>
          </w:p>
        </w:tc>
        <w:tc>
          <w:tcPr>
            <w:tcW w:w="2660" w:type="dxa"/>
            <w:vAlign w:val="bottom"/>
          </w:tcPr>
          <w:p>
            <w:pPr>
              <w:ind w:left="700"/>
              <w:spacing w:after="0"/>
              <w:rPr>
                <w:sz w:val="20"/>
                <w:szCs w:val="20"/>
                <w:color w:val="auto"/>
              </w:rPr>
            </w:pPr>
            <w:r>
              <w:rPr>
                <w:rFonts w:ascii="Arial" w:cs="Arial" w:eastAsia="Arial" w:hAnsi="Arial"/>
                <w:sz w:val="16"/>
                <w:szCs w:val="16"/>
                <w:color w:val="auto"/>
              </w:rPr>
              <w:t>Michigan</w:t>
            </w:r>
          </w:p>
        </w:tc>
        <w:tc>
          <w:tcPr>
            <w:tcW w:w="1460" w:type="dxa"/>
            <w:vAlign w:val="bottom"/>
          </w:tcPr>
          <w:p>
            <w:pPr>
              <w:jc w:val="right"/>
              <w:spacing w:after="0"/>
              <w:rPr>
                <w:sz w:val="20"/>
                <w:szCs w:val="20"/>
                <w:color w:val="auto"/>
              </w:rPr>
            </w:pPr>
            <w:r>
              <w:rPr>
                <w:rFonts w:ascii="Arial" w:cs="Arial" w:eastAsia="Arial" w:hAnsi="Arial"/>
                <w:sz w:val="16"/>
                <w:szCs w:val="16"/>
                <w:color w:val="auto"/>
              </w:rPr>
              <w:t>90%</w:t>
            </w:r>
          </w:p>
        </w:tc>
        <w:tc>
          <w:tcPr>
            <w:tcW w:w="5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5980" w:type="dxa"/>
            <w:vAlign w:val="bottom"/>
          </w:tcPr>
          <w:p>
            <w:pPr>
              <w:ind w:left="660"/>
              <w:spacing w:after="0"/>
              <w:rPr>
                <w:sz w:val="20"/>
                <w:szCs w:val="20"/>
                <w:color w:val="auto"/>
              </w:rPr>
            </w:pPr>
            <w:r>
              <w:rPr>
                <w:rFonts w:ascii="Arial" w:cs="Arial" w:eastAsia="Arial" w:hAnsi="Arial"/>
                <w:sz w:val="16"/>
                <w:szCs w:val="16"/>
                <w:color w:val="auto"/>
              </w:rPr>
              <w:t>RHM-KCINO, LLC</w:t>
            </w:r>
          </w:p>
        </w:tc>
        <w:tc>
          <w:tcPr>
            <w:tcW w:w="2660" w:type="dxa"/>
            <w:vAlign w:val="bottom"/>
          </w:tcPr>
          <w:p>
            <w:pPr>
              <w:ind w:left="700"/>
              <w:spacing w:after="0"/>
              <w:rPr>
                <w:sz w:val="20"/>
                <w:szCs w:val="20"/>
                <w:color w:val="auto"/>
              </w:rPr>
            </w:pPr>
            <w:r>
              <w:rPr>
                <w:rFonts w:ascii="Arial" w:cs="Arial" w:eastAsia="Arial" w:hAnsi="Arial"/>
                <w:sz w:val="16"/>
                <w:szCs w:val="16"/>
                <w:color w:val="auto"/>
              </w:rPr>
              <w:t>Michigan</w:t>
            </w:r>
          </w:p>
        </w:tc>
        <w:tc>
          <w:tcPr>
            <w:tcW w:w="1460" w:type="dxa"/>
            <w:vAlign w:val="bottom"/>
          </w:tcPr>
          <w:p>
            <w:pPr>
              <w:jc w:val="right"/>
              <w:spacing w:after="0"/>
              <w:rPr>
                <w:sz w:val="20"/>
                <w:szCs w:val="20"/>
                <w:color w:val="auto"/>
              </w:rPr>
            </w:pPr>
            <w:r>
              <w:rPr>
                <w:rFonts w:ascii="Arial" w:cs="Arial" w:eastAsia="Arial" w:hAnsi="Arial"/>
                <w:sz w:val="16"/>
                <w:szCs w:val="16"/>
                <w:color w:val="auto"/>
              </w:rPr>
              <w:t>90%</w:t>
            </w:r>
          </w:p>
        </w:tc>
        <w:tc>
          <w:tcPr>
            <w:tcW w:w="5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5980" w:type="dxa"/>
            <w:vAlign w:val="bottom"/>
          </w:tcPr>
          <w:p>
            <w:pPr>
              <w:ind w:left="480"/>
              <w:spacing w:after="0"/>
              <w:rPr>
                <w:sz w:val="20"/>
                <w:szCs w:val="20"/>
                <w:color w:val="auto"/>
              </w:rPr>
            </w:pPr>
            <w:r>
              <w:rPr>
                <w:rFonts w:ascii="Arial" w:cs="Arial" w:eastAsia="Arial" w:hAnsi="Arial"/>
                <w:sz w:val="16"/>
                <w:szCs w:val="16"/>
                <w:color w:val="auto"/>
              </w:rPr>
              <w:t>RHH Ventures Illinois, LLC</w:t>
            </w:r>
          </w:p>
        </w:tc>
        <w:tc>
          <w:tcPr>
            <w:tcW w:w="2660" w:type="dxa"/>
            <w:vAlign w:val="bottom"/>
          </w:tcPr>
          <w:p>
            <w:pPr>
              <w:ind w:left="700"/>
              <w:spacing w:after="0"/>
              <w:rPr>
                <w:sz w:val="20"/>
                <w:szCs w:val="20"/>
                <w:color w:val="auto"/>
              </w:rPr>
            </w:pPr>
            <w:r>
              <w:rPr>
                <w:rFonts w:ascii="Arial" w:cs="Arial" w:eastAsia="Arial" w:hAnsi="Arial"/>
                <w:sz w:val="16"/>
                <w:szCs w:val="16"/>
                <w:color w:val="auto"/>
              </w:rPr>
              <w:t>Illinois</w:t>
            </w:r>
          </w:p>
        </w:tc>
        <w:tc>
          <w:tcPr>
            <w:tcW w:w="1460" w:type="dxa"/>
            <w:vAlign w:val="bottom"/>
          </w:tcPr>
          <w:p>
            <w:pPr>
              <w:jc w:val="right"/>
              <w:spacing w:after="0"/>
              <w:rPr>
                <w:sz w:val="20"/>
                <w:szCs w:val="20"/>
                <w:color w:val="auto"/>
              </w:rPr>
            </w:pPr>
            <w:r>
              <w:rPr>
                <w:rFonts w:ascii="Arial" w:cs="Arial" w:eastAsia="Arial" w:hAnsi="Arial"/>
                <w:sz w:val="16"/>
                <w:szCs w:val="16"/>
                <w:color w:val="auto"/>
              </w:rPr>
              <w:t>90%</w:t>
            </w:r>
          </w:p>
        </w:tc>
        <w:tc>
          <w:tcPr>
            <w:tcW w:w="5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5980" w:type="dxa"/>
            <w:vAlign w:val="bottom"/>
          </w:tcPr>
          <w:p>
            <w:pPr>
              <w:ind w:left="20"/>
              <w:spacing w:after="0"/>
              <w:rPr>
                <w:sz w:val="20"/>
                <w:szCs w:val="20"/>
                <w:color w:val="auto"/>
              </w:rPr>
            </w:pPr>
            <w:r>
              <w:rPr>
                <w:rFonts w:ascii="Arial" w:cs="Arial" w:eastAsia="Arial" w:hAnsi="Arial"/>
                <w:sz w:val="16"/>
                <w:szCs w:val="16"/>
                <w:color w:val="auto"/>
              </w:rPr>
              <w:t>Graham Media Group, Inc.</w:t>
            </w:r>
          </w:p>
        </w:tc>
        <w:tc>
          <w:tcPr>
            <w:tcW w:w="2660" w:type="dxa"/>
            <w:vAlign w:val="bottom"/>
          </w:tcPr>
          <w:p>
            <w:pPr>
              <w:ind w:left="700"/>
              <w:spacing w:after="0"/>
              <w:rPr>
                <w:sz w:val="20"/>
                <w:szCs w:val="20"/>
                <w:color w:val="auto"/>
              </w:rPr>
            </w:pPr>
            <w:r>
              <w:rPr>
                <w:rFonts w:ascii="Arial" w:cs="Arial" w:eastAsia="Arial" w:hAnsi="Arial"/>
                <w:sz w:val="16"/>
                <w:szCs w:val="16"/>
                <w:color w:val="auto"/>
              </w:rPr>
              <w:t>Delaware</w:t>
            </w:r>
          </w:p>
        </w:tc>
        <w:tc>
          <w:tcPr>
            <w:tcW w:w="1460" w:type="dxa"/>
            <w:vAlign w:val="bottom"/>
          </w:tcPr>
          <w:p>
            <w:pPr>
              <w:jc w:val="right"/>
              <w:spacing w:after="0"/>
              <w:rPr>
                <w:sz w:val="20"/>
                <w:szCs w:val="20"/>
                <w:color w:val="auto"/>
              </w:rPr>
            </w:pPr>
            <w:r>
              <w:rPr>
                <w:rFonts w:ascii="Arial" w:cs="Arial" w:eastAsia="Arial" w:hAnsi="Arial"/>
                <w:sz w:val="16"/>
                <w:szCs w:val="16"/>
                <w:color w:val="auto"/>
              </w:rPr>
              <w:t>100%</w:t>
            </w:r>
          </w:p>
        </w:tc>
        <w:tc>
          <w:tcPr>
            <w:tcW w:w="5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5980" w:type="dxa"/>
            <w:vAlign w:val="bottom"/>
          </w:tcPr>
          <w:p>
            <w:pPr>
              <w:ind w:left="200"/>
              <w:spacing w:after="0"/>
              <w:rPr>
                <w:sz w:val="20"/>
                <w:szCs w:val="20"/>
                <w:color w:val="auto"/>
              </w:rPr>
            </w:pPr>
            <w:r>
              <w:rPr>
                <w:rFonts w:ascii="Arial" w:cs="Arial" w:eastAsia="Arial" w:hAnsi="Arial"/>
                <w:sz w:val="16"/>
                <w:szCs w:val="16"/>
                <w:color w:val="auto"/>
              </w:rPr>
              <w:t>Graham Media Group, Florida, Inc.</w:t>
            </w:r>
          </w:p>
        </w:tc>
        <w:tc>
          <w:tcPr>
            <w:tcW w:w="2660" w:type="dxa"/>
            <w:vAlign w:val="bottom"/>
          </w:tcPr>
          <w:p>
            <w:pPr>
              <w:ind w:left="700"/>
              <w:spacing w:after="0"/>
              <w:rPr>
                <w:sz w:val="20"/>
                <w:szCs w:val="20"/>
                <w:color w:val="auto"/>
              </w:rPr>
            </w:pPr>
            <w:r>
              <w:rPr>
                <w:rFonts w:ascii="Arial" w:cs="Arial" w:eastAsia="Arial" w:hAnsi="Arial"/>
                <w:sz w:val="16"/>
                <w:szCs w:val="16"/>
                <w:color w:val="auto"/>
              </w:rPr>
              <w:t>Florida</w:t>
            </w:r>
          </w:p>
        </w:tc>
        <w:tc>
          <w:tcPr>
            <w:tcW w:w="1460" w:type="dxa"/>
            <w:vAlign w:val="bottom"/>
          </w:tcPr>
          <w:p>
            <w:pPr>
              <w:jc w:val="right"/>
              <w:spacing w:after="0"/>
              <w:rPr>
                <w:sz w:val="20"/>
                <w:szCs w:val="20"/>
                <w:color w:val="auto"/>
              </w:rPr>
            </w:pPr>
            <w:r>
              <w:rPr>
                <w:rFonts w:ascii="Arial" w:cs="Arial" w:eastAsia="Arial" w:hAnsi="Arial"/>
                <w:sz w:val="16"/>
                <w:szCs w:val="16"/>
                <w:color w:val="auto"/>
              </w:rPr>
              <w:t>100%</w:t>
            </w:r>
          </w:p>
        </w:tc>
        <w:tc>
          <w:tcPr>
            <w:tcW w:w="5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5980" w:type="dxa"/>
            <w:vAlign w:val="bottom"/>
          </w:tcPr>
          <w:p>
            <w:pPr>
              <w:ind w:left="200"/>
              <w:spacing w:after="0"/>
              <w:rPr>
                <w:sz w:val="20"/>
                <w:szCs w:val="20"/>
                <w:color w:val="auto"/>
              </w:rPr>
            </w:pPr>
            <w:r>
              <w:rPr>
                <w:rFonts w:ascii="Arial" w:cs="Arial" w:eastAsia="Arial" w:hAnsi="Arial"/>
                <w:sz w:val="16"/>
                <w:szCs w:val="16"/>
                <w:color w:val="auto"/>
              </w:rPr>
              <w:t>Graham Media Group, Houston, Inc</w:t>
            </w:r>
          </w:p>
        </w:tc>
        <w:tc>
          <w:tcPr>
            <w:tcW w:w="2660" w:type="dxa"/>
            <w:vAlign w:val="bottom"/>
          </w:tcPr>
          <w:p>
            <w:pPr>
              <w:ind w:left="700"/>
              <w:spacing w:after="0"/>
              <w:rPr>
                <w:sz w:val="20"/>
                <w:szCs w:val="20"/>
                <w:color w:val="auto"/>
              </w:rPr>
            </w:pPr>
            <w:r>
              <w:rPr>
                <w:rFonts w:ascii="Arial" w:cs="Arial" w:eastAsia="Arial" w:hAnsi="Arial"/>
                <w:sz w:val="16"/>
                <w:szCs w:val="16"/>
                <w:color w:val="auto"/>
              </w:rPr>
              <w:t>Delaware</w:t>
            </w:r>
          </w:p>
        </w:tc>
        <w:tc>
          <w:tcPr>
            <w:tcW w:w="1460" w:type="dxa"/>
            <w:vAlign w:val="bottom"/>
          </w:tcPr>
          <w:p>
            <w:pPr>
              <w:jc w:val="right"/>
              <w:spacing w:after="0"/>
              <w:rPr>
                <w:sz w:val="20"/>
                <w:szCs w:val="20"/>
                <w:color w:val="auto"/>
              </w:rPr>
            </w:pPr>
            <w:r>
              <w:rPr>
                <w:rFonts w:ascii="Arial" w:cs="Arial" w:eastAsia="Arial" w:hAnsi="Arial"/>
                <w:sz w:val="16"/>
                <w:szCs w:val="16"/>
                <w:color w:val="auto"/>
              </w:rPr>
              <w:t>100%</w:t>
            </w:r>
          </w:p>
        </w:tc>
        <w:tc>
          <w:tcPr>
            <w:tcW w:w="5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5980" w:type="dxa"/>
            <w:vAlign w:val="bottom"/>
          </w:tcPr>
          <w:p>
            <w:pPr>
              <w:ind w:left="200"/>
              <w:spacing w:after="0"/>
              <w:rPr>
                <w:sz w:val="20"/>
                <w:szCs w:val="20"/>
                <w:color w:val="auto"/>
              </w:rPr>
            </w:pPr>
            <w:r>
              <w:rPr>
                <w:rFonts w:ascii="Arial" w:cs="Arial" w:eastAsia="Arial" w:hAnsi="Arial"/>
                <w:sz w:val="16"/>
                <w:szCs w:val="16"/>
                <w:color w:val="auto"/>
              </w:rPr>
              <w:t>Graham Media Group, Michigan, Inc.</w:t>
            </w:r>
          </w:p>
        </w:tc>
        <w:tc>
          <w:tcPr>
            <w:tcW w:w="2660" w:type="dxa"/>
            <w:vAlign w:val="bottom"/>
          </w:tcPr>
          <w:p>
            <w:pPr>
              <w:ind w:left="700"/>
              <w:spacing w:after="0"/>
              <w:rPr>
                <w:sz w:val="20"/>
                <w:szCs w:val="20"/>
                <w:color w:val="auto"/>
              </w:rPr>
            </w:pPr>
            <w:r>
              <w:rPr>
                <w:rFonts w:ascii="Arial" w:cs="Arial" w:eastAsia="Arial" w:hAnsi="Arial"/>
                <w:sz w:val="16"/>
                <w:szCs w:val="16"/>
                <w:color w:val="auto"/>
              </w:rPr>
              <w:t>Delaware</w:t>
            </w:r>
          </w:p>
        </w:tc>
        <w:tc>
          <w:tcPr>
            <w:tcW w:w="1460" w:type="dxa"/>
            <w:vAlign w:val="bottom"/>
          </w:tcPr>
          <w:p>
            <w:pPr>
              <w:jc w:val="right"/>
              <w:spacing w:after="0"/>
              <w:rPr>
                <w:sz w:val="20"/>
                <w:szCs w:val="20"/>
                <w:color w:val="auto"/>
              </w:rPr>
            </w:pPr>
            <w:r>
              <w:rPr>
                <w:rFonts w:ascii="Arial" w:cs="Arial" w:eastAsia="Arial" w:hAnsi="Arial"/>
                <w:sz w:val="16"/>
                <w:szCs w:val="16"/>
                <w:color w:val="auto"/>
              </w:rPr>
              <w:t>100%</w:t>
            </w:r>
          </w:p>
        </w:tc>
        <w:tc>
          <w:tcPr>
            <w:tcW w:w="5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5980" w:type="dxa"/>
            <w:vAlign w:val="bottom"/>
          </w:tcPr>
          <w:p>
            <w:pPr>
              <w:ind w:left="200"/>
              <w:spacing w:after="0"/>
              <w:rPr>
                <w:sz w:val="20"/>
                <w:szCs w:val="20"/>
                <w:color w:val="auto"/>
              </w:rPr>
            </w:pPr>
            <w:r>
              <w:rPr>
                <w:rFonts w:ascii="Arial" w:cs="Arial" w:eastAsia="Arial" w:hAnsi="Arial"/>
                <w:sz w:val="16"/>
                <w:szCs w:val="16"/>
                <w:color w:val="auto"/>
              </w:rPr>
              <w:t>Graham Media Group, Orlando, Inc.</w:t>
            </w:r>
          </w:p>
        </w:tc>
        <w:tc>
          <w:tcPr>
            <w:tcW w:w="2660" w:type="dxa"/>
            <w:vAlign w:val="bottom"/>
          </w:tcPr>
          <w:p>
            <w:pPr>
              <w:ind w:left="700"/>
              <w:spacing w:after="0"/>
              <w:rPr>
                <w:sz w:val="20"/>
                <w:szCs w:val="20"/>
                <w:color w:val="auto"/>
              </w:rPr>
            </w:pPr>
            <w:r>
              <w:rPr>
                <w:rFonts w:ascii="Arial" w:cs="Arial" w:eastAsia="Arial" w:hAnsi="Arial"/>
                <w:sz w:val="16"/>
                <w:szCs w:val="16"/>
                <w:color w:val="auto"/>
              </w:rPr>
              <w:t>Delaware</w:t>
            </w:r>
          </w:p>
        </w:tc>
        <w:tc>
          <w:tcPr>
            <w:tcW w:w="1460" w:type="dxa"/>
            <w:vAlign w:val="bottom"/>
          </w:tcPr>
          <w:p>
            <w:pPr>
              <w:jc w:val="right"/>
              <w:spacing w:after="0"/>
              <w:rPr>
                <w:sz w:val="20"/>
                <w:szCs w:val="20"/>
                <w:color w:val="auto"/>
              </w:rPr>
            </w:pPr>
            <w:r>
              <w:rPr>
                <w:rFonts w:ascii="Arial" w:cs="Arial" w:eastAsia="Arial" w:hAnsi="Arial"/>
                <w:sz w:val="16"/>
                <w:szCs w:val="16"/>
                <w:color w:val="auto"/>
              </w:rPr>
              <w:t>100%</w:t>
            </w:r>
          </w:p>
        </w:tc>
        <w:tc>
          <w:tcPr>
            <w:tcW w:w="5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5980" w:type="dxa"/>
            <w:vAlign w:val="bottom"/>
          </w:tcPr>
          <w:p>
            <w:pPr>
              <w:ind w:left="200"/>
              <w:spacing w:after="0"/>
              <w:rPr>
                <w:sz w:val="20"/>
                <w:szCs w:val="20"/>
                <w:color w:val="auto"/>
              </w:rPr>
            </w:pPr>
            <w:r>
              <w:rPr>
                <w:rFonts w:ascii="Arial" w:cs="Arial" w:eastAsia="Arial" w:hAnsi="Arial"/>
                <w:sz w:val="16"/>
                <w:szCs w:val="16"/>
                <w:color w:val="auto"/>
              </w:rPr>
              <w:t>Graham Media Group, San Antonio, Inc.</w:t>
            </w:r>
          </w:p>
        </w:tc>
        <w:tc>
          <w:tcPr>
            <w:tcW w:w="2660" w:type="dxa"/>
            <w:vAlign w:val="bottom"/>
          </w:tcPr>
          <w:p>
            <w:pPr>
              <w:ind w:left="700"/>
              <w:spacing w:after="0"/>
              <w:rPr>
                <w:sz w:val="20"/>
                <w:szCs w:val="20"/>
                <w:color w:val="auto"/>
              </w:rPr>
            </w:pPr>
            <w:r>
              <w:rPr>
                <w:rFonts w:ascii="Arial" w:cs="Arial" w:eastAsia="Arial" w:hAnsi="Arial"/>
                <w:sz w:val="16"/>
                <w:szCs w:val="16"/>
                <w:color w:val="auto"/>
              </w:rPr>
              <w:t>Delaware</w:t>
            </w:r>
          </w:p>
        </w:tc>
        <w:tc>
          <w:tcPr>
            <w:tcW w:w="1460" w:type="dxa"/>
            <w:vAlign w:val="bottom"/>
          </w:tcPr>
          <w:p>
            <w:pPr>
              <w:jc w:val="right"/>
              <w:spacing w:after="0"/>
              <w:rPr>
                <w:sz w:val="20"/>
                <w:szCs w:val="20"/>
                <w:color w:val="auto"/>
              </w:rPr>
            </w:pPr>
            <w:r>
              <w:rPr>
                <w:rFonts w:ascii="Arial" w:cs="Arial" w:eastAsia="Arial" w:hAnsi="Arial"/>
                <w:sz w:val="16"/>
                <w:szCs w:val="16"/>
                <w:color w:val="auto"/>
              </w:rPr>
              <w:t>100%</w:t>
            </w:r>
          </w:p>
        </w:tc>
        <w:tc>
          <w:tcPr>
            <w:tcW w:w="5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5980" w:type="dxa"/>
            <w:vAlign w:val="bottom"/>
          </w:tcPr>
          <w:p>
            <w:pPr>
              <w:ind w:left="200"/>
              <w:spacing w:after="0"/>
              <w:rPr>
                <w:sz w:val="20"/>
                <w:szCs w:val="20"/>
                <w:color w:val="auto"/>
              </w:rPr>
            </w:pPr>
            <w:r>
              <w:rPr>
                <w:rFonts w:ascii="Arial" w:cs="Arial" w:eastAsia="Arial" w:hAnsi="Arial"/>
                <w:sz w:val="16"/>
                <w:szCs w:val="16"/>
                <w:color w:val="auto"/>
              </w:rPr>
              <w:t>Graham Media Group, Virginia, LLC</w:t>
            </w:r>
          </w:p>
        </w:tc>
        <w:tc>
          <w:tcPr>
            <w:tcW w:w="2660" w:type="dxa"/>
            <w:vAlign w:val="bottom"/>
          </w:tcPr>
          <w:p>
            <w:pPr>
              <w:ind w:left="700"/>
              <w:spacing w:after="0"/>
              <w:rPr>
                <w:sz w:val="20"/>
                <w:szCs w:val="20"/>
                <w:color w:val="auto"/>
              </w:rPr>
            </w:pPr>
            <w:r>
              <w:rPr>
                <w:rFonts w:ascii="Arial" w:cs="Arial" w:eastAsia="Arial" w:hAnsi="Arial"/>
                <w:sz w:val="16"/>
                <w:szCs w:val="16"/>
                <w:color w:val="auto"/>
              </w:rPr>
              <w:t>Virginia</w:t>
            </w:r>
          </w:p>
        </w:tc>
        <w:tc>
          <w:tcPr>
            <w:tcW w:w="1460" w:type="dxa"/>
            <w:vAlign w:val="bottom"/>
          </w:tcPr>
          <w:p>
            <w:pPr>
              <w:jc w:val="right"/>
              <w:spacing w:after="0"/>
              <w:rPr>
                <w:sz w:val="20"/>
                <w:szCs w:val="20"/>
                <w:color w:val="auto"/>
              </w:rPr>
            </w:pPr>
            <w:r>
              <w:rPr>
                <w:rFonts w:ascii="Arial" w:cs="Arial" w:eastAsia="Arial" w:hAnsi="Arial"/>
                <w:sz w:val="16"/>
                <w:szCs w:val="16"/>
                <w:color w:val="auto"/>
              </w:rPr>
              <w:t>100%</w:t>
            </w:r>
          </w:p>
        </w:tc>
        <w:tc>
          <w:tcPr>
            <w:tcW w:w="5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5980" w:type="dxa"/>
            <w:vAlign w:val="bottom"/>
          </w:tcPr>
          <w:p>
            <w:pPr>
              <w:ind w:left="200"/>
              <w:spacing w:after="0"/>
              <w:rPr>
                <w:sz w:val="20"/>
                <w:szCs w:val="20"/>
                <w:color w:val="auto"/>
              </w:rPr>
            </w:pPr>
            <w:r>
              <w:rPr>
                <w:rFonts w:ascii="Arial" w:cs="Arial" w:eastAsia="Arial" w:hAnsi="Arial"/>
                <w:sz w:val="16"/>
                <w:szCs w:val="16"/>
                <w:color w:val="auto"/>
              </w:rPr>
              <w:t>SocialNewsDesk</w:t>
            </w:r>
          </w:p>
        </w:tc>
        <w:tc>
          <w:tcPr>
            <w:tcW w:w="2660" w:type="dxa"/>
            <w:vAlign w:val="bottom"/>
          </w:tcPr>
          <w:p>
            <w:pPr>
              <w:ind w:left="700"/>
              <w:spacing w:after="0"/>
              <w:rPr>
                <w:sz w:val="20"/>
                <w:szCs w:val="20"/>
                <w:color w:val="auto"/>
              </w:rPr>
            </w:pPr>
            <w:r>
              <w:rPr>
                <w:rFonts w:ascii="Arial" w:cs="Arial" w:eastAsia="Arial" w:hAnsi="Arial"/>
                <w:sz w:val="16"/>
                <w:szCs w:val="16"/>
                <w:color w:val="auto"/>
              </w:rPr>
              <w:t>Florida</w:t>
            </w:r>
          </w:p>
        </w:tc>
        <w:tc>
          <w:tcPr>
            <w:tcW w:w="1460" w:type="dxa"/>
            <w:vAlign w:val="bottom"/>
          </w:tcPr>
          <w:p>
            <w:pPr>
              <w:jc w:val="right"/>
              <w:spacing w:after="0"/>
              <w:rPr>
                <w:sz w:val="20"/>
                <w:szCs w:val="20"/>
                <w:color w:val="auto"/>
              </w:rPr>
            </w:pPr>
            <w:r>
              <w:rPr>
                <w:rFonts w:ascii="Arial" w:cs="Arial" w:eastAsia="Arial" w:hAnsi="Arial"/>
                <w:sz w:val="16"/>
                <w:szCs w:val="16"/>
                <w:color w:val="auto"/>
              </w:rPr>
              <w:t>100%</w:t>
            </w:r>
          </w:p>
        </w:tc>
        <w:tc>
          <w:tcPr>
            <w:tcW w:w="5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5980" w:type="dxa"/>
            <w:vAlign w:val="bottom"/>
          </w:tcPr>
          <w:p>
            <w:pPr>
              <w:ind w:left="20"/>
              <w:spacing w:after="0"/>
              <w:rPr>
                <w:sz w:val="20"/>
                <w:szCs w:val="20"/>
                <w:color w:val="auto"/>
              </w:rPr>
            </w:pPr>
            <w:r>
              <w:rPr>
                <w:rFonts w:ascii="Arial" w:cs="Arial" w:eastAsia="Arial" w:hAnsi="Arial"/>
                <w:sz w:val="16"/>
                <w:szCs w:val="16"/>
                <w:color w:val="auto"/>
              </w:rPr>
              <w:t>Joyce/Dayton Corporation</w:t>
            </w:r>
          </w:p>
        </w:tc>
        <w:tc>
          <w:tcPr>
            <w:tcW w:w="2660" w:type="dxa"/>
            <w:vAlign w:val="bottom"/>
          </w:tcPr>
          <w:p>
            <w:pPr>
              <w:ind w:left="700"/>
              <w:spacing w:after="0"/>
              <w:rPr>
                <w:sz w:val="20"/>
                <w:szCs w:val="20"/>
                <w:color w:val="auto"/>
              </w:rPr>
            </w:pPr>
            <w:r>
              <w:rPr>
                <w:rFonts w:ascii="Arial" w:cs="Arial" w:eastAsia="Arial" w:hAnsi="Arial"/>
                <w:sz w:val="16"/>
                <w:szCs w:val="16"/>
                <w:color w:val="auto"/>
              </w:rPr>
              <w:t>Ohio</w:t>
            </w:r>
          </w:p>
        </w:tc>
        <w:tc>
          <w:tcPr>
            <w:tcW w:w="1460" w:type="dxa"/>
            <w:vAlign w:val="bottom"/>
          </w:tcPr>
          <w:p>
            <w:pPr>
              <w:jc w:val="right"/>
              <w:spacing w:after="0"/>
              <w:rPr>
                <w:sz w:val="20"/>
                <w:szCs w:val="20"/>
                <w:color w:val="auto"/>
              </w:rPr>
            </w:pPr>
            <w:r>
              <w:rPr>
                <w:rFonts w:ascii="Arial" w:cs="Arial" w:eastAsia="Arial" w:hAnsi="Arial"/>
                <w:sz w:val="16"/>
                <w:szCs w:val="16"/>
                <w:color w:val="auto"/>
              </w:rPr>
              <w:t>100%</w:t>
            </w:r>
          </w:p>
        </w:tc>
        <w:tc>
          <w:tcPr>
            <w:tcW w:w="5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5980" w:type="dxa"/>
            <w:vAlign w:val="bottom"/>
          </w:tcPr>
          <w:p>
            <w:pPr>
              <w:ind w:left="200"/>
              <w:spacing w:after="0"/>
              <w:rPr>
                <w:sz w:val="20"/>
                <w:szCs w:val="20"/>
                <w:color w:val="auto"/>
              </w:rPr>
            </w:pPr>
            <w:r>
              <w:rPr>
                <w:rFonts w:ascii="Arial" w:cs="Arial" w:eastAsia="Arial" w:hAnsi="Arial"/>
                <w:sz w:val="16"/>
                <w:szCs w:val="16"/>
                <w:color w:val="auto"/>
              </w:rPr>
              <w:t>EDrive Actuators, Inc.</w:t>
            </w:r>
          </w:p>
        </w:tc>
        <w:tc>
          <w:tcPr>
            <w:tcW w:w="2660" w:type="dxa"/>
            <w:vAlign w:val="bottom"/>
          </w:tcPr>
          <w:p>
            <w:pPr>
              <w:ind w:left="700"/>
              <w:spacing w:after="0"/>
              <w:rPr>
                <w:sz w:val="20"/>
                <w:szCs w:val="20"/>
                <w:color w:val="auto"/>
              </w:rPr>
            </w:pPr>
            <w:r>
              <w:rPr>
                <w:rFonts w:ascii="Arial" w:cs="Arial" w:eastAsia="Arial" w:hAnsi="Arial"/>
                <w:sz w:val="16"/>
                <w:szCs w:val="16"/>
                <w:color w:val="auto"/>
              </w:rPr>
              <w:t>Connecticut</w:t>
            </w:r>
          </w:p>
        </w:tc>
        <w:tc>
          <w:tcPr>
            <w:tcW w:w="1460" w:type="dxa"/>
            <w:vAlign w:val="bottom"/>
          </w:tcPr>
          <w:p>
            <w:pPr>
              <w:jc w:val="right"/>
              <w:spacing w:after="0"/>
              <w:rPr>
                <w:sz w:val="20"/>
                <w:szCs w:val="20"/>
                <w:color w:val="auto"/>
              </w:rPr>
            </w:pPr>
            <w:r>
              <w:rPr>
                <w:rFonts w:ascii="Arial" w:cs="Arial" w:eastAsia="Arial" w:hAnsi="Arial"/>
                <w:sz w:val="16"/>
                <w:szCs w:val="16"/>
                <w:color w:val="auto"/>
              </w:rPr>
              <w:t>100%</w:t>
            </w:r>
          </w:p>
        </w:tc>
        <w:tc>
          <w:tcPr>
            <w:tcW w:w="540" w:type="dxa"/>
            <w:vAlign w:val="bottom"/>
          </w:tcPr>
          <w:p>
            <w:pPr>
              <w:spacing w:after="0"/>
              <w:rPr>
                <w:sz w:val="23"/>
                <w:szCs w:val="23"/>
                <w:color w:val="auto"/>
              </w:rPr>
            </w:pPr>
          </w:p>
        </w:tc>
        <w:tc>
          <w:tcPr>
            <w:tcW w:w="0" w:type="dxa"/>
            <w:vAlign w:val="bottom"/>
          </w:tcPr>
          <w:p>
            <w:pPr>
              <w:spacing w:after="0"/>
              <w:rPr>
                <w:sz w:val="1"/>
                <w:szCs w:val="1"/>
                <w:color w:val="auto"/>
              </w:rPr>
            </w:pPr>
          </w:p>
        </w:tc>
      </w:tr>
    </w:tbl>
    <w:p>
      <w:pPr>
        <w:sectPr>
          <w:pgSz w:w="11900" w:h="16838" w:orient="portrait"/>
          <w:cols w:equalWidth="0" w:num="1">
            <w:col w:w="11020"/>
          </w:cols>
          <w:pgMar w:left="640" w:top="598" w:right="239" w:bottom="433" w:gutter="0" w:footer="0" w:header="0"/>
        </w:sectPr>
      </w:pPr>
    </w:p>
    <w:bookmarkStart w:id="131" w:name="page132"/>
    <w:bookmarkEnd w:id="131"/>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5980" w:type="dxa"/>
            <w:vAlign w:val="bottom"/>
          </w:tcPr>
          <w:p>
            <w:pPr>
              <w:ind w:left="180"/>
              <w:spacing w:after="0"/>
              <w:rPr>
                <w:sz w:val="20"/>
                <w:szCs w:val="20"/>
                <w:color w:val="auto"/>
              </w:rPr>
            </w:pPr>
            <w:r>
              <w:rPr>
                <w:rFonts w:ascii="Arial" w:cs="Arial" w:eastAsia="Arial" w:hAnsi="Arial"/>
                <w:sz w:val="16"/>
                <w:szCs w:val="16"/>
                <w:color w:val="auto"/>
              </w:rPr>
              <w:t>Lowly Worm Holdings, Inc.</w:t>
            </w:r>
          </w:p>
        </w:tc>
        <w:tc>
          <w:tcPr>
            <w:tcW w:w="2720" w:type="dxa"/>
            <w:vAlign w:val="bottom"/>
          </w:tcPr>
          <w:p>
            <w:pPr>
              <w:ind w:left="680"/>
              <w:spacing w:after="0"/>
              <w:rPr>
                <w:sz w:val="20"/>
                <w:szCs w:val="20"/>
                <w:color w:val="auto"/>
              </w:rPr>
            </w:pPr>
            <w:r>
              <w:rPr>
                <w:rFonts w:ascii="Arial" w:cs="Arial" w:eastAsia="Arial" w:hAnsi="Arial"/>
                <w:sz w:val="16"/>
                <w:szCs w:val="16"/>
                <w:color w:val="auto"/>
              </w:rPr>
              <w:t>Delaware</w:t>
            </w:r>
          </w:p>
        </w:tc>
        <w:tc>
          <w:tcPr>
            <w:tcW w:w="1380" w:type="dxa"/>
            <w:vAlign w:val="bottom"/>
          </w:tcPr>
          <w:p>
            <w:pPr>
              <w:jc w:val="right"/>
              <w:spacing w:after="0"/>
              <w:rPr>
                <w:sz w:val="20"/>
                <w:szCs w:val="20"/>
                <w:color w:val="auto"/>
              </w:rPr>
            </w:pPr>
            <w:r>
              <w:rPr>
                <w:rFonts w:ascii="Arial" w:cs="Arial" w:eastAsia="Arial" w:hAnsi="Arial"/>
                <w:sz w:val="16"/>
                <w:szCs w:val="16"/>
                <w:color w:val="auto"/>
              </w:rPr>
              <w:t>100%</w:t>
            </w:r>
          </w:p>
        </w:tc>
        <w:tc>
          <w:tcPr>
            <w:tcW w:w="260" w:type="dxa"/>
            <w:vAlign w:val="bottom"/>
          </w:tcPr>
          <w:p>
            <w:pPr>
              <w:spacing w:after="0"/>
              <w:rPr>
                <w:sz w:val="16"/>
                <w:szCs w:val="16"/>
                <w:color w:val="auto"/>
              </w:rPr>
            </w:pPr>
          </w:p>
        </w:tc>
      </w:tr>
      <w:tr>
        <w:trPr>
          <w:trHeight w:val="270"/>
        </w:trPr>
        <w:tc>
          <w:tcPr>
            <w:tcW w:w="5980" w:type="dxa"/>
            <w:vAlign w:val="bottom"/>
          </w:tcPr>
          <w:p>
            <w:pPr>
              <w:spacing w:after="0"/>
              <w:rPr>
                <w:sz w:val="20"/>
                <w:szCs w:val="20"/>
                <w:color w:val="auto"/>
              </w:rPr>
            </w:pPr>
            <w:r>
              <w:rPr>
                <w:rFonts w:ascii="Arial" w:cs="Arial" w:eastAsia="Arial" w:hAnsi="Arial"/>
                <w:sz w:val="16"/>
                <w:szCs w:val="16"/>
                <w:color w:val="auto"/>
              </w:rPr>
              <w:t>Kaplan, Inc.</w:t>
            </w:r>
          </w:p>
        </w:tc>
        <w:tc>
          <w:tcPr>
            <w:tcW w:w="2720" w:type="dxa"/>
            <w:vAlign w:val="bottom"/>
          </w:tcPr>
          <w:p>
            <w:pPr>
              <w:ind w:left="680"/>
              <w:spacing w:after="0"/>
              <w:rPr>
                <w:sz w:val="20"/>
                <w:szCs w:val="20"/>
                <w:color w:val="auto"/>
              </w:rPr>
            </w:pPr>
            <w:r>
              <w:rPr>
                <w:rFonts w:ascii="Arial" w:cs="Arial" w:eastAsia="Arial" w:hAnsi="Arial"/>
                <w:sz w:val="16"/>
                <w:szCs w:val="16"/>
                <w:color w:val="auto"/>
              </w:rPr>
              <w:t>Delaware</w:t>
            </w:r>
          </w:p>
        </w:tc>
        <w:tc>
          <w:tcPr>
            <w:tcW w:w="1380" w:type="dxa"/>
            <w:vAlign w:val="bottom"/>
          </w:tcPr>
          <w:p>
            <w:pPr>
              <w:jc w:val="right"/>
              <w:spacing w:after="0"/>
              <w:rPr>
                <w:sz w:val="20"/>
                <w:szCs w:val="20"/>
                <w:color w:val="auto"/>
              </w:rPr>
            </w:pPr>
            <w:r>
              <w:rPr>
                <w:rFonts w:ascii="Arial" w:cs="Arial" w:eastAsia="Arial" w:hAnsi="Arial"/>
                <w:sz w:val="16"/>
                <w:szCs w:val="16"/>
                <w:color w:val="auto"/>
              </w:rPr>
              <w:t>99.44%</w:t>
            </w:r>
          </w:p>
        </w:tc>
        <w:tc>
          <w:tcPr>
            <w:tcW w:w="260" w:type="dxa"/>
            <w:vAlign w:val="bottom"/>
          </w:tcPr>
          <w:p>
            <w:pPr>
              <w:spacing w:after="0"/>
              <w:rPr>
                <w:sz w:val="23"/>
                <w:szCs w:val="23"/>
                <w:color w:val="auto"/>
              </w:rPr>
            </w:pPr>
          </w:p>
        </w:tc>
      </w:tr>
      <w:tr>
        <w:trPr>
          <w:trHeight w:val="270"/>
        </w:trPr>
        <w:tc>
          <w:tcPr>
            <w:tcW w:w="5980" w:type="dxa"/>
            <w:vAlign w:val="bottom"/>
          </w:tcPr>
          <w:p>
            <w:pPr>
              <w:ind w:left="180"/>
              <w:spacing w:after="0"/>
              <w:rPr>
                <w:sz w:val="20"/>
                <w:szCs w:val="20"/>
                <w:color w:val="auto"/>
              </w:rPr>
            </w:pPr>
            <w:r>
              <w:rPr>
                <w:rFonts w:ascii="Arial" w:cs="Arial" w:eastAsia="Arial" w:hAnsi="Arial"/>
                <w:sz w:val="16"/>
                <w:szCs w:val="16"/>
                <w:color w:val="auto"/>
              </w:rPr>
              <w:t>Kaplan Netherlands B.V.</w:t>
            </w:r>
          </w:p>
        </w:tc>
        <w:tc>
          <w:tcPr>
            <w:tcW w:w="2720" w:type="dxa"/>
            <w:vAlign w:val="bottom"/>
          </w:tcPr>
          <w:p>
            <w:pPr>
              <w:ind w:left="680"/>
              <w:spacing w:after="0"/>
              <w:rPr>
                <w:sz w:val="20"/>
                <w:szCs w:val="20"/>
                <w:color w:val="auto"/>
              </w:rPr>
            </w:pPr>
            <w:r>
              <w:rPr>
                <w:rFonts w:ascii="Arial" w:cs="Arial" w:eastAsia="Arial" w:hAnsi="Arial"/>
                <w:sz w:val="16"/>
                <w:szCs w:val="16"/>
                <w:color w:val="auto"/>
              </w:rPr>
              <w:t>The Netherlands</w:t>
            </w:r>
          </w:p>
        </w:tc>
        <w:tc>
          <w:tcPr>
            <w:tcW w:w="1380" w:type="dxa"/>
            <w:vAlign w:val="bottom"/>
          </w:tcPr>
          <w:p>
            <w:pPr>
              <w:jc w:val="right"/>
              <w:spacing w:after="0"/>
              <w:rPr>
                <w:sz w:val="20"/>
                <w:szCs w:val="20"/>
                <w:color w:val="auto"/>
              </w:rPr>
            </w:pPr>
            <w:r>
              <w:rPr>
                <w:rFonts w:ascii="Arial" w:cs="Arial" w:eastAsia="Arial" w:hAnsi="Arial"/>
                <w:sz w:val="16"/>
                <w:szCs w:val="16"/>
                <w:color w:val="auto"/>
              </w:rPr>
              <w:t>100%</w:t>
            </w:r>
          </w:p>
        </w:tc>
        <w:tc>
          <w:tcPr>
            <w:tcW w:w="260" w:type="dxa"/>
            <w:vAlign w:val="bottom"/>
          </w:tcPr>
          <w:p>
            <w:pPr>
              <w:spacing w:after="0"/>
              <w:rPr>
                <w:sz w:val="23"/>
                <w:szCs w:val="23"/>
                <w:color w:val="auto"/>
              </w:rPr>
            </w:pPr>
          </w:p>
        </w:tc>
      </w:tr>
      <w:tr>
        <w:trPr>
          <w:trHeight w:val="270"/>
        </w:trPr>
        <w:tc>
          <w:tcPr>
            <w:tcW w:w="5980" w:type="dxa"/>
            <w:vAlign w:val="bottom"/>
          </w:tcPr>
          <w:p>
            <w:pPr>
              <w:ind w:left="400"/>
              <w:spacing w:after="0"/>
              <w:rPr>
                <w:sz w:val="20"/>
                <w:szCs w:val="20"/>
                <w:color w:val="auto"/>
              </w:rPr>
            </w:pPr>
            <w:r>
              <w:rPr>
                <w:rFonts w:ascii="Arial" w:cs="Arial" w:eastAsia="Arial" w:hAnsi="Arial"/>
                <w:sz w:val="16"/>
                <w:szCs w:val="16"/>
                <w:color w:val="auto"/>
              </w:rPr>
              <w:t>Kaplan Holdings Limited</w:t>
            </w:r>
          </w:p>
        </w:tc>
        <w:tc>
          <w:tcPr>
            <w:tcW w:w="2720" w:type="dxa"/>
            <w:vAlign w:val="bottom"/>
          </w:tcPr>
          <w:p>
            <w:pPr>
              <w:ind w:left="680"/>
              <w:spacing w:after="0"/>
              <w:rPr>
                <w:sz w:val="20"/>
                <w:szCs w:val="20"/>
                <w:color w:val="auto"/>
              </w:rPr>
            </w:pPr>
            <w:r>
              <w:rPr>
                <w:rFonts w:ascii="Arial" w:cs="Arial" w:eastAsia="Arial" w:hAnsi="Arial"/>
                <w:sz w:val="16"/>
                <w:szCs w:val="16"/>
                <w:color w:val="auto"/>
              </w:rPr>
              <w:t>Hong Kong</w:t>
            </w:r>
          </w:p>
        </w:tc>
        <w:tc>
          <w:tcPr>
            <w:tcW w:w="1380" w:type="dxa"/>
            <w:vAlign w:val="bottom"/>
          </w:tcPr>
          <w:p>
            <w:pPr>
              <w:jc w:val="right"/>
              <w:spacing w:after="0"/>
              <w:rPr>
                <w:sz w:val="20"/>
                <w:szCs w:val="20"/>
                <w:color w:val="auto"/>
              </w:rPr>
            </w:pPr>
            <w:r>
              <w:rPr>
                <w:rFonts w:ascii="Arial" w:cs="Arial" w:eastAsia="Arial" w:hAnsi="Arial"/>
                <w:sz w:val="16"/>
                <w:szCs w:val="16"/>
                <w:color w:val="auto"/>
              </w:rPr>
              <w:t>100%</w:t>
            </w:r>
          </w:p>
        </w:tc>
        <w:tc>
          <w:tcPr>
            <w:tcW w:w="260" w:type="dxa"/>
            <w:vAlign w:val="bottom"/>
          </w:tcPr>
          <w:p>
            <w:pPr>
              <w:spacing w:after="0"/>
              <w:rPr>
                <w:sz w:val="23"/>
                <w:szCs w:val="23"/>
                <w:color w:val="auto"/>
              </w:rPr>
            </w:pPr>
          </w:p>
        </w:tc>
      </w:tr>
      <w:tr>
        <w:trPr>
          <w:trHeight w:val="270"/>
        </w:trPr>
        <w:tc>
          <w:tcPr>
            <w:tcW w:w="5980" w:type="dxa"/>
            <w:vAlign w:val="bottom"/>
          </w:tcPr>
          <w:p>
            <w:pPr>
              <w:ind w:left="640"/>
              <w:spacing w:after="0"/>
              <w:rPr>
                <w:sz w:val="20"/>
                <w:szCs w:val="20"/>
                <w:color w:val="auto"/>
              </w:rPr>
            </w:pPr>
            <w:r>
              <w:rPr>
                <w:rFonts w:ascii="Arial" w:cs="Arial" w:eastAsia="Arial" w:hAnsi="Arial"/>
                <w:sz w:val="16"/>
                <w:szCs w:val="16"/>
                <w:color w:val="auto"/>
              </w:rPr>
              <w:t>Kaplan Citic Education Co. Limited</w:t>
            </w:r>
          </w:p>
        </w:tc>
        <w:tc>
          <w:tcPr>
            <w:tcW w:w="2720" w:type="dxa"/>
            <w:vAlign w:val="bottom"/>
          </w:tcPr>
          <w:p>
            <w:pPr>
              <w:ind w:left="680"/>
              <w:spacing w:after="0"/>
              <w:rPr>
                <w:sz w:val="20"/>
                <w:szCs w:val="20"/>
                <w:color w:val="auto"/>
              </w:rPr>
            </w:pPr>
            <w:r>
              <w:rPr>
                <w:rFonts w:ascii="Arial" w:cs="Arial" w:eastAsia="Arial" w:hAnsi="Arial"/>
                <w:sz w:val="16"/>
                <w:szCs w:val="16"/>
                <w:color w:val="auto"/>
              </w:rPr>
              <w:t>China (PR)</w:t>
            </w:r>
          </w:p>
        </w:tc>
        <w:tc>
          <w:tcPr>
            <w:tcW w:w="1380" w:type="dxa"/>
            <w:vAlign w:val="bottom"/>
          </w:tcPr>
          <w:p>
            <w:pPr>
              <w:jc w:val="right"/>
              <w:spacing w:after="0"/>
              <w:rPr>
                <w:sz w:val="20"/>
                <w:szCs w:val="20"/>
                <w:color w:val="auto"/>
              </w:rPr>
            </w:pPr>
            <w:r>
              <w:rPr>
                <w:rFonts w:ascii="Arial" w:cs="Arial" w:eastAsia="Arial" w:hAnsi="Arial"/>
                <w:sz w:val="16"/>
                <w:szCs w:val="16"/>
                <w:color w:val="auto"/>
              </w:rPr>
              <w:t>49%</w:t>
            </w:r>
          </w:p>
        </w:tc>
        <w:tc>
          <w:tcPr>
            <w:tcW w:w="260" w:type="dxa"/>
            <w:vAlign w:val="bottom"/>
          </w:tcPr>
          <w:p>
            <w:pPr>
              <w:spacing w:after="0"/>
              <w:rPr>
                <w:sz w:val="23"/>
                <w:szCs w:val="23"/>
                <w:color w:val="auto"/>
              </w:rPr>
            </w:pPr>
          </w:p>
        </w:tc>
      </w:tr>
      <w:tr>
        <w:trPr>
          <w:trHeight w:val="270"/>
        </w:trPr>
        <w:tc>
          <w:tcPr>
            <w:tcW w:w="5980" w:type="dxa"/>
            <w:vAlign w:val="bottom"/>
          </w:tcPr>
          <w:p>
            <w:pPr>
              <w:ind w:left="640"/>
              <w:spacing w:after="0"/>
              <w:rPr>
                <w:sz w:val="20"/>
                <w:szCs w:val="20"/>
                <w:color w:val="auto"/>
              </w:rPr>
            </w:pPr>
            <w:r>
              <w:rPr>
                <w:rFonts w:ascii="Arial" w:cs="Arial" w:eastAsia="Arial" w:hAnsi="Arial"/>
                <w:sz w:val="16"/>
                <w:szCs w:val="16"/>
                <w:color w:val="auto"/>
              </w:rPr>
              <w:t>Kaplan Financial (HK) Limited</w:t>
            </w:r>
          </w:p>
        </w:tc>
        <w:tc>
          <w:tcPr>
            <w:tcW w:w="2720" w:type="dxa"/>
            <w:vAlign w:val="bottom"/>
          </w:tcPr>
          <w:p>
            <w:pPr>
              <w:ind w:left="680"/>
              <w:spacing w:after="0"/>
              <w:rPr>
                <w:sz w:val="20"/>
                <w:szCs w:val="20"/>
                <w:color w:val="auto"/>
              </w:rPr>
            </w:pPr>
            <w:r>
              <w:rPr>
                <w:rFonts w:ascii="Arial" w:cs="Arial" w:eastAsia="Arial" w:hAnsi="Arial"/>
                <w:sz w:val="16"/>
                <w:szCs w:val="16"/>
                <w:color w:val="auto"/>
              </w:rPr>
              <w:t>Hong Kong</w:t>
            </w:r>
          </w:p>
        </w:tc>
        <w:tc>
          <w:tcPr>
            <w:tcW w:w="1380" w:type="dxa"/>
            <w:vAlign w:val="bottom"/>
          </w:tcPr>
          <w:p>
            <w:pPr>
              <w:jc w:val="right"/>
              <w:spacing w:after="0"/>
              <w:rPr>
                <w:sz w:val="20"/>
                <w:szCs w:val="20"/>
                <w:color w:val="auto"/>
              </w:rPr>
            </w:pPr>
            <w:r>
              <w:rPr>
                <w:rFonts w:ascii="Arial" w:cs="Arial" w:eastAsia="Arial" w:hAnsi="Arial"/>
                <w:sz w:val="16"/>
                <w:szCs w:val="16"/>
                <w:color w:val="auto"/>
              </w:rPr>
              <w:t>100%</w:t>
            </w:r>
          </w:p>
        </w:tc>
        <w:tc>
          <w:tcPr>
            <w:tcW w:w="260" w:type="dxa"/>
            <w:vAlign w:val="bottom"/>
          </w:tcPr>
          <w:p>
            <w:pPr>
              <w:spacing w:after="0"/>
              <w:rPr>
                <w:sz w:val="23"/>
                <w:szCs w:val="23"/>
                <w:color w:val="auto"/>
              </w:rPr>
            </w:pPr>
          </w:p>
        </w:tc>
      </w:tr>
      <w:tr>
        <w:trPr>
          <w:trHeight w:val="270"/>
        </w:trPr>
        <w:tc>
          <w:tcPr>
            <w:tcW w:w="5980" w:type="dxa"/>
            <w:vAlign w:val="bottom"/>
          </w:tcPr>
          <w:p>
            <w:pPr>
              <w:ind w:left="820"/>
              <w:spacing w:after="0"/>
              <w:rPr>
                <w:sz w:val="20"/>
                <w:szCs w:val="20"/>
                <w:color w:val="auto"/>
              </w:rPr>
            </w:pPr>
            <w:r>
              <w:rPr>
                <w:rFonts w:ascii="Arial" w:cs="Arial" w:eastAsia="Arial" w:hAnsi="Arial"/>
                <w:sz w:val="16"/>
                <w:szCs w:val="16"/>
                <w:color w:val="auto"/>
              </w:rPr>
              <w:t>Kaplan Language Training (HK) Limited</w:t>
            </w:r>
          </w:p>
        </w:tc>
        <w:tc>
          <w:tcPr>
            <w:tcW w:w="2720" w:type="dxa"/>
            <w:vAlign w:val="bottom"/>
          </w:tcPr>
          <w:p>
            <w:pPr>
              <w:ind w:left="680"/>
              <w:spacing w:after="0"/>
              <w:rPr>
                <w:sz w:val="20"/>
                <w:szCs w:val="20"/>
                <w:color w:val="auto"/>
              </w:rPr>
            </w:pPr>
            <w:r>
              <w:rPr>
                <w:rFonts w:ascii="Arial" w:cs="Arial" w:eastAsia="Arial" w:hAnsi="Arial"/>
                <w:sz w:val="16"/>
                <w:szCs w:val="16"/>
                <w:color w:val="auto"/>
              </w:rPr>
              <w:t>Hong Kong</w:t>
            </w:r>
          </w:p>
        </w:tc>
        <w:tc>
          <w:tcPr>
            <w:tcW w:w="1380" w:type="dxa"/>
            <w:vAlign w:val="bottom"/>
          </w:tcPr>
          <w:p>
            <w:pPr>
              <w:jc w:val="right"/>
              <w:spacing w:after="0"/>
              <w:rPr>
                <w:sz w:val="20"/>
                <w:szCs w:val="20"/>
                <w:color w:val="auto"/>
              </w:rPr>
            </w:pPr>
            <w:r>
              <w:rPr>
                <w:rFonts w:ascii="Arial" w:cs="Arial" w:eastAsia="Arial" w:hAnsi="Arial"/>
                <w:sz w:val="16"/>
                <w:szCs w:val="16"/>
                <w:color w:val="auto"/>
              </w:rPr>
              <w:t>100%</w:t>
            </w:r>
          </w:p>
        </w:tc>
        <w:tc>
          <w:tcPr>
            <w:tcW w:w="260" w:type="dxa"/>
            <w:vAlign w:val="bottom"/>
          </w:tcPr>
          <w:p>
            <w:pPr>
              <w:spacing w:after="0"/>
              <w:rPr>
                <w:sz w:val="23"/>
                <w:szCs w:val="23"/>
                <w:color w:val="auto"/>
              </w:rPr>
            </w:pPr>
          </w:p>
        </w:tc>
      </w:tr>
      <w:tr>
        <w:trPr>
          <w:trHeight w:val="270"/>
        </w:trPr>
        <w:tc>
          <w:tcPr>
            <w:tcW w:w="5980" w:type="dxa"/>
            <w:vAlign w:val="bottom"/>
          </w:tcPr>
          <w:p>
            <w:pPr>
              <w:ind w:left="640"/>
              <w:spacing w:after="0"/>
              <w:rPr>
                <w:sz w:val="20"/>
                <w:szCs w:val="20"/>
                <w:color w:val="auto"/>
              </w:rPr>
            </w:pPr>
            <w:r>
              <w:rPr>
                <w:rFonts w:ascii="Arial" w:cs="Arial" w:eastAsia="Arial" w:hAnsi="Arial"/>
                <w:sz w:val="16"/>
                <w:szCs w:val="16"/>
                <w:color w:val="auto"/>
              </w:rPr>
              <w:t>Kaplan Institute Limited</w:t>
            </w:r>
          </w:p>
        </w:tc>
        <w:tc>
          <w:tcPr>
            <w:tcW w:w="2720" w:type="dxa"/>
            <w:vAlign w:val="bottom"/>
          </w:tcPr>
          <w:p>
            <w:pPr>
              <w:ind w:left="680"/>
              <w:spacing w:after="0"/>
              <w:rPr>
                <w:sz w:val="20"/>
                <w:szCs w:val="20"/>
                <w:color w:val="auto"/>
              </w:rPr>
            </w:pPr>
            <w:r>
              <w:rPr>
                <w:rFonts w:ascii="Arial" w:cs="Arial" w:eastAsia="Arial" w:hAnsi="Arial"/>
                <w:sz w:val="16"/>
                <w:szCs w:val="16"/>
                <w:color w:val="auto"/>
              </w:rPr>
              <w:t>Hong Kong</w:t>
            </w:r>
          </w:p>
        </w:tc>
        <w:tc>
          <w:tcPr>
            <w:tcW w:w="1380" w:type="dxa"/>
            <w:vAlign w:val="bottom"/>
          </w:tcPr>
          <w:p>
            <w:pPr>
              <w:jc w:val="right"/>
              <w:spacing w:after="0"/>
              <w:rPr>
                <w:sz w:val="20"/>
                <w:szCs w:val="20"/>
                <w:color w:val="auto"/>
              </w:rPr>
            </w:pPr>
            <w:r>
              <w:rPr>
                <w:rFonts w:ascii="Arial" w:cs="Arial" w:eastAsia="Arial" w:hAnsi="Arial"/>
                <w:sz w:val="16"/>
                <w:szCs w:val="16"/>
                <w:color w:val="auto"/>
              </w:rPr>
              <w:t>100%</w:t>
            </w:r>
          </w:p>
        </w:tc>
        <w:tc>
          <w:tcPr>
            <w:tcW w:w="260" w:type="dxa"/>
            <w:vAlign w:val="bottom"/>
          </w:tcPr>
          <w:p>
            <w:pPr>
              <w:spacing w:after="0"/>
              <w:rPr>
                <w:sz w:val="23"/>
                <w:szCs w:val="23"/>
                <w:color w:val="auto"/>
              </w:rPr>
            </w:pPr>
          </w:p>
        </w:tc>
      </w:tr>
      <w:tr>
        <w:trPr>
          <w:trHeight w:val="270"/>
        </w:trPr>
        <w:tc>
          <w:tcPr>
            <w:tcW w:w="5980" w:type="dxa"/>
            <w:vAlign w:val="bottom"/>
          </w:tcPr>
          <w:p>
            <w:pPr>
              <w:ind w:left="640"/>
              <w:spacing w:after="0"/>
              <w:rPr>
                <w:sz w:val="20"/>
                <w:szCs w:val="20"/>
                <w:color w:val="auto"/>
              </w:rPr>
            </w:pPr>
            <w:r>
              <w:rPr>
                <w:rFonts w:ascii="Arial" w:cs="Arial" w:eastAsia="Arial" w:hAnsi="Arial"/>
                <w:sz w:val="16"/>
                <w:szCs w:val="16"/>
                <w:color w:val="auto"/>
              </w:rPr>
              <w:t>Shanghai Kaplan Education Investment Consulting Co. Ltd.</w:t>
            </w:r>
          </w:p>
        </w:tc>
        <w:tc>
          <w:tcPr>
            <w:tcW w:w="2720" w:type="dxa"/>
            <w:vAlign w:val="bottom"/>
          </w:tcPr>
          <w:p>
            <w:pPr>
              <w:ind w:left="680"/>
              <w:spacing w:after="0"/>
              <w:rPr>
                <w:sz w:val="20"/>
                <w:szCs w:val="20"/>
                <w:color w:val="auto"/>
              </w:rPr>
            </w:pPr>
            <w:r>
              <w:rPr>
                <w:rFonts w:ascii="Arial" w:cs="Arial" w:eastAsia="Arial" w:hAnsi="Arial"/>
                <w:sz w:val="16"/>
                <w:szCs w:val="16"/>
                <w:color w:val="auto"/>
              </w:rPr>
              <w:t>China (PR)</w:t>
            </w:r>
          </w:p>
        </w:tc>
        <w:tc>
          <w:tcPr>
            <w:tcW w:w="1380" w:type="dxa"/>
            <w:vAlign w:val="bottom"/>
          </w:tcPr>
          <w:p>
            <w:pPr>
              <w:jc w:val="right"/>
              <w:spacing w:after="0"/>
              <w:rPr>
                <w:sz w:val="20"/>
                <w:szCs w:val="20"/>
                <w:color w:val="auto"/>
              </w:rPr>
            </w:pPr>
            <w:r>
              <w:rPr>
                <w:rFonts w:ascii="Arial" w:cs="Arial" w:eastAsia="Arial" w:hAnsi="Arial"/>
                <w:sz w:val="16"/>
                <w:szCs w:val="16"/>
                <w:color w:val="auto"/>
              </w:rPr>
              <w:t>100%</w:t>
            </w:r>
          </w:p>
        </w:tc>
        <w:tc>
          <w:tcPr>
            <w:tcW w:w="260" w:type="dxa"/>
            <w:vAlign w:val="bottom"/>
          </w:tcPr>
          <w:p>
            <w:pPr>
              <w:spacing w:after="0"/>
              <w:rPr>
                <w:sz w:val="23"/>
                <w:szCs w:val="23"/>
                <w:color w:val="auto"/>
              </w:rPr>
            </w:pPr>
          </w:p>
        </w:tc>
      </w:tr>
      <w:tr>
        <w:trPr>
          <w:trHeight w:val="270"/>
        </w:trPr>
        <w:tc>
          <w:tcPr>
            <w:tcW w:w="5980" w:type="dxa"/>
            <w:vAlign w:val="bottom"/>
          </w:tcPr>
          <w:p>
            <w:pPr>
              <w:ind w:left="400"/>
              <w:spacing w:after="0"/>
              <w:rPr>
                <w:sz w:val="20"/>
                <w:szCs w:val="20"/>
                <w:color w:val="auto"/>
              </w:rPr>
            </w:pPr>
            <w:r>
              <w:rPr>
                <w:rFonts w:ascii="Arial" w:cs="Arial" w:eastAsia="Arial" w:hAnsi="Arial"/>
                <w:sz w:val="16"/>
                <w:szCs w:val="16"/>
                <w:color w:val="auto"/>
              </w:rPr>
              <w:t>Kaplan Singapore Pte. Ltd.</w:t>
            </w:r>
          </w:p>
        </w:tc>
        <w:tc>
          <w:tcPr>
            <w:tcW w:w="2720" w:type="dxa"/>
            <w:vAlign w:val="bottom"/>
          </w:tcPr>
          <w:p>
            <w:pPr>
              <w:ind w:left="680"/>
              <w:spacing w:after="0"/>
              <w:rPr>
                <w:sz w:val="20"/>
                <w:szCs w:val="20"/>
                <w:color w:val="auto"/>
              </w:rPr>
            </w:pPr>
            <w:r>
              <w:rPr>
                <w:rFonts w:ascii="Arial" w:cs="Arial" w:eastAsia="Arial" w:hAnsi="Arial"/>
                <w:sz w:val="16"/>
                <w:szCs w:val="16"/>
                <w:color w:val="auto"/>
              </w:rPr>
              <w:t>Singapore</w:t>
            </w:r>
          </w:p>
        </w:tc>
        <w:tc>
          <w:tcPr>
            <w:tcW w:w="1380" w:type="dxa"/>
            <w:vAlign w:val="bottom"/>
          </w:tcPr>
          <w:p>
            <w:pPr>
              <w:jc w:val="right"/>
              <w:spacing w:after="0"/>
              <w:rPr>
                <w:sz w:val="20"/>
                <w:szCs w:val="20"/>
                <w:color w:val="auto"/>
              </w:rPr>
            </w:pPr>
            <w:r>
              <w:rPr>
                <w:rFonts w:ascii="Arial" w:cs="Arial" w:eastAsia="Arial" w:hAnsi="Arial"/>
                <w:sz w:val="16"/>
                <w:szCs w:val="16"/>
                <w:color w:val="auto"/>
              </w:rPr>
              <w:t>100%</w:t>
            </w:r>
          </w:p>
        </w:tc>
        <w:tc>
          <w:tcPr>
            <w:tcW w:w="260" w:type="dxa"/>
            <w:vAlign w:val="bottom"/>
          </w:tcPr>
          <w:p>
            <w:pPr>
              <w:spacing w:after="0"/>
              <w:rPr>
                <w:sz w:val="23"/>
                <w:szCs w:val="23"/>
                <w:color w:val="auto"/>
              </w:rPr>
            </w:pPr>
          </w:p>
        </w:tc>
      </w:tr>
      <w:tr>
        <w:trPr>
          <w:trHeight w:val="270"/>
        </w:trPr>
        <w:tc>
          <w:tcPr>
            <w:tcW w:w="5980" w:type="dxa"/>
            <w:vAlign w:val="bottom"/>
          </w:tcPr>
          <w:p>
            <w:pPr>
              <w:ind w:left="640"/>
              <w:spacing w:after="0"/>
              <w:rPr>
                <w:sz w:val="20"/>
                <w:szCs w:val="20"/>
                <w:color w:val="auto"/>
              </w:rPr>
            </w:pPr>
            <w:r>
              <w:rPr>
                <w:rFonts w:ascii="Arial" w:cs="Arial" w:eastAsia="Arial" w:hAnsi="Arial"/>
                <w:sz w:val="16"/>
                <w:szCs w:val="16"/>
                <w:color w:val="auto"/>
              </w:rPr>
              <w:t>Kaplan Learning Institute Pte. Ltd</w:t>
            </w:r>
          </w:p>
        </w:tc>
        <w:tc>
          <w:tcPr>
            <w:tcW w:w="2720" w:type="dxa"/>
            <w:vAlign w:val="bottom"/>
          </w:tcPr>
          <w:p>
            <w:pPr>
              <w:ind w:left="680"/>
              <w:spacing w:after="0"/>
              <w:rPr>
                <w:sz w:val="20"/>
                <w:szCs w:val="20"/>
                <w:color w:val="auto"/>
              </w:rPr>
            </w:pPr>
            <w:r>
              <w:rPr>
                <w:rFonts w:ascii="Arial" w:cs="Arial" w:eastAsia="Arial" w:hAnsi="Arial"/>
                <w:sz w:val="16"/>
                <w:szCs w:val="16"/>
                <w:color w:val="auto"/>
              </w:rPr>
              <w:t>Singapore</w:t>
            </w:r>
          </w:p>
        </w:tc>
        <w:tc>
          <w:tcPr>
            <w:tcW w:w="1380" w:type="dxa"/>
            <w:vAlign w:val="bottom"/>
          </w:tcPr>
          <w:p>
            <w:pPr>
              <w:jc w:val="right"/>
              <w:spacing w:after="0"/>
              <w:rPr>
                <w:sz w:val="20"/>
                <w:szCs w:val="20"/>
                <w:color w:val="auto"/>
              </w:rPr>
            </w:pPr>
            <w:r>
              <w:rPr>
                <w:rFonts w:ascii="Arial" w:cs="Arial" w:eastAsia="Arial" w:hAnsi="Arial"/>
                <w:sz w:val="16"/>
                <w:szCs w:val="16"/>
                <w:color w:val="auto"/>
              </w:rPr>
              <w:t>100%</w:t>
            </w:r>
          </w:p>
        </w:tc>
        <w:tc>
          <w:tcPr>
            <w:tcW w:w="260" w:type="dxa"/>
            <w:vAlign w:val="bottom"/>
          </w:tcPr>
          <w:p>
            <w:pPr>
              <w:spacing w:after="0"/>
              <w:rPr>
                <w:sz w:val="23"/>
                <w:szCs w:val="23"/>
                <w:color w:val="auto"/>
              </w:rPr>
            </w:pPr>
          </w:p>
        </w:tc>
      </w:tr>
      <w:tr>
        <w:trPr>
          <w:trHeight w:val="270"/>
        </w:trPr>
        <w:tc>
          <w:tcPr>
            <w:tcW w:w="5980" w:type="dxa"/>
            <w:vAlign w:val="bottom"/>
          </w:tcPr>
          <w:p>
            <w:pPr>
              <w:ind w:left="640"/>
              <w:spacing w:after="0"/>
              <w:rPr>
                <w:sz w:val="20"/>
                <w:szCs w:val="20"/>
                <w:color w:val="auto"/>
              </w:rPr>
            </w:pPr>
            <w:r>
              <w:rPr>
                <w:rFonts w:ascii="Arial" w:cs="Arial" w:eastAsia="Arial" w:hAnsi="Arial"/>
                <w:sz w:val="16"/>
                <w:szCs w:val="16"/>
                <w:color w:val="auto"/>
              </w:rPr>
              <w:t>Kaplan Higher Education Institute Pte. Ltd</w:t>
            </w:r>
          </w:p>
        </w:tc>
        <w:tc>
          <w:tcPr>
            <w:tcW w:w="2720" w:type="dxa"/>
            <w:vAlign w:val="bottom"/>
          </w:tcPr>
          <w:p>
            <w:pPr>
              <w:ind w:left="680"/>
              <w:spacing w:after="0"/>
              <w:rPr>
                <w:sz w:val="20"/>
                <w:szCs w:val="20"/>
                <w:color w:val="auto"/>
              </w:rPr>
            </w:pPr>
            <w:r>
              <w:rPr>
                <w:rFonts w:ascii="Arial" w:cs="Arial" w:eastAsia="Arial" w:hAnsi="Arial"/>
                <w:sz w:val="16"/>
                <w:szCs w:val="16"/>
                <w:color w:val="auto"/>
              </w:rPr>
              <w:t>Singapore</w:t>
            </w:r>
          </w:p>
        </w:tc>
        <w:tc>
          <w:tcPr>
            <w:tcW w:w="1380" w:type="dxa"/>
            <w:vAlign w:val="bottom"/>
          </w:tcPr>
          <w:p>
            <w:pPr>
              <w:jc w:val="right"/>
              <w:spacing w:after="0"/>
              <w:rPr>
                <w:sz w:val="20"/>
                <w:szCs w:val="20"/>
                <w:color w:val="auto"/>
              </w:rPr>
            </w:pPr>
            <w:r>
              <w:rPr>
                <w:rFonts w:ascii="Arial" w:cs="Arial" w:eastAsia="Arial" w:hAnsi="Arial"/>
                <w:sz w:val="16"/>
                <w:szCs w:val="16"/>
                <w:color w:val="auto"/>
              </w:rPr>
              <w:t>100%</w:t>
            </w:r>
          </w:p>
        </w:tc>
        <w:tc>
          <w:tcPr>
            <w:tcW w:w="260" w:type="dxa"/>
            <w:vAlign w:val="bottom"/>
          </w:tcPr>
          <w:p>
            <w:pPr>
              <w:spacing w:after="0"/>
              <w:rPr>
                <w:sz w:val="23"/>
                <w:szCs w:val="23"/>
                <w:color w:val="auto"/>
              </w:rPr>
            </w:pPr>
          </w:p>
        </w:tc>
      </w:tr>
      <w:tr>
        <w:trPr>
          <w:trHeight w:val="270"/>
        </w:trPr>
        <w:tc>
          <w:tcPr>
            <w:tcW w:w="5980" w:type="dxa"/>
            <w:vAlign w:val="bottom"/>
          </w:tcPr>
          <w:p>
            <w:pPr>
              <w:ind w:left="640"/>
              <w:spacing w:after="0"/>
              <w:rPr>
                <w:sz w:val="20"/>
                <w:szCs w:val="20"/>
                <w:color w:val="auto"/>
              </w:rPr>
            </w:pPr>
            <w:r>
              <w:rPr>
                <w:rFonts w:ascii="Arial" w:cs="Arial" w:eastAsia="Arial" w:hAnsi="Arial"/>
                <w:sz w:val="16"/>
                <w:szCs w:val="16"/>
                <w:color w:val="auto"/>
              </w:rPr>
              <w:t>Kaplan Higher Education (HK) Limited</w:t>
            </w:r>
          </w:p>
        </w:tc>
        <w:tc>
          <w:tcPr>
            <w:tcW w:w="2720" w:type="dxa"/>
            <w:vAlign w:val="bottom"/>
          </w:tcPr>
          <w:p>
            <w:pPr>
              <w:ind w:left="680"/>
              <w:spacing w:after="0"/>
              <w:rPr>
                <w:sz w:val="20"/>
                <w:szCs w:val="20"/>
                <w:color w:val="auto"/>
              </w:rPr>
            </w:pPr>
            <w:r>
              <w:rPr>
                <w:rFonts w:ascii="Arial" w:cs="Arial" w:eastAsia="Arial" w:hAnsi="Arial"/>
                <w:sz w:val="16"/>
                <w:szCs w:val="16"/>
                <w:color w:val="auto"/>
              </w:rPr>
              <w:t>Hong Kong</w:t>
            </w:r>
          </w:p>
        </w:tc>
        <w:tc>
          <w:tcPr>
            <w:tcW w:w="1380" w:type="dxa"/>
            <w:vAlign w:val="bottom"/>
          </w:tcPr>
          <w:p>
            <w:pPr>
              <w:jc w:val="right"/>
              <w:spacing w:after="0"/>
              <w:rPr>
                <w:sz w:val="20"/>
                <w:szCs w:val="20"/>
                <w:color w:val="auto"/>
              </w:rPr>
            </w:pPr>
            <w:r>
              <w:rPr>
                <w:rFonts w:ascii="Arial" w:cs="Arial" w:eastAsia="Arial" w:hAnsi="Arial"/>
                <w:sz w:val="16"/>
                <w:szCs w:val="16"/>
                <w:color w:val="auto"/>
              </w:rPr>
              <w:t>100%</w:t>
            </w:r>
          </w:p>
        </w:tc>
        <w:tc>
          <w:tcPr>
            <w:tcW w:w="260" w:type="dxa"/>
            <w:vAlign w:val="bottom"/>
          </w:tcPr>
          <w:p>
            <w:pPr>
              <w:spacing w:after="0"/>
              <w:rPr>
                <w:sz w:val="23"/>
                <w:szCs w:val="23"/>
                <w:color w:val="auto"/>
              </w:rPr>
            </w:pPr>
          </w:p>
        </w:tc>
      </w:tr>
      <w:tr>
        <w:trPr>
          <w:trHeight w:val="270"/>
        </w:trPr>
        <w:tc>
          <w:tcPr>
            <w:tcW w:w="5980" w:type="dxa"/>
            <w:vAlign w:val="bottom"/>
          </w:tcPr>
          <w:p>
            <w:pPr>
              <w:ind w:left="640"/>
              <w:spacing w:after="0"/>
              <w:rPr>
                <w:sz w:val="20"/>
                <w:szCs w:val="20"/>
                <w:color w:val="auto"/>
              </w:rPr>
            </w:pPr>
            <w:r>
              <w:rPr>
                <w:rFonts w:ascii="Arial" w:cs="Arial" w:eastAsia="Arial" w:hAnsi="Arial"/>
                <w:sz w:val="16"/>
                <w:szCs w:val="16"/>
                <w:color w:val="auto"/>
              </w:rPr>
              <w:t>Kaplan Higher Education Academy Pte. Ltd.</w:t>
            </w:r>
          </w:p>
        </w:tc>
        <w:tc>
          <w:tcPr>
            <w:tcW w:w="2720" w:type="dxa"/>
            <w:vAlign w:val="bottom"/>
          </w:tcPr>
          <w:p>
            <w:pPr>
              <w:ind w:left="680"/>
              <w:spacing w:after="0"/>
              <w:rPr>
                <w:sz w:val="20"/>
                <w:szCs w:val="20"/>
                <w:color w:val="auto"/>
              </w:rPr>
            </w:pPr>
            <w:r>
              <w:rPr>
                <w:rFonts w:ascii="Arial" w:cs="Arial" w:eastAsia="Arial" w:hAnsi="Arial"/>
                <w:sz w:val="16"/>
                <w:szCs w:val="16"/>
                <w:color w:val="auto"/>
              </w:rPr>
              <w:t>Singapore</w:t>
            </w:r>
          </w:p>
        </w:tc>
        <w:tc>
          <w:tcPr>
            <w:tcW w:w="1380" w:type="dxa"/>
            <w:vAlign w:val="bottom"/>
          </w:tcPr>
          <w:p>
            <w:pPr>
              <w:jc w:val="right"/>
              <w:spacing w:after="0"/>
              <w:rPr>
                <w:sz w:val="20"/>
                <w:szCs w:val="20"/>
                <w:color w:val="auto"/>
              </w:rPr>
            </w:pPr>
            <w:r>
              <w:rPr>
                <w:rFonts w:ascii="Arial" w:cs="Arial" w:eastAsia="Arial" w:hAnsi="Arial"/>
                <w:sz w:val="16"/>
                <w:szCs w:val="16"/>
                <w:color w:val="auto"/>
              </w:rPr>
              <w:t>100%</w:t>
            </w:r>
          </w:p>
        </w:tc>
        <w:tc>
          <w:tcPr>
            <w:tcW w:w="260" w:type="dxa"/>
            <w:vAlign w:val="bottom"/>
          </w:tcPr>
          <w:p>
            <w:pPr>
              <w:spacing w:after="0"/>
              <w:rPr>
                <w:sz w:val="23"/>
                <w:szCs w:val="23"/>
                <w:color w:val="auto"/>
              </w:rPr>
            </w:pPr>
          </w:p>
        </w:tc>
      </w:tr>
      <w:tr>
        <w:trPr>
          <w:trHeight w:val="270"/>
        </w:trPr>
        <w:tc>
          <w:tcPr>
            <w:tcW w:w="5980" w:type="dxa"/>
            <w:vAlign w:val="bottom"/>
          </w:tcPr>
          <w:p>
            <w:pPr>
              <w:ind w:left="640"/>
              <w:spacing w:after="0"/>
              <w:rPr>
                <w:sz w:val="20"/>
                <w:szCs w:val="20"/>
                <w:color w:val="auto"/>
              </w:rPr>
            </w:pPr>
            <w:r>
              <w:rPr>
                <w:rFonts w:ascii="Arial" w:cs="Arial" w:eastAsia="Arial" w:hAnsi="Arial"/>
                <w:sz w:val="16"/>
                <w:szCs w:val="16"/>
                <w:color w:val="auto"/>
              </w:rPr>
              <w:t>Lotus Advertising Pte. Ltd</w:t>
            </w:r>
          </w:p>
        </w:tc>
        <w:tc>
          <w:tcPr>
            <w:tcW w:w="2720" w:type="dxa"/>
            <w:vAlign w:val="bottom"/>
          </w:tcPr>
          <w:p>
            <w:pPr>
              <w:ind w:left="680"/>
              <w:spacing w:after="0"/>
              <w:rPr>
                <w:sz w:val="20"/>
                <w:szCs w:val="20"/>
                <w:color w:val="auto"/>
              </w:rPr>
            </w:pPr>
            <w:r>
              <w:rPr>
                <w:rFonts w:ascii="Arial" w:cs="Arial" w:eastAsia="Arial" w:hAnsi="Arial"/>
                <w:sz w:val="16"/>
                <w:szCs w:val="16"/>
                <w:color w:val="auto"/>
              </w:rPr>
              <w:t>Singapore</w:t>
            </w:r>
          </w:p>
        </w:tc>
        <w:tc>
          <w:tcPr>
            <w:tcW w:w="1380" w:type="dxa"/>
            <w:vAlign w:val="bottom"/>
          </w:tcPr>
          <w:p>
            <w:pPr>
              <w:jc w:val="right"/>
              <w:spacing w:after="0"/>
              <w:rPr>
                <w:sz w:val="20"/>
                <w:szCs w:val="20"/>
                <w:color w:val="auto"/>
              </w:rPr>
            </w:pPr>
            <w:r>
              <w:rPr>
                <w:rFonts w:ascii="Arial" w:cs="Arial" w:eastAsia="Arial" w:hAnsi="Arial"/>
                <w:sz w:val="16"/>
                <w:szCs w:val="16"/>
                <w:color w:val="auto"/>
              </w:rPr>
              <w:t>100%</w:t>
            </w:r>
          </w:p>
        </w:tc>
        <w:tc>
          <w:tcPr>
            <w:tcW w:w="260" w:type="dxa"/>
            <w:vAlign w:val="bottom"/>
          </w:tcPr>
          <w:p>
            <w:pPr>
              <w:spacing w:after="0"/>
              <w:rPr>
                <w:sz w:val="23"/>
                <w:szCs w:val="23"/>
                <w:color w:val="auto"/>
              </w:rPr>
            </w:pPr>
          </w:p>
        </w:tc>
      </w:tr>
      <w:tr>
        <w:trPr>
          <w:trHeight w:val="270"/>
        </w:trPr>
        <w:tc>
          <w:tcPr>
            <w:tcW w:w="5980" w:type="dxa"/>
            <w:vAlign w:val="bottom"/>
          </w:tcPr>
          <w:p>
            <w:pPr>
              <w:ind w:left="400"/>
              <w:spacing w:after="0"/>
              <w:rPr>
                <w:sz w:val="20"/>
                <w:szCs w:val="20"/>
                <w:color w:val="auto"/>
              </w:rPr>
            </w:pPr>
            <w:r>
              <w:rPr>
                <w:rFonts w:ascii="Arial" w:cs="Arial" w:eastAsia="Arial" w:hAnsi="Arial"/>
                <w:sz w:val="16"/>
                <w:szCs w:val="16"/>
                <w:color w:val="auto"/>
              </w:rPr>
              <w:t>The Financial Training (Shanghai) Co., Ltd.</w:t>
            </w:r>
          </w:p>
        </w:tc>
        <w:tc>
          <w:tcPr>
            <w:tcW w:w="2720" w:type="dxa"/>
            <w:vAlign w:val="bottom"/>
          </w:tcPr>
          <w:p>
            <w:pPr>
              <w:ind w:left="680"/>
              <w:spacing w:after="0"/>
              <w:rPr>
                <w:sz w:val="20"/>
                <w:szCs w:val="20"/>
                <w:color w:val="auto"/>
              </w:rPr>
            </w:pPr>
            <w:r>
              <w:rPr>
                <w:rFonts w:ascii="Arial" w:cs="Arial" w:eastAsia="Arial" w:hAnsi="Arial"/>
                <w:sz w:val="16"/>
                <w:szCs w:val="16"/>
                <w:color w:val="auto"/>
              </w:rPr>
              <w:t>China (PR)</w:t>
            </w:r>
          </w:p>
        </w:tc>
        <w:tc>
          <w:tcPr>
            <w:tcW w:w="1380" w:type="dxa"/>
            <w:vAlign w:val="bottom"/>
          </w:tcPr>
          <w:p>
            <w:pPr>
              <w:jc w:val="right"/>
              <w:spacing w:after="0"/>
              <w:rPr>
                <w:sz w:val="20"/>
                <w:szCs w:val="20"/>
                <w:color w:val="auto"/>
              </w:rPr>
            </w:pPr>
            <w:r>
              <w:rPr>
                <w:rFonts w:ascii="Arial" w:cs="Arial" w:eastAsia="Arial" w:hAnsi="Arial"/>
                <w:sz w:val="16"/>
                <w:szCs w:val="16"/>
                <w:color w:val="auto"/>
              </w:rPr>
              <w:t>100%</w:t>
            </w:r>
          </w:p>
        </w:tc>
        <w:tc>
          <w:tcPr>
            <w:tcW w:w="260" w:type="dxa"/>
            <w:vAlign w:val="bottom"/>
          </w:tcPr>
          <w:p>
            <w:pPr>
              <w:spacing w:after="0"/>
              <w:rPr>
                <w:sz w:val="23"/>
                <w:szCs w:val="23"/>
                <w:color w:val="auto"/>
              </w:rPr>
            </w:pPr>
          </w:p>
        </w:tc>
      </w:tr>
      <w:tr>
        <w:trPr>
          <w:trHeight w:val="290"/>
        </w:trPr>
        <w:tc>
          <w:tcPr>
            <w:tcW w:w="5980" w:type="dxa"/>
            <w:vAlign w:val="bottom"/>
          </w:tcPr>
          <w:p>
            <w:pPr>
              <w:ind w:left="640"/>
              <w:spacing w:after="0"/>
              <w:rPr>
                <w:sz w:val="20"/>
                <w:szCs w:val="20"/>
                <w:color w:val="auto"/>
              </w:rPr>
            </w:pPr>
            <w:r>
              <w:rPr>
                <w:rFonts w:ascii="Arial" w:cs="Arial" w:eastAsia="Arial" w:hAnsi="Arial"/>
                <w:sz w:val="16"/>
                <w:szCs w:val="16"/>
                <w:color w:val="auto"/>
              </w:rPr>
              <w:t>Shanghai Kai Bo Education Investment Management Co. Limited</w:t>
            </w:r>
          </w:p>
        </w:tc>
        <w:tc>
          <w:tcPr>
            <w:tcW w:w="2720" w:type="dxa"/>
            <w:vAlign w:val="bottom"/>
          </w:tcPr>
          <w:p>
            <w:pPr>
              <w:ind w:left="680"/>
              <w:spacing w:after="0"/>
              <w:rPr>
                <w:sz w:val="20"/>
                <w:szCs w:val="20"/>
                <w:color w:val="auto"/>
              </w:rPr>
            </w:pPr>
            <w:r>
              <w:rPr>
                <w:rFonts w:ascii="Arial" w:cs="Arial" w:eastAsia="Arial" w:hAnsi="Arial"/>
                <w:sz w:val="16"/>
                <w:szCs w:val="16"/>
                <w:color w:val="auto"/>
              </w:rPr>
              <w:t>China (PR)</w:t>
            </w:r>
          </w:p>
        </w:tc>
        <w:tc>
          <w:tcPr>
            <w:tcW w:w="1380" w:type="dxa"/>
            <w:vAlign w:val="bottom"/>
          </w:tcPr>
          <w:p>
            <w:pPr>
              <w:jc w:val="right"/>
              <w:spacing w:after="0"/>
              <w:rPr>
                <w:sz w:val="20"/>
                <w:szCs w:val="20"/>
                <w:color w:val="auto"/>
              </w:rPr>
            </w:pPr>
            <w:r>
              <w:rPr>
                <w:rFonts w:ascii="Arial" w:cs="Arial" w:eastAsia="Arial" w:hAnsi="Arial"/>
                <w:sz w:val="16"/>
                <w:szCs w:val="16"/>
                <w:color w:val="auto"/>
              </w:rPr>
              <w:t>100%</w:t>
            </w:r>
          </w:p>
        </w:tc>
        <w:tc>
          <w:tcPr>
            <w:tcW w:w="260" w:type="dxa"/>
            <w:vAlign w:val="bottom"/>
          </w:tcPr>
          <w:p>
            <w:pPr>
              <w:ind w:left="40"/>
              <w:spacing w:after="0"/>
              <w:rPr>
                <w:sz w:val="20"/>
                <w:szCs w:val="20"/>
                <w:color w:val="auto"/>
              </w:rPr>
            </w:pPr>
            <w:r>
              <w:rPr>
                <w:rFonts w:ascii="Arial" w:cs="Arial" w:eastAsia="Arial" w:hAnsi="Arial"/>
                <w:sz w:val="18"/>
                <w:szCs w:val="18"/>
                <w:color w:val="auto"/>
                <w:w w:val="90"/>
              </w:rPr>
              <w:t>(d)</w:t>
            </w:r>
          </w:p>
        </w:tc>
      </w:tr>
      <w:tr>
        <w:trPr>
          <w:trHeight w:val="251"/>
        </w:trPr>
        <w:tc>
          <w:tcPr>
            <w:tcW w:w="5980" w:type="dxa"/>
            <w:vAlign w:val="bottom"/>
          </w:tcPr>
          <w:p>
            <w:pPr>
              <w:ind w:left="820"/>
              <w:spacing w:after="0"/>
              <w:rPr>
                <w:sz w:val="20"/>
                <w:szCs w:val="20"/>
                <w:color w:val="auto"/>
              </w:rPr>
            </w:pPr>
            <w:r>
              <w:rPr>
                <w:rFonts w:ascii="Arial" w:cs="Arial" w:eastAsia="Arial" w:hAnsi="Arial"/>
                <w:sz w:val="16"/>
                <w:szCs w:val="16"/>
                <w:color w:val="auto"/>
              </w:rPr>
              <w:t>Shanghai Kai Chuang Educational Consulting Co. Ltd.</w:t>
            </w:r>
          </w:p>
        </w:tc>
        <w:tc>
          <w:tcPr>
            <w:tcW w:w="2720" w:type="dxa"/>
            <w:vAlign w:val="bottom"/>
          </w:tcPr>
          <w:p>
            <w:pPr>
              <w:ind w:left="680"/>
              <w:spacing w:after="0"/>
              <w:rPr>
                <w:sz w:val="20"/>
                <w:szCs w:val="20"/>
                <w:color w:val="auto"/>
              </w:rPr>
            </w:pPr>
            <w:r>
              <w:rPr>
                <w:rFonts w:ascii="Arial" w:cs="Arial" w:eastAsia="Arial" w:hAnsi="Arial"/>
                <w:sz w:val="16"/>
                <w:szCs w:val="16"/>
                <w:color w:val="auto"/>
              </w:rPr>
              <w:t>China (PR)</w:t>
            </w:r>
          </w:p>
        </w:tc>
        <w:tc>
          <w:tcPr>
            <w:tcW w:w="1380" w:type="dxa"/>
            <w:vAlign w:val="bottom"/>
          </w:tcPr>
          <w:p>
            <w:pPr>
              <w:jc w:val="right"/>
              <w:spacing w:after="0"/>
              <w:rPr>
                <w:sz w:val="20"/>
                <w:szCs w:val="20"/>
                <w:color w:val="auto"/>
              </w:rPr>
            </w:pPr>
            <w:r>
              <w:rPr>
                <w:rFonts w:ascii="Arial" w:cs="Arial" w:eastAsia="Arial" w:hAnsi="Arial"/>
                <w:sz w:val="16"/>
                <w:szCs w:val="16"/>
                <w:color w:val="auto"/>
              </w:rPr>
              <w:t>85%</w:t>
            </w:r>
          </w:p>
        </w:tc>
        <w:tc>
          <w:tcPr>
            <w:tcW w:w="260" w:type="dxa"/>
            <w:vAlign w:val="bottom"/>
          </w:tcPr>
          <w:p>
            <w:pPr>
              <w:spacing w:after="0"/>
              <w:rPr>
                <w:sz w:val="21"/>
                <w:szCs w:val="21"/>
                <w:color w:val="auto"/>
              </w:rPr>
            </w:pPr>
          </w:p>
        </w:tc>
      </w:tr>
      <w:tr>
        <w:trPr>
          <w:trHeight w:val="270"/>
        </w:trPr>
        <w:tc>
          <w:tcPr>
            <w:tcW w:w="5980" w:type="dxa"/>
            <w:vAlign w:val="bottom"/>
          </w:tcPr>
          <w:p>
            <w:pPr>
              <w:ind w:left="1000"/>
              <w:spacing w:after="0"/>
              <w:rPr>
                <w:sz w:val="20"/>
                <w:szCs w:val="20"/>
                <w:color w:val="auto"/>
              </w:rPr>
            </w:pPr>
            <w:r>
              <w:rPr>
                <w:rFonts w:ascii="Arial" w:cs="Arial" w:eastAsia="Arial" w:hAnsi="Arial"/>
                <w:sz w:val="16"/>
                <w:szCs w:val="16"/>
                <w:color w:val="auto"/>
              </w:rPr>
              <w:t>Shanghai Kai Bo School</w:t>
            </w:r>
          </w:p>
        </w:tc>
        <w:tc>
          <w:tcPr>
            <w:tcW w:w="2720" w:type="dxa"/>
            <w:vAlign w:val="bottom"/>
          </w:tcPr>
          <w:p>
            <w:pPr>
              <w:ind w:left="680"/>
              <w:spacing w:after="0"/>
              <w:rPr>
                <w:sz w:val="20"/>
                <w:szCs w:val="20"/>
                <w:color w:val="auto"/>
              </w:rPr>
            </w:pPr>
            <w:r>
              <w:rPr>
                <w:rFonts w:ascii="Arial" w:cs="Arial" w:eastAsia="Arial" w:hAnsi="Arial"/>
                <w:sz w:val="16"/>
                <w:szCs w:val="16"/>
                <w:color w:val="auto"/>
              </w:rPr>
              <w:t>China (PR)</w:t>
            </w:r>
          </w:p>
        </w:tc>
        <w:tc>
          <w:tcPr>
            <w:tcW w:w="1380" w:type="dxa"/>
            <w:vAlign w:val="bottom"/>
          </w:tcPr>
          <w:p>
            <w:pPr>
              <w:jc w:val="right"/>
              <w:spacing w:after="0"/>
              <w:rPr>
                <w:sz w:val="20"/>
                <w:szCs w:val="20"/>
                <w:color w:val="auto"/>
              </w:rPr>
            </w:pPr>
            <w:r>
              <w:rPr>
                <w:rFonts w:ascii="Arial" w:cs="Arial" w:eastAsia="Arial" w:hAnsi="Arial"/>
                <w:sz w:val="16"/>
                <w:szCs w:val="16"/>
                <w:color w:val="auto"/>
              </w:rPr>
              <w:t>100%</w:t>
            </w:r>
          </w:p>
        </w:tc>
        <w:tc>
          <w:tcPr>
            <w:tcW w:w="260" w:type="dxa"/>
            <w:vAlign w:val="bottom"/>
          </w:tcPr>
          <w:p>
            <w:pPr>
              <w:spacing w:after="0"/>
              <w:rPr>
                <w:sz w:val="23"/>
                <w:szCs w:val="23"/>
                <w:color w:val="auto"/>
              </w:rPr>
            </w:pPr>
          </w:p>
        </w:tc>
      </w:tr>
      <w:tr>
        <w:trPr>
          <w:trHeight w:val="270"/>
        </w:trPr>
        <w:tc>
          <w:tcPr>
            <w:tcW w:w="5980" w:type="dxa"/>
            <w:vAlign w:val="bottom"/>
          </w:tcPr>
          <w:p>
            <w:pPr>
              <w:ind w:left="400"/>
              <w:spacing w:after="0"/>
              <w:rPr>
                <w:sz w:val="20"/>
                <w:szCs w:val="20"/>
                <w:color w:val="auto"/>
              </w:rPr>
            </w:pPr>
            <w:r>
              <w:rPr>
                <w:rFonts w:ascii="Arial" w:cs="Arial" w:eastAsia="Arial" w:hAnsi="Arial"/>
                <w:sz w:val="16"/>
                <w:szCs w:val="16"/>
                <w:color w:val="auto"/>
              </w:rPr>
              <w:t>Coxcourt Limited</w:t>
            </w:r>
          </w:p>
        </w:tc>
        <w:tc>
          <w:tcPr>
            <w:tcW w:w="2720" w:type="dxa"/>
            <w:vAlign w:val="bottom"/>
          </w:tcPr>
          <w:p>
            <w:pPr>
              <w:ind w:left="680"/>
              <w:spacing w:after="0"/>
              <w:rPr>
                <w:sz w:val="20"/>
                <w:szCs w:val="20"/>
                <w:color w:val="auto"/>
              </w:rPr>
            </w:pPr>
            <w:r>
              <w:rPr>
                <w:rFonts w:ascii="Arial" w:cs="Arial" w:eastAsia="Arial" w:hAnsi="Arial"/>
                <w:sz w:val="16"/>
                <w:szCs w:val="16"/>
                <w:color w:val="auto"/>
              </w:rPr>
              <w:t>Ireland</w:t>
            </w:r>
          </w:p>
        </w:tc>
        <w:tc>
          <w:tcPr>
            <w:tcW w:w="1380" w:type="dxa"/>
            <w:vAlign w:val="bottom"/>
          </w:tcPr>
          <w:p>
            <w:pPr>
              <w:jc w:val="right"/>
              <w:spacing w:after="0"/>
              <w:rPr>
                <w:sz w:val="20"/>
                <w:szCs w:val="20"/>
                <w:color w:val="auto"/>
              </w:rPr>
            </w:pPr>
            <w:r>
              <w:rPr>
                <w:rFonts w:ascii="Arial" w:cs="Arial" w:eastAsia="Arial" w:hAnsi="Arial"/>
                <w:sz w:val="16"/>
                <w:szCs w:val="16"/>
                <w:color w:val="auto"/>
              </w:rPr>
              <w:t>100%</w:t>
            </w:r>
          </w:p>
        </w:tc>
        <w:tc>
          <w:tcPr>
            <w:tcW w:w="260" w:type="dxa"/>
            <w:vAlign w:val="bottom"/>
          </w:tcPr>
          <w:p>
            <w:pPr>
              <w:spacing w:after="0"/>
              <w:rPr>
                <w:sz w:val="23"/>
                <w:szCs w:val="23"/>
                <w:color w:val="auto"/>
              </w:rPr>
            </w:pPr>
          </w:p>
        </w:tc>
      </w:tr>
      <w:tr>
        <w:trPr>
          <w:trHeight w:val="290"/>
        </w:trPr>
        <w:tc>
          <w:tcPr>
            <w:tcW w:w="5980" w:type="dxa"/>
            <w:vAlign w:val="bottom"/>
          </w:tcPr>
          <w:p>
            <w:pPr>
              <w:ind w:left="620"/>
              <w:spacing w:after="0"/>
              <w:rPr>
                <w:sz w:val="20"/>
                <w:szCs w:val="20"/>
                <w:color w:val="auto"/>
              </w:rPr>
            </w:pPr>
            <w:r>
              <w:rPr>
                <w:rFonts w:ascii="Arial" w:cs="Arial" w:eastAsia="Arial" w:hAnsi="Arial"/>
                <w:sz w:val="16"/>
                <w:szCs w:val="16"/>
                <w:color w:val="auto"/>
              </w:rPr>
              <w:t>Accountancy &amp; Business College Holdings Limited</w:t>
            </w:r>
          </w:p>
        </w:tc>
        <w:tc>
          <w:tcPr>
            <w:tcW w:w="2720" w:type="dxa"/>
            <w:vAlign w:val="bottom"/>
          </w:tcPr>
          <w:p>
            <w:pPr>
              <w:ind w:left="680"/>
              <w:spacing w:after="0"/>
              <w:rPr>
                <w:sz w:val="20"/>
                <w:szCs w:val="20"/>
                <w:color w:val="auto"/>
              </w:rPr>
            </w:pPr>
            <w:r>
              <w:rPr>
                <w:rFonts w:ascii="Arial" w:cs="Arial" w:eastAsia="Arial" w:hAnsi="Arial"/>
                <w:sz w:val="16"/>
                <w:szCs w:val="16"/>
                <w:color w:val="auto"/>
              </w:rPr>
              <w:t>Ireland</w:t>
            </w:r>
          </w:p>
        </w:tc>
        <w:tc>
          <w:tcPr>
            <w:tcW w:w="1380" w:type="dxa"/>
            <w:vAlign w:val="bottom"/>
          </w:tcPr>
          <w:p>
            <w:pPr>
              <w:jc w:val="right"/>
              <w:spacing w:after="0"/>
              <w:rPr>
                <w:sz w:val="20"/>
                <w:szCs w:val="20"/>
                <w:color w:val="auto"/>
              </w:rPr>
            </w:pPr>
            <w:r>
              <w:rPr>
                <w:rFonts w:ascii="Arial" w:cs="Arial" w:eastAsia="Arial" w:hAnsi="Arial"/>
                <w:sz w:val="16"/>
                <w:szCs w:val="16"/>
                <w:color w:val="auto"/>
              </w:rPr>
              <w:t>100%</w:t>
            </w:r>
          </w:p>
        </w:tc>
        <w:tc>
          <w:tcPr>
            <w:tcW w:w="260" w:type="dxa"/>
            <w:vAlign w:val="bottom"/>
          </w:tcPr>
          <w:p>
            <w:pPr>
              <w:ind w:left="40"/>
              <w:spacing w:after="0"/>
              <w:rPr>
                <w:sz w:val="20"/>
                <w:szCs w:val="20"/>
                <w:color w:val="auto"/>
              </w:rPr>
            </w:pPr>
            <w:r>
              <w:rPr>
                <w:rFonts w:ascii="Arial" w:cs="Arial" w:eastAsia="Arial" w:hAnsi="Arial"/>
                <w:sz w:val="18"/>
                <w:szCs w:val="18"/>
                <w:color w:val="auto"/>
                <w:w w:val="90"/>
              </w:rPr>
              <w:t>(e)</w:t>
            </w:r>
          </w:p>
        </w:tc>
      </w:tr>
      <w:tr>
        <w:trPr>
          <w:trHeight w:val="251"/>
        </w:trPr>
        <w:tc>
          <w:tcPr>
            <w:tcW w:w="5980" w:type="dxa"/>
            <w:vAlign w:val="bottom"/>
          </w:tcPr>
          <w:p>
            <w:pPr>
              <w:ind w:left="800"/>
              <w:spacing w:after="0"/>
              <w:rPr>
                <w:sz w:val="20"/>
                <w:szCs w:val="20"/>
                <w:color w:val="auto"/>
              </w:rPr>
            </w:pPr>
            <w:r>
              <w:rPr>
                <w:rFonts w:ascii="Arial" w:cs="Arial" w:eastAsia="Arial" w:hAnsi="Arial"/>
                <w:sz w:val="16"/>
                <w:szCs w:val="16"/>
                <w:color w:val="auto"/>
              </w:rPr>
              <w:t>Accountancy &amp; Business College (Ireland) Limited</w:t>
            </w:r>
          </w:p>
        </w:tc>
        <w:tc>
          <w:tcPr>
            <w:tcW w:w="2720" w:type="dxa"/>
            <w:vAlign w:val="bottom"/>
          </w:tcPr>
          <w:p>
            <w:pPr>
              <w:ind w:left="680"/>
              <w:spacing w:after="0"/>
              <w:rPr>
                <w:sz w:val="20"/>
                <w:szCs w:val="20"/>
                <w:color w:val="auto"/>
              </w:rPr>
            </w:pPr>
            <w:r>
              <w:rPr>
                <w:rFonts w:ascii="Arial" w:cs="Arial" w:eastAsia="Arial" w:hAnsi="Arial"/>
                <w:sz w:val="16"/>
                <w:szCs w:val="16"/>
                <w:color w:val="auto"/>
              </w:rPr>
              <w:t>Ireland</w:t>
            </w:r>
          </w:p>
        </w:tc>
        <w:tc>
          <w:tcPr>
            <w:tcW w:w="1380" w:type="dxa"/>
            <w:vAlign w:val="bottom"/>
          </w:tcPr>
          <w:p>
            <w:pPr>
              <w:jc w:val="right"/>
              <w:spacing w:after="0"/>
              <w:rPr>
                <w:sz w:val="20"/>
                <w:szCs w:val="20"/>
                <w:color w:val="auto"/>
              </w:rPr>
            </w:pPr>
            <w:r>
              <w:rPr>
                <w:rFonts w:ascii="Arial" w:cs="Arial" w:eastAsia="Arial" w:hAnsi="Arial"/>
                <w:sz w:val="16"/>
                <w:szCs w:val="16"/>
                <w:color w:val="auto"/>
              </w:rPr>
              <w:t>100%</w:t>
            </w:r>
          </w:p>
        </w:tc>
        <w:tc>
          <w:tcPr>
            <w:tcW w:w="260" w:type="dxa"/>
            <w:vAlign w:val="bottom"/>
          </w:tcPr>
          <w:p>
            <w:pPr>
              <w:spacing w:after="0"/>
              <w:rPr>
                <w:sz w:val="21"/>
                <w:szCs w:val="21"/>
                <w:color w:val="auto"/>
              </w:rPr>
            </w:pPr>
          </w:p>
        </w:tc>
      </w:tr>
      <w:tr>
        <w:trPr>
          <w:trHeight w:val="270"/>
        </w:trPr>
        <w:tc>
          <w:tcPr>
            <w:tcW w:w="5980" w:type="dxa"/>
            <w:vAlign w:val="bottom"/>
          </w:tcPr>
          <w:p>
            <w:pPr>
              <w:ind w:left="1000"/>
              <w:spacing w:after="0"/>
              <w:rPr>
                <w:sz w:val="20"/>
                <w:szCs w:val="20"/>
                <w:color w:val="auto"/>
              </w:rPr>
            </w:pPr>
            <w:r>
              <w:rPr>
                <w:rFonts w:ascii="Arial" w:cs="Arial" w:eastAsia="Arial" w:hAnsi="Arial"/>
                <w:sz w:val="16"/>
                <w:szCs w:val="16"/>
                <w:color w:val="auto"/>
              </w:rPr>
              <w:t>Methley Limited</w:t>
            </w:r>
          </w:p>
        </w:tc>
        <w:tc>
          <w:tcPr>
            <w:tcW w:w="2720" w:type="dxa"/>
            <w:vAlign w:val="bottom"/>
          </w:tcPr>
          <w:p>
            <w:pPr>
              <w:ind w:left="680"/>
              <w:spacing w:after="0"/>
              <w:rPr>
                <w:sz w:val="20"/>
                <w:szCs w:val="20"/>
                <w:color w:val="auto"/>
              </w:rPr>
            </w:pPr>
            <w:r>
              <w:rPr>
                <w:rFonts w:ascii="Arial" w:cs="Arial" w:eastAsia="Arial" w:hAnsi="Arial"/>
                <w:sz w:val="16"/>
                <w:szCs w:val="16"/>
                <w:color w:val="auto"/>
              </w:rPr>
              <w:t>Ireland</w:t>
            </w:r>
          </w:p>
        </w:tc>
        <w:tc>
          <w:tcPr>
            <w:tcW w:w="1380" w:type="dxa"/>
            <w:vAlign w:val="bottom"/>
          </w:tcPr>
          <w:p>
            <w:pPr>
              <w:jc w:val="right"/>
              <w:spacing w:after="0"/>
              <w:rPr>
                <w:sz w:val="20"/>
                <w:szCs w:val="20"/>
                <w:color w:val="auto"/>
              </w:rPr>
            </w:pPr>
            <w:r>
              <w:rPr>
                <w:rFonts w:ascii="Arial" w:cs="Arial" w:eastAsia="Arial" w:hAnsi="Arial"/>
                <w:sz w:val="16"/>
                <w:szCs w:val="16"/>
                <w:color w:val="auto"/>
              </w:rPr>
              <w:t>100%</w:t>
            </w:r>
          </w:p>
        </w:tc>
        <w:tc>
          <w:tcPr>
            <w:tcW w:w="260" w:type="dxa"/>
            <w:vAlign w:val="bottom"/>
          </w:tcPr>
          <w:p>
            <w:pPr>
              <w:spacing w:after="0"/>
              <w:rPr>
                <w:sz w:val="23"/>
                <w:szCs w:val="23"/>
                <w:color w:val="auto"/>
              </w:rPr>
            </w:pPr>
          </w:p>
        </w:tc>
      </w:tr>
      <w:tr>
        <w:trPr>
          <w:trHeight w:val="270"/>
        </w:trPr>
        <w:tc>
          <w:tcPr>
            <w:tcW w:w="5980" w:type="dxa"/>
            <w:vAlign w:val="bottom"/>
          </w:tcPr>
          <w:p>
            <w:pPr>
              <w:ind w:left="1180"/>
              <w:spacing w:after="0"/>
              <w:rPr>
                <w:sz w:val="20"/>
                <w:szCs w:val="20"/>
                <w:color w:val="auto"/>
              </w:rPr>
            </w:pPr>
            <w:r>
              <w:rPr>
                <w:rFonts w:ascii="Arial" w:cs="Arial" w:eastAsia="Arial" w:hAnsi="Arial"/>
                <w:sz w:val="16"/>
                <w:szCs w:val="16"/>
                <w:color w:val="auto"/>
              </w:rPr>
              <w:t>Kitagarth Services Unlimited Company</w:t>
            </w:r>
          </w:p>
        </w:tc>
        <w:tc>
          <w:tcPr>
            <w:tcW w:w="2720" w:type="dxa"/>
            <w:vAlign w:val="bottom"/>
          </w:tcPr>
          <w:p>
            <w:pPr>
              <w:ind w:left="680"/>
              <w:spacing w:after="0"/>
              <w:rPr>
                <w:sz w:val="20"/>
                <w:szCs w:val="20"/>
                <w:color w:val="auto"/>
              </w:rPr>
            </w:pPr>
            <w:r>
              <w:rPr>
                <w:rFonts w:ascii="Arial" w:cs="Arial" w:eastAsia="Arial" w:hAnsi="Arial"/>
                <w:sz w:val="16"/>
                <w:szCs w:val="16"/>
                <w:color w:val="auto"/>
              </w:rPr>
              <w:t>Ireland</w:t>
            </w:r>
          </w:p>
        </w:tc>
        <w:tc>
          <w:tcPr>
            <w:tcW w:w="1380" w:type="dxa"/>
            <w:vAlign w:val="bottom"/>
          </w:tcPr>
          <w:p>
            <w:pPr>
              <w:jc w:val="right"/>
              <w:spacing w:after="0"/>
              <w:rPr>
                <w:sz w:val="20"/>
                <w:szCs w:val="20"/>
                <w:color w:val="auto"/>
              </w:rPr>
            </w:pPr>
            <w:r>
              <w:rPr>
                <w:rFonts w:ascii="Arial" w:cs="Arial" w:eastAsia="Arial" w:hAnsi="Arial"/>
                <w:sz w:val="16"/>
                <w:szCs w:val="16"/>
                <w:color w:val="auto"/>
              </w:rPr>
              <w:t>100%</w:t>
            </w:r>
          </w:p>
        </w:tc>
        <w:tc>
          <w:tcPr>
            <w:tcW w:w="260" w:type="dxa"/>
            <w:vAlign w:val="bottom"/>
          </w:tcPr>
          <w:p>
            <w:pPr>
              <w:spacing w:after="0"/>
              <w:rPr>
                <w:sz w:val="23"/>
                <w:szCs w:val="23"/>
                <w:color w:val="auto"/>
              </w:rPr>
            </w:pPr>
          </w:p>
        </w:tc>
      </w:tr>
      <w:tr>
        <w:trPr>
          <w:trHeight w:val="270"/>
        </w:trPr>
        <w:tc>
          <w:tcPr>
            <w:tcW w:w="5980" w:type="dxa"/>
            <w:vAlign w:val="bottom"/>
          </w:tcPr>
          <w:p>
            <w:pPr>
              <w:ind w:left="820"/>
              <w:spacing w:after="0"/>
              <w:rPr>
                <w:sz w:val="20"/>
                <w:szCs w:val="20"/>
                <w:color w:val="auto"/>
              </w:rPr>
            </w:pPr>
            <w:r>
              <w:rPr>
                <w:rFonts w:ascii="Arial" w:cs="Arial" w:eastAsia="Arial" w:hAnsi="Arial"/>
                <w:sz w:val="16"/>
                <w:szCs w:val="16"/>
                <w:color w:val="auto"/>
              </w:rPr>
              <w:t>European Business School (Ireland) Limited</w:t>
            </w:r>
          </w:p>
        </w:tc>
        <w:tc>
          <w:tcPr>
            <w:tcW w:w="2720" w:type="dxa"/>
            <w:vAlign w:val="bottom"/>
          </w:tcPr>
          <w:p>
            <w:pPr>
              <w:ind w:left="680"/>
              <w:spacing w:after="0"/>
              <w:rPr>
                <w:sz w:val="20"/>
                <w:szCs w:val="20"/>
                <w:color w:val="auto"/>
              </w:rPr>
            </w:pPr>
            <w:r>
              <w:rPr>
                <w:rFonts w:ascii="Arial" w:cs="Arial" w:eastAsia="Arial" w:hAnsi="Arial"/>
                <w:sz w:val="16"/>
                <w:szCs w:val="16"/>
                <w:color w:val="auto"/>
              </w:rPr>
              <w:t>Ireland</w:t>
            </w:r>
          </w:p>
        </w:tc>
        <w:tc>
          <w:tcPr>
            <w:tcW w:w="1380" w:type="dxa"/>
            <w:vAlign w:val="bottom"/>
          </w:tcPr>
          <w:p>
            <w:pPr>
              <w:jc w:val="right"/>
              <w:spacing w:after="0"/>
              <w:rPr>
                <w:sz w:val="20"/>
                <w:szCs w:val="20"/>
                <w:color w:val="auto"/>
              </w:rPr>
            </w:pPr>
            <w:r>
              <w:rPr>
                <w:rFonts w:ascii="Arial" w:cs="Arial" w:eastAsia="Arial" w:hAnsi="Arial"/>
                <w:sz w:val="16"/>
                <w:szCs w:val="16"/>
                <w:color w:val="auto"/>
              </w:rPr>
              <w:t>100%</w:t>
            </w:r>
          </w:p>
        </w:tc>
        <w:tc>
          <w:tcPr>
            <w:tcW w:w="260" w:type="dxa"/>
            <w:vAlign w:val="bottom"/>
          </w:tcPr>
          <w:p>
            <w:pPr>
              <w:spacing w:after="0"/>
              <w:rPr>
                <w:sz w:val="23"/>
                <w:szCs w:val="23"/>
                <w:color w:val="auto"/>
              </w:rPr>
            </w:pPr>
          </w:p>
        </w:tc>
      </w:tr>
      <w:tr>
        <w:trPr>
          <w:trHeight w:val="270"/>
        </w:trPr>
        <w:tc>
          <w:tcPr>
            <w:tcW w:w="5980" w:type="dxa"/>
            <w:vAlign w:val="bottom"/>
          </w:tcPr>
          <w:p>
            <w:pPr>
              <w:ind w:left="820"/>
              <w:spacing w:after="0"/>
              <w:rPr>
                <w:sz w:val="20"/>
                <w:szCs w:val="20"/>
                <w:color w:val="auto"/>
              </w:rPr>
            </w:pPr>
            <w:r>
              <w:rPr>
                <w:rFonts w:ascii="Arial" w:cs="Arial" w:eastAsia="Arial" w:hAnsi="Arial"/>
                <w:sz w:val="16"/>
                <w:szCs w:val="16"/>
                <w:color w:val="auto"/>
              </w:rPr>
              <w:t>LSB College Limited</w:t>
            </w:r>
          </w:p>
        </w:tc>
        <w:tc>
          <w:tcPr>
            <w:tcW w:w="2720" w:type="dxa"/>
            <w:vAlign w:val="bottom"/>
          </w:tcPr>
          <w:p>
            <w:pPr>
              <w:ind w:left="680"/>
              <w:spacing w:after="0"/>
              <w:rPr>
                <w:sz w:val="20"/>
                <w:szCs w:val="20"/>
                <w:color w:val="auto"/>
              </w:rPr>
            </w:pPr>
            <w:r>
              <w:rPr>
                <w:rFonts w:ascii="Arial" w:cs="Arial" w:eastAsia="Arial" w:hAnsi="Arial"/>
                <w:sz w:val="16"/>
                <w:szCs w:val="16"/>
                <w:color w:val="auto"/>
              </w:rPr>
              <w:t>Ireland</w:t>
            </w:r>
          </w:p>
        </w:tc>
        <w:tc>
          <w:tcPr>
            <w:tcW w:w="1380" w:type="dxa"/>
            <w:vAlign w:val="bottom"/>
          </w:tcPr>
          <w:p>
            <w:pPr>
              <w:jc w:val="right"/>
              <w:spacing w:after="0"/>
              <w:rPr>
                <w:sz w:val="20"/>
                <w:szCs w:val="20"/>
                <w:color w:val="auto"/>
              </w:rPr>
            </w:pPr>
            <w:r>
              <w:rPr>
                <w:rFonts w:ascii="Arial" w:cs="Arial" w:eastAsia="Arial" w:hAnsi="Arial"/>
                <w:sz w:val="16"/>
                <w:szCs w:val="16"/>
                <w:color w:val="auto"/>
              </w:rPr>
              <w:t>100%</w:t>
            </w:r>
          </w:p>
        </w:tc>
        <w:tc>
          <w:tcPr>
            <w:tcW w:w="260" w:type="dxa"/>
            <w:vAlign w:val="bottom"/>
          </w:tcPr>
          <w:p>
            <w:pPr>
              <w:spacing w:after="0"/>
              <w:rPr>
                <w:sz w:val="23"/>
                <w:szCs w:val="23"/>
                <w:color w:val="auto"/>
              </w:rPr>
            </w:pPr>
          </w:p>
        </w:tc>
      </w:tr>
      <w:tr>
        <w:trPr>
          <w:trHeight w:val="270"/>
        </w:trPr>
        <w:tc>
          <w:tcPr>
            <w:tcW w:w="5980" w:type="dxa"/>
            <w:vAlign w:val="bottom"/>
          </w:tcPr>
          <w:p>
            <w:pPr>
              <w:ind w:left="800"/>
              <w:spacing w:after="0"/>
              <w:rPr>
                <w:sz w:val="20"/>
                <w:szCs w:val="20"/>
                <w:color w:val="auto"/>
              </w:rPr>
            </w:pPr>
            <w:r>
              <w:rPr>
                <w:rFonts w:ascii="Arial" w:cs="Arial" w:eastAsia="Arial" w:hAnsi="Arial"/>
                <w:sz w:val="16"/>
                <w:szCs w:val="16"/>
                <w:color w:val="auto"/>
              </w:rPr>
              <w:t>The Dublin Business School Limited</w:t>
            </w:r>
          </w:p>
        </w:tc>
        <w:tc>
          <w:tcPr>
            <w:tcW w:w="2720" w:type="dxa"/>
            <w:vAlign w:val="bottom"/>
          </w:tcPr>
          <w:p>
            <w:pPr>
              <w:ind w:left="680"/>
              <w:spacing w:after="0"/>
              <w:rPr>
                <w:sz w:val="20"/>
                <w:szCs w:val="20"/>
                <w:color w:val="auto"/>
              </w:rPr>
            </w:pPr>
            <w:r>
              <w:rPr>
                <w:rFonts w:ascii="Arial" w:cs="Arial" w:eastAsia="Arial" w:hAnsi="Arial"/>
                <w:sz w:val="16"/>
                <w:szCs w:val="16"/>
                <w:color w:val="auto"/>
              </w:rPr>
              <w:t>Ireland</w:t>
            </w:r>
          </w:p>
        </w:tc>
        <w:tc>
          <w:tcPr>
            <w:tcW w:w="1380" w:type="dxa"/>
            <w:vAlign w:val="bottom"/>
          </w:tcPr>
          <w:p>
            <w:pPr>
              <w:jc w:val="right"/>
              <w:spacing w:after="0"/>
              <w:rPr>
                <w:sz w:val="20"/>
                <w:szCs w:val="20"/>
                <w:color w:val="auto"/>
              </w:rPr>
            </w:pPr>
            <w:r>
              <w:rPr>
                <w:rFonts w:ascii="Arial" w:cs="Arial" w:eastAsia="Arial" w:hAnsi="Arial"/>
                <w:sz w:val="16"/>
                <w:szCs w:val="16"/>
                <w:color w:val="auto"/>
              </w:rPr>
              <w:t>100%</w:t>
            </w:r>
          </w:p>
        </w:tc>
        <w:tc>
          <w:tcPr>
            <w:tcW w:w="260" w:type="dxa"/>
            <w:vAlign w:val="bottom"/>
          </w:tcPr>
          <w:p>
            <w:pPr>
              <w:spacing w:after="0"/>
              <w:rPr>
                <w:sz w:val="23"/>
                <w:szCs w:val="23"/>
                <w:color w:val="auto"/>
              </w:rPr>
            </w:pPr>
          </w:p>
        </w:tc>
      </w:tr>
      <w:tr>
        <w:trPr>
          <w:trHeight w:val="270"/>
        </w:trPr>
        <w:tc>
          <w:tcPr>
            <w:tcW w:w="5980" w:type="dxa"/>
            <w:vAlign w:val="bottom"/>
          </w:tcPr>
          <w:p>
            <w:pPr>
              <w:ind w:left="820"/>
              <w:spacing w:after="0"/>
              <w:rPr>
                <w:sz w:val="20"/>
                <w:szCs w:val="20"/>
                <w:color w:val="auto"/>
              </w:rPr>
            </w:pPr>
            <w:r>
              <w:rPr>
                <w:rFonts w:ascii="Arial" w:cs="Arial" w:eastAsia="Arial" w:hAnsi="Arial"/>
                <w:sz w:val="16"/>
                <w:szCs w:val="16"/>
                <w:color w:val="auto"/>
              </w:rPr>
              <w:t>DBS Educational Services Malaysia SDN.BHD.</w:t>
            </w:r>
          </w:p>
        </w:tc>
        <w:tc>
          <w:tcPr>
            <w:tcW w:w="2720" w:type="dxa"/>
            <w:vAlign w:val="bottom"/>
          </w:tcPr>
          <w:p>
            <w:pPr>
              <w:ind w:left="680"/>
              <w:spacing w:after="0"/>
              <w:rPr>
                <w:sz w:val="20"/>
                <w:szCs w:val="20"/>
                <w:color w:val="auto"/>
              </w:rPr>
            </w:pPr>
            <w:r>
              <w:rPr>
                <w:rFonts w:ascii="Arial" w:cs="Arial" w:eastAsia="Arial" w:hAnsi="Arial"/>
                <w:sz w:val="16"/>
                <w:szCs w:val="16"/>
                <w:color w:val="auto"/>
              </w:rPr>
              <w:t>Malaysia</w:t>
            </w:r>
          </w:p>
        </w:tc>
        <w:tc>
          <w:tcPr>
            <w:tcW w:w="1380" w:type="dxa"/>
            <w:vAlign w:val="bottom"/>
          </w:tcPr>
          <w:p>
            <w:pPr>
              <w:jc w:val="right"/>
              <w:spacing w:after="0"/>
              <w:rPr>
                <w:sz w:val="20"/>
                <w:szCs w:val="20"/>
                <w:color w:val="auto"/>
              </w:rPr>
            </w:pPr>
            <w:r>
              <w:rPr>
                <w:rFonts w:ascii="Arial" w:cs="Arial" w:eastAsia="Arial" w:hAnsi="Arial"/>
                <w:sz w:val="16"/>
                <w:szCs w:val="16"/>
                <w:color w:val="auto"/>
              </w:rPr>
              <w:t>100%</w:t>
            </w:r>
          </w:p>
        </w:tc>
        <w:tc>
          <w:tcPr>
            <w:tcW w:w="260" w:type="dxa"/>
            <w:vAlign w:val="bottom"/>
          </w:tcPr>
          <w:p>
            <w:pPr>
              <w:spacing w:after="0"/>
              <w:rPr>
                <w:sz w:val="23"/>
                <w:szCs w:val="23"/>
                <w:color w:val="auto"/>
              </w:rPr>
            </w:pPr>
          </w:p>
        </w:tc>
      </w:tr>
      <w:tr>
        <w:trPr>
          <w:trHeight w:val="270"/>
        </w:trPr>
        <w:tc>
          <w:tcPr>
            <w:tcW w:w="5980" w:type="dxa"/>
            <w:vAlign w:val="bottom"/>
          </w:tcPr>
          <w:p>
            <w:pPr>
              <w:ind w:left="180"/>
              <w:spacing w:after="0"/>
              <w:rPr>
                <w:sz w:val="20"/>
                <w:szCs w:val="20"/>
                <w:color w:val="auto"/>
              </w:rPr>
            </w:pPr>
            <w:r>
              <w:rPr>
                <w:rFonts w:ascii="Arial" w:cs="Arial" w:eastAsia="Arial" w:hAnsi="Arial"/>
                <w:sz w:val="16"/>
                <w:szCs w:val="16"/>
                <w:color w:val="auto"/>
              </w:rPr>
              <w:t>AdviseStream, LLC</w:t>
            </w:r>
          </w:p>
        </w:tc>
        <w:tc>
          <w:tcPr>
            <w:tcW w:w="2720" w:type="dxa"/>
            <w:vAlign w:val="bottom"/>
          </w:tcPr>
          <w:p>
            <w:pPr>
              <w:ind w:left="680"/>
              <w:spacing w:after="0"/>
              <w:rPr>
                <w:sz w:val="20"/>
                <w:szCs w:val="20"/>
                <w:color w:val="auto"/>
              </w:rPr>
            </w:pPr>
            <w:r>
              <w:rPr>
                <w:rFonts w:ascii="Arial" w:cs="Arial" w:eastAsia="Arial" w:hAnsi="Arial"/>
                <w:sz w:val="16"/>
                <w:szCs w:val="16"/>
                <w:color w:val="auto"/>
              </w:rPr>
              <w:t>Delaware</w:t>
            </w:r>
          </w:p>
        </w:tc>
        <w:tc>
          <w:tcPr>
            <w:tcW w:w="1380" w:type="dxa"/>
            <w:vAlign w:val="bottom"/>
          </w:tcPr>
          <w:p>
            <w:pPr>
              <w:jc w:val="right"/>
              <w:spacing w:after="0"/>
              <w:rPr>
                <w:sz w:val="20"/>
                <w:szCs w:val="20"/>
                <w:color w:val="auto"/>
              </w:rPr>
            </w:pPr>
            <w:r>
              <w:rPr>
                <w:rFonts w:ascii="Arial" w:cs="Arial" w:eastAsia="Arial" w:hAnsi="Arial"/>
                <w:sz w:val="16"/>
                <w:szCs w:val="16"/>
                <w:color w:val="auto"/>
              </w:rPr>
              <w:t>100%</w:t>
            </w:r>
          </w:p>
        </w:tc>
        <w:tc>
          <w:tcPr>
            <w:tcW w:w="260" w:type="dxa"/>
            <w:vAlign w:val="bottom"/>
          </w:tcPr>
          <w:p>
            <w:pPr>
              <w:spacing w:after="0"/>
              <w:rPr>
                <w:sz w:val="23"/>
                <w:szCs w:val="23"/>
                <w:color w:val="auto"/>
              </w:rPr>
            </w:pPr>
          </w:p>
        </w:tc>
      </w:tr>
      <w:tr>
        <w:trPr>
          <w:trHeight w:val="270"/>
        </w:trPr>
        <w:tc>
          <w:tcPr>
            <w:tcW w:w="5980" w:type="dxa"/>
            <w:vAlign w:val="bottom"/>
          </w:tcPr>
          <w:p>
            <w:pPr>
              <w:ind w:left="180"/>
              <w:spacing w:after="0"/>
              <w:rPr>
                <w:sz w:val="20"/>
                <w:szCs w:val="20"/>
                <w:color w:val="auto"/>
              </w:rPr>
            </w:pPr>
            <w:r>
              <w:rPr>
                <w:rFonts w:ascii="Arial" w:cs="Arial" w:eastAsia="Arial" w:hAnsi="Arial"/>
                <w:sz w:val="16"/>
                <w:szCs w:val="16"/>
                <w:color w:val="auto"/>
              </w:rPr>
              <w:t>Dev Bootcamp, Inc.</w:t>
            </w:r>
          </w:p>
        </w:tc>
        <w:tc>
          <w:tcPr>
            <w:tcW w:w="2720" w:type="dxa"/>
            <w:vAlign w:val="bottom"/>
          </w:tcPr>
          <w:p>
            <w:pPr>
              <w:ind w:left="680"/>
              <w:spacing w:after="0"/>
              <w:rPr>
                <w:sz w:val="20"/>
                <w:szCs w:val="20"/>
                <w:color w:val="auto"/>
              </w:rPr>
            </w:pPr>
            <w:r>
              <w:rPr>
                <w:rFonts w:ascii="Arial" w:cs="Arial" w:eastAsia="Arial" w:hAnsi="Arial"/>
                <w:sz w:val="16"/>
                <w:szCs w:val="16"/>
                <w:color w:val="auto"/>
              </w:rPr>
              <w:t>California</w:t>
            </w:r>
          </w:p>
        </w:tc>
        <w:tc>
          <w:tcPr>
            <w:tcW w:w="1380" w:type="dxa"/>
            <w:vAlign w:val="bottom"/>
          </w:tcPr>
          <w:p>
            <w:pPr>
              <w:jc w:val="right"/>
              <w:spacing w:after="0"/>
              <w:rPr>
                <w:sz w:val="20"/>
                <w:szCs w:val="20"/>
                <w:color w:val="auto"/>
              </w:rPr>
            </w:pPr>
            <w:r>
              <w:rPr>
                <w:rFonts w:ascii="Arial" w:cs="Arial" w:eastAsia="Arial" w:hAnsi="Arial"/>
                <w:sz w:val="16"/>
                <w:szCs w:val="16"/>
                <w:color w:val="auto"/>
              </w:rPr>
              <w:t>100%</w:t>
            </w:r>
          </w:p>
        </w:tc>
        <w:tc>
          <w:tcPr>
            <w:tcW w:w="260" w:type="dxa"/>
            <w:vAlign w:val="bottom"/>
          </w:tcPr>
          <w:p>
            <w:pPr>
              <w:spacing w:after="0"/>
              <w:rPr>
                <w:sz w:val="23"/>
                <w:szCs w:val="23"/>
                <w:color w:val="auto"/>
              </w:rPr>
            </w:pPr>
          </w:p>
        </w:tc>
      </w:tr>
      <w:tr>
        <w:trPr>
          <w:trHeight w:val="270"/>
        </w:trPr>
        <w:tc>
          <w:tcPr>
            <w:tcW w:w="5980" w:type="dxa"/>
            <w:vAlign w:val="bottom"/>
          </w:tcPr>
          <w:p>
            <w:pPr>
              <w:ind w:left="180"/>
              <w:spacing w:after="0"/>
              <w:rPr>
                <w:sz w:val="20"/>
                <w:szCs w:val="20"/>
                <w:color w:val="auto"/>
              </w:rPr>
            </w:pPr>
            <w:r>
              <w:rPr>
                <w:rFonts w:ascii="Arial" w:cs="Arial" w:eastAsia="Arial" w:hAnsi="Arial"/>
                <w:sz w:val="16"/>
                <w:szCs w:val="16"/>
                <w:color w:val="auto"/>
              </w:rPr>
              <w:t>Graham Holdings Retired Employee Payroll Master, LLC</w:t>
            </w:r>
          </w:p>
        </w:tc>
        <w:tc>
          <w:tcPr>
            <w:tcW w:w="2720" w:type="dxa"/>
            <w:vAlign w:val="bottom"/>
          </w:tcPr>
          <w:p>
            <w:pPr>
              <w:ind w:left="680"/>
              <w:spacing w:after="0"/>
              <w:rPr>
                <w:sz w:val="20"/>
                <w:szCs w:val="20"/>
                <w:color w:val="auto"/>
              </w:rPr>
            </w:pPr>
            <w:r>
              <w:rPr>
                <w:rFonts w:ascii="Arial" w:cs="Arial" w:eastAsia="Arial" w:hAnsi="Arial"/>
                <w:sz w:val="16"/>
                <w:szCs w:val="16"/>
                <w:color w:val="auto"/>
              </w:rPr>
              <w:t>Delaware</w:t>
            </w:r>
          </w:p>
        </w:tc>
        <w:tc>
          <w:tcPr>
            <w:tcW w:w="1380" w:type="dxa"/>
            <w:vAlign w:val="bottom"/>
          </w:tcPr>
          <w:p>
            <w:pPr>
              <w:jc w:val="right"/>
              <w:spacing w:after="0"/>
              <w:rPr>
                <w:sz w:val="20"/>
                <w:szCs w:val="20"/>
                <w:color w:val="auto"/>
              </w:rPr>
            </w:pPr>
            <w:r>
              <w:rPr>
                <w:rFonts w:ascii="Arial" w:cs="Arial" w:eastAsia="Arial" w:hAnsi="Arial"/>
                <w:sz w:val="16"/>
                <w:szCs w:val="16"/>
                <w:color w:val="auto"/>
              </w:rPr>
              <w:t>100%</w:t>
            </w:r>
          </w:p>
        </w:tc>
        <w:tc>
          <w:tcPr>
            <w:tcW w:w="260" w:type="dxa"/>
            <w:vAlign w:val="bottom"/>
          </w:tcPr>
          <w:p>
            <w:pPr>
              <w:spacing w:after="0"/>
              <w:rPr>
                <w:sz w:val="23"/>
                <w:szCs w:val="23"/>
                <w:color w:val="auto"/>
              </w:rPr>
            </w:pPr>
          </w:p>
        </w:tc>
      </w:tr>
      <w:tr>
        <w:trPr>
          <w:trHeight w:val="270"/>
        </w:trPr>
        <w:tc>
          <w:tcPr>
            <w:tcW w:w="5980" w:type="dxa"/>
            <w:vAlign w:val="bottom"/>
          </w:tcPr>
          <w:p>
            <w:pPr>
              <w:ind w:left="180"/>
              <w:spacing w:after="0"/>
              <w:rPr>
                <w:sz w:val="20"/>
                <w:szCs w:val="20"/>
                <w:color w:val="auto"/>
              </w:rPr>
            </w:pPr>
            <w:r>
              <w:rPr>
                <w:rFonts w:ascii="Arial" w:cs="Arial" w:eastAsia="Arial" w:hAnsi="Arial"/>
                <w:sz w:val="16"/>
                <w:szCs w:val="16"/>
                <w:color w:val="auto"/>
              </w:rPr>
              <w:t>Kaplan International, LLC</w:t>
            </w:r>
          </w:p>
        </w:tc>
        <w:tc>
          <w:tcPr>
            <w:tcW w:w="2720" w:type="dxa"/>
            <w:vAlign w:val="bottom"/>
          </w:tcPr>
          <w:p>
            <w:pPr>
              <w:ind w:left="680"/>
              <w:spacing w:after="0"/>
              <w:rPr>
                <w:sz w:val="20"/>
                <w:szCs w:val="20"/>
                <w:color w:val="auto"/>
              </w:rPr>
            </w:pPr>
            <w:r>
              <w:rPr>
                <w:rFonts w:ascii="Arial" w:cs="Arial" w:eastAsia="Arial" w:hAnsi="Arial"/>
                <w:sz w:val="16"/>
                <w:szCs w:val="16"/>
                <w:color w:val="auto"/>
              </w:rPr>
              <w:t>Delaware</w:t>
            </w:r>
          </w:p>
        </w:tc>
        <w:tc>
          <w:tcPr>
            <w:tcW w:w="1380" w:type="dxa"/>
            <w:vAlign w:val="bottom"/>
          </w:tcPr>
          <w:p>
            <w:pPr>
              <w:jc w:val="right"/>
              <w:spacing w:after="0"/>
              <w:rPr>
                <w:sz w:val="20"/>
                <w:szCs w:val="20"/>
                <w:color w:val="auto"/>
              </w:rPr>
            </w:pPr>
            <w:r>
              <w:rPr>
                <w:rFonts w:ascii="Arial" w:cs="Arial" w:eastAsia="Arial" w:hAnsi="Arial"/>
                <w:sz w:val="16"/>
                <w:szCs w:val="16"/>
                <w:color w:val="auto"/>
              </w:rPr>
              <w:t>100%</w:t>
            </w:r>
          </w:p>
        </w:tc>
        <w:tc>
          <w:tcPr>
            <w:tcW w:w="260" w:type="dxa"/>
            <w:vAlign w:val="bottom"/>
          </w:tcPr>
          <w:p>
            <w:pPr>
              <w:spacing w:after="0"/>
              <w:rPr>
                <w:sz w:val="23"/>
                <w:szCs w:val="23"/>
                <w:color w:val="auto"/>
              </w:rPr>
            </w:pPr>
          </w:p>
        </w:tc>
      </w:tr>
      <w:tr>
        <w:trPr>
          <w:trHeight w:val="270"/>
        </w:trPr>
        <w:tc>
          <w:tcPr>
            <w:tcW w:w="5980" w:type="dxa"/>
            <w:vAlign w:val="bottom"/>
          </w:tcPr>
          <w:p>
            <w:pPr>
              <w:ind w:left="180"/>
              <w:spacing w:after="0"/>
              <w:rPr>
                <w:sz w:val="20"/>
                <w:szCs w:val="20"/>
                <w:color w:val="auto"/>
              </w:rPr>
            </w:pPr>
            <w:r>
              <w:rPr>
                <w:rFonts w:ascii="Arial" w:cs="Arial" w:eastAsia="Arial" w:hAnsi="Arial"/>
                <w:sz w:val="16"/>
                <w:szCs w:val="16"/>
                <w:color w:val="auto"/>
              </w:rPr>
              <w:t>Kaplan Test Prep and Admissions Limited</w:t>
            </w:r>
          </w:p>
        </w:tc>
        <w:tc>
          <w:tcPr>
            <w:tcW w:w="2720" w:type="dxa"/>
            <w:vAlign w:val="bottom"/>
          </w:tcPr>
          <w:p>
            <w:pPr>
              <w:ind w:left="680"/>
              <w:spacing w:after="0"/>
              <w:rPr>
                <w:sz w:val="20"/>
                <w:szCs w:val="20"/>
                <w:color w:val="auto"/>
              </w:rPr>
            </w:pPr>
            <w:r>
              <w:rPr>
                <w:rFonts w:ascii="Arial" w:cs="Arial" w:eastAsia="Arial" w:hAnsi="Arial"/>
                <w:sz w:val="16"/>
                <w:szCs w:val="16"/>
                <w:color w:val="auto"/>
              </w:rPr>
              <w:t>England &amp; Wales</w:t>
            </w:r>
          </w:p>
        </w:tc>
        <w:tc>
          <w:tcPr>
            <w:tcW w:w="1380" w:type="dxa"/>
            <w:vAlign w:val="bottom"/>
          </w:tcPr>
          <w:p>
            <w:pPr>
              <w:jc w:val="right"/>
              <w:spacing w:after="0"/>
              <w:rPr>
                <w:sz w:val="20"/>
                <w:szCs w:val="20"/>
                <w:color w:val="auto"/>
              </w:rPr>
            </w:pPr>
            <w:r>
              <w:rPr>
                <w:rFonts w:ascii="Arial" w:cs="Arial" w:eastAsia="Arial" w:hAnsi="Arial"/>
                <w:sz w:val="16"/>
                <w:szCs w:val="16"/>
                <w:color w:val="auto"/>
              </w:rPr>
              <w:t>100%</w:t>
            </w:r>
          </w:p>
        </w:tc>
        <w:tc>
          <w:tcPr>
            <w:tcW w:w="260" w:type="dxa"/>
            <w:vAlign w:val="bottom"/>
          </w:tcPr>
          <w:p>
            <w:pPr>
              <w:spacing w:after="0"/>
              <w:rPr>
                <w:sz w:val="23"/>
                <w:szCs w:val="23"/>
                <w:color w:val="auto"/>
              </w:rPr>
            </w:pPr>
          </w:p>
        </w:tc>
      </w:tr>
      <w:tr>
        <w:trPr>
          <w:trHeight w:val="270"/>
        </w:trPr>
        <w:tc>
          <w:tcPr>
            <w:tcW w:w="5980" w:type="dxa"/>
            <w:vAlign w:val="bottom"/>
          </w:tcPr>
          <w:p>
            <w:pPr>
              <w:ind w:left="180"/>
              <w:spacing w:after="0"/>
              <w:rPr>
                <w:sz w:val="20"/>
                <w:szCs w:val="20"/>
                <w:color w:val="auto"/>
              </w:rPr>
            </w:pPr>
            <w:r>
              <w:rPr>
                <w:rFonts w:ascii="Arial" w:cs="Arial" w:eastAsia="Arial" w:hAnsi="Arial"/>
                <w:sz w:val="16"/>
                <w:szCs w:val="16"/>
                <w:color w:val="auto"/>
              </w:rPr>
              <w:t>Kaplan (Canada) Ltd.</w:t>
            </w:r>
          </w:p>
        </w:tc>
        <w:tc>
          <w:tcPr>
            <w:tcW w:w="2720" w:type="dxa"/>
            <w:vAlign w:val="bottom"/>
          </w:tcPr>
          <w:p>
            <w:pPr>
              <w:ind w:left="680"/>
              <w:spacing w:after="0"/>
              <w:rPr>
                <w:sz w:val="20"/>
                <w:szCs w:val="20"/>
                <w:color w:val="auto"/>
              </w:rPr>
            </w:pPr>
            <w:r>
              <w:rPr>
                <w:rFonts w:ascii="Arial" w:cs="Arial" w:eastAsia="Arial" w:hAnsi="Arial"/>
                <w:sz w:val="16"/>
                <w:szCs w:val="16"/>
                <w:color w:val="auto"/>
              </w:rPr>
              <w:t>Ontario</w:t>
            </w:r>
          </w:p>
        </w:tc>
        <w:tc>
          <w:tcPr>
            <w:tcW w:w="1380" w:type="dxa"/>
            <w:vAlign w:val="bottom"/>
          </w:tcPr>
          <w:p>
            <w:pPr>
              <w:jc w:val="right"/>
              <w:spacing w:after="0"/>
              <w:rPr>
                <w:sz w:val="20"/>
                <w:szCs w:val="20"/>
                <w:color w:val="auto"/>
              </w:rPr>
            </w:pPr>
            <w:r>
              <w:rPr>
                <w:rFonts w:ascii="Arial" w:cs="Arial" w:eastAsia="Arial" w:hAnsi="Arial"/>
                <w:sz w:val="16"/>
                <w:szCs w:val="16"/>
                <w:color w:val="auto"/>
              </w:rPr>
              <w:t>100%</w:t>
            </w:r>
          </w:p>
        </w:tc>
        <w:tc>
          <w:tcPr>
            <w:tcW w:w="260" w:type="dxa"/>
            <w:vAlign w:val="bottom"/>
          </w:tcPr>
          <w:p>
            <w:pPr>
              <w:spacing w:after="0"/>
              <w:rPr>
                <w:sz w:val="23"/>
                <w:szCs w:val="23"/>
                <w:color w:val="auto"/>
              </w:rPr>
            </w:pPr>
          </w:p>
        </w:tc>
      </w:tr>
      <w:tr>
        <w:trPr>
          <w:trHeight w:val="270"/>
        </w:trPr>
        <w:tc>
          <w:tcPr>
            <w:tcW w:w="5980" w:type="dxa"/>
            <w:vAlign w:val="bottom"/>
          </w:tcPr>
          <w:p>
            <w:pPr>
              <w:ind w:left="360"/>
              <w:spacing w:after="0"/>
              <w:rPr>
                <w:sz w:val="20"/>
                <w:szCs w:val="20"/>
                <w:color w:val="auto"/>
              </w:rPr>
            </w:pPr>
            <w:r>
              <w:rPr>
                <w:rFonts w:ascii="Arial" w:cs="Arial" w:eastAsia="Arial" w:hAnsi="Arial"/>
                <w:sz w:val="16"/>
                <w:szCs w:val="16"/>
                <w:color w:val="auto"/>
              </w:rPr>
              <w:t>U.S. CPA ExamPrep, Inc.</w:t>
            </w:r>
          </w:p>
        </w:tc>
        <w:tc>
          <w:tcPr>
            <w:tcW w:w="2720" w:type="dxa"/>
            <w:vAlign w:val="bottom"/>
          </w:tcPr>
          <w:p>
            <w:pPr>
              <w:ind w:left="680"/>
              <w:spacing w:after="0"/>
              <w:rPr>
                <w:sz w:val="20"/>
                <w:szCs w:val="20"/>
                <w:color w:val="auto"/>
              </w:rPr>
            </w:pPr>
            <w:r>
              <w:rPr>
                <w:rFonts w:ascii="Arial" w:cs="Arial" w:eastAsia="Arial" w:hAnsi="Arial"/>
                <w:sz w:val="16"/>
                <w:szCs w:val="16"/>
                <w:color w:val="auto"/>
              </w:rPr>
              <w:t>Ontario</w:t>
            </w:r>
          </w:p>
        </w:tc>
        <w:tc>
          <w:tcPr>
            <w:tcW w:w="1380" w:type="dxa"/>
            <w:vAlign w:val="bottom"/>
          </w:tcPr>
          <w:p>
            <w:pPr>
              <w:jc w:val="right"/>
              <w:spacing w:after="0"/>
              <w:rPr>
                <w:sz w:val="20"/>
                <w:szCs w:val="20"/>
                <w:color w:val="auto"/>
              </w:rPr>
            </w:pPr>
            <w:r>
              <w:rPr>
                <w:rFonts w:ascii="Arial" w:cs="Arial" w:eastAsia="Arial" w:hAnsi="Arial"/>
                <w:sz w:val="16"/>
                <w:szCs w:val="16"/>
                <w:color w:val="auto"/>
              </w:rPr>
              <w:t>100%</w:t>
            </w:r>
          </w:p>
        </w:tc>
        <w:tc>
          <w:tcPr>
            <w:tcW w:w="260" w:type="dxa"/>
            <w:vAlign w:val="bottom"/>
          </w:tcPr>
          <w:p>
            <w:pPr>
              <w:spacing w:after="0"/>
              <w:rPr>
                <w:sz w:val="23"/>
                <w:szCs w:val="23"/>
                <w:color w:val="auto"/>
              </w:rPr>
            </w:pPr>
          </w:p>
        </w:tc>
      </w:tr>
      <w:tr>
        <w:trPr>
          <w:trHeight w:val="270"/>
        </w:trPr>
        <w:tc>
          <w:tcPr>
            <w:tcW w:w="5980" w:type="dxa"/>
            <w:vAlign w:val="bottom"/>
          </w:tcPr>
          <w:p>
            <w:pPr>
              <w:ind w:left="180"/>
              <w:spacing w:after="0"/>
              <w:rPr>
                <w:sz w:val="20"/>
                <w:szCs w:val="20"/>
                <w:color w:val="auto"/>
              </w:rPr>
            </w:pPr>
            <w:r>
              <w:rPr>
                <w:rFonts w:ascii="Arial" w:cs="Arial" w:eastAsia="Arial" w:hAnsi="Arial"/>
                <w:sz w:val="16"/>
                <w:szCs w:val="16"/>
                <w:color w:val="auto"/>
              </w:rPr>
              <w:t>Kaplan Educational Services de Mexico, S. de R.L. de C.V.</w:t>
            </w:r>
          </w:p>
        </w:tc>
        <w:tc>
          <w:tcPr>
            <w:tcW w:w="2720" w:type="dxa"/>
            <w:vAlign w:val="bottom"/>
          </w:tcPr>
          <w:p>
            <w:pPr>
              <w:ind w:left="680"/>
              <w:spacing w:after="0"/>
              <w:rPr>
                <w:sz w:val="20"/>
                <w:szCs w:val="20"/>
                <w:color w:val="auto"/>
              </w:rPr>
            </w:pPr>
            <w:r>
              <w:rPr>
                <w:rFonts w:ascii="Arial" w:cs="Arial" w:eastAsia="Arial" w:hAnsi="Arial"/>
                <w:sz w:val="16"/>
                <w:szCs w:val="16"/>
                <w:color w:val="auto"/>
              </w:rPr>
              <w:t>Mexico</w:t>
            </w:r>
          </w:p>
        </w:tc>
        <w:tc>
          <w:tcPr>
            <w:tcW w:w="1380" w:type="dxa"/>
            <w:vAlign w:val="bottom"/>
          </w:tcPr>
          <w:p>
            <w:pPr>
              <w:jc w:val="right"/>
              <w:spacing w:after="0"/>
              <w:rPr>
                <w:sz w:val="20"/>
                <w:szCs w:val="20"/>
                <w:color w:val="auto"/>
              </w:rPr>
            </w:pPr>
            <w:r>
              <w:rPr>
                <w:rFonts w:ascii="Arial" w:cs="Arial" w:eastAsia="Arial" w:hAnsi="Arial"/>
                <w:sz w:val="16"/>
                <w:szCs w:val="16"/>
                <w:color w:val="auto"/>
              </w:rPr>
              <w:t>100%</w:t>
            </w:r>
          </w:p>
        </w:tc>
        <w:tc>
          <w:tcPr>
            <w:tcW w:w="260" w:type="dxa"/>
            <w:vAlign w:val="bottom"/>
          </w:tcPr>
          <w:p>
            <w:pPr>
              <w:ind w:left="40"/>
              <w:spacing w:after="0"/>
              <w:rPr>
                <w:sz w:val="20"/>
                <w:szCs w:val="20"/>
                <w:color w:val="auto"/>
              </w:rPr>
            </w:pPr>
            <w:r>
              <w:rPr>
                <w:rFonts w:ascii="Arial" w:cs="Arial" w:eastAsia="Arial" w:hAnsi="Arial"/>
                <w:sz w:val="16"/>
                <w:szCs w:val="16"/>
                <w:color w:val="auto"/>
              </w:rPr>
              <w:t>(f)</w:t>
            </w:r>
          </w:p>
        </w:tc>
      </w:tr>
      <w:tr>
        <w:trPr>
          <w:trHeight w:val="290"/>
        </w:trPr>
        <w:tc>
          <w:tcPr>
            <w:tcW w:w="5980" w:type="dxa"/>
            <w:vAlign w:val="bottom"/>
          </w:tcPr>
          <w:p>
            <w:pPr>
              <w:ind w:left="180"/>
              <w:spacing w:after="0"/>
              <w:rPr>
                <w:sz w:val="20"/>
                <w:szCs w:val="20"/>
                <w:color w:val="auto"/>
              </w:rPr>
            </w:pPr>
            <w:r>
              <w:rPr>
                <w:rFonts w:ascii="Arial" w:cs="Arial" w:eastAsia="Arial" w:hAnsi="Arial"/>
                <w:sz w:val="16"/>
                <w:szCs w:val="16"/>
                <w:color w:val="auto"/>
              </w:rPr>
              <w:t>Education HR Services Mexico, S. de R.L. de C.V.</w:t>
            </w:r>
          </w:p>
        </w:tc>
        <w:tc>
          <w:tcPr>
            <w:tcW w:w="2720" w:type="dxa"/>
            <w:vAlign w:val="bottom"/>
          </w:tcPr>
          <w:p>
            <w:pPr>
              <w:ind w:left="680"/>
              <w:spacing w:after="0"/>
              <w:rPr>
                <w:sz w:val="20"/>
                <w:szCs w:val="20"/>
                <w:color w:val="auto"/>
              </w:rPr>
            </w:pPr>
            <w:r>
              <w:rPr>
                <w:rFonts w:ascii="Arial" w:cs="Arial" w:eastAsia="Arial" w:hAnsi="Arial"/>
                <w:sz w:val="16"/>
                <w:szCs w:val="16"/>
                <w:color w:val="auto"/>
              </w:rPr>
              <w:t>Mexico</w:t>
            </w:r>
          </w:p>
        </w:tc>
        <w:tc>
          <w:tcPr>
            <w:tcW w:w="1380" w:type="dxa"/>
            <w:vAlign w:val="bottom"/>
          </w:tcPr>
          <w:p>
            <w:pPr>
              <w:jc w:val="right"/>
              <w:spacing w:after="0"/>
              <w:rPr>
                <w:sz w:val="20"/>
                <w:szCs w:val="20"/>
                <w:color w:val="auto"/>
              </w:rPr>
            </w:pPr>
            <w:r>
              <w:rPr>
                <w:rFonts w:ascii="Arial" w:cs="Arial" w:eastAsia="Arial" w:hAnsi="Arial"/>
                <w:sz w:val="16"/>
                <w:szCs w:val="16"/>
                <w:color w:val="auto"/>
              </w:rPr>
              <w:t>100%</w:t>
            </w:r>
          </w:p>
        </w:tc>
        <w:tc>
          <w:tcPr>
            <w:tcW w:w="260" w:type="dxa"/>
            <w:vAlign w:val="bottom"/>
          </w:tcPr>
          <w:p>
            <w:pPr>
              <w:ind w:left="40"/>
              <w:spacing w:after="0"/>
              <w:rPr>
                <w:sz w:val="20"/>
                <w:szCs w:val="20"/>
                <w:color w:val="auto"/>
              </w:rPr>
            </w:pPr>
            <w:r>
              <w:rPr>
                <w:rFonts w:ascii="Arial" w:cs="Arial" w:eastAsia="Arial" w:hAnsi="Arial"/>
                <w:sz w:val="18"/>
                <w:szCs w:val="18"/>
                <w:color w:val="auto"/>
              </w:rPr>
              <w:t>(f)</w:t>
            </w:r>
          </w:p>
        </w:tc>
      </w:tr>
      <w:tr>
        <w:trPr>
          <w:trHeight w:val="251"/>
        </w:trPr>
        <w:tc>
          <w:tcPr>
            <w:tcW w:w="5980" w:type="dxa"/>
            <w:vAlign w:val="bottom"/>
          </w:tcPr>
          <w:p>
            <w:pPr>
              <w:ind w:left="180"/>
              <w:spacing w:after="0"/>
              <w:rPr>
                <w:sz w:val="20"/>
                <w:szCs w:val="20"/>
                <w:color w:val="auto"/>
              </w:rPr>
            </w:pPr>
            <w:r>
              <w:rPr>
                <w:rFonts w:ascii="Arial" w:cs="Arial" w:eastAsia="Arial" w:hAnsi="Arial"/>
                <w:sz w:val="16"/>
                <w:szCs w:val="16"/>
                <w:color w:val="auto"/>
              </w:rPr>
              <w:t>Kaplan English Colleges Pty Limited</w:t>
            </w:r>
          </w:p>
        </w:tc>
        <w:tc>
          <w:tcPr>
            <w:tcW w:w="2720" w:type="dxa"/>
            <w:vAlign w:val="bottom"/>
          </w:tcPr>
          <w:p>
            <w:pPr>
              <w:ind w:left="680"/>
              <w:spacing w:after="0"/>
              <w:rPr>
                <w:sz w:val="20"/>
                <w:szCs w:val="20"/>
                <w:color w:val="auto"/>
              </w:rPr>
            </w:pPr>
            <w:r>
              <w:rPr>
                <w:rFonts w:ascii="Arial" w:cs="Arial" w:eastAsia="Arial" w:hAnsi="Arial"/>
                <w:sz w:val="16"/>
                <w:szCs w:val="16"/>
                <w:color w:val="auto"/>
              </w:rPr>
              <w:t>Australia</w:t>
            </w:r>
          </w:p>
        </w:tc>
        <w:tc>
          <w:tcPr>
            <w:tcW w:w="1380" w:type="dxa"/>
            <w:vAlign w:val="bottom"/>
          </w:tcPr>
          <w:p>
            <w:pPr>
              <w:jc w:val="right"/>
              <w:spacing w:after="0"/>
              <w:rPr>
                <w:sz w:val="20"/>
                <w:szCs w:val="20"/>
                <w:color w:val="auto"/>
              </w:rPr>
            </w:pPr>
            <w:r>
              <w:rPr>
                <w:rFonts w:ascii="Arial" w:cs="Arial" w:eastAsia="Arial" w:hAnsi="Arial"/>
                <w:sz w:val="16"/>
                <w:szCs w:val="16"/>
                <w:color w:val="auto"/>
              </w:rPr>
              <w:t>100%</w:t>
            </w:r>
          </w:p>
        </w:tc>
        <w:tc>
          <w:tcPr>
            <w:tcW w:w="260" w:type="dxa"/>
            <w:vAlign w:val="bottom"/>
          </w:tcPr>
          <w:p>
            <w:pPr>
              <w:spacing w:after="0"/>
              <w:rPr>
                <w:sz w:val="21"/>
                <w:szCs w:val="21"/>
                <w:color w:val="auto"/>
              </w:rPr>
            </w:pPr>
          </w:p>
        </w:tc>
      </w:tr>
      <w:tr>
        <w:trPr>
          <w:trHeight w:val="270"/>
        </w:trPr>
        <w:tc>
          <w:tcPr>
            <w:tcW w:w="5980" w:type="dxa"/>
            <w:vAlign w:val="bottom"/>
          </w:tcPr>
          <w:p>
            <w:pPr>
              <w:ind w:left="360"/>
              <w:spacing w:after="0"/>
              <w:rPr>
                <w:sz w:val="20"/>
                <w:szCs w:val="20"/>
                <w:color w:val="auto"/>
              </w:rPr>
            </w:pPr>
            <w:r>
              <w:rPr>
                <w:rFonts w:ascii="Arial" w:cs="Arial" w:eastAsia="Arial" w:hAnsi="Arial"/>
                <w:sz w:val="16"/>
                <w:szCs w:val="16"/>
                <w:color w:val="auto"/>
              </w:rPr>
              <w:t>Kaplan International (Cairns) Pty Limited</w:t>
            </w:r>
          </w:p>
        </w:tc>
        <w:tc>
          <w:tcPr>
            <w:tcW w:w="2720" w:type="dxa"/>
            <w:vAlign w:val="bottom"/>
          </w:tcPr>
          <w:p>
            <w:pPr>
              <w:ind w:left="680"/>
              <w:spacing w:after="0"/>
              <w:rPr>
                <w:sz w:val="20"/>
                <w:szCs w:val="20"/>
                <w:color w:val="auto"/>
              </w:rPr>
            </w:pPr>
            <w:r>
              <w:rPr>
                <w:rFonts w:ascii="Arial" w:cs="Arial" w:eastAsia="Arial" w:hAnsi="Arial"/>
                <w:sz w:val="16"/>
                <w:szCs w:val="16"/>
                <w:color w:val="auto"/>
              </w:rPr>
              <w:t>Australia</w:t>
            </w:r>
          </w:p>
        </w:tc>
        <w:tc>
          <w:tcPr>
            <w:tcW w:w="1380" w:type="dxa"/>
            <w:vAlign w:val="bottom"/>
          </w:tcPr>
          <w:p>
            <w:pPr>
              <w:jc w:val="right"/>
              <w:spacing w:after="0"/>
              <w:rPr>
                <w:sz w:val="20"/>
                <w:szCs w:val="20"/>
                <w:color w:val="auto"/>
              </w:rPr>
            </w:pPr>
            <w:r>
              <w:rPr>
                <w:rFonts w:ascii="Arial" w:cs="Arial" w:eastAsia="Arial" w:hAnsi="Arial"/>
                <w:sz w:val="16"/>
                <w:szCs w:val="16"/>
                <w:color w:val="auto"/>
              </w:rPr>
              <w:t>100%</w:t>
            </w:r>
          </w:p>
        </w:tc>
        <w:tc>
          <w:tcPr>
            <w:tcW w:w="260" w:type="dxa"/>
            <w:vAlign w:val="bottom"/>
          </w:tcPr>
          <w:p>
            <w:pPr>
              <w:spacing w:after="0"/>
              <w:rPr>
                <w:sz w:val="23"/>
                <w:szCs w:val="23"/>
                <w:color w:val="auto"/>
              </w:rPr>
            </w:pPr>
          </w:p>
        </w:tc>
      </w:tr>
      <w:tr>
        <w:trPr>
          <w:trHeight w:val="270"/>
        </w:trPr>
        <w:tc>
          <w:tcPr>
            <w:tcW w:w="5980" w:type="dxa"/>
            <w:vAlign w:val="bottom"/>
          </w:tcPr>
          <w:p>
            <w:pPr>
              <w:ind w:left="360"/>
              <w:spacing w:after="0"/>
              <w:rPr>
                <w:sz w:val="20"/>
                <w:szCs w:val="20"/>
                <w:color w:val="auto"/>
              </w:rPr>
            </w:pPr>
            <w:r>
              <w:rPr>
                <w:rFonts w:ascii="Arial" w:cs="Arial" w:eastAsia="Arial" w:hAnsi="Arial"/>
                <w:sz w:val="16"/>
                <w:szCs w:val="16"/>
                <w:color w:val="auto"/>
              </w:rPr>
              <w:t>Kaplan International (Brisbane) Pty Limited</w:t>
            </w:r>
          </w:p>
        </w:tc>
        <w:tc>
          <w:tcPr>
            <w:tcW w:w="2720" w:type="dxa"/>
            <w:vAlign w:val="bottom"/>
          </w:tcPr>
          <w:p>
            <w:pPr>
              <w:ind w:left="680"/>
              <w:spacing w:after="0"/>
              <w:rPr>
                <w:sz w:val="20"/>
                <w:szCs w:val="20"/>
                <w:color w:val="auto"/>
              </w:rPr>
            </w:pPr>
            <w:r>
              <w:rPr>
                <w:rFonts w:ascii="Arial" w:cs="Arial" w:eastAsia="Arial" w:hAnsi="Arial"/>
                <w:sz w:val="16"/>
                <w:szCs w:val="16"/>
                <w:color w:val="auto"/>
              </w:rPr>
              <w:t>Australia</w:t>
            </w:r>
          </w:p>
        </w:tc>
        <w:tc>
          <w:tcPr>
            <w:tcW w:w="1380" w:type="dxa"/>
            <w:vAlign w:val="bottom"/>
          </w:tcPr>
          <w:p>
            <w:pPr>
              <w:jc w:val="right"/>
              <w:spacing w:after="0"/>
              <w:rPr>
                <w:sz w:val="20"/>
                <w:szCs w:val="20"/>
                <w:color w:val="auto"/>
              </w:rPr>
            </w:pPr>
            <w:r>
              <w:rPr>
                <w:rFonts w:ascii="Arial" w:cs="Arial" w:eastAsia="Arial" w:hAnsi="Arial"/>
                <w:sz w:val="16"/>
                <w:szCs w:val="16"/>
                <w:color w:val="auto"/>
              </w:rPr>
              <w:t>100%</w:t>
            </w:r>
          </w:p>
        </w:tc>
        <w:tc>
          <w:tcPr>
            <w:tcW w:w="260" w:type="dxa"/>
            <w:vAlign w:val="bottom"/>
          </w:tcPr>
          <w:p>
            <w:pPr>
              <w:spacing w:after="0"/>
              <w:rPr>
                <w:sz w:val="23"/>
                <w:szCs w:val="23"/>
                <w:color w:val="auto"/>
              </w:rPr>
            </w:pPr>
          </w:p>
        </w:tc>
      </w:tr>
      <w:tr>
        <w:trPr>
          <w:trHeight w:val="270"/>
        </w:trPr>
        <w:tc>
          <w:tcPr>
            <w:tcW w:w="5980" w:type="dxa"/>
            <w:vAlign w:val="bottom"/>
          </w:tcPr>
          <w:p>
            <w:pPr>
              <w:ind w:left="180"/>
              <w:spacing w:after="0"/>
              <w:rPr>
                <w:sz w:val="20"/>
                <w:szCs w:val="20"/>
                <w:color w:val="auto"/>
              </w:rPr>
            </w:pPr>
            <w:r>
              <w:rPr>
                <w:rFonts w:ascii="Arial" w:cs="Arial" w:eastAsia="Arial" w:hAnsi="Arial"/>
                <w:sz w:val="16"/>
                <w:szCs w:val="16"/>
                <w:color w:val="auto"/>
              </w:rPr>
              <w:t>Kaplan Higher Education, LLC</w:t>
            </w:r>
          </w:p>
        </w:tc>
        <w:tc>
          <w:tcPr>
            <w:tcW w:w="2720" w:type="dxa"/>
            <w:vAlign w:val="bottom"/>
          </w:tcPr>
          <w:p>
            <w:pPr>
              <w:ind w:left="680"/>
              <w:spacing w:after="0"/>
              <w:rPr>
                <w:sz w:val="20"/>
                <w:szCs w:val="20"/>
                <w:color w:val="auto"/>
              </w:rPr>
            </w:pPr>
            <w:r>
              <w:rPr>
                <w:rFonts w:ascii="Arial" w:cs="Arial" w:eastAsia="Arial" w:hAnsi="Arial"/>
                <w:sz w:val="16"/>
                <w:szCs w:val="16"/>
                <w:color w:val="auto"/>
              </w:rPr>
              <w:t>Delaware</w:t>
            </w:r>
          </w:p>
        </w:tc>
        <w:tc>
          <w:tcPr>
            <w:tcW w:w="1380" w:type="dxa"/>
            <w:vAlign w:val="bottom"/>
          </w:tcPr>
          <w:p>
            <w:pPr>
              <w:jc w:val="right"/>
              <w:spacing w:after="0"/>
              <w:rPr>
                <w:sz w:val="20"/>
                <w:szCs w:val="20"/>
                <w:color w:val="auto"/>
              </w:rPr>
            </w:pPr>
            <w:r>
              <w:rPr>
                <w:rFonts w:ascii="Arial" w:cs="Arial" w:eastAsia="Arial" w:hAnsi="Arial"/>
                <w:sz w:val="16"/>
                <w:szCs w:val="16"/>
                <w:color w:val="auto"/>
              </w:rPr>
              <w:t>100%</w:t>
            </w:r>
          </w:p>
        </w:tc>
        <w:tc>
          <w:tcPr>
            <w:tcW w:w="260" w:type="dxa"/>
            <w:vAlign w:val="bottom"/>
          </w:tcPr>
          <w:p>
            <w:pPr>
              <w:spacing w:after="0"/>
              <w:rPr>
                <w:sz w:val="23"/>
                <w:szCs w:val="23"/>
                <w:color w:val="auto"/>
              </w:rPr>
            </w:pPr>
          </w:p>
        </w:tc>
      </w:tr>
      <w:tr>
        <w:trPr>
          <w:trHeight w:val="270"/>
        </w:trPr>
        <w:tc>
          <w:tcPr>
            <w:tcW w:w="5980" w:type="dxa"/>
            <w:vAlign w:val="bottom"/>
          </w:tcPr>
          <w:p>
            <w:pPr>
              <w:ind w:left="360"/>
              <w:spacing w:after="0"/>
              <w:rPr>
                <w:sz w:val="20"/>
                <w:szCs w:val="20"/>
                <w:color w:val="auto"/>
              </w:rPr>
            </w:pPr>
            <w:r>
              <w:rPr>
                <w:rFonts w:ascii="Arial" w:cs="Arial" w:eastAsia="Arial" w:hAnsi="Arial"/>
                <w:sz w:val="16"/>
                <w:szCs w:val="16"/>
                <w:color w:val="auto"/>
              </w:rPr>
              <w:t>Iowa College Acquisition, LLC</w:t>
            </w:r>
          </w:p>
        </w:tc>
        <w:tc>
          <w:tcPr>
            <w:tcW w:w="2720" w:type="dxa"/>
            <w:vAlign w:val="bottom"/>
          </w:tcPr>
          <w:p>
            <w:pPr>
              <w:ind w:left="680"/>
              <w:spacing w:after="0"/>
              <w:rPr>
                <w:sz w:val="20"/>
                <w:szCs w:val="20"/>
                <w:color w:val="auto"/>
              </w:rPr>
            </w:pPr>
            <w:r>
              <w:rPr>
                <w:rFonts w:ascii="Arial" w:cs="Arial" w:eastAsia="Arial" w:hAnsi="Arial"/>
                <w:sz w:val="16"/>
                <w:szCs w:val="16"/>
                <w:color w:val="auto"/>
              </w:rPr>
              <w:t>Delaware</w:t>
            </w:r>
          </w:p>
        </w:tc>
        <w:tc>
          <w:tcPr>
            <w:tcW w:w="1380" w:type="dxa"/>
            <w:vAlign w:val="bottom"/>
          </w:tcPr>
          <w:p>
            <w:pPr>
              <w:jc w:val="right"/>
              <w:spacing w:after="0"/>
              <w:rPr>
                <w:sz w:val="20"/>
                <w:szCs w:val="20"/>
                <w:color w:val="auto"/>
              </w:rPr>
            </w:pPr>
            <w:r>
              <w:rPr>
                <w:rFonts w:ascii="Arial" w:cs="Arial" w:eastAsia="Arial" w:hAnsi="Arial"/>
                <w:sz w:val="16"/>
                <w:szCs w:val="16"/>
                <w:color w:val="auto"/>
              </w:rPr>
              <w:t>100%</w:t>
            </w:r>
          </w:p>
        </w:tc>
        <w:tc>
          <w:tcPr>
            <w:tcW w:w="260" w:type="dxa"/>
            <w:vAlign w:val="bottom"/>
          </w:tcPr>
          <w:p>
            <w:pPr>
              <w:spacing w:after="0"/>
              <w:rPr>
                <w:sz w:val="23"/>
                <w:szCs w:val="23"/>
                <w:color w:val="auto"/>
              </w:rPr>
            </w:pPr>
          </w:p>
        </w:tc>
      </w:tr>
      <w:tr>
        <w:trPr>
          <w:trHeight w:val="270"/>
        </w:trPr>
        <w:tc>
          <w:tcPr>
            <w:tcW w:w="5980" w:type="dxa"/>
            <w:vAlign w:val="bottom"/>
          </w:tcPr>
          <w:p>
            <w:pPr>
              <w:ind w:left="580"/>
              <w:spacing w:after="0"/>
              <w:rPr>
                <w:sz w:val="20"/>
                <w:szCs w:val="20"/>
                <w:color w:val="auto"/>
              </w:rPr>
            </w:pPr>
            <w:r>
              <w:rPr>
                <w:rFonts w:ascii="Arial" w:cs="Arial" w:eastAsia="Arial" w:hAnsi="Arial"/>
                <w:sz w:val="16"/>
                <w:szCs w:val="16"/>
                <w:color w:val="auto"/>
              </w:rPr>
              <w:t>DF Institute, LLC</w:t>
            </w:r>
          </w:p>
        </w:tc>
        <w:tc>
          <w:tcPr>
            <w:tcW w:w="2720" w:type="dxa"/>
            <w:vAlign w:val="bottom"/>
          </w:tcPr>
          <w:p>
            <w:pPr>
              <w:ind w:left="680"/>
              <w:spacing w:after="0"/>
              <w:rPr>
                <w:sz w:val="20"/>
                <w:szCs w:val="20"/>
                <w:color w:val="auto"/>
              </w:rPr>
            </w:pPr>
            <w:r>
              <w:rPr>
                <w:rFonts w:ascii="Arial" w:cs="Arial" w:eastAsia="Arial" w:hAnsi="Arial"/>
                <w:sz w:val="16"/>
                <w:szCs w:val="16"/>
                <w:color w:val="auto"/>
              </w:rPr>
              <w:t>Illinois</w:t>
            </w:r>
          </w:p>
        </w:tc>
        <w:tc>
          <w:tcPr>
            <w:tcW w:w="1380" w:type="dxa"/>
            <w:vAlign w:val="bottom"/>
          </w:tcPr>
          <w:p>
            <w:pPr>
              <w:jc w:val="right"/>
              <w:spacing w:after="0"/>
              <w:rPr>
                <w:sz w:val="20"/>
                <w:szCs w:val="20"/>
                <w:color w:val="auto"/>
              </w:rPr>
            </w:pPr>
            <w:r>
              <w:rPr>
                <w:rFonts w:ascii="Arial" w:cs="Arial" w:eastAsia="Arial" w:hAnsi="Arial"/>
                <w:sz w:val="16"/>
                <w:szCs w:val="16"/>
                <w:color w:val="auto"/>
              </w:rPr>
              <w:t>100%</w:t>
            </w:r>
          </w:p>
        </w:tc>
        <w:tc>
          <w:tcPr>
            <w:tcW w:w="260" w:type="dxa"/>
            <w:vAlign w:val="bottom"/>
          </w:tcPr>
          <w:p>
            <w:pPr>
              <w:spacing w:after="0"/>
              <w:rPr>
                <w:sz w:val="23"/>
                <w:szCs w:val="23"/>
                <w:color w:val="auto"/>
              </w:rPr>
            </w:pPr>
          </w:p>
        </w:tc>
      </w:tr>
      <w:tr>
        <w:trPr>
          <w:trHeight w:val="270"/>
        </w:trPr>
        <w:tc>
          <w:tcPr>
            <w:tcW w:w="5980" w:type="dxa"/>
            <w:vAlign w:val="bottom"/>
          </w:tcPr>
          <w:p>
            <w:pPr>
              <w:ind w:left="760"/>
              <w:spacing w:after="0"/>
              <w:rPr>
                <w:sz w:val="20"/>
                <w:szCs w:val="20"/>
                <w:color w:val="auto"/>
              </w:rPr>
            </w:pPr>
            <w:r>
              <w:rPr>
                <w:rFonts w:ascii="Arial" w:cs="Arial" w:eastAsia="Arial" w:hAnsi="Arial"/>
                <w:sz w:val="16"/>
                <w:szCs w:val="16"/>
                <w:color w:val="auto"/>
              </w:rPr>
              <w:t>SmartPros, LLC</w:t>
            </w:r>
          </w:p>
        </w:tc>
        <w:tc>
          <w:tcPr>
            <w:tcW w:w="2720" w:type="dxa"/>
            <w:vAlign w:val="bottom"/>
          </w:tcPr>
          <w:p>
            <w:pPr>
              <w:ind w:left="680"/>
              <w:spacing w:after="0"/>
              <w:rPr>
                <w:sz w:val="20"/>
                <w:szCs w:val="20"/>
                <w:color w:val="auto"/>
              </w:rPr>
            </w:pPr>
            <w:r>
              <w:rPr>
                <w:rFonts w:ascii="Arial" w:cs="Arial" w:eastAsia="Arial" w:hAnsi="Arial"/>
                <w:sz w:val="16"/>
                <w:szCs w:val="16"/>
                <w:color w:val="auto"/>
              </w:rPr>
              <w:t>Delaware</w:t>
            </w:r>
          </w:p>
        </w:tc>
        <w:tc>
          <w:tcPr>
            <w:tcW w:w="1380" w:type="dxa"/>
            <w:vAlign w:val="bottom"/>
          </w:tcPr>
          <w:p>
            <w:pPr>
              <w:jc w:val="right"/>
              <w:spacing w:after="0"/>
              <w:rPr>
                <w:sz w:val="20"/>
                <w:szCs w:val="20"/>
                <w:color w:val="auto"/>
              </w:rPr>
            </w:pPr>
            <w:r>
              <w:rPr>
                <w:rFonts w:ascii="Arial" w:cs="Arial" w:eastAsia="Arial" w:hAnsi="Arial"/>
                <w:sz w:val="16"/>
                <w:szCs w:val="16"/>
                <w:color w:val="auto"/>
              </w:rPr>
              <w:t>100%</w:t>
            </w:r>
          </w:p>
        </w:tc>
        <w:tc>
          <w:tcPr>
            <w:tcW w:w="260" w:type="dxa"/>
            <w:vAlign w:val="bottom"/>
          </w:tcPr>
          <w:p>
            <w:pPr>
              <w:spacing w:after="0"/>
              <w:rPr>
                <w:sz w:val="23"/>
                <w:szCs w:val="23"/>
                <w:color w:val="auto"/>
              </w:rPr>
            </w:pPr>
          </w:p>
        </w:tc>
      </w:tr>
      <w:tr>
        <w:trPr>
          <w:trHeight w:val="270"/>
        </w:trPr>
        <w:tc>
          <w:tcPr>
            <w:tcW w:w="5980" w:type="dxa"/>
            <w:vAlign w:val="bottom"/>
          </w:tcPr>
          <w:p>
            <w:pPr>
              <w:ind w:left="1000"/>
              <w:spacing w:after="0"/>
              <w:rPr>
                <w:sz w:val="20"/>
                <w:szCs w:val="20"/>
                <w:color w:val="auto"/>
              </w:rPr>
            </w:pPr>
            <w:r>
              <w:rPr>
                <w:rFonts w:ascii="Arial" w:cs="Arial" w:eastAsia="Arial" w:hAnsi="Arial"/>
                <w:sz w:val="16"/>
                <w:szCs w:val="16"/>
                <w:color w:val="auto"/>
              </w:rPr>
              <w:t>Loscalzo Institute, LLC</w:t>
            </w:r>
          </w:p>
        </w:tc>
        <w:tc>
          <w:tcPr>
            <w:tcW w:w="2720" w:type="dxa"/>
            <w:vAlign w:val="bottom"/>
          </w:tcPr>
          <w:p>
            <w:pPr>
              <w:ind w:left="680"/>
              <w:spacing w:after="0"/>
              <w:rPr>
                <w:sz w:val="20"/>
                <w:szCs w:val="20"/>
                <w:color w:val="auto"/>
              </w:rPr>
            </w:pPr>
            <w:r>
              <w:rPr>
                <w:rFonts w:ascii="Arial" w:cs="Arial" w:eastAsia="Arial" w:hAnsi="Arial"/>
                <w:sz w:val="16"/>
                <w:szCs w:val="16"/>
                <w:color w:val="auto"/>
              </w:rPr>
              <w:t>New Jersey</w:t>
            </w:r>
          </w:p>
        </w:tc>
        <w:tc>
          <w:tcPr>
            <w:tcW w:w="1380" w:type="dxa"/>
            <w:vAlign w:val="bottom"/>
          </w:tcPr>
          <w:p>
            <w:pPr>
              <w:jc w:val="right"/>
              <w:spacing w:after="0"/>
              <w:rPr>
                <w:sz w:val="20"/>
                <w:szCs w:val="20"/>
                <w:color w:val="auto"/>
              </w:rPr>
            </w:pPr>
            <w:r>
              <w:rPr>
                <w:rFonts w:ascii="Arial" w:cs="Arial" w:eastAsia="Arial" w:hAnsi="Arial"/>
                <w:sz w:val="16"/>
                <w:szCs w:val="16"/>
                <w:color w:val="auto"/>
              </w:rPr>
              <w:t>100%</w:t>
            </w:r>
          </w:p>
        </w:tc>
        <w:tc>
          <w:tcPr>
            <w:tcW w:w="260" w:type="dxa"/>
            <w:vAlign w:val="bottom"/>
          </w:tcPr>
          <w:p>
            <w:pPr>
              <w:spacing w:after="0"/>
              <w:rPr>
                <w:sz w:val="23"/>
                <w:szCs w:val="23"/>
                <w:color w:val="auto"/>
              </w:rPr>
            </w:pPr>
          </w:p>
        </w:tc>
      </w:tr>
      <w:tr>
        <w:trPr>
          <w:trHeight w:val="270"/>
        </w:trPr>
        <w:tc>
          <w:tcPr>
            <w:tcW w:w="5980" w:type="dxa"/>
            <w:vAlign w:val="bottom"/>
          </w:tcPr>
          <w:p>
            <w:pPr>
              <w:ind w:left="1000"/>
              <w:spacing w:after="0"/>
              <w:rPr>
                <w:sz w:val="20"/>
                <w:szCs w:val="20"/>
                <w:color w:val="auto"/>
              </w:rPr>
            </w:pPr>
            <w:r>
              <w:rPr>
                <w:rFonts w:ascii="Arial" w:cs="Arial" w:eastAsia="Arial" w:hAnsi="Arial"/>
                <w:sz w:val="16"/>
                <w:szCs w:val="16"/>
                <w:color w:val="auto"/>
              </w:rPr>
              <w:t>SMM, Ltd</w:t>
            </w:r>
          </w:p>
        </w:tc>
        <w:tc>
          <w:tcPr>
            <w:tcW w:w="2720" w:type="dxa"/>
            <w:vAlign w:val="bottom"/>
          </w:tcPr>
          <w:p>
            <w:pPr>
              <w:ind w:left="680"/>
              <w:spacing w:after="0"/>
              <w:rPr>
                <w:sz w:val="20"/>
                <w:szCs w:val="20"/>
                <w:color w:val="auto"/>
              </w:rPr>
            </w:pPr>
            <w:r>
              <w:rPr>
                <w:rFonts w:ascii="Arial" w:cs="Arial" w:eastAsia="Arial" w:hAnsi="Arial"/>
                <w:sz w:val="16"/>
                <w:szCs w:val="16"/>
                <w:color w:val="auto"/>
              </w:rPr>
              <w:t>New Jersey</w:t>
            </w:r>
          </w:p>
        </w:tc>
        <w:tc>
          <w:tcPr>
            <w:tcW w:w="1380" w:type="dxa"/>
            <w:vAlign w:val="bottom"/>
          </w:tcPr>
          <w:p>
            <w:pPr>
              <w:jc w:val="right"/>
              <w:spacing w:after="0"/>
              <w:rPr>
                <w:sz w:val="20"/>
                <w:szCs w:val="20"/>
                <w:color w:val="auto"/>
              </w:rPr>
            </w:pPr>
            <w:r>
              <w:rPr>
                <w:rFonts w:ascii="Arial" w:cs="Arial" w:eastAsia="Arial" w:hAnsi="Arial"/>
                <w:sz w:val="16"/>
                <w:szCs w:val="16"/>
                <w:color w:val="auto"/>
              </w:rPr>
              <w:t>100%</w:t>
            </w:r>
          </w:p>
        </w:tc>
        <w:tc>
          <w:tcPr>
            <w:tcW w:w="260" w:type="dxa"/>
            <w:vAlign w:val="bottom"/>
          </w:tcPr>
          <w:p>
            <w:pPr>
              <w:spacing w:after="0"/>
              <w:rPr>
                <w:sz w:val="23"/>
                <w:szCs w:val="23"/>
                <w:color w:val="auto"/>
              </w:rPr>
            </w:pPr>
          </w:p>
        </w:tc>
      </w:tr>
      <w:tr>
        <w:trPr>
          <w:trHeight w:val="270"/>
        </w:trPr>
        <w:tc>
          <w:tcPr>
            <w:tcW w:w="5980" w:type="dxa"/>
            <w:vAlign w:val="bottom"/>
          </w:tcPr>
          <w:p>
            <w:pPr>
              <w:ind w:left="360"/>
              <w:spacing w:after="0"/>
              <w:rPr>
                <w:sz w:val="20"/>
                <w:szCs w:val="20"/>
                <w:color w:val="auto"/>
              </w:rPr>
            </w:pPr>
            <w:r>
              <w:rPr>
                <w:rFonts w:ascii="Arial" w:cs="Arial" w:eastAsia="Arial" w:hAnsi="Arial"/>
                <w:sz w:val="16"/>
                <w:szCs w:val="16"/>
                <w:color w:val="auto"/>
              </w:rPr>
              <w:t>New Hampshire Acquisition Corp.</w:t>
            </w:r>
          </w:p>
        </w:tc>
        <w:tc>
          <w:tcPr>
            <w:tcW w:w="2720" w:type="dxa"/>
            <w:vAlign w:val="bottom"/>
          </w:tcPr>
          <w:p>
            <w:pPr>
              <w:ind w:left="680"/>
              <w:spacing w:after="0"/>
              <w:rPr>
                <w:sz w:val="20"/>
                <w:szCs w:val="20"/>
                <w:color w:val="auto"/>
              </w:rPr>
            </w:pPr>
            <w:r>
              <w:rPr>
                <w:rFonts w:ascii="Arial" w:cs="Arial" w:eastAsia="Arial" w:hAnsi="Arial"/>
                <w:sz w:val="16"/>
                <w:szCs w:val="16"/>
                <w:color w:val="auto"/>
              </w:rPr>
              <w:t>Delaware</w:t>
            </w:r>
          </w:p>
        </w:tc>
        <w:tc>
          <w:tcPr>
            <w:tcW w:w="1380" w:type="dxa"/>
            <w:vAlign w:val="bottom"/>
          </w:tcPr>
          <w:p>
            <w:pPr>
              <w:jc w:val="right"/>
              <w:spacing w:after="0"/>
              <w:rPr>
                <w:sz w:val="20"/>
                <w:szCs w:val="20"/>
                <w:color w:val="auto"/>
              </w:rPr>
            </w:pPr>
            <w:r>
              <w:rPr>
                <w:rFonts w:ascii="Arial" w:cs="Arial" w:eastAsia="Arial" w:hAnsi="Arial"/>
                <w:sz w:val="16"/>
                <w:szCs w:val="16"/>
                <w:color w:val="auto"/>
              </w:rPr>
              <w:t>100%</w:t>
            </w:r>
          </w:p>
        </w:tc>
        <w:tc>
          <w:tcPr>
            <w:tcW w:w="260" w:type="dxa"/>
            <w:vAlign w:val="bottom"/>
          </w:tcPr>
          <w:p>
            <w:pPr>
              <w:spacing w:after="0"/>
              <w:rPr>
                <w:sz w:val="23"/>
                <w:szCs w:val="23"/>
                <w:color w:val="auto"/>
              </w:rPr>
            </w:pPr>
          </w:p>
        </w:tc>
      </w:tr>
      <w:tr>
        <w:trPr>
          <w:trHeight w:val="270"/>
        </w:trPr>
        <w:tc>
          <w:tcPr>
            <w:tcW w:w="5980" w:type="dxa"/>
            <w:vAlign w:val="bottom"/>
          </w:tcPr>
          <w:p>
            <w:pPr>
              <w:ind w:left="180"/>
              <w:spacing w:after="0"/>
              <w:rPr>
                <w:sz w:val="20"/>
                <w:szCs w:val="20"/>
                <w:color w:val="auto"/>
              </w:rPr>
            </w:pPr>
            <w:r>
              <w:rPr>
                <w:rFonts w:ascii="Arial" w:cs="Arial" w:eastAsia="Arial" w:hAnsi="Arial"/>
                <w:sz w:val="16"/>
                <w:szCs w:val="16"/>
                <w:color w:val="auto"/>
              </w:rPr>
              <w:t>KV EdTech Partners LLC</w:t>
            </w:r>
          </w:p>
        </w:tc>
        <w:tc>
          <w:tcPr>
            <w:tcW w:w="2720" w:type="dxa"/>
            <w:vAlign w:val="bottom"/>
          </w:tcPr>
          <w:p>
            <w:pPr>
              <w:ind w:left="680"/>
              <w:spacing w:after="0"/>
              <w:rPr>
                <w:sz w:val="20"/>
                <w:szCs w:val="20"/>
                <w:color w:val="auto"/>
              </w:rPr>
            </w:pPr>
            <w:r>
              <w:rPr>
                <w:rFonts w:ascii="Arial" w:cs="Arial" w:eastAsia="Arial" w:hAnsi="Arial"/>
                <w:sz w:val="16"/>
                <w:szCs w:val="16"/>
                <w:color w:val="auto"/>
              </w:rPr>
              <w:t>Delaware</w:t>
            </w:r>
          </w:p>
        </w:tc>
        <w:tc>
          <w:tcPr>
            <w:tcW w:w="1380" w:type="dxa"/>
            <w:vAlign w:val="bottom"/>
          </w:tcPr>
          <w:p>
            <w:pPr>
              <w:jc w:val="right"/>
              <w:spacing w:after="0"/>
              <w:rPr>
                <w:sz w:val="20"/>
                <w:szCs w:val="20"/>
                <w:color w:val="auto"/>
              </w:rPr>
            </w:pPr>
            <w:r>
              <w:rPr>
                <w:rFonts w:ascii="Arial" w:cs="Arial" w:eastAsia="Arial" w:hAnsi="Arial"/>
                <w:sz w:val="16"/>
                <w:szCs w:val="16"/>
                <w:color w:val="auto"/>
              </w:rPr>
              <w:t>100%</w:t>
            </w:r>
          </w:p>
        </w:tc>
        <w:tc>
          <w:tcPr>
            <w:tcW w:w="260" w:type="dxa"/>
            <w:vAlign w:val="bottom"/>
          </w:tcPr>
          <w:p>
            <w:pPr>
              <w:spacing w:after="0"/>
              <w:rPr>
                <w:sz w:val="23"/>
                <w:szCs w:val="23"/>
                <w:color w:val="auto"/>
              </w:rPr>
            </w:pPr>
          </w:p>
        </w:tc>
      </w:tr>
      <w:tr>
        <w:trPr>
          <w:trHeight w:val="270"/>
        </w:trPr>
        <w:tc>
          <w:tcPr>
            <w:tcW w:w="5980" w:type="dxa"/>
            <w:vAlign w:val="bottom"/>
          </w:tcPr>
          <w:p>
            <w:pPr>
              <w:ind w:left="180"/>
              <w:spacing w:after="0"/>
              <w:rPr>
                <w:sz w:val="20"/>
                <w:szCs w:val="20"/>
                <w:color w:val="auto"/>
              </w:rPr>
            </w:pPr>
            <w:r>
              <w:rPr>
                <w:rFonts w:ascii="Arial" w:cs="Arial" w:eastAsia="Arial" w:hAnsi="Arial"/>
                <w:sz w:val="16"/>
                <w:szCs w:val="16"/>
                <w:color w:val="auto"/>
              </w:rPr>
              <w:t>Kaplan Mexico Holdings, LLC</w:t>
            </w:r>
          </w:p>
        </w:tc>
        <w:tc>
          <w:tcPr>
            <w:tcW w:w="2720" w:type="dxa"/>
            <w:vAlign w:val="bottom"/>
          </w:tcPr>
          <w:p>
            <w:pPr>
              <w:ind w:left="680"/>
              <w:spacing w:after="0"/>
              <w:rPr>
                <w:sz w:val="20"/>
                <w:szCs w:val="20"/>
                <w:color w:val="auto"/>
              </w:rPr>
            </w:pPr>
            <w:r>
              <w:rPr>
                <w:rFonts w:ascii="Arial" w:cs="Arial" w:eastAsia="Arial" w:hAnsi="Arial"/>
                <w:sz w:val="16"/>
                <w:szCs w:val="16"/>
                <w:color w:val="auto"/>
              </w:rPr>
              <w:t>Delaware</w:t>
            </w:r>
          </w:p>
        </w:tc>
        <w:tc>
          <w:tcPr>
            <w:tcW w:w="1380" w:type="dxa"/>
            <w:vAlign w:val="bottom"/>
          </w:tcPr>
          <w:p>
            <w:pPr>
              <w:jc w:val="right"/>
              <w:spacing w:after="0"/>
              <w:rPr>
                <w:sz w:val="20"/>
                <w:szCs w:val="20"/>
                <w:color w:val="auto"/>
              </w:rPr>
            </w:pPr>
            <w:r>
              <w:rPr>
                <w:rFonts w:ascii="Arial" w:cs="Arial" w:eastAsia="Arial" w:hAnsi="Arial"/>
                <w:sz w:val="16"/>
                <w:szCs w:val="16"/>
                <w:color w:val="auto"/>
              </w:rPr>
              <w:t>100%</w:t>
            </w:r>
          </w:p>
        </w:tc>
        <w:tc>
          <w:tcPr>
            <w:tcW w:w="260" w:type="dxa"/>
            <w:vAlign w:val="bottom"/>
          </w:tcPr>
          <w:p>
            <w:pPr>
              <w:spacing w:after="0"/>
              <w:rPr>
                <w:sz w:val="23"/>
                <w:szCs w:val="23"/>
                <w:color w:val="auto"/>
              </w:rPr>
            </w:pPr>
          </w:p>
        </w:tc>
      </w:tr>
      <w:tr>
        <w:trPr>
          <w:trHeight w:val="290"/>
        </w:trPr>
        <w:tc>
          <w:tcPr>
            <w:tcW w:w="5980" w:type="dxa"/>
            <w:vAlign w:val="bottom"/>
          </w:tcPr>
          <w:p>
            <w:pPr>
              <w:ind w:left="360"/>
              <w:spacing w:after="0"/>
              <w:rPr>
                <w:sz w:val="20"/>
                <w:szCs w:val="20"/>
                <w:color w:val="auto"/>
              </w:rPr>
            </w:pPr>
            <w:r>
              <w:rPr>
                <w:rFonts w:ascii="Arial" w:cs="Arial" w:eastAsia="Arial" w:hAnsi="Arial"/>
                <w:sz w:val="16"/>
                <w:szCs w:val="16"/>
                <w:color w:val="auto"/>
              </w:rPr>
              <w:t>Kaplan (India) Private Limited</w:t>
            </w:r>
          </w:p>
        </w:tc>
        <w:tc>
          <w:tcPr>
            <w:tcW w:w="2720" w:type="dxa"/>
            <w:vAlign w:val="bottom"/>
          </w:tcPr>
          <w:p>
            <w:pPr>
              <w:ind w:left="680"/>
              <w:spacing w:after="0"/>
              <w:rPr>
                <w:sz w:val="20"/>
                <w:szCs w:val="20"/>
                <w:color w:val="auto"/>
              </w:rPr>
            </w:pPr>
            <w:r>
              <w:rPr>
                <w:rFonts w:ascii="Arial" w:cs="Arial" w:eastAsia="Arial" w:hAnsi="Arial"/>
                <w:sz w:val="16"/>
                <w:szCs w:val="16"/>
                <w:color w:val="auto"/>
              </w:rPr>
              <w:t>India</w:t>
            </w:r>
          </w:p>
        </w:tc>
        <w:tc>
          <w:tcPr>
            <w:tcW w:w="1380" w:type="dxa"/>
            <w:vAlign w:val="bottom"/>
          </w:tcPr>
          <w:p>
            <w:pPr>
              <w:jc w:val="right"/>
              <w:spacing w:after="0"/>
              <w:rPr>
                <w:sz w:val="20"/>
                <w:szCs w:val="20"/>
                <w:color w:val="auto"/>
              </w:rPr>
            </w:pPr>
            <w:r>
              <w:rPr>
                <w:rFonts w:ascii="Arial" w:cs="Arial" w:eastAsia="Arial" w:hAnsi="Arial"/>
                <w:sz w:val="16"/>
                <w:szCs w:val="16"/>
                <w:color w:val="auto"/>
              </w:rPr>
              <w:t>100%</w:t>
            </w:r>
          </w:p>
        </w:tc>
        <w:tc>
          <w:tcPr>
            <w:tcW w:w="260" w:type="dxa"/>
            <w:vAlign w:val="bottom"/>
          </w:tcPr>
          <w:p>
            <w:pPr>
              <w:ind w:left="40"/>
              <w:spacing w:after="0"/>
              <w:rPr>
                <w:sz w:val="20"/>
                <w:szCs w:val="20"/>
                <w:color w:val="auto"/>
              </w:rPr>
            </w:pPr>
            <w:r>
              <w:rPr>
                <w:rFonts w:ascii="Arial" w:cs="Arial" w:eastAsia="Arial" w:hAnsi="Arial"/>
                <w:sz w:val="18"/>
                <w:szCs w:val="18"/>
                <w:color w:val="auto"/>
                <w:w w:val="90"/>
              </w:rPr>
              <w:t>(g)</w:t>
            </w:r>
          </w:p>
        </w:tc>
      </w:tr>
      <w:tr>
        <w:trPr>
          <w:trHeight w:val="251"/>
        </w:trPr>
        <w:tc>
          <w:tcPr>
            <w:tcW w:w="5980" w:type="dxa"/>
            <w:vAlign w:val="bottom"/>
          </w:tcPr>
          <w:p>
            <w:pPr>
              <w:ind w:left="180"/>
              <w:spacing w:after="0"/>
              <w:rPr>
                <w:sz w:val="20"/>
                <w:szCs w:val="20"/>
                <w:color w:val="auto"/>
              </w:rPr>
            </w:pPr>
            <w:r>
              <w:rPr>
                <w:rFonts w:ascii="Arial" w:cs="Arial" w:eastAsia="Arial" w:hAnsi="Arial"/>
                <w:sz w:val="16"/>
                <w:szCs w:val="16"/>
                <w:color w:val="auto"/>
              </w:rPr>
              <w:t>Kaplan (PR) Inc.</w:t>
            </w:r>
          </w:p>
        </w:tc>
        <w:tc>
          <w:tcPr>
            <w:tcW w:w="2720" w:type="dxa"/>
            <w:vAlign w:val="bottom"/>
          </w:tcPr>
          <w:p>
            <w:pPr>
              <w:ind w:left="680"/>
              <w:spacing w:after="0"/>
              <w:rPr>
                <w:sz w:val="20"/>
                <w:szCs w:val="20"/>
                <w:color w:val="auto"/>
              </w:rPr>
            </w:pPr>
            <w:r>
              <w:rPr>
                <w:rFonts w:ascii="Arial" w:cs="Arial" w:eastAsia="Arial" w:hAnsi="Arial"/>
                <w:sz w:val="16"/>
                <w:szCs w:val="16"/>
                <w:color w:val="auto"/>
              </w:rPr>
              <w:t>Puerto Rico</w:t>
            </w:r>
          </w:p>
        </w:tc>
        <w:tc>
          <w:tcPr>
            <w:tcW w:w="1380" w:type="dxa"/>
            <w:vAlign w:val="bottom"/>
          </w:tcPr>
          <w:p>
            <w:pPr>
              <w:jc w:val="right"/>
              <w:spacing w:after="0"/>
              <w:rPr>
                <w:sz w:val="20"/>
                <w:szCs w:val="20"/>
                <w:color w:val="auto"/>
              </w:rPr>
            </w:pPr>
            <w:r>
              <w:rPr>
                <w:rFonts w:ascii="Arial" w:cs="Arial" w:eastAsia="Arial" w:hAnsi="Arial"/>
                <w:sz w:val="16"/>
                <w:szCs w:val="16"/>
                <w:color w:val="auto"/>
              </w:rPr>
              <w:t>100%</w:t>
            </w:r>
          </w:p>
        </w:tc>
        <w:tc>
          <w:tcPr>
            <w:tcW w:w="260" w:type="dxa"/>
            <w:vAlign w:val="bottom"/>
          </w:tcPr>
          <w:p>
            <w:pPr>
              <w:spacing w:after="0"/>
              <w:rPr>
                <w:sz w:val="21"/>
                <w:szCs w:val="21"/>
                <w:color w:val="auto"/>
              </w:rPr>
            </w:pPr>
          </w:p>
        </w:tc>
      </w:tr>
      <w:tr>
        <w:trPr>
          <w:trHeight w:val="270"/>
        </w:trPr>
        <w:tc>
          <w:tcPr>
            <w:tcW w:w="5980" w:type="dxa"/>
            <w:vAlign w:val="bottom"/>
          </w:tcPr>
          <w:p>
            <w:pPr>
              <w:ind w:left="180"/>
              <w:spacing w:after="0"/>
              <w:rPr>
                <w:sz w:val="20"/>
                <w:szCs w:val="20"/>
                <w:color w:val="auto"/>
              </w:rPr>
            </w:pPr>
            <w:r>
              <w:rPr>
                <w:rFonts w:ascii="Arial" w:cs="Arial" w:eastAsia="Arial" w:hAnsi="Arial"/>
                <w:sz w:val="16"/>
                <w:szCs w:val="16"/>
                <w:color w:val="auto"/>
              </w:rPr>
              <w:t>MG Prep, LLC</w:t>
            </w:r>
          </w:p>
        </w:tc>
        <w:tc>
          <w:tcPr>
            <w:tcW w:w="2720" w:type="dxa"/>
            <w:vAlign w:val="bottom"/>
          </w:tcPr>
          <w:p>
            <w:pPr>
              <w:ind w:left="680"/>
              <w:spacing w:after="0"/>
              <w:rPr>
                <w:sz w:val="20"/>
                <w:szCs w:val="20"/>
                <w:color w:val="auto"/>
              </w:rPr>
            </w:pPr>
            <w:r>
              <w:rPr>
                <w:rFonts w:ascii="Arial" w:cs="Arial" w:eastAsia="Arial" w:hAnsi="Arial"/>
                <w:sz w:val="16"/>
                <w:szCs w:val="16"/>
                <w:color w:val="auto"/>
              </w:rPr>
              <w:t>New York</w:t>
            </w:r>
          </w:p>
        </w:tc>
        <w:tc>
          <w:tcPr>
            <w:tcW w:w="1380" w:type="dxa"/>
            <w:vAlign w:val="bottom"/>
          </w:tcPr>
          <w:p>
            <w:pPr>
              <w:jc w:val="right"/>
              <w:spacing w:after="0"/>
              <w:rPr>
                <w:sz w:val="20"/>
                <w:szCs w:val="20"/>
                <w:color w:val="auto"/>
              </w:rPr>
            </w:pPr>
            <w:r>
              <w:rPr>
                <w:rFonts w:ascii="Arial" w:cs="Arial" w:eastAsia="Arial" w:hAnsi="Arial"/>
                <w:sz w:val="16"/>
                <w:szCs w:val="16"/>
                <w:color w:val="auto"/>
              </w:rPr>
              <w:t>100%</w:t>
            </w:r>
          </w:p>
        </w:tc>
        <w:tc>
          <w:tcPr>
            <w:tcW w:w="260" w:type="dxa"/>
            <w:vAlign w:val="bottom"/>
          </w:tcPr>
          <w:p>
            <w:pPr>
              <w:spacing w:after="0"/>
              <w:rPr>
                <w:sz w:val="23"/>
                <w:szCs w:val="23"/>
                <w:color w:val="auto"/>
              </w:rPr>
            </w:pPr>
          </w:p>
        </w:tc>
      </w:tr>
      <w:tr>
        <w:trPr>
          <w:trHeight w:val="270"/>
        </w:trPr>
        <w:tc>
          <w:tcPr>
            <w:tcW w:w="5980" w:type="dxa"/>
            <w:vAlign w:val="bottom"/>
          </w:tcPr>
          <w:p>
            <w:pPr>
              <w:ind w:left="360"/>
              <w:spacing w:after="0"/>
              <w:rPr>
                <w:sz w:val="20"/>
                <w:szCs w:val="20"/>
                <w:color w:val="auto"/>
              </w:rPr>
            </w:pPr>
            <w:r>
              <w:rPr>
                <w:rFonts w:ascii="Arial" w:cs="Arial" w:eastAsia="Arial" w:hAnsi="Arial"/>
                <w:sz w:val="16"/>
                <w:szCs w:val="16"/>
                <w:color w:val="auto"/>
              </w:rPr>
              <w:t>Manhattan GMAT Limited</w:t>
            </w:r>
          </w:p>
        </w:tc>
        <w:tc>
          <w:tcPr>
            <w:tcW w:w="2720" w:type="dxa"/>
            <w:vAlign w:val="bottom"/>
          </w:tcPr>
          <w:p>
            <w:pPr>
              <w:ind w:left="680"/>
              <w:spacing w:after="0"/>
              <w:rPr>
                <w:sz w:val="20"/>
                <w:szCs w:val="20"/>
                <w:color w:val="auto"/>
              </w:rPr>
            </w:pPr>
            <w:r>
              <w:rPr>
                <w:rFonts w:ascii="Arial" w:cs="Arial" w:eastAsia="Arial" w:hAnsi="Arial"/>
                <w:sz w:val="16"/>
                <w:szCs w:val="16"/>
                <w:color w:val="auto"/>
              </w:rPr>
              <w:t>England &amp; Wales</w:t>
            </w:r>
          </w:p>
        </w:tc>
        <w:tc>
          <w:tcPr>
            <w:tcW w:w="1380" w:type="dxa"/>
            <w:vAlign w:val="bottom"/>
          </w:tcPr>
          <w:p>
            <w:pPr>
              <w:jc w:val="right"/>
              <w:spacing w:after="0"/>
              <w:rPr>
                <w:sz w:val="20"/>
                <w:szCs w:val="20"/>
                <w:color w:val="auto"/>
              </w:rPr>
            </w:pPr>
            <w:r>
              <w:rPr>
                <w:rFonts w:ascii="Arial" w:cs="Arial" w:eastAsia="Arial" w:hAnsi="Arial"/>
                <w:sz w:val="16"/>
                <w:szCs w:val="16"/>
                <w:color w:val="auto"/>
              </w:rPr>
              <w:t>100%</w:t>
            </w:r>
          </w:p>
        </w:tc>
        <w:tc>
          <w:tcPr>
            <w:tcW w:w="260" w:type="dxa"/>
            <w:vAlign w:val="bottom"/>
          </w:tcPr>
          <w:p>
            <w:pPr>
              <w:spacing w:after="0"/>
              <w:rPr>
                <w:sz w:val="23"/>
                <w:szCs w:val="23"/>
                <w:color w:val="auto"/>
              </w:rPr>
            </w:pPr>
          </w:p>
        </w:tc>
      </w:tr>
      <w:tr>
        <w:trPr>
          <w:trHeight w:val="270"/>
        </w:trPr>
        <w:tc>
          <w:tcPr>
            <w:tcW w:w="5980" w:type="dxa"/>
            <w:vAlign w:val="bottom"/>
          </w:tcPr>
          <w:p>
            <w:pPr>
              <w:ind w:left="180"/>
              <w:spacing w:after="0"/>
              <w:rPr>
                <w:sz w:val="20"/>
                <w:szCs w:val="20"/>
                <w:color w:val="auto"/>
              </w:rPr>
            </w:pPr>
            <w:r>
              <w:rPr>
                <w:rFonts w:ascii="Arial" w:cs="Arial" w:eastAsia="Arial" w:hAnsi="Arial"/>
                <w:sz w:val="16"/>
                <w:szCs w:val="16"/>
                <w:color w:val="auto"/>
              </w:rPr>
              <w:t>Kaplan K12 Learning Services, LLC</w:t>
            </w:r>
          </w:p>
        </w:tc>
        <w:tc>
          <w:tcPr>
            <w:tcW w:w="2720" w:type="dxa"/>
            <w:vAlign w:val="bottom"/>
          </w:tcPr>
          <w:p>
            <w:pPr>
              <w:ind w:left="680"/>
              <w:spacing w:after="0"/>
              <w:rPr>
                <w:sz w:val="20"/>
                <w:szCs w:val="20"/>
                <w:color w:val="auto"/>
              </w:rPr>
            </w:pPr>
            <w:r>
              <w:rPr>
                <w:rFonts w:ascii="Arial" w:cs="Arial" w:eastAsia="Arial" w:hAnsi="Arial"/>
                <w:sz w:val="16"/>
                <w:szCs w:val="16"/>
                <w:color w:val="auto"/>
              </w:rPr>
              <w:t>Delaware</w:t>
            </w:r>
          </w:p>
        </w:tc>
        <w:tc>
          <w:tcPr>
            <w:tcW w:w="1380" w:type="dxa"/>
            <w:vAlign w:val="bottom"/>
          </w:tcPr>
          <w:p>
            <w:pPr>
              <w:jc w:val="right"/>
              <w:spacing w:after="0"/>
              <w:rPr>
                <w:sz w:val="20"/>
                <w:szCs w:val="20"/>
                <w:color w:val="auto"/>
              </w:rPr>
            </w:pPr>
            <w:r>
              <w:rPr>
                <w:rFonts w:ascii="Arial" w:cs="Arial" w:eastAsia="Arial" w:hAnsi="Arial"/>
                <w:sz w:val="16"/>
                <w:szCs w:val="16"/>
                <w:color w:val="auto"/>
              </w:rPr>
              <w:t>100%</w:t>
            </w:r>
          </w:p>
        </w:tc>
        <w:tc>
          <w:tcPr>
            <w:tcW w:w="260" w:type="dxa"/>
            <w:vAlign w:val="bottom"/>
          </w:tcPr>
          <w:p>
            <w:pPr>
              <w:spacing w:after="0"/>
              <w:rPr>
                <w:sz w:val="23"/>
                <w:szCs w:val="23"/>
                <w:color w:val="auto"/>
              </w:rPr>
            </w:pPr>
          </w:p>
        </w:tc>
      </w:tr>
      <w:tr>
        <w:trPr>
          <w:trHeight w:val="270"/>
        </w:trPr>
        <w:tc>
          <w:tcPr>
            <w:tcW w:w="5980" w:type="dxa"/>
            <w:vAlign w:val="bottom"/>
          </w:tcPr>
          <w:p>
            <w:pPr>
              <w:ind w:left="180"/>
              <w:spacing w:after="0"/>
              <w:rPr>
                <w:sz w:val="20"/>
                <w:szCs w:val="20"/>
                <w:color w:val="auto"/>
              </w:rPr>
            </w:pPr>
            <w:r>
              <w:rPr>
                <w:rFonts w:ascii="Arial" w:cs="Arial" w:eastAsia="Arial" w:hAnsi="Arial"/>
                <w:sz w:val="16"/>
                <w:szCs w:val="16"/>
                <w:color w:val="auto"/>
              </w:rPr>
              <w:t>Kaplan Test Prep International, LLC</w:t>
            </w:r>
          </w:p>
        </w:tc>
        <w:tc>
          <w:tcPr>
            <w:tcW w:w="2720" w:type="dxa"/>
            <w:vAlign w:val="bottom"/>
          </w:tcPr>
          <w:p>
            <w:pPr>
              <w:ind w:left="680"/>
              <w:spacing w:after="0"/>
              <w:rPr>
                <w:sz w:val="20"/>
                <w:szCs w:val="20"/>
                <w:color w:val="auto"/>
              </w:rPr>
            </w:pPr>
            <w:r>
              <w:rPr>
                <w:rFonts w:ascii="Arial" w:cs="Arial" w:eastAsia="Arial" w:hAnsi="Arial"/>
                <w:sz w:val="16"/>
                <w:szCs w:val="16"/>
                <w:color w:val="auto"/>
              </w:rPr>
              <w:t>California</w:t>
            </w:r>
          </w:p>
        </w:tc>
        <w:tc>
          <w:tcPr>
            <w:tcW w:w="1380" w:type="dxa"/>
            <w:vAlign w:val="bottom"/>
          </w:tcPr>
          <w:p>
            <w:pPr>
              <w:jc w:val="right"/>
              <w:spacing w:after="0"/>
              <w:rPr>
                <w:sz w:val="20"/>
                <w:szCs w:val="20"/>
                <w:color w:val="auto"/>
              </w:rPr>
            </w:pPr>
            <w:r>
              <w:rPr>
                <w:rFonts w:ascii="Arial" w:cs="Arial" w:eastAsia="Arial" w:hAnsi="Arial"/>
                <w:sz w:val="16"/>
                <w:szCs w:val="16"/>
                <w:color w:val="auto"/>
              </w:rPr>
              <w:t>100%</w:t>
            </w:r>
          </w:p>
        </w:tc>
        <w:tc>
          <w:tcPr>
            <w:tcW w:w="260" w:type="dxa"/>
            <w:vAlign w:val="bottom"/>
          </w:tcPr>
          <w:p>
            <w:pPr>
              <w:spacing w:after="0"/>
              <w:rPr>
                <w:sz w:val="23"/>
                <w:szCs w:val="23"/>
                <w:color w:val="auto"/>
              </w:rPr>
            </w:pPr>
          </w:p>
        </w:tc>
      </w:tr>
      <w:tr>
        <w:trPr>
          <w:trHeight w:val="270"/>
        </w:trPr>
        <w:tc>
          <w:tcPr>
            <w:tcW w:w="5980" w:type="dxa"/>
            <w:vAlign w:val="bottom"/>
          </w:tcPr>
          <w:p>
            <w:pPr>
              <w:ind w:left="180"/>
              <w:spacing w:after="0"/>
              <w:rPr>
                <w:sz w:val="20"/>
                <w:szCs w:val="20"/>
                <w:color w:val="auto"/>
              </w:rPr>
            </w:pPr>
            <w:r>
              <w:rPr>
                <w:rFonts w:ascii="Arial" w:cs="Arial" w:eastAsia="Arial" w:hAnsi="Arial"/>
                <w:sz w:val="16"/>
                <w:szCs w:val="16"/>
                <w:color w:val="auto"/>
              </w:rPr>
              <w:t>Kaplan International North America, LLC</w:t>
            </w:r>
          </w:p>
        </w:tc>
        <w:tc>
          <w:tcPr>
            <w:tcW w:w="2720" w:type="dxa"/>
            <w:vAlign w:val="bottom"/>
          </w:tcPr>
          <w:p>
            <w:pPr>
              <w:ind w:left="680"/>
              <w:spacing w:after="0"/>
              <w:rPr>
                <w:sz w:val="20"/>
                <w:szCs w:val="20"/>
                <w:color w:val="auto"/>
              </w:rPr>
            </w:pPr>
            <w:r>
              <w:rPr>
                <w:rFonts w:ascii="Arial" w:cs="Arial" w:eastAsia="Arial" w:hAnsi="Arial"/>
                <w:sz w:val="16"/>
                <w:szCs w:val="16"/>
                <w:color w:val="auto"/>
              </w:rPr>
              <w:t>California</w:t>
            </w:r>
          </w:p>
        </w:tc>
        <w:tc>
          <w:tcPr>
            <w:tcW w:w="1380" w:type="dxa"/>
            <w:vAlign w:val="bottom"/>
          </w:tcPr>
          <w:p>
            <w:pPr>
              <w:jc w:val="right"/>
              <w:spacing w:after="0"/>
              <w:rPr>
                <w:sz w:val="20"/>
                <w:szCs w:val="20"/>
                <w:color w:val="auto"/>
              </w:rPr>
            </w:pPr>
            <w:r>
              <w:rPr>
                <w:rFonts w:ascii="Arial" w:cs="Arial" w:eastAsia="Arial" w:hAnsi="Arial"/>
                <w:sz w:val="16"/>
                <w:szCs w:val="16"/>
                <w:color w:val="auto"/>
              </w:rPr>
              <w:t>100%</w:t>
            </w:r>
          </w:p>
        </w:tc>
        <w:tc>
          <w:tcPr>
            <w:tcW w:w="260" w:type="dxa"/>
            <w:vAlign w:val="bottom"/>
          </w:tcPr>
          <w:p>
            <w:pPr>
              <w:spacing w:after="0"/>
              <w:rPr>
                <w:sz w:val="23"/>
                <w:szCs w:val="23"/>
                <w:color w:val="auto"/>
              </w:rPr>
            </w:pPr>
          </w:p>
        </w:tc>
      </w:tr>
      <w:tr>
        <w:trPr>
          <w:trHeight w:val="284"/>
        </w:trPr>
        <w:tc>
          <w:tcPr>
            <w:tcW w:w="5980" w:type="dxa"/>
            <w:vAlign w:val="bottom"/>
          </w:tcPr>
          <w:p>
            <w:pPr>
              <w:ind w:left="180"/>
              <w:spacing w:after="0"/>
              <w:rPr>
                <w:sz w:val="20"/>
                <w:szCs w:val="20"/>
                <w:color w:val="auto"/>
              </w:rPr>
            </w:pPr>
            <w:r>
              <w:rPr>
                <w:rFonts w:ascii="Arial" w:cs="Arial" w:eastAsia="Arial" w:hAnsi="Arial"/>
                <w:sz w:val="16"/>
                <w:szCs w:val="16"/>
                <w:color w:val="auto"/>
              </w:rPr>
              <w:t>Kaplan International Pathways North America, LLC</w:t>
            </w:r>
          </w:p>
        </w:tc>
        <w:tc>
          <w:tcPr>
            <w:tcW w:w="2720" w:type="dxa"/>
            <w:vAlign w:val="bottom"/>
          </w:tcPr>
          <w:p>
            <w:pPr>
              <w:ind w:left="680"/>
              <w:spacing w:after="0"/>
              <w:rPr>
                <w:sz w:val="20"/>
                <w:szCs w:val="20"/>
                <w:color w:val="auto"/>
              </w:rPr>
            </w:pPr>
            <w:r>
              <w:rPr>
                <w:rFonts w:ascii="Arial" w:cs="Arial" w:eastAsia="Arial" w:hAnsi="Arial"/>
                <w:sz w:val="16"/>
                <w:szCs w:val="16"/>
                <w:color w:val="auto"/>
              </w:rPr>
              <w:t>Delaware</w:t>
            </w:r>
          </w:p>
        </w:tc>
        <w:tc>
          <w:tcPr>
            <w:tcW w:w="1380" w:type="dxa"/>
            <w:vAlign w:val="bottom"/>
          </w:tcPr>
          <w:p>
            <w:pPr>
              <w:jc w:val="right"/>
              <w:spacing w:after="0"/>
              <w:rPr>
                <w:sz w:val="20"/>
                <w:szCs w:val="20"/>
                <w:color w:val="auto"/>
              </w:rPr>
            </w:pPr>
            <w:r>
              <w:rPr>
                <w:rFonts w:ascii="Arial" w:cs="Arial" w:eastAsia="Arial" w:hAnsi="Arial"/>
                <w:sz w:val="16"/>
                <w:szCs w:val="16"/>
                <w:color w:val="auto"/>
              </w:rPr>
              <w:t>100%</w:t>
            </w:r>
          </w:p>
        </w:tc>
        <w:tc>
          <w:tcPr>
            <w:tcW w:w="260" w:type="dxa"/>
            <w:vAlign w:val="bottom"/>
          </w:tcPr>
          <w:p>
            <w:pPr>
              <w:spacing w:after="0"/>
              <w:rPr>
                <w:sz w:val="24"/>
                <w:szCs w:val="24"/>
                <w:color w:val="auto"/>
              </w:rPr>
            </w:pPr>
          </w:p>
        </w:tc>
      </w:tr>
      <w:tr>
        <w:trPr>
          <w:trHeight w:val="270"/>
        </w:trPr>
        <w:tc>
          <w:tcPr>
            <w:tcW w:w="5980" w:type="dxa"/>
            <w:vAlign w:val="bottom"/>
          </w:tcPr>
          <w:p>
            <w:pPr>
              <w:ind w:left="180"/>
              <w:spacing w:after="0"/>
              <w:rPr>
                <w:sz w:val="20"/>
                <w:szCs w:val="20"/>
                <w:color w:val="auto"/>
              </w:rPr>
            </w:pPr>
            <w:r>
              <w:rPr>
                <w:rFonts w:ascii="Arial" w:cs="Arial" w:eastAsia="Arial" w:hAnsi="Arial"/>
                <w:sz w:val="16"/>
                <w:szCs w:val="16"/>
                <w:color w:val="auto"/>
              </w:rPr>
              <w:t>Kaplan International English (Thailand), Co. Ltd.</w:t>
            </w:r>
          </w:p>
        </w:tc>
        <w:tc>
          <w:tcPr>
            <w:tcW w:w="2720" w:type="dxa"/>
            <w:vAlign w:val="bottom"/>
          </w:tcPr>
          <w:p>
            <w:pPr>
              <w:ind w:left="680"/>
              <w:spacing w:after="0"/>
              <w:rPr>
                <w:sz w:val="20"/>
                <w:szCs w:val="20"/>
                <w:color w:val="auto"/>
              </w:rPr>
            </w:pPr>
            <w:r>
              <w:rPr>
                <w:rFonts w:ascii="Arial" w:cs="Arial" w:eastAsia="Arial" w:hAnsi="Arial"/>
                <w:sz w:val="16"/>
                <w:szCs w:val="16"/>
                <w:color w:val="auto"/>
              </w:rPr>
              <w:t>Thailand</w:t>
            </w:r>
          </w:p>
        </w:tc>
        <w:tc>
          <w:tcPr>
            <w:tcW w:w="1380" w:type="dxa"/>
            <w:vAlign w:val="bottom"/>
          </w:tcPr>
          <w:p>
            <w:pPr>
              <w:jc w:val="right"/>
              <w:spacing w:after="0"/>
              <w:rPr>
                <w:sz w:val="20"/>
                <w:szCs w:val="20"/>
                <w:color w:val="auto"/>
              </w:rPr>
            </w:pPr>
            <w:r>
              <w:rPr>
                <w:rFonts w:ascii="Arial" w:cs="Arial" w:eastAsia="Arial" w:hAnsi="Arial"/>
                <w:sz w:val="16"/>
                <w:szCs w:val="16"/>
                <w:color w:val="auto"/>
              </w:rPr>
              <w:t>99.99%</w:t>
            </w:r>
          </w:p>
        </w:tc>
        <w:tc>
          <w:tcPr>
            <w:tcW w:w="260" w:type="dxa"/>
            <w:vAlign w:val="bottom"/>
          </w:tcPr>
          <w:p>
            <w:pPr>
              <w:ind w:left="40"/>
              <w:spacing w:after="0"/>
              <w:rPr>
                <w:sz w:val="20"/>
                <w:szCs w:val="20"/>
                <w:color w:val="auto"/>
              </w:rPr>
            </w:pPr>
            <w:r>
              <w:rPr>
                <w:rFonts w:ascii="Arial" w:cs="Arial" w:eastAsia="Arial" w:hAnsi="Arial"/>
                <w:sz w:val="16"/>
                <w:szCs w:val="16"/>
                <w:color w:val="auto"/>
              </w:rPr>
              <w:t>(h)</w:t>
            </w:r>
          </w:p>
        </w:tc>
      </w:tr>
    </w:tbl>
    <w:p>
      <w:pPr>
        <w:sectPr>
          <w:pgSz w:w="11900" w:h="16838" w:orient="portrait"/>
          <w:cols w:equalWidth="0" w:num="1">
            <w:col w:w="10340"/>
          </w:cols>
          <w:pgMar w:left="660" w:top="776" w:right="899" w:bottom="0" w:gutter="0" w:footer="0" w:header="0"/>
        </w:sectPr>
      </w:pPr>
    </w:p>
    <w:bookmarkStart w:id="132" w:name="page133"/>
    <w:bookmarkEnd w:id="132"/>
    <w:p>
      <w:pPr>
        <w:spacing w:after="0"/>
        <w:rPr>
          <w:sz w:val="20"/>
          <w:szCs w:val="20"/>
          <w:color w:val="auto"/>
        </w:rPr>
      </w:pPr>
    </w:p>
    <w:p>
      <w:pPr>
        <w:sectPr>
          <w:pgSz w:w="11900" w:h="16838" w:orient="portrait"/>
          <w:cols w:equalWidth="1" w:num="1" w:space="0"/>
          <w:pgMar w:left="1440" w:top="1440" w:right="1440" w:bottom="875" w:gutter="0" w:footer="0" w:header="0"/>
        </w:sectPr>
      </w:pPr>
    </w:p>
    <w:bookmarkStart w:id="133" w:name="page134"/>
    <w:bookmarkEnd w:id="133"/>
    <w:p>
      <w:pPr>
        <w:spacing w:after="0"/>
        <w:tabs>
          <w:tab w:leader="none" w:pos="6460" w:val="left"/>
        </w:tabs>
        <w:rPr>
          <w:sz w:val="20"/>
          <w:szCs w:val="20"/>
          <w:color w:val="auto"/>
        </w:rPr>
      </w:pPr>
      <w:r>
        <w:rPr>
          <w:rFonts w:ascii="Arial" w:cs="Arial" w:eastAsia="Arial" w:hAnsi="Arial"/>
          <w:sz w:val="16"/>
          <w:szCs w:val="16"/>
          <w:color w:val="auto"/>
        </w:rPr>
        <w:t>Hands On Consulting Limited</w:t>
      </w:r>
      <w:r>
        <w:rPr>
          <w:sz w:val="20"/>
          <w:szCs w:val="20"/>
          <w:color w:val="auto"/>
        </w:rPr>
        <w:tab/>
      </w:r>
      <w:r>
        <w:rPr>
          <w:rFonts w:ascii="Arial" w:cs="Arial" w:eastAsia="Arial" w:hAnsi="Arial"/>
          <w:sz w:val="15"/>
          <w:szCs w:val="15"/>
          <w:color w:val="auto"/>
        </w:rPr>
        <w:t>Hong Kong</w:t>
      </w:r>
    </w:p>
    <w:p>
      <w:pPr>
        <w:spacing w:after="0" w:line="86" w:lineRule="exact"/>
        <w:rPr>
          <w:sz w:val="20"/>
          <w:szCs w:val="20"/>
          <w:color w:val="auto"/>
        </w:rPr>
      </w:pPr>
    </w:p>
    <w:p>
      <w:pPr>
        <w:spacing w:after="0"/>
        <w:tabs>
          <w:tab w:leader="none" w:pos="6460" w:val="left"/>
        </w:tabs>
        <w:rPr>
          <w:sz w:val="20"/>
          <w:szCs w:val="20"/>
          <w:color w:val="auto"/>
        </w:rPr>
      </w:pPr>
      <w:r>
        <w:rPr>
          <w:rFonts w:ascii="Arial" w:cs="Arial" w:eastAsia="Arial" w:hAnsi="Arial"/>
          <w:sz w:val="16"/>
          <w:szCs w:val="16"/>
          <w:color w:val="auto"/>
        </w:rPr>
        <w:t>Hands On Education Consultants Co., Ltd.</w:t>
      </w:r>
      <w:r>
        <w:rPr>
          <w:sz w:val="20"/>
          <w:szCs w:val="20"/>
          <w:color w:val="auto"/>
        </w:rPr>
        <w:tab/>
      </w:r>
      <w:r>
        <w:rPr>
          <w:rFonts w:ascii="Arial" w:cs="Arial" w:eastAsia="Arial" w:hAnsi="Arial"/>
          <w:sz w:val="16"/>
          <w:szCs w:val="16"/>
          <w:color w:val="auto"/>
        </w:rPr>
        <w:t>Thailand</w:t>
      </w:r>
    </w:p>
    <w:p>
      <w:pPr>
        <w:spacing w:after="0" w:line="86" w:lineRule="exact"/>
        <w:rPr>
          <w:sz w:val="20"/>
          <w:szCs w:val="20"/>
          <w:color w:val="auto"/>
        </w:rPr>
      </w:pPr>
    </w:p>
    <w:p>
      <w:pPr>
        <w:spacing w:after="0"/>
        <w:tabs>
          <w:tab w:leader="none" w:pos="6460" w:val="left"/>
        </w:tabs>
        <w:rPr>
          <w:sz w:val="20"/>
          <w:szCs w:val="20"/>
          <w:color w:val="auto"/>
        </w:rPr>
      </w:pPr>
      <w:r>
        <w:rPr>
          <w:rFonts w:ascii="Arial" w:cs="Arial" w:eastAsia="Arial" w:hAnsi="Arial"/>
          <w:sz w:val="16"/>
          <w:szCs w:val="16"/>
          <w:color w:val="auto"/>
        </w:rPr>
        <w:t>Kaplan U.K. Limited</w:t>
      </w:r>
      <w:r>
        <w:rPr>
          <w:sz w:val="20"/>
          <w:szCs w:val="20"/>
          <w:color w:val="auto"/>
        </w:rPr>
        <w:tab/>
      </w:r>
      <w:r>
        <w:rPr>
          <w:rFonts w:ascii="Arial" w:cs="Arial" w:eastAsia="Arial" w:hAnsi="Arial"/>
          <w:sz w:val="16"/>
          <w:szCs w:val="16"/>
          <w:color w:val="auto"/>
        </w:rPr>
        <w:t>England &amp; Wales</w:t>
      </w:r>
    </w:p>
    <w:p>
      <w:pPr>
        <w:spacing w:after="0" w:line="73" w:lineRule="exact"/>
        <w:rPr>
          <w:sz w:val="20"/>
          <w:szCs w:val="20"/>
          <w:color w:val="auto"/>
        </w:rPr>
      </w:pPr>
    </w:p>
    <w:p>
      <w:pPr>
        <w:ind w:left="180"/>
        <w:spacing w:after="0"/>
        <w:tabs>
          <w:tab w:leader="none" w:pos="6460" w:val="left"/>
        </w:tabs>
        <w:rPr>
          <w:sz w:val="20"/>
          <w:szCs w:val="20"/>
          <w:color w:val="auto"/>
        </w:rPr>
      </w:pPr>
      <w:r>
        <w:rPr>
          <w:rFonts w:ascii="Arial" w:cs="Arial" w:eastAsia="Arial" w:hAnsi="Arial"/>
          <w:sz w:val="16"/>
          <w:szCs w:val="16"/>
          <w:color w:val="auto"/>
        </w:rPr>
        <w:t>Aspect Education Limited</w:t>
      </w:r>
      <w:r>
        <w:rPr>
          <w:sz w:val="20"/>
          <w:szCs w:val="20"/>
          <w:color w:val="auto"/>
        </w:rPr>
        <w:tab/>
      </w:r>
      <w:r>
        <w:rPr>
          <w:rFonts w:ascii="Arial" w:cs="Arial" w:eastAsia="Arial" w:hAnsi="Arial"/>
          <w:sz w:val="16"/>
          <w:szCs w:val="16"/>
          <w:color w:val="auto"/>
        </w:rPr>
        <w:t>England &amp; Wales</w:t>
      </w:r>
    </w:p>
    <w:p>
      <w:pPr>
        <w:spacing w:after="0" w:line="86" w:lineRule="exact"/>
        <w:rPr>
          <w:sz w:val="20"/>
          <w:szCs w:val="20"/>
          <w:color w:val="auto"/>
        </w:rPr>
      </w:pPr>
    </w:p>
    <w:p>
      <w:pPr>
        <w:spacing w:after="0"/>
        <w:tabs>
          <w:tab w:leader="none" w:pos="6460" w:val="left"/>
        </w:tabs>
        <w:rPr>
          <w:sz w:val="20"/>
          <w:szCs w:val="20"/>
          <w:color w:val="auto"/>
        </w:rPr>
      </w:pPr>
      <w:r>
        <w:rPr>
          <w:rFonts w:ascii="Arial" w:cs="Arial" w:eastAsia="Arial" w:hAnsi="Arial"/>
          <w:sz w:val="16"/>
          <w:szCs w:val="16"/>
          <w:color w:val="auto"/>
        </w:rPr>
        <w:t>ILA Education (NZ) Limited</w:t>
      </w:r>
      <w:r>
        <w:rPr>
          <w:sz w:val="20"/>
          <w:szCs w:val="20"/>
          <w:color w:val="auto"/>
        </w:rPr>
        <w:tab/>
      </w:r>
      <w:r>
        <w:rPr>
          <w:rFonts w:ascii="Arial" w:cs="Arial" w:eastAsia="Arial" w:hAnsi="Arial"/>
          <w:sz w:val="16"/>
          <w:szCs w:val="16"/>
          <w:color w:val="auto"/>
        </w:rPr>
        <w:t>New Zealand</w:t>
      </w:r>
    </w:p>
    <w:p>
      <w:pPr>
        <w:spacing w:after="0" w:line="86" w:lineRule="exact"/>
        <w:rPr>
          <w:sz w:val="20"/>
          <w:szCs w:val="20"/>
          <w:color w:val="auto"/>
        </w:rPr>
      </w:pPr>
    </w:p>
    <w:p>
      <w:pPr>
        <w:ind w:left="220"/>
        <w:spacing w:after="0"/>
        <w:tabs>
          <w:tab w:leader="none" w:pos="6460" w:val="left"/>
        </w:tabs>
        <w:rPr>
          <w:sz w:val="20"/>
          <w:szCs w:val="20"/>
          <w:color w:val="auto"/>
        </w:rPr>
      </w:pPr>
      <w:r>
        <w:rPr>
          <w:rFonts w:ascii="Arial" w:cs="Arial" w:eastAsia="Arial" w:hAnsi="Arial"/>
          <w:sz w:val="16"/>
          <w:szCs w:val="16"/>
          <w:color w:val="auto"/>
        </w:rPr>
        <w:t>Kaplan International (NZ) Limited</w:t>
      </w:r>
      <w:r>
        <w:rPr>
          <w:sz w:val="20"/>
          <w:szCs w:val="20"/>
          <w:color w:val="auto"/>
        </w:rPr>
        <w:tab/>
      </w:r>
      <w:r>
        <w:rPr>
          <w:rFonts w:ascii="Arial" w:cs="Arial" w:eastAsia="Arial" w:hAnsi="Arial"/>
          <w:sz w:val="16"/>
          <w:szCs w:val="16"/>
          <w:color w:val="auto"/>
        </w:rPr>
        <w:t>New Zealand</w:t>
      </w:r>
    </w:p>
    <w:p>
      <w:pPr>
        <w:spacing w:after="0" w:line="86" w:lineRule="exact"/>
        <w:rPr>
          <w:sz w:val="20"/>
          <w:szCs w:val="20"/>
          <w:color w:val="auto"/>
        </w:rPr>
      </w:pPr>
    </w:p>
    <w:p>
      <w:pPr>
        <w:spacing w:after="0"/>
        <w:tabs>
          <w:tab w:leader="none" w:pos="6460" w:val="left"/>
        </w:tabs>
        <w:rPr>
          <w:sz w:val="20"/>
          <w:szCs w:val="20"/>
          <w:color w:val="auto"/>
        </w:rPr>
      </w:pPr>
      <w:r>
        <w:rPr>
          <w:rFonts w:ascii="Arial" w:cs="Arial" w:eastAsia="Arial" w:hAnsi="Arial"/>
          <w:sz w:val="16"/>
          <w:szCs w:val="16"/>
          <w:color w:val="auto"/>
        </w:rPr>
        <w:t>Kaplan International English (Australia) Pty Limited</w:t>
      </w:r>
      <w:r>
        <w:rPr>
          <w:sz w:val="20"/>
          <w:szCs w:val="20"/>
          <w:color w:val="auto"/>
        </w:rPr>
        <w:tab/>
      </w:r>
      <w:r>
        <w:rPr>
          <w:rFonts w:ascii="Arial" w:cs="Arial" w:eastAsia="Arial" w:hAnsi="Arial"/>
          <w:sz w:val="15"/>
          <w:szCs w:val="15"/>
          <w:color w:val="auto"/>
        </w:rPr>
        <w:t>Australia</w:t>
      </w:r>
    </w:p>
    <w:p>
      <w:pPr>
        <w:spacing w:after="0" w:line="86" w:lineRule="exact"/>
        <w:rPr>
          <w:sz w:val="20"/>
          <w:szCs w:val="20"/>
          <w:color w:val="auto"/>
        </w:rPr>
      </w:pPr>
    </w:p>
    <w:p>
      <w:pPr>
        <w:ind w:left="180"/>
        <w:spacing w:after="0"/>
        <w:tabs>
          <w:tab w:leader="none" w:pos="6460" w:val="left"/>
        </w:tabs>
        <w:rPr>
          <w:sz w:val="20"/>
          <w:szCs w:val="20"/>
          <w:color w:val="auto"/>
        </w:rPr>
      </w:pPr>
      <w:r>
        <w:rPr>
          <w:rFonts w:ascii="Arial" w:cs="Arial" w:eastAsia="Arial" w:hAnsi="Arial"/>
          <w:sz w:val="16"/>
          <w:szCs w:val="16"/>
          <w:color w:val="auto"/>
        </w:rPr>
        <w:t>Aspect ILA Sydney Pty Limited</w:t>
      </w:r>
      <w:r>
        <w:rPr>
          <w:sz w:val="20"/>
          <w:szCs w:val="20"/>
          <w:color w:val="auto"/>
        </w:rPr>
        <w:tab/>
      </w:r>
      <w:r>
        <w:rPr>
          <w:rFonts w:ascii="Arial" w:cs="Arial" w:eastAsia="Arial" w:hAnsi="Arial"/>
          <w:sz w:val="15"/>
          <w:szCs w:val="15"/>
          <w:color w:val="auto"/>
        </w:rPr>
        <w:t>Australia</w:t>
      </w:r>
    </w:p>
    <w:p>
      <w:pPr>
        <w:spacing w:after="0" w:line="86" w:lineRule="exact"/>
        <w:rPr>
          <w:sz w:val="20"/>
          <w:szCs w:val="20"/>
          <w:color w:val="auto"/>
        </w:rPr>
      </w:pPr>
    </w:p>
    <w:p>
      <w:pPr>
        <w:spacing w:after="0"/>
        <w:tabs>
          <w:tab w:leader="none" w:pos="6460" w:val="left"/>
        </w:tabs>
        <w:rPr>
          <w:sz w:val="20"/>
          <w:szCs w:val="20"/>
          <w:color w:val="auto"/>
        </w:rPr>
      </w:pPr>
      <w:r>
        <w:rPr>
          <w:rFonts w:ascii="Arial" w:cs="Arial" w:eastAsia="Arial" w:hAnsi="Arial"/>
          <w:sz w:val="16"/>
          <w:szCs w:val="16"/>
          <w:color w:val="auto"/>
        </w:rPr>
        <w:t>Kaplan International (Perth) Pty Limited</w:t>
      </w:r>
      <w:r>
        <w:rPr>
          <w:sz w:val="20"/>
          <w:szCs w:val="20"/>
          <w:color w:val="auto"/>
        </w:rPr>
        <w:tab/>
      </w:r>
      <w:r>
        <w:rPr>
          <w:rFonts w:ascii="Arial" w:cs="Arial" w:eastAsia="Arial" w:hAnsi="Arial"/>
          <w:sz w:val="15"/>
          <w:szCs w:val="15"/>
          <w:color w:val="auto"/>
        </w:rPr>
        <w:t>Australia</w:t>
      </w:r>
    </w:p>
    <w:p>
      <w:pPr>
        <w:spacing w:after="0" w:line="86" w:lineRule="exact"/>
        <w:rPr>
          <w:sz w:val="20"/>
          <w:szCs w:val="20"/>
          <w:color w:val="auto"/>
        </w:rPr>
      </w:pPr>
    </w:p>
    <w:p>
      <w:pPr>
        <w:ind w:left="140"/>
        <w:spacing w:after="0"/>
        <w:tabs>
          <w:tab w:leader="none" w:pos="6460" w:val="left"/>
        </w:tabs>
        <w:rPr>
          <w:sz w:val="20"/>
          <w:szCs w:val="20"/>
          <w:color w:val="auto"/>
        </w:rPr>
      </w:pPr>
      <w:r>
        <w:rPr>
          <w:rFonts w:ascii="Arial" w:cs="Arial" w:eastAsia="Arial" w:hAnsi="Arial"/>
          <w:sz w:val="16"/>
          <w:szCs w:val="16"/>
          <w:color w:val="auto"/>
        </w:rPr>
        <w:t>Kaplan Japan K.K.</w:t>
      </w:r>
      <w:r>
        <w:rPr>
          <w:sz w:val="20"/>
          <w:szCs w:val="20"/>
          <w:color w:val="auto"/>
        </w:rPr>
        <w:tab/>
      </w:r>
      <w:r>
        <w:rPr>
          <w:rFonts w:ascii="Arial" w:cs="Arial" w:eastAsia="Arial" w:hAnsi="Arial"/>
          <w:sz w:val="16"/>
          <w:szCs w:val="16"/>
          <w:color w:val="auto"/>
        </w:rPr>
        <w:t>Japan</w:t>
      </w:r>
    </w:p>
    <w:p>
      <w:pPr>
        <w:spacing w:after="0" w:line="86" w:lineRule="exact"/>
        <w:rPr>
          <w:sz w:val="20"/>
          <w:szCs w:val="20"/>
          <w:color w:val="auto"/>
        </w:rPr>
      </w:pPr>
    </w:p>
    <w:p>
      <w:pPr>
        <w:ind w:left="180"/>
        <w:spacing w:after="0"/>
        <w:tabs>
          <w:tab w:leader="none" w:pos="6460" w:val="left"/>
        </w:tabs>
        <w:rPr>
          <w:sz w:val="20"/>
          <w:szCs w:val="20"/>
          <w:color w:val="auto"/>
        </w:rPr>
      </w:pPr>
      <w:r>
        <w:rPr>
          <w:rFonts w:ascii="Arial" w:cs="Arial" w:eastAsia="Arial" w:hAnsi="Arial"/>
          <w:sz w:val="16"/>
          <w:szCs w:val="16"/>
          <w:color w:val="auto"/>
        </w:rPr>
        <w:t>BEO Limited</w:t>
      </w:r>
      <w:r>
        <w:rPr>
          <w:sz w:val="20"/>
          <w:szCs w:val="20"/>
          <w:color w:val="auto"/>
        </w:rPr>
        <w:tab/>
      </w:r>
      <w:r>
        <w:rPr>
          <w:rFonts w:ascii="Arial" w:cs="Arial" w:eastAsia="Arial" w:hAnsi="Arial"/>
          <w:sz w:val="15"/>
          <w:szCs w:val="15"/>
          <w:color w:val="auto"/>
        </w:rPr>
        <w:t>Hong Kong</w:t>
      </w:r>
    </w:p>
    <w:p>
      <w:pPr>
        <w:spacing w:after="0" w:line="86" w:lineRule="exact"/>
        <w:rPr>
          <w:sz w:val="20"/>
          <w:szCs w:val="20"/>
          <w:color w:val="auto"/>
        </w:rPr>
      </w:pPr>
    </w:p>
    <w:p>
      <w:pPr>
        <w:ind w:left="360"/>
        <w:spacing w:after="0"/>
        <w:tabs>
          <w:tab w:leader="none" w:pos="6460" w:val="left"/>
        </w:tabs>
        <w:rPr>
          <w:sz w:val="20"/>
          <w:szCs w:val="20"/>
          <w:color w:val="auto"/>
        </w:rPr>
      </w:pPr>
      <w:r>
        <w:rPr>
          <w:rFonts w:ascii="Arial" w:cs="Arial" w:eastAsia="Arial" w:hAnsi="Arial"/>
          <w:sz w:val="16"/>
          <w:szCs w:val="16"/>
          <w:color w:val="auto"/>
        </w:rPr>
        <w:t>BEO KK</w:t>
      </w:r>
      <w:r>
        <w:rPr>
          <w:sz w:val="20"/>
          <w:szCs w:val="20"/>
          <w:color w:val="auto"/>
        </w:rPr>
        <w:tab/>
      </w:r>
      <w:r>
        <w:rPr>
          <w:rFonts w:ascii="Arial" w:cs="Arial" w:eastAsia="Arial" w:hAnsi="Arial"/>
          <w:sz w:val="16"/>
          <w:szCs w:val="16"/>
          <w:color w:val="auto"/>
        </w:rPr>
        <w:t>Japan</w:t>
      </w:r>
    </w:p>
    <w:p>
      <w:pPr>
        <w:spacing w:after="0" w:line="86" w:lineRule="exact"/>
        <w:rPr>
          <w:sz w:val="20"/>
          <w:szCs w:val="20"/>
          <w:color w:val="auto"/>
        </w:rPr>
      </w:pPr>
    </w:p>
    <w:p>
      <w:pPr>
        <w:ind w:left="180"/>
        <w:spacing w:after="0"/>
        <w:tabs>
          <w:tab w:leader="none" w:pos="6460" w:val="left"/>
        </w:tabs>
        <w:rPr>
          <w:sz w:val="20"/>
          <w:szCs w:val="20"/>
          <w:color w:val="auto"/>
        </w:rPr>
      </w:pPr>
      <w:r>
        <w:rPr>
          <w:rFonts w:ascii="Arial" w:cs="Arial" w:eastAsia="Arial" w:hAnsi="Arial"/>
          <w:sz w:val="16"/>
          <w:szCs w:val="16"/>
          <w:color w:val="auto"/>
        </w:rPr>
        <w:t>Aspect (Beijing) Education Information Consulting Co. Ltd.</w:t>
      </w:r>
      <w:r>
        <w:rPr>
          <w:sz w:val="20"/>
          <w:szCs w:val="20"/>
          <w:color w:val="auto"/>
        </w:rPr>
        <w:tab/>
      </w:r>
      <w:r>
        <w:rPr>
          <w:rFonts w:ascii="Arial" w:cs="Arial" w:eastAsia="Arial" w:hAnsi="Arial"/>
          <w:sz w:val="16"/>
          <w:szCs w:val="16"/>
          <w:color w:val="auto"/>
        </w:rPr>
        <w:t>China (PR)</w:t>
      </w:r>
    </w:p>
    <w:p>
      <w:pPr>
        <w:spacing w:after="0" w:line="86" w:lineRule="exact"/>
        <w:rPr>
          <w:sz w:val="20"/>
          <w:szCs w:val="20"/>
          <w:color w:val="auto"/>
        </w:rPr>
      </w:pPr>
    </w:p>
    <w:p>
      <w:pPr>
        <w:ind w:left="180"/>
        <w:spacing w:after="0"/>
        <w:tabs>
          <w:tab w:leader="none" w:pos="6460" w:val="left"/>
        </w:tabs>
        <w:rPr>
          <w:sz w:val="20"/>
          <w:szCs w:val="20"/>
          <w:color w:val="auto"/>
        </w:rPr>
      </w:pPr>
      <w:r>
        <w:rPr>
          <w:rFonts w:ascii="Arial" w:cs="Arial" w:eastAsia="Arial" w:hAnsi="Arial"/>
          <w:sz w:val="16"/>
          <w:szCs w:val="16"/>
          <w:color w:val="auto"/>
        </w:rPr>
        <w:t>Pacific Language Institute, Inc.</w:t>
      </w:r>
      <w:r>
        <w:rPr>
          <w:sz w:val="20"/>
          <w:szCs w:val="20"/>
          <w:color w:val="auto"/>
        </w:rPr>
        <w:tab/>
      </w:r>
      <w:r>
        <w:rPr>
          <w:rFonts w:ascii="Arial" w:cs="Arial" w:eastAsia="Arial" w:hAnsi="Arial"/>
          <w:sz w:val="16"/>
          <w:szCs w:val="16"/>
          <w:color w:val="auto"/>
        </w:rPr>
        <w:t>British Columbia</w:t>
      </w:r>
    </w:p>
    <w:p>
      <w:pPr>
        <w:spacing w:after="0" w:line="86" w:lineRule="exact"/>
        <w:rPr>
          <w:sz w:val="20"/>
          <w:szCs w:val="20"/>
          <w:color w:val="auto"/>
        </w:rPr>
      </w:pPr>
    </w:p>
    <w:p>
      <w:pPr>
        <w:ind w:left="180"/>
        <w:spacing w:after="0"/>
        <w:tabs>
          <w:tab w:leader="none" w:pos="6460" w:val="left"/>
        </w:tabs>
        <w:rPr>
          <w:sz w:val="20"/>
          <w:szCs w:val="20"/>
          <w:color w:val="auto"/>
        </w:rPr>
      </w:pPr>
      <w:r>
        <w:rPr>
          <w:rFonts w:ascii="Arial" w:cs="Arial" w:eastAsia="Arial" w:hAnsi="Arial"/>
          <w:sz w:val="16"/>
          <w:szCs w:val="16"/>
          <w:color w:val="auto"/>
        </w:rPr>
        <w:t>Aspect Education UK Limited</w:t>
      </w:r>
      <w:r>
        <w:rPr>
          <w:sz w:val="20"/>
          <w:szCs w:val="20"/>
          <w:color w:val="auto"/>
        </w:rPr>
        <w:tab/>
      </w:r>
      <w:r>
        <w:rPr>
          <w:rFonts w:ascii="Arial" w:cs="Arial" w:eastAsia="Arial" w:hAnsi="Arial"/>
          <w:sz w:val="16"/>
          <w:szCs w:val="16"/>
          <w:color w:val="auto"/>
        </w:rPr>
        <w:t>England &amp; Wales</w:t>
      </w:r>
    </w:p>
    <w:p>
      <w:pPr>
        <w:spacing w:after="0" w:line="86" w:lineRule="exact"/>
        <w:rPr>
          <w:sz w:val="20"/>
          <w:szCs w:val="20"/>
          <w:color w:val="auto"/>
        </w:rPr>
      </w:pPr>
    </w:p>
    <w:p>
      <w:pPr>
        <w:ind w:left="180"/>
        <w:spacing w:after="0"/>
        <w:tabs>
          <w:tab w:leader="none" w:pos="6460" w:val="left"/>
        </w:tabs>
        <w:rPr>
          <w:sz w:val="20"/>
          <w:szCs w:val="20"/>
          <w:color w:val="auto"/>
        </w:rPr>
      </w:pPr>
      <w:r>
        <w:rPr>
          <w:rFonts w:ascii="Arial" w:cs="Arial" w:eastAsia="Arial" w:hAnsi="Arial"/>
          <w:sz w:val="16"/>
          <w:szCs w:val="16"/>
          <w:color w:val="auto"/>
        </w:rPr>
        <w:t>Aspect Educational Services Limited</w:t>
      </w:r>
      <w:r>
        <w:rPr>
          <w:sz w:val="20"/>
          <w:szCs w:val="20"/>
          <w:color w:val="auto"/>
        </w:rPr>
        <w:tab/>
      </w:r>
      <w:r>
        <w:rPr>
          <w:rFonts w:ascii="Arial" w:cs="Arial" w:eastAsia="Arial" w:hAnsi="Arial"/>
          <w:sz w:val="16"/>
          <w:szCs w:val="16"/>
          <w:color w:val="auto"/>
        </w:rPr>
        <w:t>England &amp; Wales</w:t>
      </w:r>
    </w:p>
    <w:p>
      <w:pPr>
        <w:spacing w:after="0" w:line="86" w:lineRule="exact"/>
        <w:rPr>
          <w:sz w:val="20"/>
          <w:szCs w:val="20"/>
          <w:color w:val="auto"/>
        </w:rPr>
      </w:pPr>
    </w:p>
    <w:p>
      <w:pPr>
        <w:ind w:left="180"/>
        <w:spacing w:after="0"/>
        <w:tabs>
          <w:tab w:leader="none" w:pos="6460" w:val="left"/>
        </w:tabs>
        <w:rPr>
          <w:sz w:val="20"/>
          <w:szCs w:val="20"/>
          <w:color w:val="auto"/>
        </w:rPr>
      </w:pPr>
      <w:r>
        <w:rPr>
          <w:rFonts w:ascii="Arial" w:cs="Arial" w:eastAsia="Arial" w:hAnsi="Arial"/>
          <w:sz w:val="16"/>
          <w:szCs w:val="16"/>
          <w:color w:val="auto"/>
        </w:rPr>
        <w:t>Aspect International Language Academies Limited</w:t>
      </w:r>
      <w:r>
        <w:rPr>
          <w:sz w:val="20"/>
          <w:szCs w:val="20"/>
          <w:color w:val="auto"/>
        </w:rPr>
        <w:tab/>
      </w:r>
      <w:r>
        <w:rPr>
          <w:rFonts w:ascii="Arial" w:cs="Arial" w:eastAsia="Arial" w:hAnsi="Arial"/>
          <w:sz w:val="16"/>
          <w:szCs w:val="16"/>
          <w:color w:val="auto"/>
        </w:rPr>
        <w:t>England &amp; Wales</w:t>
      </w:r>
    </w:p>
    <w:p>
      <w:pPr>
        <w:spacing w:after="0" w:line="86" w:lineRule="exact"/>
        <w:rPr>
          <w:sz w:val="20"/>
          <w:szCs w:val="20"/>
          <w:color w:val="auto"/>
        </w:rPr>
      </w:pPr>
    </w:p>
    <w:p>
      <w:pPr>
        <w:ind w:left="360"/>
        <w:spacing w:after="0"/>
        <w:tabs>
          <w:tab w:leader="none" w:pos="6460" w:val="left"/>
        </w:tabs>
        <w:rPr>
          <w:sz w:val="20"/>
          <w:szCs w:val="20"/>
          <w:color w:val="auto"/>
        </w:rPr>
      </w:pPr>
      <w:r>
        <w:rPr>
          <w:rFonts w:ascii="Arial" w:cs="Arial" w:eastAsia="Arial" w:hAnsi="Arial"/>
          <w:sz w:val="16"/>
          <w:szCs w:val="16"/>
          <w:color w:val="auto"/>
        </w:rPr>
        <w:t>Anglo World Travel SA</w:t>
      </w:r>
      <w:r>
        <w:rPr>
          <w:sz w:val="20"/>
          <w:szCs w:val="20"/>
          <w:color w:val="auto"/>
        </w:rPr>
        <w:tab/>
      </w:r>
      <w:r>
        <w:rPr>
          <w:rFonts w:ascii="Arial" w:cs="Arial" w:eastAsia="Arial" w:hAnsi="Arial"/>
          <w:sz w:val="16"/>
          <w:szCs w:val="16"/>
          <w:color w:val="auto"/>
        </w:rPr>
        <w:t>England &amp; Wales</w:t>
      </w:r>
    </w:p>
    <w:p>
      <w:pPr>
        <w:spacing w:after="0" w:line="86" w:lineRule="exact"/>
        <w:rPr>
          <w:sz w:val="20"/>
          <w:szCs w:val="20"/>
          <w:color w:val="auto"/>
        </w:rPr>
      </w:pPr>
    </w:p>
    <w:p>
      <w:pPr>
        <w:ind w:left="540"/>
        <w:spacing w:after="0"/>
        <w:tabs>
          <w:tab w:leader="none" w:pos="6460" w:val="left"/>
        </w:tabs>
        <w:rPr>
          <w:sz w:val="20"/>
          <w:szCs w:val="20"/>
          <w:color w:val="auto"/>
        </w:rPr>
      </w:pPr>
      <w:r>
        <w:rPr>
          <w:rFonts w:ascii="Arial" w:cs="Arial" w:eastAsia="Arial" w:hAnsi="Arial"/>
          <w:sz w:val="16"/>
          <w:szCs w:val="16"/>
          <w:color w:val="auto"/>
        </w:rPr>
        <w:t>Anglo-World Group Ltd.</w:t>
      </w:r>
      <w:r>
        <w:rPr>
          <w:sz w:val="20"/>
          <w:szCs w:val="20"/>
          <w:color w:val="auto"/>
        </w:rPr>
        <w:tab/>
      </w:r>
      <w:r>
        <w:rPr>
          <w:rFonts w:ascii="Arial" w:cs="Arial" w:eastAsia="Arial" w:hAnsi="Arial"/>
          <w:sz w:val="16"/>
          <w:szCs w:val="16"/>
          <w:color w:val="auto"/>
        </w:rPr>
        <w:t>England &amp; Wales</w:t>
      </w:r>
    </w:p>
    <w:p>
      <w:pPr>
        <w:spacing w:after="0" w:line="86" w:lineRule="exact"/>
        <w:rPr>
          <w:sz w:val="20"/>
          <w:szCs w:val="20"/>
          <w:color w:val="auto"/>
        </w:rPr>
      </w:pPr>
    </w:p>
    <w:p>
      <w:pPr>
        <w:ind w:left="540"/>
        <w:spacing w:after="0"/>
        <w:tabs>
          <w:tab w:leader="none" w:pos="6460" w:val="left"/>
        </w:tabs>
        <w:rPr>
          <w:sz w:val="20"/>
          <w:szCs w:val="20"/>
          <w:color w:val="auto"/>
        </w:rPr>
      </w:pPr>
      <w:r>
        <w:rPr>
          <w:rFonts w:ascii="Arial" w:cs="Arial" w:eastAsia="Arial" w:hAnsi="Arial"/>
          <w:sz w:val="16"/>
          <w:szCs w:val="16"/>
          <w:color w:val="auto"/>
        </w:rPr>
        <w:t>Anglo-World Education Ltd.</w:t>
      </w:r>
      <w:r>
        <w:rPr>
          <w:sz w:val="20"/>
          <w:szCs w:val="20"/>
          <w:color w:val="auto"/>
        </w:rPr>
        <w:tab/>
      </w:r>
      <w:r>
        <w:rPr>
          <w:rFonts w:ascii="Arial" w:cs="Arial" w:eastAsia="Arial" w:hAnsi="Arial"/>
          <w:sz w:val="16"/>
          <w:szCs w:val="16"/>
          <w:color w:val="auto"/>
        </w:rPr>
        <w:t>England &amp; Wales</w:t>
      </w:r>
    </w:p>
    <w:p>
      <w:pPr>
        <w:spacing w:after="0" w:line="86" w:lineRule="exact"/>
        <w:rPr>
          <w:sz w:val="20"/>
          <w:szCs w:val="20"/>
          <w:color w:val="auto"/>
        </w:rPr>
      </w:pPr>
    </w:p>
    <w:p>
      <w:pPr>
        <w:ind w:left="180"/>
        <w:spacing w:after="0"/>
        <w:tabs>
          <w:tab w:leader="none" w:pos="6460" w:val="left"/>
        </w:tabs>
        <w:rPr>
          <w:sz w:val="20"/>
          <w:szCs w:val="20"/>
          <w:color w:val="auto"/>
        </w:rPr>
      </w:pPr>
      <w:r>
        <w:rPr>
          <w:rFonts w:ascii="Arial" w:cs="Arial" w:eastAsia="Arial" w:hAnsi="Arial"/>
          <w:sz w:val="16"/>
          <w:szCs w:val="16"/>
          <w:color w:val="auto"/>
        </w:rPr>
        <w:t>Aspect International Language Schools Limited</w:t>
      </w:r>
      <w:r>
        <w:rPr>
          <w:sz w:val="20"/>
          <w:szCs w:val="20"/>
          <w:color w:val="auto"/>
        </w:rPr>
        <w:tab/>
      </w:r>
      <w:r>
        <w:rPr>
          <w:rFonts w:ascii="Arial" w:cs="Arial" w:eastAsia="Arial" w:hAnsi="Arial"/>
          <w:sz w:val="16"/>
          <w:szCs w:val="16"/>
          <w:color w:val="auto"/>
        </w:rPr>
        <w:t>Ireland</w:t>
      </w:r>
    </w:p>
    <w:p>
      <w:pPr>
        <w:spacing w:after="0" w:line="86" w:lineRule="exact"/>
        <w:rPr>
          <w:sz w:val="20"/>
          <w:szCs w:val="20"/>
          <w:color w:val="auto"/>
        </w:rPr>
      </w:pPr>
    </w:p>
    <w:p>
      <w:pPr>
        <w:ind w:left="180"/>
        <w:spacing w:after="0"/>
        <w:tabs>
          <w:tab w:leader="none" w:pos="6460" w:val="left"/>
        </w:tabs>
        <w:rPr>
          <w:sz w:val="20"/>
          <w:szCs w:val="20"/>
          <w:color w:val="auto"/>
        </w:rPr>
      </w:pPr>
      <w:r>
        <w:rPr>
          <w:rFonts w:ascii="Arial" w:cs="Arial" w:eastAsia="Arial" w:hAnsi="Arial"/>
          <w:sz w:val="16"/>
          <w:szCs w:val="16"/>
          <w:color w:val="auto"/>
        </w:rPr>
        <w:t>Aspect InternationaleSprachschule GmbH</w:t>
      </w:r>
      <w:r>
        <w:rPr>
          <w:sz w:val="20"/>
          <w:szCs w:val="20"/>
          <w:color w:val="auto"/>
        </w:rPr>
        <w:tab/>
      </w:r>
      <w:r>
        <w:rPr>
          <w:rFonts w:ascii="Arial" w:cs="Arial" w:eastAsia="Arial" w:hAnsi="Arial"/>
          <w:sz w:val="16"/>
          <w:szCs w:val="16"/>
          <w:color w:val="auto"/>
        </w:rPr>
        <w:t>Germany</w:t>
      </w:r>
    </w:p>
    <w:p>
      <w:pPr>
        <w:spacing w:after="0" w:line="86" w:lineRule="exact"/>
        <w:rPr>
          <w:sz w:val="20"/>
          <w:szCs w:val="20"/>
          <w:color w:val="auto"/>
        </w:rPr>
      </w:pPr>
    </w:p>
    <w:p>
      <w:pPr>
        <w:ind w:left="180"/>
        <w:spacing w:after="0"/>
        <w:tabs>
          <w:tab w:leader="none" w:pos="6460" w:val="left"/>
        </w:tabs>
        <w:rPr>
          <w:sz w:val="20"/>
          <w:szCs w:val="20"/>
          <w:color w:val="auto"/>
        </w:rPr>
      </w:pPr>
      <w:r>
        <w:rPr>
          <w:rFonts w:ascii="Arial" w:cs="Arial" w:eastAsia="Arial" w:hAnsi="Arial"/>
          <w:sz w:val="16"/>
          <w:szCs w:val="16"/>
          <w:color w:val="auto"/>
        </w:rPr>
        <w:t>Aspect Language Schools Limitada</w:t>
      </w:r>
      <w:r>
        <w:rPr>
          <w:sz w:val="20"/>
          <w:szCs w:val="20"/>
          <w:color w:val="auto"/>
        </w:rPr>
        <w:tab/>
      </w:r>
      <w:r>
        <w:rPr>
          <w:rFonts w:ascii="Arial" w:cs="Arial" w:eastAsia="Arial" w:hAnsi="Arial"/>
          <w:sz w:val="16"/>
          <w:szCs w:val="16"/>
          <w:color w:val="auto"/>
        </w:rPr>
        <w:t>Columbia</w:t>
      </w:r>
    </w:p>
    <w:p>
      <w:pPr>
        <w:spacing w:after="0" w:line="86" w:lineRule="exact"/>
        <w:rPr>
          <w:sz w:val="20"/>
          <w:szCs w:val="20"/>
          <w:color w:val="auto"/>
        </w:rPr>
      </w:pPr>
    </w:p>
    <w:p>
      <w:pPr>
        <w:ind w:left="180"/>
        <w:spacing w:after="0"/>
        <w:tabs>
          <w:tab w:leader="none" w:pos="6460" w:val="left"/>
        </w:tabs>
        <w:rPr>
          <w:sz w:val="20"/>
          <w:szCs w:val="20"/>
          <w:color w:val="auto"/>
        </w:rPr>
      </w:pPr>
      <w:r>
        <w:rPr>
          <w:rFonts w:ascii="Arial" w:cs="Arial" w:eastAsia="Arial" w:hAnsi="Arial"/>
          <w:sz w:val="16"/>
          <w:szCs w:val="16"/>
          <w:color w:val="auto"/>
        </w:rPr>
        <w:t>Aspect Language Schools Limited</w:t>
      </w:r>
      <w:r>
        <w:rPr>
          <w:sz w:val="20"/>
          <w:szCs w:val="20"/>
          <w:color w:val="auto"/>
        </w:rPr>
        <w:tab/>
      </w:r>
      <w:r>
        <w:rPr>
          <w:rFonts w:ascii="Arial" w:cs="Arial" w:eastAsia="Arial" w:hAnsi="Arial"/>
          <w:sz w:val="16"/>
          <w:szCs w:val="16"/>
          <w:color w:val="auto"/>
        </w:rPr>
        <w:t>Switzerland</w:t>
      </w:r>
    </w:p>
    <w:p>
      <w:pPr>
        <w:spacing w:after="0" w:line="86" w:lineRule="exact"/>
        <w:rPr>
          <w:sz w:val="20"/>
          <w:szCs w:val="20"/>
          <w:color w:val="auto"/>
        </w:rPr>
      </w:pPr>
    </w:p>
    <w:p>
      <w:pPr>
        <w:ind w:left="180"/>
        <w:spacing w:after="0"/>
        <w:tabs>
          <w:tab w:leader="none" w:pos="6460" w:val="left"/>
        </w:tabs>
        <w:rPr>
          <w:sz w:val="20"/>
          <w:szCs w:val="20"/>
          <w:color w:val="auto"/>
        </w:rPr>
      </w:pPr>
      <w:r>
        <w:rPr>
          <w:rFonts w:ascii="Arial" w:cs="Arial" w:eastAsia="Arial" w:hAnsi="Arial"/>
          <w:sz w:val="16"/>
          <w:szCs w:val="16"/>
          <w:color w:val="auto"/>
        </w:rPr>
        <w:t>Aspect S.A.R.L. France</w:t>
      </w:r>
      <w:r>
        <w:rPr>
          <w:sz w:val="20"/>
          <w:szCs w:val="20"/>
          <w:color w:val="auto"/>
        </w:rPr>
        <w:tab/>
      </w:r>
      <w:r>
        <w:rPr>
          <w:rFonts w:ascii="Arial" w:cs="Arial" w:eastAsia="Arial" w:hAnsi="Arial"/>
          <w:sz w:val="16"/>
          <w:szCs w:val="16"/>
          <w:color w:val="auto"/>
        </w:rPr>
        <w:t>France</w:t>
      </w:r>
    </w:p>
    <w:p>
      <w:pPr>
        <w:spacing w:after="0" w:line="86" w:lineRule="exact"/>
        <w:rPr>
          <w:sz w:val="20"/>
          <w:szCs w:val="20"/>
          <w:color w:val="auto"/>
        </w:rPr>
      </w:pPr>
    </w:p>
    <w:p>
      <w:pPr>
        <w:ind w:left="180"/>
        <w:spacing w:after="0"/>
        <w:tabs>
          <w:tab w:leader="none" w:pos="6460" w:val="left"/>
        </w:tabs>
        <w:rPr>
          <w:sz w:val="20"/>
          <w:szCs w:val="20"/>
          <w:color w:val="auto"/>
        </w:rPr>
      </w:pPr>
      <w:r>
        <w:rPr>
          <w:rFonts w:ascii="Arial" w:cs="Arial" w:eastAsia="Arial" w:hAnsi="Arial"/>
          <w:sz w:val="16"/>
          <w:szCs w:val="16"/>
          <w:color w:val="auto"/>
        </w:rPr>
        <w:t>Aspect Education (Hong Kong) Limited</w:t>
      </w:r>
      <w:r>
        <w:rPr>
          <w:sz w:val="20"/>
          <w:szCs w:val="20"/>
          <w:color w:val="auto"/>
        </w:rPr>
        <w:tab/>
      </w:r>
      <w:r>
        <w:rPr>
          <w:rFonts w:ascii="Arial" w:cs="Arial" w:eastAsia="Arial" w:hAnsi="Arial"/>
          <w:sz w:val="15"/>
          <w:szCs w:val="15"/>
          <w:color w:val="auto"/>
        </w:rPr>
        <w:t>Hong Kong</w:t>
      </w:r>
    </w:p>
    <w:p>
      <w:pPr>
        <w:spacing w:after="0" w:line="86" w:lineRule="exact"/>
        <w:rPr>
          <w:sz w:val="20"/>
          <w:szCs w:val="20"/>
          <w:color w:val="auto"/>
        </w:rPr>
      </w:pPr>
    </w:p>
    <w:p>
      <w:pPr>
        <w:ind w:left="180"/>
        <w:spacing w:after="0"/>
        <w:tabs>
          <w:tab w:leader="none" w:pos="6460" w:val="left"/>
        </w:tabs>
        <w:rPr>
          <w:sz w:val="20"/>
          <w:szCs w:val="20"/>
          <w:color w:val="auto"/>
        </w:rPr>
      </w:pPr>
      <w:r>
        <w:rPr>
          <w:rFonts w:ascii="Arial" w:cs="Arial" w:eastAsia="Arial" w:hAnsi="Arial"/>
          <w:sz w:val="16"/>
          <w:szCs w:val="16"/>
          <w:color w:val="auto"/>
        </w:rPr>
        <w:t>Kaplan International Colleges, C.A.</w:t>
      </w:r>
      <w:r>
        <w:rPr>
          <w:sz w:val="20"/>
          <w:szCs w:val="20"/>
          <w:color w:val="auto"/>
        </w:rPr>
        <w:tab/>
      </w:r>
      <w:r>
        <w:rPr>
          <w:rFonts w:ascii="Arial" w:cs="Arial" w:eastAsia="Arial" w:hAnsi="Arial"/>
          <w:sz w:val="16"/>
          <w:szCs w:val="16"/>
          <w:color w:val="auto"/>
        </w:rPr>
        <w:t>Venezuela</w:t>
      </w:r>
    </w:p>
    <w:p>
      <w:pPr>
        <w:spacing w:after="0" w:line="86" w:lineRule="exact"/>
        <w:rPr>
          <w:sz w:val="20"/>
          <w:szCs w:val="20"/>
          <w:color w:val="auto"/>
        </w:rPr>
      </w:pPr>
    </w:p>
    <w:p>
      <w:pPr>
        <w:ind w:left="180"/>
        <w:spacing w:after="0"/>
        <w:tabs>
          <w:tab w:leader="none" w:pos="6460" w:val="left"/>
        </w:tabs>
        <w:rPr>
          <w:sz w:val="20"/>
          <w:szCs w:val="20"/>
          <w:color w:val="auto"/>
        </w:rPr>
      </w:pPr>
      <w:r>
        <w:rPr>
          <w:rFonts w:ascii="Arial" w:cs="Arial" w:eastAsia="Arial" w:hAnsi="Arial"/>
          <w:sz w:val="16"/>
          <w:szCs w:val="16"/>
          <w:color w:val="auto"/>
        </w:rPr>
        <w:t>Kaplan International Operations Mexico, S.A. de C.V.</w:t>
      </w:r>
      <w:r>
        <w:rPr>
          <w:sz w:val="20"/>
          <w:szCs w:val="20"/>
          <w:color w:val="auto"/>
        </w:rPr>
        <w:tab/>
      </w:r>
      <w:r>
        <w:rPr>
          <w:rFonts w:ascii="Arial" w:cs="Arial" w:eastAsia="Arial" w:hAnsi="Arial"/>
          <w:sz w:val="16"/>
          <w:szCs w:val="16"/>
          <w:color w:val="auto"/>
        </w:rPr>
        <w:t>Mexico</w:t>
      </w:r>
    </w:p>
    <w:p>
      <w:pPr>
        <w:spacing w:after="0" w:line="86" w:lineRule="exact"/>
        <w:rPr>
          <w:sz w:val="20"/>
          <w:szCs w:val="20"/>
          <w:color w:val="auto"/>
        </w:rPr>
      </w:pPr>
    </w:p>
    <w:p>
      <w:pPr>
        <w:ind w:left="180"/>
        <w:spacing w:after="0"/>
        <w:tabs>
          <w:tab w:leader="none" w:pos="6460" w:val="left"/>
        </w:tabs>
        <w:rPr>
          <w:sz w:val="20"/>
          <w:szCs w:val="20"/>
          <w:color w:val="auto"/>
        </w:rPr>
      </w:pPr>
      <w:r>
        <w:rPr>
          <w:rFonts w:ascii="Arial" w:cs="Arial" w:eastAsia="Arial" w:hAnsi="Arial"/>
          <w:sz w:val="16"/>
          <w:szCs w:val="16"/>
          <w:color w:val="auto"/>
        </w:rPr>
        <w:t>KI HR Services Mexico, S.A. de C.V.</w:t>
      </w:r>
      <w:r>
        <w:rPr>
          <w:sz w:val="20"/>
          <w:szCs w:val="20"/>
          <w:color w:val="auto"/>
        </w:rPr>
        <w:tab/>
      </w:r>
      <w:r>
        <w:rPr>
          <w:rFonts w:ascii="Arial" w:cs="Arial" w:eastAsia="Arial" w:hAnsi="Arial"/>
          <w:sz w:val="16"/>
          <w:szCs w:val="16"/>
          <w:color w:val="auto"/>
        </w:rPr>
        <w:t>Mexico</w:t>
      </w:r>
    </w:p>
    <w:p>
      <w:pPr>
        <w:spacing w:after="0" w:line="86" w:lineRule="exact"/>
        <w:rPr>
          <w:sz w:val="20"/>
          <w:szCs w:val="20"/>
          <w:color w:val="auto"/>
        </w:rPr>
      </w:pPr>
    </w:p>
    <w:p>
      <w:pPr>
        <w:ind w:left="180"/>
        <w:spacing w:after="0"/>
        <w:tabs>
          <w:tab w:leader="none" w:pos="6460" w:val="left"/>
        </w:tabs>
        <w:rPr>
          <w:sz w:val="20"/>
          <w:szCs w:val="20"/>
          <w:color w:val="auto"/>
        </w:rPr>
      </w:pPr>
      <w:r>
        <w:rPr>
          <w:rFonts w:ascii="Arial" w:cs="Arial" w:eastAsia="Arial" w:hAnsi="Arial"/>
          <w:sz w:val="16"/>
          <w:szCs w:val="16"/>
          <w:color w:val="auto"/>
        </w:rPr>
        <w:t>Pro Linguis AG in Liquidation</w:t>
      </w:r>
      <w:r>
        <w:rPr>
          <w:sz w:val="20"/>
          <w:szCs w:val="20"/>
          <w:color w:val="auto"/>
        </w:rPr>
        <w:tab/>
      </w:r>
      <w:r>
        <w:rPr>
          <w:rFonts w:ascii="Arial" w:cs="Arial" w:eastAsia="Arial" w:hAnsi="Arial"/>
          <w:sz w:val="16"/>
          <w:szCs w:val="16"/>
          <w:color w:val="auto"/>
        </w:rPr>
        <w:t>Switzerland</w:t>
      </w:r>
    </w:p>
    <w:p>
      <w:pPr>
        <w:spacing w:after="0" w:line="86" w:lineRule="exact"/>
        <w:rPr>
          <w:sz w:val="20"/>
          <w:szCs w:val="20"/>
          <w:color w:val="auto"/>
        </w:rPr>
      </w:pPr>
    </w:p>
    <w:p>
      <w:pPr>
        <w:ind w:left="180"/>
        <w:spacing w:after="0"/>
        <w:tabs>
          <w:tab w:leader="none" w:pos="6460" w:val="left"/>
        </w:tabs>
        <w:rPr>
          <w:sz w:val="20"/>
          <w:szCs w:val="20"/>
          <w:color w:val="auto"/>
        </w:rPr>
      </w:pPr>
      <w:r>
        <w:rPr>
          <w:rFonts w:ascii="Arial" w:cs="Arial" w:eastAsia="Arial" w:hAnsi="Arial"/>
          <w:sz w:val="16"/>
          <w:szCs w:val="16"/>
          <w:color w:val="auto"/>
        </w:rPr>
        <w:t>West of England Language Services Limited</w:t>
      </w:r>
      <w:r>
        <w:rPr>
          <w:sz w:val="20"/>
          <w:szCs w:val="20"/>
          <w:color w:val="auto"/>
        </w:rPr>
        <w:tab/>
      </w:r>
      <w:r>
        <w:rPr>
          <w:rFonts w:ascii="Arial" w:cs="Arial" w:eastAsia="Arial" w:hAnsi="Arial"/>
          <w:sz w:val="16"/>
          <w:szCs w:val="16"/>
          <w:color w:val="auto"/>
        </w:rPr>
        <w:t>England &amp; Wales</w:t>
      </w:r>
    </w:p>
    <w:p>
      <w:pPr>
        <w:spacing w:after="0" w:line="86" w:lineRule="exact"/>
        <w:rPr>
          <w:sz w:val="20"/>
          <w:szCs w:val="20"/>
          <w:color w:val="auto"/>
        </w:rPr>
      </w:pPr>
    </w:p>
    <w:p>
      <w:pPr>
        <w:ind w:left="360"/>
        <w:spacing w:after="0"/>
        <w:tabs>
          <w:tab w:leader="none" w:pos="6460" w:val="left"/>
        </w:tabs>
        <w:rPr>
          <w:sz w:val="20"/>
          <w:szCs w:val="20"/>
          <w:color w:val="auto"/>
        </w:rPr>
      </w:pPr>
      <w:r>
        <w:rPr>
          <w:rFonts w:ascii="Arial" w:cs="Arial" w:eastAsia="Arial" w:hAnsi="Arial"/>
          <w:sz w:val="16"/>
          <w:szCs w:val="16"/>
          <w:color w:val="auto"/>
        </w:rPr>
        <w:t>The Salisbury School of English Limited</w:t>
      </w:r>
      <w:r>
        <w:rPr>
          <w:sz w:val="20"/>
          <w:szCs w:val="20"/>
          <w:color w:val="auto"/>
        </w:rPr>
        <w:tab/>
      </w:r>
      <w:r>
        <w:rPr>
          <w:rFonts w:ascii="Arial" w:cs="Arial" w:eastAsia="Arial" w:hAnsi="Arial"/>
          <w:sz w:val="16"/>
          <w:szCs w:val="16"/>
          <w:color w:val="auto"/>
        </w:rPr>
        <w:t>England &amp; Wales</w:t>
      </w:r>
    </w:p>
    <w:p>
      <w:pPr>
        <w:spacing w:after="0" w:line="86" w:lineRule="exact"/>
        <w:rPr>
          <w:sz w:val="20"/>
          <w:szCs w:val="20"/>
          <w:color w:val="auto"/>
        </w:rPr>
      </w:pPr>
    </w:p>
    <w:p>
      <w:pPr>
        <w:ind w:left="360"/>
        <w:spacing w:after="0"/>
        <w:tabs>
          <w:tab w:leader="none" w:pos="6460" w:val="left"/>
        </w:tabs>
        <w:rPr>
          <w:sz w:val="20"/>
          <w:szCs w:val="20"/>
          <w:color w:val="auto"/>
        </w:rPr>
      </w:pPr>
      <w:r>
        <w:rPr>
          <w:rFonts w:ascii="Arial" w:cs="Arial" w:eastAsia="Arial" w:hAnsi="Arial"/>
          <w:sz w:val="16"/>
          <w:szCs w:val="16"/>
          <w:color w:val="auto"/>
        </w:rPr>
        <w:t>Kaplan International (Manly) Pty Limited</w:t>
      </w:r>
      <w:r>
        <w:rPr>
          <w:sz w:val="20"/>
          <w:szCs w:val="20"/>
          <w:color w:val="auto"/>
        </w:rPr>
        <w:tab/>
      </w:r>
      <w:r>
        <w:rPr>
          <w:rFonts w:ascii="Arial" w:cs="Arial" w:eastAsia="Arial" w:hAnsi="Arial"/>
          <w:sz w:val="15"/>
          <w:szCs w:val="15"/>
          <w:color w:val="auto"/>
        </w:rPr>
        <w:t>Australia</w:t>
      </w:r>
    </w:p>
    <w:p>
      <w:pPr>
        <w:spacing w:after="0" w:line="86" w:lineRule="exact"/>
        <w:rPr>
          <w:sz w:val="20"/>
          <w:szCs w:val="20"/>
          <w:color w:val="auto"/>
        </w:rPr>
      </w:pPr>
    </w:p>
    <w:p>
      <w:pPr>
        <w:spacing w:after="0"/>
        <w:tabs>
          <w:tab w:leader="none" w:pos="6460" w:val="left"/>
        </w:tabs>
        <w:rPr>
          <w:sz w:val="20"/>
          <w:szCs w:val="20"/>
          <w:color w:val="auto"/>
        </w:rPr>
      </w:pPr>
      <w:r>
        <w:rPr>
          <w:rFonts w:ascii="Arial" w:cs="Arial" w:eastAsia="Arial" w:hAnsi="Arial"/>
          <w:sz w:val="16"/>
          <w:szCs w:val="16"/>
          <w:color w:val="auto"/>
        </w:rPr>
        <w:t>Kaplan International Holdings Limited</w:t>
      </w:r>
      <w:r>
        <w:rPr>
          <w:sz w:val="20"/>
          <w:szCs w:val="20"/>
          <w:color w:val="auto"/>
        </w:rPr>
        <w:tab/>
      </w:r>
      <w:r>
        <w:rPr>
          <w:rFonts w:ascii="Arial" w:cs="Arial" w:eastAsia="Arial" w:hAnsi="Arial"/>
          <w:sz w:val="16"/>
          <w:szCs w:val="16"/>
          <w:color w:val="auto"/>
        </w:rPr>
        <w:t>England &amp; Wales</w:t>
      </w:r>
    </w:p>
    <w:p>
      <w:pPr>
        <w:spacing w:after="0" w:line="86" w:lineRule="exact"/>
        <w:rPr>
          <w:sz w:val="20"/>
          <w:szCs w:val="20"/>
          <w:color w:val="auto"/>
        </w:rPr>
      </w:pPr>
    </w:p>
    <w:p>
      <w:pPr>
        <w:ind w:left="360"/>
        <w:spacing w:after="0"/>
        <w:tabs>
          <w:tab w:leader="none" w:pos="6460" w:val="left"/>
        </w:tabs>
        <w:rPr>
          <w:sz w:val="20"/>
          <w:szCs w:val="20"/>
          <w:color w:val="auto"/>
        </w:rPr>
      </w:pPr>
      <w:r>
        <w:rPr>
          <w:rFonts w:ascii="Arial" w:cs="Arial" w:eastAsia="Arial" w:hAnsi="Arial"/>
          <w:sz w:val="16"/>
          <w:szCs w:val="16"/>
          <w:color w:val="auto"/>
        </w:rPr>
        <w:t>Genesis Institute FZ-LLC</w:t>
      </w:r>
      <w:r>
        <w:rPr>
          <w:sz w:val="20"/>
          <w:szCs w:val="20"/>
          <w:color w:val="auto"/>
        </w:rPr>
        <w:tab/>
      </w:r>
      <w:r>
        <w:rPr>
          <w:rFonts w:ascii="Arial" w:cs="Arial" w:eastAsia="Arial" w:hAnsi="Arial"/>
          <w:sz w:val="16"/>
          <w:szCs w:val="16"/>
          <w:color w:val="auto"/>
        </w:rPr>
        <w:t>Dubai</w:t>
      </w:r>
    </w:p>
    <w:p>
      <w:pPr>
        <w:spacing w:after="0" w:line="86" w:lineRule="exact"/>
        <w:rPr>
          <w:sz w:val="20"/>
          <w:szCs w:val="20"/>
          <w:color w:val="auto"/>
        </w:rPr>
      </w:pPr>
    </w:p>
    <w:p>
      <w:pPr>
        <w:ind w:left="360"/>
        <w:spacing w:after="0"/>
        <w:tabs>
          <w:tab w:leader="none" w:pos="6460" w:val="left"/>
        </w:tabs>
        <w:rPr>
          <w:sz w:val="20"/>
          <w:szCs w:val="20"/>
          <w:color w:val="auto"/>
        </w:rPr>
      </w:pPr>
      <w:r>
        <w:rPr>
          <w:rFonts w:ascii="Arial" w:cs="Arial" w:eastAsia="Arial" w:hAnsi="Arial"/>
          <w:sz w:val="16"/>
          <w:szCs w:val="16"/>
          <w:color w:val="auto"/>
        </w:rPr>
        <w:t>Kaplan Dubai Limited</w:t>
      </w:r>
      <w:r>
        <w:rPr>
          <w:sz w:val="20"/>
          <w:szCs w:val="20"/>
          <w:color w:val="auto"/>
        </w:rPr>
        <w:tab/>
      </w:r>
      <w:r>
        <w:rPr>
          <w:rFonts w:ascii="Arial" w:cs="Arial" w:eastAsia="Arial" w:hAnsi="Arial"/>
          <w:sz w:val="16"/>
          <w:szCs w:val="16"/>
          <w:color w:val="auto"/>
        </w:rPr>
        <w:t>Dubai</w:t>
      </w:r>
    </w:p>
    <w:p>
      <w:pPr>
        <w:spacing w:after="0" w:line="86" w:lineRule="exact"/>
        <w:rPr>
          <w:sz w:val="20"/>
          <w:szCs w:val="20"/>
          <w:color w:val="auto"/>
        </w:rPr>
      </w:pPr>
    </w:p>
    <w:p>
      <w:pPr>
        <w:ind w:left="360"/>
        <w:spacing w:after="0"/>
        <w:tabs>
          <w:tab w:leader="none" w:pos="6460" w:val="left"/>
        </w:tabs>
        <w:rPr>
          <w:sz w:val="20"/>
          <w:szCs w:val="20"/>
          <w:color w:val="auto"/>
        </w:rPr>
      </w:pPr>
      <w:r>
        <w:rPr>
          <w:rFonts w:ascii="Arial" w:cs="Arial" w:eastAsia="Arial" w:hAnsi="Arial"/>
          <w:sz w:val="16"/>
          <w:szCs w:val="16"/>
          <w:color w:val="auto"/>
        </w:rPr>
        <w:t>Kaplan Higher Education Limited</w:t>
      </w:r>
      <w:r>
        <w:rPr>
          <w:sz w:val="20"/>
          <w:szCs w:val="20"/>
          <w:color w:val="auto"/>
        </w:rPr>
        <w:tab/>
      </w:r>
      <w:r>
        <w:rPr>
          <w:rFonts w:ascii="Arial" w:cs="Arial" w:eastAsia="Arial" w:hAnsi="Arial"/>
          <w:sz w:val="16"/>
          <w:szCs w:val="16"/>
          <w:color w:val="auto"/>
        </w:rPr>
        <w:t>England &amp; Wales</w:t>
      </w:r>
    </w:p>
    <w:p>
      <w:pPr>
        <w:spacing w:after="0" w:line="86" w:lineRule="exact"/>
        <w:rPr>
          <w:sz w:val="20"/>
          <w:szCs w:val="20"/>
          <w:color w:val="auto"/>
        </w:rPr>
      </w:pPr>
    </w:p>
    <w:p>
      <w:pPr>
        <w:ind w:left="360"/>
        <w:spacing w:after="0"/>
        <w:tabs>
          <w:tab w:leader="none" w:pos="6460" w:val="left"/>
        </w:tabs>
        <w:rPr>
          <w:sz w:val="20"/>
          <w:szCs w:val="20"/>
          <w:color w:val="auto"/>
        </w:rPr>
      </w:pPr>
      <w:r>
        <w:rPr>
          <w:rFonts w:ascii="Arial" w:cs="Arial" w:eastAsia="Arial" w:hAnsi="Arial"/>
          <w:sz w:val="16"/>
          <w:szCs w:val="16"/>
          <w:color w:val="auto"/>
        </w:rPr>
        <w:t>Osborne Books Limited</w:t>
      </w:r>
      <w:r>
        <w:rPr>
          <w:sz w:val="20"/>
          <w:szCs w:val="20"/>
          <w:color w:val="auto"/>
        </w:rPr>
        <w:tab/>
      </w:r>
      <w:r>
        <w:rPr>
          <w:rFonts w:ascii="Arial" w:cs="Arial" w:eastAsia="Arial" w:hAnsi="Arial"/>
          <w:sz w:val="16"/>
          <w:szCs w:val="16"/>
          <w:color w:val="auto"/>
        </w:rPr>
        <w:t>England &amp; Wales</w:t>
      </w:r>
    </w:p>
    <w:p>
      <w:pPr>
        <w:spacing w:after="0" w:line="86" w:lineRule="exact"/>
        <w:rPr>
          <w:sz w:val="20"/>
          <w:szCs w:val="20"/>
          <w:color w:val="auto"/>
        </w:rPr>
      </w:pPr>
    </w:p>
    <w:p>
      <w:pPr>
        <w:ind w:left="360"/>
        <w:spacing w:after="0"/>
        <w:tabs>
          <w:tab w:leader="none" w:pos="6460" w:val="left"/>
        </w:tabs>
        <w:rPr>
          <w:sz w:val="20"/>
          <w:szCs w:val="20"/>
          <w:color w:val="auto"/>
        </w:rPr>
      </w:pPr>
      <w:r>
        <w:rPr>
          <w:rFonts w:ascii="Arial" w:cs="Arial" w:eastAsia="Arial" w:hAnsi="Arial"/>
          <w:sz w:val="16"/>
          <w:szCs w:val="16"/>
          <w:color w:val="auto"/>
        </w:rPr>
        <w:t>Kaplan Financial Limited</w:t>
      </w:r>
      <w:r>
        <w:rPr>
          <w:sz w:val="20"/>
          <w:szCs w:val="20"/>
          <w:color w:val="auto"/>
        </w:rPr>
        <w:tab/>
      </w:r>
      <w:r>
        <w:rPr>
          <w:rFonts w:ascii="Arial" w:cs="Arial" w:eastAsia="Arial" w:hAnsi="Arial"/>
          <w:sz w:val="16"/>
          <w:szCs w:val="16"/>
          <w:color w:val="auto"/>
        </w:rPr>
        <w:t>England &amp; Wales</w:t>
      </w:r>
    </w:p>
    <w:p>
      <w:pPr>
        <w:spacing w:after="0" w:line="86" w:lineRule="exact"/>
        <w:rPr>
          <w:sz w:val="20"/>
          <w:szCs w:val="20"/>
          <w:color w:val="auto"/>
        </w:rPr>
      </w:pPr>
    </w:p>
    <w:p>
      <w:pPr>
        <w:ind w:left="540"/>
        <w:spacing w:after="0"/>
        <w:tabs>
          <w:tab w:leader="none" w:pos="6460" w:val="left"/>
        </w:tabs>
        <w:rPr>
          <w:sz w:val="20"/>
          <w:szCs w:val="20"/>
          <w:color w:val="auto"/>
        </w:rPr>
      </w:pPr>
      <w:r>
        <w:rPr>
          <w:rFonts w:ascii="Arial" w:cs="Arial" w:eastAsia="Arial" w:hAnsi="Arial"/>
          <w:sz w:val="16"/>
          <w:szCs w:val="16"/>
          <w:color w:val="auto"/>
        </w:rPr>
        <w:t>Altior Limited</w:t>
      </w:r>
      <w:r>
        <w:rPr>
          <w:sz w:val="20"/>
          <w:szCs w:val="20"/>
          <w:color w:val="auto"/>
        </w:rPr>
        <w:tab/>
      </w:r>
      <w:r>
        <w:rPr>
          <w:rFonts w:ascii="Arial" w:cs="Arial" w:eastAsia="Arial" w:hAnsi="Arial"/>
          <w:sz w:val="16"/>
          <w:szCs w:val="16"/>
          <w:color w:val="auto"/>
        </w:rPr>
        <w:t>England &amp; Wales</w:t>
      </w:r>
    </w:p>
    <w:p>
      <w:pPr>
        <w:spacing w:after="0" w:line="86" w:lineRule="exact"/>
        <w:rPr>
          <w:sz w:val="20"/>
          <w:szCs w:val="20"/>
          <w:color w:val="auto"/>
        </w:rPr>
      </w:pPr>
    </w:p>
    <w:p>
      <w:pPr>
        <w:ind w:left="720"/>
        <w:spacing w:after="0"/>
        <w:tabs>
          <w:tab w:leader="none" w:pos="6460" w:val="left"/>
        </w:tabs>
        <w:rPr>
          <w:sz w:val="20"/>
          <w:szCs w:val="20"/>
          <w:color w:val="auto"/>
        </w:rPr>
      </w:pPr>
      <w:r>
        <w:rPr>
          <w:rFonts w:ascii="Arial" w:cs="Arial" w:eastAsia="Arial" w:hAnsi="Arial"/>
          <w:sz w:val="16"/>
          <w:szCs w:val="16"/>
          <w:color w:val="auto"/>
        </w:rPr>
        <w:t>Altior Consulting &amp; Training Limited</w:t>
      </w:r>
      <w:r>
        <w:rPr>
          <w:sz w:val="20"/>
          <w:szCs w:val="20"/>
          <w:color w:val="auto"/>
        </w:rPr>
        <w:tab/>
      </w:r>
      <w:r>
        <w:rPr>
          <w:rFonts w:ascii="Arial" w:cs="Arial" w:eastAsia="Arial" w:hAnsi="Arial"/>
          <w:sz w:val="16"/>
          <w:szCs w:val="16"/>
          <w:color w:val="auto"/>
        </w:rPr>
        <w:t>England &amp; Wales</w:t>
      </w:r>
    </w:p>
    <w:p>
      <w:pPr>
        <w:spacing w:after="0" w:line="86" w:lineRule="exact"/>
        <w:rPr>
          <w:sz w:val="20"/>
          <w:szCs w:val="20"/>
          <w:color w:val="auto"/>
        </w:rPr>
      </w:pPr>
    </w:p>
    <w:p>
      <w:pPr>
        <w:ind w:left="540"/>
        <w:spacing w:after="0"/>
        <w:tabs>
          <w:tab w:leader="none" w:pos="6460" w:val="left"/>
        </w:tabs>
        <w:rPr>
          <w:sz w:val="20"/>
          <w:szCs w:val="20"/>
          <w:color w:val="auto"/>
        </w:rPr>
      </w:pPr>
      <w:r>
        <w:rPr>
          <w:rFonts w:ascii="Arial" w:cs="Arial" w:eastAsia="Arial" w:hAnsi="Arial"/>
          <w:sz w:val="16"/>
          <w:szCs w:val="16"/>
          <w:color w:val="auto"/>
        </w:rPr>
        <w:t>Hawksmere Limited</w:t>
      </w:r>
      <w:r>
        <w:rPr>
          <w:sz w:val="20"/>
          <w:szCs w:val="20"/>
          <w:color w:val="auto"/>
        </w:rPr>
        <w:tab/>
      </w:r>
      <w:r>
        <w:rPr>
          <w:rFonts w:ascii="Arial" w:cs="Arial" w:eastAsia="Arial" w:hAnsi="Arial"/>
          <w:sz w:val="16"/>
          <w:szCs w:val="16"/>
          <w:color w:val="auto"/>
        </w:rPr>
        <w:t>England &amp; Wales</w:t>
      </w:r>
    </w:p>
    <w:p>
      <w:pPr>
        <w:spacing w:after="0" w:line="86" w:lineRule="exact"/>
        <w:rPr>
          <w:sz w:val="20"/>
          <w:szCs w:val="20"/>
          <w:color w:val="auto"/>
        </w:rPr>
      </w:pPr>
    </w:p>
    <w:p>
      <w:pPr>
        <w:ind w:left="360"/>
        <w:spacing w:after="0"/>
        <w:tabs>
          <w:tab w:leader="none" w:pos="6460" w:val="left"/>
        </w:tabs>
        <w:rPr>
          <w:sz w:val="20"/>
          <w:szCs w:val="20"/>
          <w:color w:val="auto"/>
        </w:rPr>
      </w:pPr>
      <w:r>
        <w:rPr>
          <w:rFonts w:ascii="Arial" w:cs="Arial" w:eastAsia="Arial" w:hAnsi="Arial"/>
          <w:sz w:val="16"/>
          <w:szCs w:val="16"/>
          <w:color w:val="auto"/>
        </w:rPr>
        <w:t>Holborn College Limited</w:t>
      </w:r>
      <w:r>
        <w:rPr>
          <w:sz w:val="20"/>
          <w:szCs w:val="20"/>
          <w:color w:val="auto"/>
        </w:rPr>
        <w:tab/>
      </w:r>
      <w:r>
        <w:rPr>
          <w:rFonts w:ascii="Arial" w:cs="Arial" w:eastAsia="Arial" w:hAnsi="Arial"/>
          <w:sz w:val="16"/>
          <w:szCs w:val="16"/>
          <w:color w:val="auto"/>
        </w:rPr>
        <w:t>England &amp; Wales</w:t>
      </w:r>
    </w:p>
    <w:p>
      <w:pPr>
        <w:spacing w:after="0" w:line="86" w:lineRule="exact"/>
        <w:rPr>
          <w:sz w:val="20"/>
          <w:szCs w:val="20"/>
          <w:color w:val="auto"/>
        </w:rPr>
      </w:pPr>
    </w:p>
    <w:p>
      <w:pPr>
        <w:ind w:left="360"/>
        <w:spacing w:after="0"/>
        <w:tabs>
          <w:tab w:leader="none" w:pos="6460" w:val="left"/>
        </w:tabs>
        <w:rPr>
          <w:sz w:val="20"/>
          <w:szCs w:val="20"/>
          <w:color w:val="auto"/>
        </w:rPr>
      </w:pPr>
      <w:r>
        <w:rPr>
          <w:rFonts w:ascii="Arial" w:cs="Arial" w:eastAsia="Arial" w:hAnsi="Arial"/>
          <w:sz w:val="16"/>
          <w:szCs w:val="16"/>
          <w:color w:val="auto"/>
        </w:rPr>
        <w:t>Kaplan International Colleges U.K. Limited</w:t>
      </w:r>
      <w:r>
        <w:rPr>
          <w:sz w:val="20"/>
          <w:szCs w:val="20"/>
          <w:color w:val="auto"/>
        </w:rPr>
        <w:tab/>
      </w:r>
      <w:r>
        <w:rPr>
          <w:rFonts w:ascii="Arial" w:cs="Arial" w:eastAsia="Arial" w:hAnsi="Arial"/>
          <w:sz w:val="16"/>
          <w:szCs w:val="16"/>
          <w:color w:val="auto"/>
        </w:rPr>
        <w:t>England &amp; Wales</w:t>
      </w:r>
    </w:p>
    <w:p>
      <w:pPr>
        <w:spacing w:after="0" w:line="86" w:lineRule="exact"/>
        <w:rPr>
          <w:sz w:val="20"/>
          <w:szCs w:val="20"/>
          <w:color w:val="auto"/>
        </w:rPr>
      </w:pPr>
    </w:p>
    <w:p>
      <w:pPr>
        <w:ind w:left="540"/>
        <w:spacing w:after="0"/>
        <w:tabs>
          <w:tab w:leader="none" w:pos="6460" w:val="left"/>
        </w:tabs>
        <w:rPr>
          <w:sz w:val="20"/>
          <w:szCs w:val="20"/>
          <w:color w:val="auto"/>
        </w:rPr>
      </w:pPr>
      <w:r>
        <w:rPr>
          <w:rFonts w:ascii="Arial" w:cs="Arial" w:eastAsia="Arial" w:hAnsi="Arial"/>
          <w:sz w:val="16"/>
          <w:szCs w:val="16"/>
          <w:color w:val="auto"/>
        </w:rPr>
        <w:t>Kaplan Essex Limited</w:t>
      </w:r>
      <w:r>
        <w:rPr>
          <w:sz w:val="20"/>
          <w:szCs w:val="20"/>
          <w:color w:val="auto"/>
        </w:rPr>
        <w:tab/>
      </w:r>
      <w:r>
        <w:rPr>
          <w:rFonts w:ascii="Arial" w:cs="Arial" w:eastAsia="Arial" w:hAnsi="Arial"/>
          <w:sz w:val="16"/>
          <w:szCs w:val="16"/>
          <w:color w:val="auto"/>
        </w:rPr>
        <w:t>England &amp; Wales</w:t>
      </w:r>
    </w:p>
    <w:p>
      <w:pPr>
        <w:spacing w:after="0" w:line="86" w:lineRule="exact"/>
        <w:rPr>
          <w:sz w:val="20"/>
          <w:szCs w:val="20"/>
          <w:color w:val="auto"/>
        </w:rPr>
      </w:pPr>
    </w:p>
    <w:p>
      <w:pPr>
        <w:ind w:left="540"/>
        <w:spacing w:after="0"/>
        <w:tabs>
          <w:tab w:leader="none" w:pos="6460" w:val="left"/>
        </w:tabs>
        <w:rPr>
          <w:sz w:val="20"/>
          <w:szCs w:val="20"/>
          <w:color w:val="auto"/>
        </w:rPr>
      </w:pPr>
      <w:r>
        <w:rPr>
          <w:rFonts w:ascii="Arial" w:cs="Arial" w:eastAsia="Arial" w:hAnsi="Arial"/>
          <w:sz w:val="16"/>
          <w:szCs w:val="16"/>
          <w:color w:val="auto"/>
        </w:rPr>
        <w:t>Kaplan Qatar Limited</w:t>
      </w:r>
      <w:r>
        <w:rPr>
          <w:sz w:val="20"/>
          <w:szCs w:val="20"/>
          <w:color w:val="auto"/>
        </w:rPr>
        <w:tab/>
      </w:r>
      <w:r>
        <w:rPr>
          <w:rFonts w:ascii="Arial" w:cs="Arial" w:eastAsia="Arial" w:hAnsi="Arial"/>
          <w:sz w:val="16"/>
          <w:szCs w:val="16"/>
          <w:color w:val="auto"/>
        </w:rPr>
        <w:t>England &amp; Wales</w:t>
      </w:r>
    </w:p>
    <w:p>
      <w:pPr>
        <w:spacing w:after="0" w:line="86" w:lineRule="exact"/>
        <w:rPr>
          <w:sz w:val="20"/>
          <w:szCs w:val="20"/>
          <w:color w:val="auto"/>
        </w:rPr>
      </w:pPr>
    </w:p>
    <w:p>
      <w:pPr>
        <w:ind w:left="540"/>
        <w:spacing w:after="0"/>
        <w:tabs>
          <w:tab w:leader="none" w:pos="6460" w:val="left"/>
        </w:tabs>
        <w:rPr>
          <w:sz w:val="20"/>
          <w:szCs w:val="20"/>
          <w:color w:val="auto"/>
        </w:rPr>
      </w:pPr>
      <w:r>
        <w:rPr>
          <w:rFonts w:ascii="Arial" w:cs="Arial" w:eastAsia="Arial" w:hAnsi="Arial"/>
          <w:sz w:val="16"/>
          <w:szCs w:val="16"/>
          <w:color w:val="auto"/>
        </w:rPr>
        <w:t>Kaplan Colleges Private Limited</w:t>
      </w:r>
      <w:r>
        <w:rPr>
          <w:sz w:val="20"/>
          <w:szCs w:val="20"/>
          <w:color w:val="auto"/>
        </w:rPr>
        <w:tab/>
      </w:r>
      <w:r>
        <w:rPr>
          <w:rFonts w:ascii="Arial" w:cs="Arial" w:eastAsia="Arial" w:hAnsi="Arial"/>
          <w:sz w:val="15"/>
          <w:szCs w:val="15"/>
          <w:color w:val="auto"/>
        </w:rPr>
        <w:t>India</w:t>
      </w:r>
    </w:p>
    <w:p>
      <w:pPr>
        <w:spacing w:after="0" w:line="86" w:lineRule="exact"/>
        <w:rPr>
          <w:sz w:val="20"/>
          <w:szCs w:val="20"/>
          <w:color w:val="auto"/>
        </w:rPr>
      </w:pPr>
    </w:p>
    <w:p>
      <w:pPr>
        <w:ind w:left="540"/>
        <w:spacing w:after="0"/>
        <w:tabs>
          <w:tab w:leader="none" w:pos="6460" w:val="left"/>
        </w:tabs>
        <w:rPr>
          <w:sz w:val="20"/>
          <w:szCs w:val="20"/>
          <w:color w:val="auto"/>
        </w:rPr>
      </w:pPr>
      <w:r>
        <w:rPr>
          <w:rFonts w:ascii="Arial" w:cs="Arial" w:eastAsia="Arial" w:hAnsi="Arial"/>
          <w:sz w:val="16"/>
          <w:szCs w:val="16"/>
          <w:color w:val="auto"/>
        </w:rPr>
        <w:t>Kaplan International Colleges (Private) Limited</w:t>
      </w:r>
      <w:r>
        <w:rPr>
          <w:sz w:val="20"/>
          <w:szCs w:val="20"/>
          <w:color w:val="auto"/>
        </w:rPr>
        <w:tab/>
      </w:r>
      <w:r>
        <w:rPr>
          <w:rFonts w:ascii="Arial" w:cs="Arial" w:eastAsia="Arial" w:hAnsi="Arial"/>
          <w:sz w:val="16"/>
          <w:szCs w:val="16"/>
          <w:color w:val="auto"/>
        </w:rPr>
        <w:t>Pakistan</w:t>
      </w:r>
    </w:p>
    <w:p>
      <w:pPr>
        <w:spacing w:after="0" w:line="86" w:lineRule="exact"/>
        <w:rPr>
          <w:sz w:val="20"/>
          <w:szCs w:val="20"/>
          <w:color w:val="auto"/>
        </w:rPr>
      </w:pPr>
    </w:p>
    <w:p>
      <w:pPr>
        <w:ind w:left="540"/>
        <w:spacing w:after="0"/>
        <w:tabs>
          <w:tab w:leader="none" w:pos="6460" w:val="left"/>
        </w:tabs>
        <w:rPr>
          <w:sz w:val="20"/>
          <w:szCs w:val="20"/>
          <w:color w:val="auto"/>
        </w:rPr>
      </w:pPr>
      <w:r>
        <w:rPr>
          <w:rFonts w:ascii="Arial" w:cs="Arial" w:eastAsia="Arial" w:hAnsi="Arial"/>
          <w:sz w:val="16"/>
          <w:szCs w:val="16"/>
          <w:color w:val="auto"/>
        </w:rPr>
        <w:t>Kaplan Glasgow Limited</w:t>
      </w:r>
      <w:r>
        <w:rPr>
          <w:sz w:val="20"/>
          <w:szCs w:val="20"/>
          <w:color w:val="auto"/>
        </w:rPr>
        <w:tab/>
      </w:r>
      <w:r>
        <w:rPr>
          <w:rFonts w:ascii="Arial" w:cs="Arial" w:eastAsia="Arial" w:hAnsi="Arial"/>
          <w:sz w:val="16"/>
          <w:szCs w:val="16"/>
          <w:color w:val="auto"/>
        </w:rPr>
        <w:t>England &amp; Wales</w:t>
      </w:r>
    </w:p>
    <w:p>
      <w:pPr>
        <w:spacing w:after="0" w:line="86" w:lineRule="exact"/>
        <w:rPr>
          <w:sz w:val="20"/>
          <w:szCs w:val="20"/>
          <w:color w:val="auto"/>
        </w:rPr>
      </w:pPr>
    </w:p>
    <w:p>
      <w:pPr>
        <w:ind w:left="540"/>
        <w:spacing w:after="0"/>
        <w:tabs>
          <w:tab w:leader="none" w:pos="6460" w:val="left"/>
        </w:tabs>
        <w:rPr>
          <w:sz w:val="20"/>
          <w:szCs w:val="20"/>
          <w:color w:val="auto"/>
        </w:rPr>
      </w:pPr>
      <w:r>
        <w:rPr>
          <w:rFonts w:ascii="Arial" w:cs="Arial" w:eastAsia="Arial" w:hAnsi="Arial"/>
          <w:sz w:val="16"/>
          <w:szCs w:val="16"/>
          <w:color w:val="auto"/>
        </w:rPr>
        <w:t>Kaplan International Colleges Limited</w:t>
      </w:r>
      <w:r>
        <w:rPr>
          <w:sz w:val="20"/>
          <w:szCs w:val="20"/>
          <w:color w:val="auto"/>
        </w:rPr>
        <w:tab/>
      </w:r>
      <w:r>
        <w:rPr>
          <w:rFonts w:ascii="Arial" w:cs="Arial" w:eastAsia="Arial" w:hAnsi="Arial"/>
          <w:sz w:val="16"/>
          <w:szCs w:val="16"/>
          <w:color w:val="auto"/>
        </w:rPr>
        <w:t>Nigeria</w:t>
      </w:r>
    </w:p>
    <w:p>
      <w:pPr>
        <w:spacing w:after="0" w:line="86" w:lineRule="exact"/>
        <w:rPr>
          <w:sz w:val="20"/>
          <w:szCs w:val="20"/>
          <w:color w:val="auto"/>
        </w:rPr>
      </w:pPr>
    </w:p>
    <w:p>
      <w:pPr>
        <w:ind w:left="540"/>
        <w:spacing w:after="0"/>
        <w:tabs>
          <w:tab w:leader="none" w:pos="6460" w:val="left"/>
        </w:tabs>
        <w:rPr>
          <w:sz w:val="20"/>
          <w:szCs w:val="20"/>
          <w:color w:val="auto"/>
        </w:rPr>
      </w:pPr>
      <w:r>
        <w:rPr>
          <w:rFonts w:ascii="Arial" w:cs="Arial" w:eastAsia="Arial" w:hAnsi="Arial"/>
          <w:sz w:val="16"/>
          <w:szCs w:val="16"/>
          <w:color w:val="auto"/>
        </w:rPr>
        <w:t>Kaplan Liverpool Limited</w:t>
      </w:r>
      <w:r>
        <w:rPr>
          <w:sz w:val="20"/>
          <w:szCs w:val="20"/>
          <w:color w:val="auto"/>
        </w:rPr>
        <w:tab/>
      </w:r>
      <w:r>
        <w:rPr>
          <w:rFonts w:ascii="Arial" w:cs="Arial" w:eastAsia="Arial" w:hAnsi="Arial"/>
          <w:sz w:val="16"/>
          <w:szCs w:val="16"/>
          <w:color w:val="auto"/>
        </w:rPr>
        <w:t>England &amp; Wales</w:t>
      </w:r>
    </w:p>
    <w:p>
      <w:pPr>
        <w:spacing w:after="0" w:line="86" w:lineRule="exact"/>
        <w:rPr>
          <w:sz w:val="20"/>
          <w:szCs w:val="20"/>
          <w:color w:val="auto"/>
        </w:rPr>
      </w:pPr>
    </w:p>
    <w:p>
      <w:pPr>
        <w:ind w:left="540"/>
        <w:spacing w:after="0"/>
        <w:tabs>
          <w:tab w:leader="none" w:pos="6460" w:val="left"/>
        </w:tabs>
        <w:rPr>
          <w:sz w:val="20"/>
          <w:szCs w:val="20"/>
          <w:color w:val="auto"/>
        </w:rPr>
      </w:pPr>
      <w:r>
        <w:rPr>
          <w:rFonts w:ascii="Arial" w:cs="Arial" w:eastAsia="Arial" w:hAnsi="Arial"/>
          <w:sz w:val="16"/>
          <w:szCs w:val="16"/>
          <w:color w:val="auto"/>
        </w:rPr>
        <w:t>Kaplan Nottingham Limited</w:t>
      </w:r>
      <w:r>
        <w:rPr>
          <w:sz w:val="20"/>
          <w:szCs w:val="20"/>
          <w:color w:val="auto"/>
        </w:rPr>
        <w:tab/>
      </w:r>
      <w:r>
        <w:rPr>
          <w:rFonts w:ascii="Arial" w:cs="Arial" w:eastAsia="Arial" w:hAnsi="Arial"/>
          <w:sz w:val="16"/>
          <w:szCs w:val="16"/>
          <w:color w:val="auto"/>
        </w:rPr>
        <w:t>England &amp; Wales</w:t>
      </w:r>
    </w:p>
    <w:p>
      <w:pPr>
        <w:spacing w:after="0" w:line="86" w:lineRule="exact"/>
        <w:rPr>
          <w:sz w:val="20"/>
          <w:szCs w:val="20"/>
          <w:color w:val="auto"/>
        </w:rPr>
      </w:pPr>
    </w:p>
    <w:p>
      <w:pPr>
        <w:ind w:left="540"/>
        <w:spacing w:after="0"/>
        <w:tabs>
          <w:tab w:leader="none" w:pos="6460" w:val="left"/>
        </w:tabs>
        <w:rPr>
          <w:sz w:val="20"/>
          <w:szCs w:val="20"/>
          <w:color w:val="auto"/>
        </w:rPr>
      </w:pPr>
      <w:r>
        <w:rPr>
          <w:rFonts w:ascii="Arial" w:cs="Arial" w:eastAsia="Arial" w:hAnsi="Arial"/>
          <w:sz w:val="16"/>
          <w:szCs w:val="16"/>
          <w:color w:val="auto"/>
        </w:rPr>
        <w:t>Kaplan NT Limited</w:t>
      </w:r>
      <w:r>
        <w:rPr>
          <w:sz w:val="20"/>
          <w:szCs w:val="20"/>
          <w:color w:val="auto"/>
        </w:rPr>
        <w:tab/>
      </w:r>
      <w:r>
        <w:rPr>
          <w:rFonts w:ascii="Arial" w:cs="Arial" w:eastAsia="Arial" w:hAnsi="Arial"/>
          <w:sz w:val="16"/>
          <w:szCs w:val="16"/>
          <w:color w:val="auto"/>
        </w:rPr>
        <w:t>England &amp; Wales</w:t>
      </w:r>
    </w:p>
    <w:p>
      <w:pPr>
        <w:spacing w:after="0" w:line="86" w:lineRule="exact"/>
        <w:rPr>
          <w:sz w:val="20"/>
          <w:szCs w:val="20"/>
          <w:color w:val="auto"/>
        </w:rPr>
      </w:pPr>
    </w:p>
    <w:p>
      <w:pPr>
        <w:ind w:left="540"/>
        <w:spacing w:after="0"/>
        <w:tabs>
          <w:tab w:leader="none" w:pos="6460" w:val="left"/>
        </w:tabs>
        <w:rPr>
          <w:sz w:val="20"/>
          <w:szCs w:val="20"/>
          <w:color w:val="auto"/>
        </w:rPr>
      </w:pPr>
      <w:r>
        <w:rPr>
          <w:rFonts w:ascii="Arial" w:cs="Arial" w:eastAsia="Arial" w:hAnsi="Arial"/>
          <w:sz w:val="16"/>
          <w:szCs w:val="16"/>
          <w:color w:val="auto"/>
        </w:rPr>
        <w:t>Kaplan US Limited</w:t>
      </w:r>
      <w:r>
        <w:rPr>
          <w:sz w:val="20"/>
          <w:szCs w:val="20"/>
          <w:color w:val="auto"/>
        </w:rPr>
        <w:tab/>
      </w:r>
      <w:r>
        <w:rPr>
          <w:rFonts w:ascii="Arial" w:cs="Arial" w:eastAsia="Arial" w:hAnsi="Arial"/>
          <w:sz w:val="16"/>
          <w:szCs w:val="16"/>
          <w:color w:val="auto"/>
        </w:rPr>
        <w:t>England &amp; Wales</w:t>
      </w:r>
    </w:p>
    <w:p>
      <w:pPr>
        <w:spacing w:after="0" w:line="86" w:lineRule="exact"/>
        <w:rPr>
          <w:sz w:val="20"/>
          <w:szCs w:val="20"/>
          <w:color w:val="auto"/>
        </w:rPr>
      </w:pPr>
    </w:p>
    <w:p>
      <w:pPr>
        <w:ind w:left="540"/>
        <w:spacing w:after="0"/>
        <w:tabs>
          <w:tab w:leader="none" w:pos="6460" w:val="left"/>
        </w:tabs>
        <w:rPr>
          <w:sz w:val="20"/>
          <w:szCs w:val="20"/>
          <w:color w:val="auto"/>
        </w:rPr>
      </w:pPr>
      <w:r>
        <w:rPr>
          <w:rFonts w:ascii="Arial" w:cs="Arial" w:eastAsia="Arial" w:hAnsi="Arial"/>
          <w:sz w:val="16"/>
          <w:szCs w:val="16"/>
          <w:color w:val="auto"/>
        </w:rPr>
        <w:t>Kaplan International College London Limited</w:t>
      </w:r>
      <w:r>
        <w:rPr>
          <w:sz w:val="20"/>
          <w:szCs w:val="20"/>
          <w:color w:val="auto"/>
        </w:rPr>
        <w:tab/>
      </w:r>
      <w:r>
        <w:rPr>
          <w:rFonts w:ascii="Arial" w:cs="Arial" w:eastAsia="Arial" w:hAnsi="Arial"/>
          <w:sz w:val="16"/>
          <w:szCs w:val="16"/>
          <w:color w:val="auto"/>
        </w:rPr>
        <w:t>England &amp; Wales</w:t>
      </w:r>
    </w:p>
    <w:p>
      <w:pPr>
        <w:spacing w:after="0" w:line="86" w:lineRule="exact"/>
        <w:rPr>
          <w:sz w:val="20"/>
          <w:szCs w:val="20"/>
          <w:color w:val="auto"/>
        </w:rPr>
      </w:pPr>
    </w:p>
    <w:p>
      <w:pPr>
        <w:ind w:left="540"/>
        <w:spacing w:after="0"/>
        <w:tabs>
          <w:tab w:leader="none" w:pos="6460" w:val="left"/>
        </w:tabs>
        <w:rPr>
          <w:sz w:val="20"/>
          <w:szCs w:val="20"/>
          <w:color w:val="auto"/>
        </w:rPr>
      </w:pPr>
      <w:r>
        <w:rPr>
          <w:rFonts w:ascii="Arial" w:cs="Arial" w:eastAsia="Arial" w:hAnsi="Arial"/>
          <w:sz w:val="16"/>
          <w:szCs w:val="16"/>
          <w:color w:val="auto"/>
        </w:rPr>
        <w:t>Kaplan Brighton Limited</w:t>
      </w:r>
      <w:r>
        <w:rPr>
          <w:sz w:val="20"/>
          <w:szCs w:val="20"/>
          <w:color w:val="auto"/>
        </w:rPr>
        <w:tab/>
      </w:r>
      <w:r>
        <w:rPr>
          <w:rFonts w:ascii="Arial" w:cs="Arial" w:eastAsia="Arial" w:hAnsi="Arial"/>
          <w:sz w:val="16"/>
          <w:szCs w:val="16"/>
          <w:color w:val="auto"/>
        </w:rPr>
        <w:t>England &amp; Wales</w:t>
      </w:r>
    </w:p>
    <w:p>
      <w:pPr>
        <w:spacing w:after="0" w:line="86" w:lineRule="exact"/>
        <w:rPr>
          <w:sz w:val="20"/>
          <w:szCs w:val="20"/>
          <w:color w:val="auto"/>
        </w:rPr>
      </w:pPr>
    </w:p>
    <w:p>
      <w:pPr>
        <w:ind w:left="540"/>
        <w:spacing w:after="0"/>
        <w:tabs>
          <w:tab w:leader="none" w:pos="6460" w:val="left"/>
        </w:tabs>
        <w:rPr>
          <w:sz w:val="20"/>
          <w:szCs w:val="20"/>
          <w:color w:val="auto"/>
        </w:rPr>
      </w:pPr>
      <w:r>
        <w:rPr>
          <w:rFonts w:ascii="Arial" w:cs="Arial" w:eastAsia="Arial" w:hAnsi="Arial"/>
          <w:sz w:val="16"/>
          <w:szCs w:val="16"/>
          <w:color w:val="auto"/>
        </w:rPr>
        <w:t>Kaplan UWE Limited</w:t>
      </w:r>
      <w:r>
        <w:rPr>
          <w:sz w:val="20"/>
          <w:szCs w:val="20"/>
          <w:color w:val="auto"/>
        </w:rPr>
        <w:tab/>
      </w:r>
      <w:r>
        <w:rPr>
          <w:rFonts w:ascii="Arial" w:cs="Arial" w:eastAsia="Arial" w:hAnsi="Arial"/>
          <w:sz w:val="16"/>
          <w:szCs w:val="16"/>
          <w:color w:val="auto"/>
        </w:rPr>
        <w:t>England &amp; Wales</w:t>
      </w:r>
    </w:p>
    <w:p>
      <w:pPr>
        <w:spacing w:after="0" w:line="86" w:lineRule="exact"/>
        <w:rPr>
          <w:sz w:val="20"/>
          <w:szCs w:val="20"/>
          <w:color w:val="auto"/>
        </w:rPr>
      </w:pPr>
    </w:p>
    <w:p>
      <w:pPr>
        <w:ind w:left="540"/>
        <w:spacing w:after="0"/>
        <w:tabs>
          <w:tab w:leader="none" w:pos="6460" w:val="left"/>
        </w:tabs>
        <w:rPr>
          <w:sz w:val="20"/>
          <w:szCs w:val="20"/>
          <w:color w:val="auto"/>
        </w:rPr>
      </w:pPr>
      <w:r>
        <w:rPr>
          <w:rFonts w:ascii="Arial" w:cs="Arial" w:eastAsia="Arial" w:hAnsi="Arial"/>
          <w:sz w:val="16"/>
          <w:szCs w:val="16"/>
          <w:color w:val="auto"/>
        </w:rPr>
        <w:t>Kaplan Bournemouth Limited</w:t>
      </w:r>
      <w:r>
        <w:rPr>
          <w:sz w:val="20"/>
          <w:szCs w:val="20"/>
          <w:color w:val="auto"/>
        </w:rPr>
        <w:tab/>
      </w:r>
      <w:r>
        <w:rPr>
          <w:rFonts w:ascii="Arial" w:cs="Arial" w:eastAsia="Arial" w:hAnsi="Arial"/>
          <w:sz w:val="16"/>
          <w:szCs w:val="16"/>
          <w:color w:val="auto"/>
        </w:rPr>
        <w:t>England &amp; Wales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100%</w:t>
      </w:r>
    </w:p>
    <w:p>
      <w:pPr>
        <w:spacing w:after="0" w:line="86" w:lineRule="exact"/>
        <w:rPr>
          <w:sz w:val="20"/>
          <w:szCs w:val="20"/>
          <w:color w:val="auto"/>
        </w:rPr>
      </w:pPr>
    </w:p>
    <w:p>
      <w:pPr>
        <w:spacing w:after="0"/>
        <w:rPr>
          <w:sz w:val="20"/>
          <w:szCs w:val="20"/>
          <w:color w:val="auto"/>
        </w:rPr>
      </w:pPr>
      <w:r>
        <w:rPr>
          <w:rFonts w:ascii="Arial" w:cs="Arial" w:eastAsia="Arial" w:hAnsi="Arial"/>
          <w:sz w:val="16"/>
          <w:szCs w:val="16"/>
          <w:color w:val="auto"/>
        </w:rPr>
        <w:t>100% (i)</w:t>
      </w:r>
    </w:p>
    <w:p>
      <w:pPr>
        <w:spacing w:after="0" w:line="86" w:lineRule="exact"/>
        <w:rPr>
          <w:sz w:val="20"/>
          <w:szCs w:val="20"/>
          <w:color w:val="auto"/>
        </w:rPr>
      </w:pPr>
    </w:p>
    <w:p>
      <w:pPr>
        <w:spacing w:after="0"/>
        <w:rPr>
          <w:sz w:val="20"/>
          <w:szCs w:val="20"/>
          <w:color w:val="auto"/>
        </w:rPr>
      </w:pPr>
      <w:r>
        <w:rPr>
          <w:rFonts w:ascii="Arial" w:cs="Arial" w:eastAsia="Arial" w:hAnsi="Arial"/>
          <w:sz w:val="16"/>
          <w:szCs w:val="16"/>
          <w:color w:val="auto"/>
        </w:rPr>
        <w:t>100%</w:t>
      </w:r>
    </w:p>
    <w:p>
      <w:pPr>
        <w:spacing w:after="0" w:line="73" w:lineRule="exact"/>
        <w:rPr>
          <w:sz w:val="20"/>
          <w:szCs w:val="20"/>
          <w:color w:val="auto"/>
        </w:rPr>
      </w:pPr>
    </w:p>
    <w:p>
      <w:pPr>
        <w:spacing w:after="0"/>
        <w:rPr>
          <w:sz w:val="20"/>
          <w:szCs w:val="20"/>
          <w:color w:val="auto"/>
        </w:rPr>
      </w:pPr>
      <w:r>
        <w:rPr>
          <w:rFonts w:ascii="Arial" w:cs="Arial" w:eastAsia="Arial" w:hAnsi="Arial"/>
          <w:sz w:val="16"/>
          <w:szCs w:val="16"/>
          <w:color w:val="auto"/>
        </w:rPr>
        <w:t>100%</w:t>
      </w:r>
    </w:p>
    <w:p>
      <w:pPr>
        <w:spacing w:after="0" w:line="100" w:lineRule="exact"/>
        <w:rPr>
          <w:sz w:val="20"/>
          <w:szCs w:val="20"/>
          <w:color w:val="auto"/>
        </w:rPr>
      </w:pPr>
    </w:p>
    <w:p>
      <w:pPr>
        <w:spacing w:after="0"/>
        <w:rPr>
          <w:sz w:val="20"/>
          <w:szCs w:val="20"/>
          <w:color w:val="auto"/>
        </w:rPr>
      </w:pPr>
      <w:r>
        <w:rPr>
          <w:rFonts w:ascii="Arial" w:cs="Arial" w:eastAsia="Arial" w:hAnsi="Arial"/>
          <w:sz w:val="16"/>
          <w:szCs w:val="16"/>
          <w:color w:val="auto"/>
        </w:rPr>
        <w:t>100%</w:t>
      </w:r>
    </w:p>
    <w:p>
      <w:pPr>
        <w:spacing w:after="0" w:line="86" w:lineRule="exact"/>
        <w:rPr>
          <w:sz w:val="20"/>
          <w:szCs w:val="20"/>
          <w:color w:val="auto"/>
        </w:rPr>
      </w:pPr>
    </w:p>
    <w:p>
      <w:pPr>
        <w:spacing w:after="0"/>
        <w:rPr>
          <w:sz w:val="20"/>
          <w:szCs w:val="20"/>
          <w:color w:val="auto"/>
        </w:rPr>
      </w:pPr>
      <w:r>
        <w:rPr>
          <w:rFonts w:ascii="Arial" w:cs="Arial" w:eastAsia="Arial" w:hAnsi="Arial"/>
          <w:sz w:val="16"/>
          <w:szCs w:val="16"/>
          <w:color w:val="auto"/>
        </w:rPr>
        <w:t>100%</w:t>
      </w:r>
    </w:p>
    <w:p>
      <w:pPr>
        <w:spacing w:after="0" w:line="86" w:lineRule="exact"/>
        <w:rPr>
          <w:sz w:val="20"/>
          <w:szCs w:val="20"/>
          <w:color w:val="auto"/>
        </w:rPr>
      </w:pPr>
    </w:p>
    <w:p>
      <w:pPr>
        <w:spacing w:after="0"/>
        <w:rPr>
          <w:sz w:val="20"/>
          <w:szCs w:val="20"/>
          <w:color w:val="auto"/>
        </w:rPr>
      </w:pPr>
      <w:r>
        <w:rPr>
          <w:rFonts w:ascii="Arial" w:cs="Arial" w:eastAsia="Arial" w:hAnsi="Arial"/>
          <w:sz w:val="16"/>
          <w:szCs w:val="16"/>
          <w:color w:val="auto"/>
        </w:rPr>
        <w:t>100%</w:t>
      </w:r>
    </w:p>
    <w:p>
      <w:pPr>
        <w:spacing w:after="0" w:line="86" w:lineRule="exact"/>
        <w:rPr>
          <w:sz w:val="20"/>
          <w:szCs w:val="20"/>
          <w:color w:val="auto"/>
        </w:rPr>
      </w:pPr>
    </w:p>
    <w:p>
      <w:pPr>
        <w:spacing w:after="0"/>
        <w:rPr>
          <w:sz w:val="20"/>
          <w:szCs w:val="20"/>
          <w:color w:val="auto"/>
        </w:rPr>
      </w:pPr>
      <w:r>
        <w:rPr>
          <w:rFonts w:ascii="Arial" w:cs="Arial" w:eastAsia="Arial" w:hAnsi="Arial"/>
          <w:sz w:val="16"/>
          <w:szCs w:val="16"/>
          <w:color w:val="auto"/>
        </w:rPr>
        <w:t>100%</w:t>
      </w:r>
    </w:p>
    <w:p>
      <w:pPr>
        <w:spacing w:after="0" w:line="86" w:lineRule="exact"/>
        <w:rPr>
          <w:sz w:val="20"/>
          <w:szCs w:val="20"/>
          <w:color w:val="auto"/>
        </w:rPr>
      </w:pPr>
    </w:p>
    <w:p>
      <w:pPr>
        <w:spacing w:after="0"/>
        <w:rPr>
          <w:sz w:val="20"/>
          <w:szCs w:val="20"/>
          <w:color w:val="auto"/>
        </w:rPr>
      </w:pPr>
      <w:r>
        <w:rPr>
          <w:rFonts w:ascii="Arial" w:cs="Arial" w:eastAsia="Arial" w:hAnsi="Arial"/>
          <w:sz w:val="16"/>
          <w:szCs w:val="16"/>
          <w:color w:val="auto"/>
        </w:rPr>
        <w:t>100%</w:t>
      </w:r>
    </w:p>
    <w:p>
      <w:pPr>
        <w:spacing w:after="0" w:line="86" w:lineRule="exact"/>
        <w:rPr>
          <w:sz w:val="20"/>
          <w:szCs w:val="20"/>
          <w:color w:val="auto"/>
        </w:rPr>
      </w:pPr>
    </w:p>
    <w:p>
      <w:pPr>
        <w:spacing w:after="0"/>
        <w:rPr>
          <w:sz w:val="20"/>
          <w:szCs w:val="20"/>
          <w:color w:val="auto"/>
        </w:rPr>
      </w:pPr>
      <w:r>
        <w:rPr>
          <w:rFonts w:ascii="Arial" w:cs="Arial" w:eastAsia="Arial" w:hAnsi="Arial"/>
          <w:sz w:val="16"/>
          <w:szCs w:val="16"/>
          <w:color w:val="auto"/>
        </w:rPr>
        <w:t>100%</w:t>
      </w:r>
    </w:p>
    <w:p>
      <w:pPr>
        <w:spacing w:after="0" w:line="86" w:lineRule="exact"/>
        <w:rPr>
          <w:sz w:val="20"/>
          <w:szCs w:val="20"/>
          <w:color w:val="auto"/>
        </w:rPr>
      </w:pPr>
    </w:p>
    <w:p>
      <w:pPr>
        <w:spacing w:after="0"/>
        <w:rPr>
          <w:sz w:val="20"/>
          <w:szCs w:val="20"/>
          <w:color w:val="auto"/>
        </w:rPr>
      </w:pPr>
      <w:r>
        <w:rPr>
          <w:rFonts w:ascii="Arial" w:cs="Arial" w:eastAsia="Arial" w:hAnsi="Arial"/>
          <w:sz w:val="16"/>
          <w:szCs w:val="16"/>
          <w:color w:val="auto"/>
        </w:rPr>
        <w:t>100%</w:t>
      </w:r>
    </w:p>
    <w:p>
      <w:pPr>
        <w:spacing w:after="0" w:line="86" w:lineRule="exact"/>
        <w:rPr>
          <w:sz w:val="20"/>
          <w:szCs w:val="20"/>
          <w:color w:val="auto"/>
        </w:rPr>
      </w:pPr>
    </w:p>
    <w:p>
      <w:pPr>
        <w:spacing w:after="0"/>
        <w:rPr>
          <w:sz w:val="20"/>
          <w:szCs w:val="20"/>
          <w:color w:val="auto"/>
        </w:rPr>
      </w:pPr>
      <w:r>
        <w:rPr>
          <w:rFonts w:ascii="Arial" w:cs="Arial" w:eastAsia="Arial" w:hAnsi="Arial"/>
          <w:sz w:val="16"/>
          <w:szCs w:val="16"/>
          <w:color w:val="auto"/>
        </w:rPr>
        <w:t>100%</w:t>
      </w:r>
    </w:p>
    <w:p>
      <w:pPr>
        <w:spacing w:after="0" w:line="86" w:lineRule="exact"/>
        <w:rPr>
          <w:sz w:val="20"/>
          <w:szCs w:val="20"/>
          <w:color w:val="auto"/>
        </w:rPr>
      </w:pPr>
    </w:p>
    <w:p>
      <w:pPr>
        <w:spacing w:after="0"/>
        <w:rPr>
          <w:sz w:val="20"/>
          <w:szCs w:val="20"/>
          <w:color w:val="auto"/>
        </w:rPr>
      </w:pPr>
      <w:r>
        <w:rPr>
          <w:rFonts w:ascii="Arial" w:cs="Arial" w:eastAsia="Arial" w:hAnsi="Arial"/>
          <w:sz w:val="16"/>
          <w:szCs w:val="16"/>
          <w:color w:val="auto"/>
        </w:rPr>
        <w:t>100%</w:t>
      </w:r>
    </w:p>
    <w:p>
      <w:pPr>
        <w:spacing w:after="0" w:line="86" w:lineRule="exact"/>
        <w:rPr>
          <w:sz w:val="20"/>
          <w:szCs w:val="20"/>
          <w:color w:val="auto"/>
        </w:rPr>
      </w:pPr>
    </w:p>
    <w:p>
      <w:pPr>
        <w:spacing w:after="0"/>
        <w:rPr>
          <w:sz w:val="20"/>
          <w:szCs w:val="20"/>
          <w:color w:val="auto"/>
        </w:rPr>
      </w:pPr>
      <w:r>
        <w:rPr>
          <w:rFonts w:ascii="Arial" w:cs="Arial" w:eastAsia="Arial" w:hAnsi="Arial"/>
          <w:sz w:val="16"/>
          <w:szCs w:val="16"/>
          <w:color w:val="auto"/>
        </w:rPr>
        <w:t>100%</w:t>
      </w:r>
    </w:p>
    <w:p>
      <w:pPr>
        <w:spacing w:after="0" w:line="86" w:lineRule="exact"/>
        <w:rPr>
          <w:sz w:val="20"/>
          <w:szCs w:val="20"/>
          <w:color w:val="auto"/>
        </w:rPr>
      </w:pPr>
    </w:p>
    <w:p>
      <w:pPr>
        <w:spacing w:after="0"/>
        <w:rPr>
          <w:sz w:val="20"/>
          <w:szCs w:val="20"/>
          <w:color w:val="auto"/>
        </w:rPr>
      </w:pPr>
      <w:r>
        <w:rPr>
          <w:rFonts w:ascii="Arial" w:cs="Arial" w:eastAsia="Arial" w:hAnsi="Arial"/>
          <w:sz w:val="16"/>
          <w:szCs w:val="16"/>
          <w:color w:val="auto"/>
        </w:rPr>
        <w:t>100%</w:t>
      </w:r>
    </w:p>
    <w:p>
      <w:pPr>
        <w:spacing w:after="0" w:line="86" w:lineRule="exact"/>
        <w:rPr>
          <w:sz w:val="20"/>
          <w:szCs w:val="20"/>
          <w:color w:val="auto"/>
        </w:rPr>
      </w:pPr>
    </w:p>
    <w:p>
      <w:pPr>
        <w:spacing w:after="0"/>
        <w:rPr>
          <w:sz w:val="20"/>
          <w:szCs w:val="20"/>
          <w:color w:val="auto"/>
        </w:rPr>
      </w:pPr>
      <w:r>
        <w:rPr>
          <w:rFonts w:ascii="Arial" w:cs="Arial" w:eastAsia="Arial" w:hAnsi="Arial"/>
          <w:sz w:val="16"/>
          <w:szCs w:val="16"/>
          <w:color w:val="auto"/>
        </w:rPr>
        <w:t>100%</w:t>
      </w:r>
    </w:p>
    <w:p>
      <w:pPr>
        <w:spacing w:after="0" w:line="86" w:lineRule="exact"/>
        <w:rPr>
          <w:sz w:val="20"/>
          <w:szCs w:val="20"/>
          <w:color w:val="auto"/>
        </w:rPr>
      </w:pPr>
    </w:p>
    <w:p>
      <w:pPr>
        <w:spacing w:after="0"/>
        <w:rPr>
          <w:sz w:val="20"/>
          <w:szCs w:val="20"/>
          <w:color w:val="auto"/>
        </w:rPr>
      </w:pPr>
      <w:r>
        <w:rPr>
          <w:rFonts w:ascii="Arial" w:cs="Arial" w:eastAsia="Arial" w:hAnsi="Arial"/>
          <w:sz w:val="16"/>
          <w:szCs w:val="16"/>
          <w:color w:val="auto"/>
        </w:rPr>
        <w:t>100%</w:t>
      </w:r>
    </w:p>
    <w:p>
      <w:pPr>
        <w:spacing w:after="0" w:line="86" w:lineRule="exact"/>
        <w:rPr>
          <w:sz w:val="20"/>
          <w:szCs w:val="20"/>
          <w:color w:val="auto"/>
        </w:rPr>
      </w:pPr>
    </w:p>
    <w:p>
      <w:pPr>
        <w:spacing w:after="0"/>
        <w:rPr>
          <w:sz w:val="20"/>
          <w:szCs w:val="20"/>
          <w:color w:val="auto"/>
        </w:rPr>
      </w:pPr>
      <w:r>
        <w:rPr>
          <w:rFonts w:ascii="Arial" w:cs="Arial" w:eastAsia="Arial" w:hAnsi="Arial"/>
          <w:sz w:val="16"/>
          <w:szCs w:val="16"/>
          <w:color w:val="auto"/>
        </w:rPr>
        <w:t>100%</w:t>
      </w:r>
    </w:p>
    <w:p>
      <w:pPr>
        <w:spacing w:after="0" w:line="86" w:lineRule="exact"/>
        <w:rPr>
          <w:sz w:val="20"/>
          <w:szCs w:val="20"/>
          <w:color w:val="auto"/>
        </w:rPr>
      </w:pPr>
    </w:p>
    <w:p>
      <w:pPr>
        <w:spacing w:after="0"/>
        <w:rPr>
          <w:sz w:val="20"/>
          <w:szCs w:val="20"/>
          <w:color w:val="auto"/>
        </w:rPr>
      </w:pPr>
      <w:r>
        <w:rPr>
          <w:rFonts w:ascii="Arial" w:cs="Arial" w:eastAsia="Arial" w:hAnsi="Arial"/>
          <w:sz w:val="16"/>
          <w:szCs w:val="16"/>
          <w:color w:val="auto"/>
        </w:rPr>
        <w:t>100%</w:t>
      </w:r>
    </w:p>
    <w:p>
      <w:pPr>
        <w:spacing w:after="0" w:line="86" w:lineRule="exact"/>
        <w:rPr>
          <w:sz w:val="20"/>
          <w:szCs w:val="20"/>
          <w:color w:val="auto"/>
        </w:rPr>
      </w:pPr>
    </w:p>
    <w:p>
      <w:pPr>
        <w:spacing w:after="0"/>
        <w:rPr>
          <w:sz w:val="20"/>
          <w:szCs w:val="20"/>
          <w:color w:val="auto"/>
        </w:rPr>
      </w:pPr>
      <w:r>
        <w:rPr>
          <w:rFonts w:ascii="Arial" w:cs="Arial" w:eastAsia="Arial" w:hAnsi="Arial"/>
          <w:sz w:val="16"/>
          <w:szCs w:val="16"/>
          <w:color w:val="auto"/>
        </w:rPr>
        <w:t>100%</w:t>
      </w:r>
    </w:p>
    <w:p>
      <w:pPr>
        <w:spacing w:after="0" w:line="86" w:lineRule="exact"/>
        <w:rPr>
          <w:sz w:val="20"/>
          <w:szCs w:val="20"/>
          <w:color w:val="auto"/>
        </w:rPr>
      </w:pPr>
    </w:p>
    <w:p>
      <w:pPr>
        <w:spacing w:after="0"/>
        <w:rPr>
          <w:sz w:val="20"/>
          <w:szCs w:val="20"/>
          <w:color w:val="auto"/>
        </w:rPr>
      </w:pPr>
      <w:r>
        <w:rPr>
          <w:rFonts w:ascii="Arial" w:cs="Arial" w:eastAsia="Arial" w:hAnsi="Arial"/>
          <w:sz w:val="16"/>
          <w:szCs w:val="16"/>
          <w:color w:val="auto"/>
        </w:rPr>
        <w:t>100%</w:t>
      </w:r>
    </w:p>
    <w:p>
      <w:pPr>
        <w:spacing w:after="0" w:line="86" w:lineRule="exact"/>
        <w:rPr>
          <w:sz w:val="20"/>
          <w:szCs w:val="20"/>
          <w:color w:val="auto"/>
        </w:rPr>
      </w:pPr>
    </w:p>
    <w:p>
      <w:pPr>
        <w:spacing w:after="0"/>
        <w:rPr>
          <w:sz w:val="20"/>
          <w:szCs w:val="20"/>
          <w:color w:val="auto"/>
        </w:rPr>
      </w:pPr>
      <w:r>
        <w:rPr>
          <w:rFonts w:ascii="Arial" w:cs="Arial" w:eastAsia="Arial" w:hAnsi="Arial"/>
          <w:sz w:val="16"/>
          <w:szCs w:val="16"/>
          <w:color w:val="auto"/>
        </w:rPr>
        <w:t>100%</w:t>
      </w:r>
    </w:p>
    <w:p>
      <w:pPr>
        <w:spacing w:after="0" w:line="86" w:lineRule="exact"/>
        <w:rPr>
          <w:sz w:val="20"/>
          <w:szCs w:val="20"/>
          <w:color w:val="auto"/>
        </w:rPr>
      </w:pPr>
    </w:p>
    <w:p>
      <w:pPr>
        <w:spacing w:after="0"/>
        <w:rPr>
          <w:sz w:val="20"/>
          <w:szCs w:val="20"/>
          <w:color w:val="auto"/>
        </w:rPr>
      </w:pPr>
      <w:r>
        <w:rPr>
          <w:rFonts w:ascii="Arial" w:cs="Arial" w:eastAsia="Arial" w:hAnsi="Arial"/>
          <w:sz w:val="16"/>
          <w:szCs w:val="16"/>
          <w:color w:val="auto"/>
        </w:rPr>
        <w:t>100%</w:t>
      </w:r>
    </w:p>
    <w:p>
      <w:pPr>
        <w:spacing w:after="0" w:line="86" w:lineRule="exact"/>
        <w:rPr>
          <w:sz w:val="20"/>
          <w:szCs w:val="20"/>
          <w:color w:val="auto"/>
        </w:rPr>
      </w:pPr>
    </w:p>
    <w:p>
      <w:pPr>
        <w:spacing w:after="0"/>
        <w:rPr>
          <w:sz w:val="20"/>
          <w:szCs w:val="20"/>
          <w:color w:val="auto"/>
        </w:rPr>
      </w:pPr>
      <w:r>
        <w:rPr>
          <w:rFonts w:ascii="Arial" w:cs="Arial" w:eastAsia="Arial" w:hAnsi="Arial"/>
          <w:sz w:val="16"/>
          <w:szCs w:val="16"/>
          <w:color w:val="auto"/>
        </w:rPr>
        <w:t>100%</w:t>
      </w:r>
    </w:p>
    <w:p>
      <w:pPr>
        <w:spacing w:after="0" w:line="86" w:lineRule="exact"/>
        <w:rPr>
          <w:sz w:val="20"/>
          <w:szCs w:val="20"/>
          <w:color w:val="auto"/>
        </w:rPr>
      </w:pPr>
    </w:p>
    <w:p>
      <w:pPr>
        <w:spacing w:after="0"/>
        <w:rPr>
          <w:sz w:val="20"/>
          <w:szCs w:val="20"/>
          <w:color w:val="auto"/>
        </w:rPr>
      </w:pPr>
      <w:r>
        <w:rPr>
          <w:rFonts w:ascii="Arial" w:cs="Arial" w:eastAsia="Arial" w:hAnsi="Arial"/>
          <w:sz w:val="16"/>
          <w:szCs w:val="16"/>
          <w:color w:val="auto"/>
        </w:rPr>
        <w:t>100%</w:t>
      </w:r>
    </w:p>
    <w:p>
      <w:pPr>
        <w:spacing w:after="0" w:line="86" w:lineRule="exact"/>
        <w:rPr>
          <w:sz w:val="20"/>
          <w:szCs w:val="20"/>
          <w:color w:val="auto"/>
        </w:rPr>
      </w:pPr>
    </w:p>
    <w:p>
      <w:pPr>
        <w:spacing w:after="0"/>
        <w:rPr>
          <w:sz w:val="20"/>
          <w:szCs w:val="20"/>
          <w:color w:val="auto"/>
        </w:rPr>
      </w:pPr>
      <w:r>
        <w:rPr>
          <w:rFonts w:ascii="Arial" w:cs="Arial" w:eastAsia="Arial" w:hAnsi="Arial"/>
          <w:sz w:val="16"/>
          <w:szCs w:val="16"/>
          <w:color w:val="auto"/>
        </w:rPr>
        <w:t>100%</w:t>
      </w:r>
    </w:p>
    <w:p>
      <w:pPr>
        <w:spacing w:after="0" w:line="70" w:lineRule="exact"/>
        <w:rPr>
          <w:sz w:val="20"/>
          <w:szCs w:val="20"/>
          <w:color w:val="auto"/>
        </w:rPr>
      </w:pPr>
    </w:p>
    <w:p>
      <w:pPr>
        <w:spacing w:after="0"/>
        <w:rPr>
          <w:sz w:val="20"/>
          <w:szCs w:val="20"/>
          <w:color w:val="auto"/>
        </w:rPr>
      </w:pPr>
      <w:r>
        <w:rPr>
          <w:rFonts w:ascii="Arial" w:cs="Arial" w:eastAsia="Arial" w:hAnsi="Arial"/>
          <w:sz w:val="16"/>
          <w:szCs w:val="16"/>
          <w:color w:val="auto"/>
        </w:rPr>
        <w:t xml:space="preserve">100% </w:t>
      </w:r>
      <w:r>
        <w:rPr>
          <w:rFonts w:ascii="Arial" w:cs="Arial" w:eastAsia="Arial" w:hAnsi="Arial"/>
          <w:sz w:val="18"/>
          <w:szCs w:val="18"/>
          <w:color w:val="auto"/>
        </w:rPr>
        <w:t>(j)</w:t>
      </w:r>
    </w:p>
    <w:p>
      <w:pPr>
        <w:spacing w:after="0" w:line="63" w:lineRule="exact"/>
        <w:rPr>
          <w:sz w:val="20"/>
          <w:szCs w:val="20"/>
          <w:color w:val="auto"/>
        </w:rPr>
      </w:pPr>
    </w:p>
    <w:p>
      <w:pPr>
        <w:spacing w:after="0"/>
        <w:rPr>
          <w:sz w:val="20"/>
          <w:szCs w:val="20"/>
          <w:color w:val="auto"/>
        </w:rPr>
      </w:pPr>
      <w:r>
        <w:rPr>
          <w:rFonts w:ascii="Arial" w:cs="Arial" w:eastAsia="Arial" w:hAnsi="Arial"/>
          <w:sz w:val="16"/>
          <w:szCs w:val="16"/>
          <w:color w:val="auto"/>
        </w:rPr>
        <w:t xml:space="preserve">100% </w:t>
      </w:r>
      <w:r>
        <w:rPr>
          <w:rFonts w:ascii="Arial" w:cs="Arial" w:eastAsia="Arial" w:hAnsi="Arial"/>
          <w:sz w:val="18"/>
          <w:szCs w:val="18"/>
          <w:color w:val="auto"/>
        </w:rPr>
        <w:t>(k)</w:t>
      </w:r>
    </w:p>
    <w:p>
      <w:pPr>
        <w:spacing w:after="0" w:line="66" w:lineRule="exact"/>
        <w:rPr>
          <w:sz w:val="20"/>
          <w:szCs w:val="20"/>
          <w:color w:val="auto"/>
        </w:rPr>
      </w:pPr>
    </w:p>
    <w:p>
      <w:pPr>
        <w:spacing w:after="0"/>
        <w:rPr>
          <w:sz w:val="20"/>
          <w:szCs w:val="20"/>
          <w:color w:val="auto"/>
        </w:rPr>
      </w:pPr>
      <w:r>
        <w:rPr>
          <w:rFonts w:ascii="Arial" w:cs="Arial" w:eastAsia="Arial" w:hAnsi="Arial"/>
          <w:sz w:val="16"/>
          <w:szCs w:val="16"/>
          <w:color w:val="auto"/>
        </w:rPr>
        <w:t>100% (k)</w:t>
      </w:r>
    </w:p>
    <w:p>
      <w:pPr>
        <w:spacing w:after="0" w:line="100" w:lineRule="exact"/>
        <w:rPr>
          <w:sz w:val="20"/>
          <w:szCs w:val="20"/>
          <w:color w:val="auto"/>
        </w:rPr>
      </w:pPr>
    </w:p>
    <w:p>
      <w:pPr>
        <w:spacing w:after="0"/>
        <w:rPr>
          <w:sz w:val="20"/>
          <w:szCs w:val="20"/>
          <w:color w:val="auto"/>
        </w:rPr>
      </w:pPr>
      <w:r>
        <w:rPr>
          <w:rFonts w:ascii="Arial" w:cs="Arial" w:eastAsia="Arial" w:hAnsi="Arial"/>
          <w:sz w:val="16"/>
          <w:szCs w:val="16"/>
          <w:color w:val="auto"/>
        </w:rPr>
        <w:t>100%</w:t>
      </w:r>
    </w:p>
    <w:p>
      <w:pPr>
        <w:spacing w:after="0" w:line="86" w:lineRule="exact"/>
        <w:rPr>
          <w:sz w:val="20"/>
          <w:szCs w:val="20"/>
          <w:color w:val="auto"/>
        </w:rPr>
      </w:pPr>
    </w:p>
    <w:p>
      <w:pPr>
        <w:spacing w:after="0"/>
        <w:rPr>
          <w:sz w:val="20"/>
          <w:szCs w:val="20"/>
          <w:color w:val="auto"/>
        </w:rPr>
      </w:pPr>
      <w:r>
        <w:rPr>
          <w:rFonts w:ascii="Arial" w:cs="Arial" w:eastAsia="Arial" w:hAnsi="Arial"/>
          <w:sz w:val="16"/>
          <w:szCs w:val="16"/>
          <w:color w:val="auto"/>
        </w:rPr>
        <w:t>100%</w:t>
      </w:r>
    </w:p>
    <w:p>
      <w:pPr>
        <w:spacing w:after="0" w:line="86" w:lineRule="exact"/>
        <w:rPr>
          <w:sz w:val="20"/>
          <w:szCs w:val="20"/>
          <w:color w:val="auto"/>
        </w:rPr>
      </w:pPr>
    </w:p>
    <w:p>
      <w:pPr>
        <w:spacing w:after="0"/>
        <w:rPr>
          <w:sz w:val="20"/>
          <w:szCs w:val="20"/>
          <w:color w:val="auto"/>
        </w:rPr>
      </w:pPr>
      <w:r>
        <w:rPr>
          <w:rFonts w:ascii="Arial" w:cs="Arial" w:eastAsia="Arial" w:hAnsi="Arial"/>
          <w:sz w:val="16"/>
          <w:szCs w:val="16"/>
          <w:color w:val="auto"/>
        </w:rPr>
        <w:t>100%</w:t>
      </w:r>
    </w:p>
    <w:p>
      <w:pPr>
        <w:spacing w:after="0" w:line="86" w:lineRule="exact"/>
        <w:rPr>
          <w:sz w:val="20"/>
          <w:szCs w:val="20"/>
          <w:color w:val="auto"/>
        </w:rPr>
      </w:pPr>
    </w:p>
    <w:p>
      <w:pPr>
        <w:spacing w:after="0"/>
        <w:rPr>
          <w:sz w:val="20"/>
          <w:szCs w:val="20"/>
          <w:color w:val="auto"/>
        </w:rPr>
      </w:pPr>
      <w:r>
        <w:rPr>
          <w:rFonts w:ascii="Arial" w:cs="Arial" w:eastAsia="Arial" w:hAnsi="Arial"/>
          <w:sz w:val="16"/>
          <w:szCs w:val="16"/>
          <w:color w:val="auto"/>
        </w:rPr>
        <w:t>100%</w:t>
      </w:r>
    </w:p>
    <w:p>
      <w:pPr>
        <w:spacing w:after="0" w:line="86" w:lineRule="exact"/>
        <w:rPr>
          <w:sz w:val="20"/>
          <w:szCs w:val="20"/>
          <w:color w:val="auto"/>
        </w:rPr>
      </w:pPr>
    </w:p>
    <w:p>
      <w:pPr>
        <w:spacing w:after="0"/>
        <w:rPr>
          <w:sz w:val="20"/>
          <w:szCs w:val="20"/>
          <w:color w:val="auto"/>
        </w:rPr>
      </w:pPr>
      <w:r>
        <w:rPr>
          <w:rFonts w:ascii="Arial" w:cs="Arial" w:eastAsia="Arial" w:hAnsi="Arial"/>
          <w:sz w:val="16"/>
          <w:szCs w:val="16"/>
          <w:color w:val="auto"/>
        </w:rPr>
        <w:t>100%</w:t>
      </w:r>
    </w:p>
    <w:p>
      <w:pPr>
        <w:spacing w:after="0" w:line="86" w:lineRule="exact"/>
        <w:rPr>
          <w:sz w:val="20"/>
          <w:szCs w:val="20"/>
          <w:color w:val="auto"/>
        </w:rPr>
      </w:pPr>
    </w:p>
    <w:p>
      <w:pPr>
        <w:spacing w:after="0"/>
        <w:rPr>
          <w:sz w:val="20"/>
          <w:szCs w:val="20"/>
          <w:color w:val="auto"/>
        </w:rPr>
      </w:pPr>
      <w:r>
        <w:rPr>
          <w:rFonts w:ascii="Arial" w:cs="Arial" w:eastAsia="Arial" w:hAnsi="Arial"/>
          <w:sz w:val="16"/>
          <w:szCs w:val="16"/>
          <w:color w:val="auto"/>
        </w:rPr>
        <w:t>100%</w:t>
      </w:r>
    </w:p>
    <w:p>
      <w:pPr>
        <w:spacing w:after="0" w:line="86" w:lineRule="exact"/>
        <w:rPr>
          <w:sz w:val="20"/>
          <w:szCs w:val="20"/>
          <w:color w:val="auto"/>
        </w:rPr>
      </w:pPr>
    </w:p>
    <w:p>
      <w:pPr>
        <w:spacing w:after="0"/>
        <w:rPr>
          <w:sz w:val="20"/>
          <w:szCs w:val="20"/>
          <w:color w:val="auto"/>
        </w:rPr>
      </w:pPr>
      <w:r>
        <w:rPr>
          <w:rFonts w:ascii="Arial" w:cs="Arial" w:eastAsia="Arial" w:hAnsi="Arial"/>
          <w:sz w:val="16"/>
          <w:szCs w:val="16"/>
          <w:color w:val="auto"/>
        </w:rPr>
        <w:t>100%</w:t>
      </w:r>
    </w:p>
    <w:p>
      <w:pPr>
        <w:spacing w:after="0" w:line="86" w:lineRule="exact"/>
        <w:rPr>
          <w:sz w:val="20"/>
          <w:szCs w:val="20"/>
          <w:color w:val="auto"/>
        </w:rPr>
      </w:pPr>
    </w:p>
    <w:p>
      <w:pPr>
        <w:spacing w:after="0"/>
        <w:rPr>
          <w:sz w:val="20"/>
          <w:szCs w:val="20"/>
          <w:color w:val="auto"/>
        </w:rPr>
      </w:pPr>
      <w:r>
        <w:rPr>
          <w:rFonts w:ascii="Arial" w:cs="Arial" w:eastAsia="Arial" w:hAnsi="Arial"/>
          <w:sz w:val="16"/>
          <w:szCs w:val="16"/>
          <w:color w:val="auto"/>
        </w:rPr>
        <w:t>100%</w:t>
      </w:r>
    </w:p>
    <w:p>
      <w:pPr>
        <w:spacing w:after="0" w:line="86" w:lineRule="exact"/>
        <w:rPr>
          <w:sz w:val="20"/>
          <w:szCs w:val="20"/>
          <w:color w:val="auto"/>
        </w:rPr>
      </w:pPr>
    </w:p>
    <w:p>
      <w:pPr>
        <w:spacing w:after="0"/>
        <w:rPr>
          <w:sz w:val="20"/>
          <w:szCs w:val="20"/>
          <w:color w:val="auto"/>
        </w:rPr>
      </w:pPr>
      <w:r>
        <w:rPr>
          <w:rFonts w:ascii="Arial" w:cs="Arial" w:eastAsia="Arial" w:hAnsi="Arial"/>
          <w:sz w:val="16"/>
          <w:szCs w:val="16"/>
          <w:color w:val="auto"/>
        </w:rPr>
        <w:t>100%</w:t>
      </w:r>
    </w:p>
    <w:p>
      <w:pPr>
        <w:spacing w:after="0" w:line="86" w:lineRule="exact"/>
        <w:rPr>
          <w:sz w:val="20"/>
          <w:szCs w:val="20"/>
          <w:color w:val="auto"/>
        </w:rPr>
      </w:pPr>
    </w:p>
    <w:p>
      <w:pPr>
        <w:spacing w:after="0"/>
        <w:rPr>
          <w:sz w:val="20"/>
          <w:szCs w:val="20"/>
          <w:color w:val="auto"/>
        </w:rPr>
      </w:pPr>
      <w:r>
        <w:rPr>
          <w:rFonts w:ascii="Arial" w:cs="Arial" w:eastAsia="Arial" w:hAnsi="Arial"/>
          <w:sz w:val="16"/>
          <w:szCs w:val="16"/>
          <w:color w:val="auto"/>
        </w:rPr>
        <w:t>100%</w:t>
      </w:r>
    </w:p>
    <w:p>
      <w:pPr>
        <w:spacing w:after="0" w:line="86" w:lineRule="exact"/>
        <w:rPr>
          <w:sz w:val="20"/>
          <w:szCs w:val="20"/>
          <w:color w:val="auto"/>
        </w:rPr>
      </w:pPr>
    </w:p>
    <w:p>
      <w:pPr>
        <w:spacing w:after="0"/>
        <w:rPr>
          <w:sz w:val="20"/>
          <w:szCs w:val="20"/>
          <w:color w:val="auto"/>
        </w:rPr>
      </w:pPr>
      <w:r>
        <w:rPr>
          <w:rFonts w:ascii="Arial" w:cs="Arial" w:eastAsia="Arial" w:hAnsi="Arial"/>
          <w:sz w:val="16"/>
          <w:szCs w:val="16"/>
          <w:color w:val="auto"/>
        </w:rPr>
        <w:t>100%</w:t>
      </w:r>
    </w:p>
    <w:p>
      <w:pPr>
        <w:spacing w:after="0" w:line="86" w:lineRule="exact"/>
        <w:rPr>
          <w:sz w:val="20"/>
          <w:szCs w:val="20"/>
          <w:color w:val="auto"/>
        </w:rPr>
      </w:pPr>
    </w:p>
    <w:p>
      <w:pPr>
        <w:spacing w:after="0"/>
        <w:rPr>
          <w:sz w:val="20"/>
          <w:szCs w:val="20"/>
          <w:color w:val="auto"/>
        </w:rPr>
      </w:pPr>
      <w:r>
        <w:rPr>
          <w:rFonts w:ascii="Arial" w:cs="Arial" w:eastAsia="Arial" w:hAnsi="Arial"/>
          <w:sz w:val="16"/>
          <w:szCs w:val="16"/>
          <w:color w:val="auto"/>
        </w:rPr>
        <w:t>100%</w:t>
      </w:r>
    </w:p>
    <w:p>
      <w:pPr>
        <w:spacing w:after="0" w:line="86" w:lineRule="exact"/>
        <w:rPr>
          <w:sz w:val="20"/>
          <w:szCs w:val="20"/>
          <w:color w:val="auto"/>
        </w:rPr>
      </w:pPr>
    </w:p>
    <w:p>
      <w:pPr>
        <w:spacing w:after="0"/>
        <w:rPr>
          <w:sz w:val="20"/>
          <w:szCs w:val="20"/>
          <w:color w:val="auto"/>
        </w:rPr>
      </w:pPr>
      <w:r>
        <w:rPr>
          <w:rFonts w:ascii="Arial" w:cs="Arial" w:eastAsia="Arial" w:hAnsi="Arial"/>
          <w:sz w:val="16"/>
          <w:szCs w:val="16"/>
          <w:color w:val="auto"/>
        </w:rPr>
        <w:t>100%</w:t>
      </w:r>
    </w:p>
    <w:p>
      <w:pPr>
        <w:spacing w:after="0" w:line="86" w:lineRule="exact"/>
        <w:rPr>
          <w:sz w:val="20"/>
          <w:szCs w:val="20"/>
          <w:color w:val="auto"/>
        </w:rPr>
      </w:pPr>
    </w:p>
    <w:p>
      <w:pPr>
        <w:spacing w:after="0"/>
        <w:rPr>
          <w:sz w:val="20"/>
          <w:szCs w:val="20"/>
          <w:color w:val="auto"/>
        </w:rPr>
      </w:pPr>
      <w:r>
        <w:rPr>
          <w:rFonts w:ascii="Arial" w:cs="Arial" w:eastAsia="Arial" w:hAnsi="Arial"/>
          <w:sz w:val="16"/>
          <w:szCs w:val="16"/>
          <w:color w:val="auto"/>
        </w:rPr>
        <w:t>100%</w:t>
      </w:r>
    </w:p>
    <w:p>
      <w:pPr>
        <w:spacing w:after="0" w:line="86" w:lineRule="exact"/>
        <w:rPr>
          <w:sz w:val="20"/>
          <w:szCs w:val="20"/>
          <w:color w:val="auto"/>
        </w:rPr>
      </w:pPr>
    </w:p>
    <w:p>
      <w:pPr>
        <w:spacing w:after="0"/>
        <w:rPr>
          <w:sz w:val="20"/>
          <w:szCs w:val="20"/>
          <w:color w:val="auto"/>
        </w:rPr>
      </w:pPr>
      <w:r>
        <w:rPr>
          <w:rFonts w:ascii="Arial" w:cs="Arial" w:eastAsia="Arial" w:hAnsi="Arial"/>
          <w:sz w:val="16"/>
          <w:szCs w:val="16"/>
          <w:color w:val="auto"/>
        </w:rPr>
        <w:t>100%</w:t>
      </w:r>
    </w:p>
    <w:p>
      <w:pPr>
        <w:spacing w:after="0" w:line="86" w:lineRule="exact"/>
        <w:rPr>
          <w:sz w:val="20"/>
          <w:szCs w:val="20"/>
          <w:color w:val="auto"/>
        </w:rPr>
      </w:pPr>
    </w:p>
    <w:p>
      <w:pPr>
        <w:spacing w:after="0"/>
        <w:rPr>
          <w:sz w:val="20"/>
          <w:szCs w:val="20"/>
          <w:color w:val="auto"/>
        </w:rPr>
      </w:pPr>
      <w:r>
        <w:rPr>
          <w:rFonts w:ascii="Arial" w:cs="Arial" w:eastAsia="Arial" w:hAnsi="Arial"/>
          <w:sz w:val="16"/>
          <w:szCs w:val="16"/>
          <w:color w:val="auto"/>
        </w:rPr>
        <w:t>100%</w:t>
      </w:r>
    </w:p>
    <w:p>
      <w:pPr>
        <w:spacing w:after="0" w:line="86" w:lineRule="exact"/>
        <w:rPr>
          <w:sz w:val="20"/>
          <w:szCs w:val="20"/>
          <w:color w:val="auto"/>
        </w:rPr>
      </w:pPr>
    </w:p>
    <w:p>
      <w:pPr>
        <w:spacing w:after="0"/>
        <w:rPr>
          <w:sz w:val="20"/>
          <w:szCs w:val="20"/>
          <w:color w:val="auto"/>
        </w:rPr>
      </w:pPr>
      <w:r>
        <w:rPr>
          <w:rFonts w:ascii="Arial" w:cs="Arial" w:eastAsia="Arial" w:hAnsi="Arial"/>
          <w:sz w:val="16"/>
          <w:szCs w:val="16"/>
          <w:color w:val="auto"/>
        </w:rPr>
        <w:t>100%</w:t>
      </w:r>
    </w:p>
    <w:p>
      <w:pPr>
        <w:spacing w:after="0" w:line="86" w:lineRule="exact"/>
        <w:rPr>
          <w:sz w:val="20"/>
          <w:szCs w:val="20"/>
          <w:color w:val="auto"/>
        </w:rPr>
      </w:pPr>
    </w:p>
    <w:p>
      <w:pPr>
        <w:spacing w:after="0"/>
        <w:rPr>
          <w:sz w:val="20"/>
          <w:szCs w:val="20"/>
          <w:color w:val="auto"/>
        </w:rPr>
      </w:pPr>
      <w:r>
        <w:rPr>
          <w:rFonts w:ascii="Arial" w:cs="Arial" w:eastAsia="Arial" w:hAnsi="Arial"/>
          <w:sz w:val="16"/>
          <w:szCs w:val="16"/>
          <w:color w:val="auto"/>
        </w:rPr>
        <w:t>100%</w:t>
      </w:r>
    </w:p>
    <w:p>
      <w:pPr>
        <w:spacing w:after="0" w:line="86" w:lineRule="exact"/>
        <w:rPr>
          <w:sz w:val="20"/>
          <w:szCs w:val="20"/>
          <w:color w:val="auto"/>
        </w:rPr>
      </w:pPr>
    </w:p>
    <w:p>
      <w:pPr>
        <w:spacing w:after="0"/>
        <w:rPr>
          <w:sz w:val="20"/>
          <w:szCs w:val="20"/>
          <w:color w:val="auto"/>
        </w:rPr>
      </w:pPr>
      <w:r>
        <w:rPr>
          <w:rFonts w:ascii="Arial" w:cs="Arial" w:eastAsia="Arial" w:hAnsi="Arial"/>
          <w:sz w:val="16"/>
          <w:szCs w:val="16"/>
          <w:color w:val="auto"/>
        </w:rPr>
        <w:t>100%</w:t>
      </w:r>
    </w:p>
    <w:p>
      <w:pPr>
        <w:spacing w:after="0" w:line="86" w:lineRule="exact"/>
        <w:rPr>
          <w:sz w:val="20"/>
          <w:szCs w:val="20"/>
          <w:color w:val="auto"/>
        </w:rPr>
      </w:pPr>
    </w:p>
    <w:p>
      <w:pPr>
        <w:spacing w:after="0"/>
        <w:rPr>
          <w:sz w:val="20"/>
          <w:szCs w:val="20"/>
          <w:color w:val="auto"/>
        </w:rPr>
      </w:pPr>
      <w:r>
        <w:rPr>
          <w:rFonts w:ascii="Arial" w:cs="Arial" w:eastAsia="Arial" w:hAnsi="Arial"/>
          <w:sz w:val="16"/>
          <w:szCs w:val="16"/>
          <w:color w:val="auto"/>
        </w:rPr>
        <w:t>100%</w:t>
      </w:r>
    </w:p>
    <w:p>
      <w:pPr>
        <w:spacing w:after="0" w:line="86" w:lineRule="exact"/>
        <w:rPr>
          <w:sz w:val="20"/>
          <w:szCs w:val="20"/>
          <w:color w:val="auto"/>
        </w:rPr>
      </w:pPr>
    </w:p>
    <w:p>
      <w:pPr>
        <w:spacing w:after="0"/>
        <w:rPr>
          <w:sz w:val="20"/>
          <w:szCs w:val="20"/>
          <w:color w:val="auto"/>
        </w:rPr>
      </w:pPr>
      <w:r>
        <w:rPr>
          <w:rFonts w:ascii="Arial" w:cs="Arial" w:eastAsia="Arial" w:hAnsi="Arial"/>
          <w:sz w:val="16"/>
          <w:szCs w:val="16"/>
          <w:color w:val="auto"/>
        </w:rPr>
        <w:t>100% (l)</w:t>
      </w:r>
    </w:p>
    <w:p>
      <w:pPr>
        <w:spacing w:after="0" w:line="86" w:lineRule="exact"/>
        <w:rPr>
          <w:sz w:val="20"/>
          <w:szCs w:val="20"/>
          <w:color w:val="auto"/>
        </w:rPr>
      </w:pPr>
    </w:p>
    <w:p>
      <w:pPr>
        <w:spacing w:after="0"/>
        <w:rPr>
          <w:sz w:val="20"/>
          <w:szCs w:val="20"/>
          <w:color w:val="auto"/>
        </w:rPr>
      </w:pPr>
      <w:r>
        <w:rPr>
          <w:rFonts w:ascii="Arial" w:cs="Arial" w:eastAsia="Arial" w:hAnsi="Arial"/>
          <w:sz w:val="16"/>
          <w:szCs w:val="16"/>
          <w:color w:val="auto"/>
        </w:rPr>
        <w:t>100%</w:t>
      </w:r>
    </w:p>
    <w:p>
      <w:pPr>
        <w:spacing w:after="0" w:line="86" w:lineRule="exact"/>
        <w:rPr>
          <w:sz w:val="20"/>
          <w:szCs w:val="20"/>
          <w:color w:val="auto"/>
        </w:rPr>
      </w:pPr>
    </w:p>
    <w:p>
      <w:pPr>
        <w:spacing w:after="0"/>
        <w:rPr>
          <w:sz w:val="20"/>
          <w:szCs w:val="20"/>
          <w:color w:val="auto"/>
        </w:rPr>
      </w:pPr>
      <w:r>
        <w:rPr>
          <w:rFonts w:ascii="Arial" w:cs="Arial" w:eastAsia="Arial" w:hAnsi="Arial"/>
          <w:sz w:val="16"/>
          <w:szCs w:val="16"/>
          <w:color w:val="auto"/>
        </w:rPr>
        <w:t>100%</w:t>
      </w:r>
    </w:p>
    <w:p>
      <w:pPr>
        <w:spacing w:after="0" w:line="86" w:lineRule="exact"/>
        <w:rPr>
          <w:sz w:val="20"/>
          <w:szCs w:val="20"/>
          <w:color w:val="auto"/>
        </w:rPr>
      </w:pPr>
    </w:p>
    <w:p>
      <w:pPr>
        <w:spacing w:after="0"/>
        <w:rPr>
          <w:sz w:val="20"/>
          <w:szCs w:val="20"/>
          <w:color w:val="auto"/>
        </w:rPr>
      </w:pPr>
      <w:r>
        <w:rPr>
          <w:rFonts w:ascii="Arial" w:cs="Arial" w:eastAsia="Arial" w:hAnsi="Arial"/>
          <w:sz w:val="16"/>
          <w:szCs w:val="16"/>
          <w:color w:val="auto"/>
        </w:rPr>
        <w:t>100%</w:t>
      </w:r>
    </w:p>
    <w:p>
      <w:pPr>
        <w:spacing w:after="0" w:line="86" w:lineRule="exact"/>
        <w:rPr>
          <w:sz w:val="20"/>
          <w:szCs w:val="20"/>
          <w:color w:val="auto"/>
        </w:rPr>
      </w:pPr>
    </w:p>
    <w:p>
      <w:pPr>
        <w:spacing w:after="0"/>
        <w:rPr>
          <w:sz w:val="20"/>
          <w:szCs w:val="20"/>
          <w:color w:val="auto"/>
        </w:rPr>
      </w:pPr>
      <w:r>
        <w:rPr>
          <w:rFonts w:ascii="Arial" w:cs="Arial" w:eastAsia="Arial" w:hAnsi="Arial"/>
          <w:sz w:val="16"/>
          <w:szCs w:val="16"/>
          <w:color w:val="auto"/>
        </w:rPr>
        <w:t>100%</w:t>
      </w:r>
    </w:p>
    <w:p>
      <w:pPr>
        <w:spacing w:after="0" w:line="86" w:lineRule="exact"/>
        <w:rPr>
          <w:sz w:val="20"/>
          <w:szCs w:val="20"/>
          <w:color w:val="auto"/>
        </w:rPr>
      </w:pPr>
    </w:p>
    <w:p>
      <w:pPr>
        <w:spacing w:after="0"/>
        <w:rPr>
          <w:sz w:val="20"/>
          <w:szCs w:val="20"/>
          <w:color w:val="auto"/>
        </w:rPr>
      </w:pPr>
      <w:r>
        <w:rPr>
          <w:rFonts w:ascii="Arial" w:cs="Arial" w:eastAsia="Arial" w:hAnsi="Arial"/>
          <w:sz w:val="16"/>
          <w:szCs w:val="16"/>
          <w:color w:val="auto"/>
        </w:rPr>
        <w:t>100%</w:t>
      </w:r>
    </w:p>
    <w:p>
      <w:pPr>
        <w:spacing w:after="0" w:line="86" w:lineRule="exact"/>
        <w:rPr>
          <w:sz w:val="20"/>
          <w:szCs w:val="20"/>
          <w:color w:val="auto"/>
        </w:rPr>
      </w:pPr>
    </w:p>
    <w:p>
      <w:pPr>
        <w:spacing w:after="0"/>
        <w:rPr>
          <w:sz w:val="20"/>
          <w:szCs w:val="20"/>
          <w:color w:val="auto"/>
        </w:rPr>
      </w:pPr>
      <w:r>
        <w:rPr>
          <w:rFonts w:ascii="Arial" w:cs="Arial" w:eastAsia="Arial" w:hAnsi="Arial"/>
          <w:sz w:val="16"/>
          <w:szCs w:val="16"/>
          <w:color w:val="auto"/>
        </w:rPr>
        <w:t>100%</w:t>
      </w:r>
    </w:p>
    <w:p>
      <w:pPr>
        <w:spacing w:after="0" w:line="86" w:lineRule="exact"/>
        <w:rPr>
          <w:sz w:val="20"/>
          <w:szCs w:val="20"/>
          <w:color w:val="auto"/>
        </w:rPr>
      </w:pPr>
    </w:p>
    <w:p>
      <w:pPr>
        <w:spacing w:after="0"/>
        <w:rPr>
          <w:sz w:val="20"/>
          <w:szCs w:val="20"/>
          <w:color w:val="auto"/>
        </w:rPr>
      </w:pPr>
      <w:r>
        <w:rPr>
          <w:rFonts w:ascii="Arial" w:cs="Arial" w:eastAsia="Arial" w:hAnsi="Arial"/>
          <w:sz w:val="16"/>
          <w:szCs w:val="16"/>
          <w:color w:val="auto"/>
        </w:rPr>
        <w:t>100%</w:t>
      </w:r>
    </w:p>
    <w:p>
      <w:pPr>
        <w:spacing w:after="0" w:line="86" w:lineRule="exact"/>
        <w:rPr>
          <w:sz w:val="20"/>
          <w:szCs w:val="20"/>
          <w:color w:val="auto"/>
        </w:rPr>
      </w:pPr>
    </w:p>
    <w:p>
      <w:pPr>
        <w:spacing w:after="0"/>
        <w:rPr>
          <w:sz w:val="20"/>
          <w:szCs w:val="20"/>
          <w:color w:val="auto"/>
        </w:rPr>
      </w:pPr>
      <w:r>
        <w:rPr>
          <w:rFonts w:ascii="Arial" w:cs="Arial" w:eastAsia="Arial" w:hAnsi="Arial"/>
          <w:sz w:val="16"/>
          <w:szCs w:val="16"/>
          <w:color w:val="auto"/>
        </w:rPr>
        <w:t>100%</w:t>
      </w:r>
    </w:p>
    <w:p>
      <w:pPr>
        <w:sectPr>
          <w:pgSz w:w="11900" w:h="16838" w:orient="portrait"/>
          <w:cols w:equalWidth="0" w:num="2">
            <w:col w:w="8740" w:space="720"/>
            <w:col w:w="680"/>
          </w:cols>
          <w:pgMar w:left="840" w:top="790" w:right="919" w:bottom="0" w:gutter="0" w:footer="0" w:header="0"/>
        </w:sectPr>
      </w:pPr>
    </w:p>
    <w:bookmarkStart w:id="134" w:name="page135"/>
    <w:bookmarkEnd w:id="134"/>
    <w:p>
      <w:pPr>
        <w:spacing w:after="0"/>
        <w:rPr>
          <w:sz w:val="20"/>
          <w:szCs w:val="20"/>
          <w:color w:val="auto"/>
        </w:rPr>
      </w:pPr>
    </w:p>
    <w:p>
      <w:pPr>
        <w:sectPr>
          <w:pgSz w:w="11900" w:h="16838" w:orient="portrait"/>
          <w:cols w:equalWidth="1" w:num="1" w:space="0"/>
          <w:pgMar w:left="1440" w:top="1440" w:right="1440" w:bottom="875" w:gutter="0" w:footer="0" w:header="0"/>
        </w:sectPr>
      </w:pPr>
    </w:p>
    <w:bookmarkStart w:id="135" w:name="page136"/>
    <w:bookmarkEnd w:id="135"/>
    <w:p>
      <w:pPr>
        <w:ind w:left="727"/>
        <w:spacing w:after="0"/>
        <w:tabs>
          <w:tab w:leader="none" w:pos="6646" w:val="left"/>
        </w:tabs>
        <w:rPr>
          <w:sz w:val="20"/>
          <w:szCs w:val="20"/>
          <w:color w:val="auto"/>
        </w:rPr>
      </w:pPr>
      <w:r>
        <w:rPr>
          <w:rFonts w:ascii="Arial" w:cs="Arial" w:eastAsia="Arial" w:hAnsi="Arial"/>
          <w:sz w:val="16"/>
          <w:szCs w:val="16"/>
          <w:color w:val="auto"/>
        </w:rPr>
        <w:t>Kaplan Bath Limited</w:t>
      </w:r>
      <w:r>
        <w:rPr>
          <w:sz w:val="20"/>
          <w:szCs w:val="20"/>
          <w:color w:val="auto"/>
        </w:rPr>
        <w:tab/>
      </w:r>
      <w:r>
        <w:rPr>
          <w:rFonts w:ascii="Arial" w:cs="Arial" w:eastAsia="Arial" w:hAnsi="Arial"/>
          <w:sz w:val="16"/>
          <w:szCs w:val="16"/>
          <w:color w:val="auto"/>
        </w:rPr>
        <w:t>England &amp; Wales</w:t>
      </w:r>
    </w:p>
    <w:p>
      <w:pPr>
        <w:spacing w:after="0" w:line="86" w:lineRule="exact"/>
        <w:rPr>
          <w:sz w:val="20"/>
          <w:szCs w:val="20"/>
          <w:color w:val="auto"/>
        </w:rPr>
      </w:pPr>
    </w:p>
    <w:p>
      <w:pPr>
        <w:ind w:left="727"/>
        <w:spacing w:after="0"/>
        <w:tabs>
          <w:tab w:leader="none" w:pos="6646" w:val="left"/>
        </w:tabs>
        <w:rPr>
          <w:sz w:val="20"/>
          <w:szCs w:val="20"/>
          <w:color w:val="auto"/>
        </w:rPr>
      </w:pPr>
      <w:r>
        <w:rPr>
          <w:rFonts w:ascii="Arial" w:cs="Arial" w:eastAsia="Arial" w:hAnsi="Arial"/>
          <w:sz w:val="16"/>
          <w:szCs w:val="16"/>
          <w:color w:val="auto"/>
        </w:rPr>
        <w:t>Kaplan Estates Limited</w:t>
      </w:r>
      <w:r>
        <w:rPr>
          <w:sz w:val="20"/>
          <w:szCs w:val="20"/>
          <w:color w:val="auto"/>
        </w:rPr>
        <w:tab/>
      </w:r>
      <w:r>
        <w:rPr>
          <w:rFonts w:ascii="Arial" w:cs="Arial" w:eastAsia="Arial" w:hAnsi="Arial"/>
          <w:sz w:val="16"/>
          <w:szCs w:val="16"/>
          <w:color w:val="auto"/>
        </w:rPr>
        <w:t>England &amp; Wales</w:t>
      </w:r>
    </w:p>
    <w:p>
      <w:pPr>
        <w:spacing w:after="0" w:line="86" w:lineRule="exact"/>
        <w:rPr>
          <w:sz w:val="20"/>
          <w:szCs w:val="20"/>
          <w:color w:val="auto"/>
        </w:rPr>
      </w:pPr>
    </w:p>
    <w:p>
      <w:pPr>
        <w:ind w:left="727"/>
        <w:spacing w:after="0"/>
        <w:tabs>
          <w:tab w:leader="none" w:pos="6646" w:val="left"/>
        </w:tabs>
        <w:rPr>
          <w:sz w:val="20"/>
          <w:szCs w:val="20"/>
          <w:color w:val="auto"/>
        </w:rPr>
      </w:pPr>
      <w:r>
        <w:rPr>
          <w:rFonts w:ascii="Arial" w:cs="Arial" w:eastAsia="Arial" w:hAnsi="Arial"/>
          <w:sz w:val="16"/>
          <w:szCs w:val="16"/>
          <w:color w:val="auto"/>
        </w:rPr>
        <w:t>Kaplan York Limited</w:t>
      </w:r>
      <w:r>
        <w:rPr>
          <w:sz w:val="20"/>
          <w:szCs w:val="20"/>
          <w:color w:val="auto"/>
        </w:rPr>
        <w:tab/>
      </w:r>
      <w:r>
        <w:rPr>
          <w:rFonts w:ascii="Arial" w:cs="Arial" w:eastAsia="Arial" w:hAnsi="Arial"/>
          <w:sz w:val="16"/>
          <w:szCs w:val="16"/>
          <w:color w:val="auto"/>
        </w:rPr>
        <w:t>England &amp; Wales</w:t>
      </w:r>
    </w:p>
    <w:p>
      <w:pPr>
        <w:spacing w:after="0" w:line="86" w:lineRule="exact"/>
        <w:rPr>
          <w:sz w:val="20"/>
          <w:szCs w:val="20"/>
          <w:color w:val="auto"/>
        </w:rPr>
      </w:pPr>
    </w:p>
    <w:p>
      <w:pPr>
        <w:jc w:val="right"/>
        <w:ind w:right="1020"/>
        <w:spacing w:after="0"/>
        <w:tabs>
          <w:tab w:leader="none" w:pos="2240" w:val="left"/>
        </w:tabs>
        <w:rPr>
          <w:sz w:val="20"/>
          <w:szCs w:val="20"/>
          <w:color w:val="auto"/>
        </w:rPr>
      </w:pPr>
      <w:r>
        <w:rPr>
          <w:rFonts w:ascii="Arial" w:cs="Arial" w:eastAsia="Arial" w:hAnsi="Arial"/>
          <w:sz w:val="16"/>
          <w:szCs w:val="16"/>
          <w:color w:val="auto"/>
        </w:rPr>
        <w:t>University of York International Pathway College LLP</w:t>
      </w:r>
      <w:r>
        <w:rPr>
          <w:sz w:val="20"/>
          <w:szCs w:val="20"/>
          <w:color w:val="auto"/>
        </w:rPr>
        <w:tab/>
      </w:r>
      <w:r>
        <w:rPr>
          <w:rFonts w:ascii="Arial" w:cs="Arial" w:eastAsia="Arial" w:hAnsi="Arial"/>
          <w:sz w:val="16"/>
          <w:szCs w:val="16"/>
          <w:color w:val="auto"/>
        </w:rPr>
        <w:t>England &amp; Wales</w:t>
      </w:r>
    </w:p>
    <w:p>
      <w:pPr>
        <w:spacing w:after="0" w:line="86" w:lineRule="exact"/>
        <w:rPr>
          <w:sz w:val="20"/>
          <w:szCs w:val="20"/>
          <w:color w:val="auto"/>
        </w:rPr>
      </w:pPr>
    </w:p>
    <w:p>
      <w:pPr>
        <w:ind w:left="727"/>
        <w:spacing w:after="0"/>
        <w:tabs>
          <w:tab w:leader="none" w:pos="6646" w:val="left"/>
        </w:tabs>
        <w:rPr>
          <w:sz w:val="20"/>
          <w:szCs w:val="20"/>
          <w:color w:val="auto"/>
        </w:rPr>
      </w:pPr>
      <w:r>
        <w:rPr>
          <w:rFonts w:ascii="Arial" w:cs="Arial" w:eastAsia="Arial" w:hAnsi="Arial"/>
          <w:sz w:val="16"/>
          <w:szCs w:val="16"/>
          <w:color w:val="auto"/>
        </w:rPr>
        <w:t>Kaplan Partner Services HK Limited</w:t>
      </w:r>
      <w:r>
        <w:rPr>
          <w:sz w:val="20"/>
          <w:szCs w:val="20"/>
          <w:color w:val="auto"/>
        </w:rPr>
        <w:tab/>
      </w:r>
      <w:r>
        <w:rPr>
          <w:rFonts w:ascii="Arial" w:cs="Arial" w:eastAsia="Arial" w:hAnsi="Arial"/>
          <w:sz w:val="15"/>
          <w:szCs w:val="15"/>
          <w:color w:val="auto"/>
        </w:rPr>
        <w:t>Hong Kong</w:t>
      </w:r>
    </w:p>
    <w:p>
      <w:pPr>
        <w:spacing w:after="0" w:line="86" w:lineRule="exact"/>
        <w:rPr>
          <w:sz w:val="20"/>
          <w:szCs w:val="20"/>
          <w:color w:val="auto"/>
        </w:rPr>
      </w:pPr>
    </w:p>
    <w:p>
      <w:pPr>
        <w:ind w:left="647"/>
        <w:spacing w:after="0"/>
        <w:tabs>
          <w:tab w:leader="none" w:pos="6646" w:val="left"/>
        </w:tabs>
        <w:rPr>
          <w:sz w:val="20"/>
          <w:szCs w:val="20"/>
          <w:color w:val="auto"/>
        </w:rPr>
      </w:pPr>
      <w:r>
        <w:rPr>
          <w:rFonts w:ascii="Arial" w:cs="Arial" w:eastAsia="Arial" w:hAnsi="Arial"/>
          <w:sz w:val="16"/>
          <w:szCs w:val="16"/>
          <w:color w:val="auto"/>
        </w:rPr>
        <w:t>Kaplan Law School Limited</w:t>
      </w:r>
      <w:r>
        <w:rPr>
          <w:sz w:val="20"/>
          <w:szCs w:val="20"/>
          <w:color w:val="auto"/>
        </w:rPr>
        <w:tab/>
      </w:r>
      <w:r>
        <w:rPr>
          <w:rFonts w:ascii="Arial" w:cs="Arial" w:eastAsia="Arial" w:hAnsi="Arial"/>
          <w:sz w:val="16"/>
          <w:szCs w:val="16"/>
          <w:color w:val="auto"/>
        </w:rPr>
        <w:t>England &amp; Wales</w:t>
      </w:r>
    </w:p>
    <w:p>
      <w:pPr>
        <w:spacing w:after="0" w:line="86" w:lineRule="exact"/>
        <w:rPr>
          <w:sz w:val="20"/>
          <w:szCs w:val="20"/>
          <w:color w:val="auto"/>
        </w:rPr>
      </w:pPr>
    </w:p>
    <w:p>
      <w:pPr>
        <w:ind w:left="647"/>
        <w:spacing w:after="0"/>
        <w:tabs>
          <w:tab w:leader="none" w:pos="6646" w:val="left"/>
        </w:tabs>
        <w:rPr>
          <w:sz w:val="20"/>
          <w:szCs w:val="20"/>
          <w:color w:val="auto"/>
        </w:rPr>
      </w:pPr>
      <w:r>
        <w:rPr>
          <w:rFonts w:ascii="Arial" w:cs="Arial" w:eastAsia="Arial" w:hAnsi="Arial"/>
          <w:sz w:val="16"/>
          <w:szCs w:val="16"/>
          <w:color w:val="auto"/>
        </w:rPr>
        <w:t>Kaplan Open Learning Limited</w:t>
      </w:r>
      <w:r>
        <w:rPr>
          <w:sz w:val="20"/>
          <w:szCs w:val="20"/>
          <w:color w:val="auto"/>
        </w:rPr>
        <w:tab/>
      </w:r>
      <w:r>
        <w:rPr>
          <w:rFonts w:ascii="Arial" w:cs="Arial" w:eastAsia="Arial" w:hAnsi="Arial"/>
          <w:sz w:val="16"/>
          <w:szCs w:val="16"/>
          <w:color w:val="auto"/>
        </w:rPr>
        <w:t>England &amp; Wales</w:t>
      </w:r>
    </w:p>
    <w:p>
      <w:pPr>
        <w:spacing w:after="0" w:line="86" w:lineRule="exact"/>
        <w:rPr>
          <w:sz w:val="20"/>
          <w:szCs w:val="20"/>
          <w:color w:val="auto"/>
        </w:rPr>
      </w:pPr>
    </w:p>
    <w:p>
      <w:pPr>
        <w:ind w:left="727"/>
        <w:spacing w:after="0"/>
        <w:tabs>
          <w:tab w:leader="none" w:pos="6646" w:val="left"/>
        </w:tabs>
        <w:rPr>
          <w:sz w:val="20"/>
          <w:szCs w:val="20"/>
          <w:color w:val="auto"/>
        </w:rPr>
      </w:pPr>
      <w:r>
        <w:rPr>
          <w:rFonts w:ascii="Arial" w:cs="Arial" w:eastAsia="Arial" w:hAnsi="Arial"/>
          <w:sz w:val="16"/>
          <w:szCs w:val="16"/>
          <w:color w:val="auto"/>
        </w:rPr>
        <w:t>Kaplan Open Learning (Essex) Limited</w:t>
      </w:r>
      <w:r>
        <w:rPr>
          <w:sz w:val="20"/>
          <w:szCs w:val="20"/>
          <w:color w:val="auto"/>
        </w:rPr>
        <w:tab/>
      </w:r>
      <w:r>
        <w:rPr>
          <w:rFonts w:ascii="Arial" w:cs="Arial" w:eastAsia="Arial" w:hAnsi="Arial"/>
          <w:sz w:val="16"/>
          <w:szCs w:val="16"/>
          <w:color w:val="auto"/>
        </w:rPr>
        <w:t>England &amp; Wales</w:t>
      </w:r>
    </w:p>
    <w:p>
      <w:pPr>
        <w:spacing w:after="0" w:line="86" w:lineRule="exact"/>
        <w:rPr>
          <w:sz w:val="20"/>
          <w:szCs w:val="20"/>
          <w:color w:val="auto"/>
        </w:rPr>
      </w:pPr>
    </w:p>
    <w:p>
      <w:pPr>
        <w:ind w:left="647"/>
        <w:spacing w:after="0"/>
        <w:tabs>
          <w:tab w:leader="none" w:pos="6646" w:val="left"/>
        </w:tabs>
        <w:rPr>
          <w:sz w:val="20"/>
          <w:szCs w:val="20"/>
          <w:color w:val="auto"/>
        </w:rPr>
      </w:pPr>
      <w:r>
        <w:rPr>
          <w:rFonts w:ascii="Arial" w:cs="Arial" w:eastAsia="Arial" w:hAnsi="Arial"/>
          <w:sz w:val="16"/>
          <w:szCs w:val="16"/>
          <w:color w:val="auto"/>
        </w:rPr>
        <w:t>Kaplan Publishing Limited</w:t>
      </w:r>
      <w:r>
        <w:rPr>
          <w:sz w:val="20"/>
          <w:szCs w:val="20"/>
          <w:color w:val="auto"/>
        </w:rPr>
        <w:tab/>
      </w:r>
      <w:r>
        <w:rPr>
          <w:rFonts w:ascii="Arial" w:cs="Arial" w:eastAsia="Arial" w:hAnsi="Arial"/>
          <w:sz w:val="16"/>
          <w:szCs w:val="16"/>
          <w:color w:val="auto"/>
        </w:rPr>
        <w:t>England &amp; Wales</w:t>
      </w:r>
    </w:p>
    <w:p>
      <w:pPr>
        <w:spacing w:after="0" w:line="86" w:lineRule="exact"/>
        <w:rPr>
          <w:sz w:val="20"/>
          <w:szCs w:val="20"/>
          <w:color w:val="auto"/>
        </w:rPr>
      </w:pPr>
    </w:p>
    <w:p>
      <w:pPr>
        <w:ind w:left="647"/>
        <w:spacing w:after="0"/>
        <w:tabs>
          <w:tab w:leader="none" w:pos="6646" w:val="left"/>
        </w:tabs>
        <w:rPr>
          <w:sz w:val="20"/>
          <w:szCs w:val="20"/>
          <w:color w:val="auto"/>
        </w:rPr>
      </w:pPr>
      <w:r>
        <w:rPr>
          <w:rFonts w:ascii="Arial" w:cs="Arial" w:eastAsia="Arial" w:hAnsi="Arial"/>
          <w:sz w:val="16"/>
          <w:szCs w:val="16"/>
          <w:color w:val="auto"/>
        </w:rPr>
        <w:t>Kaplan Professional Awards Limited</w:t>
      </w:r>
      <w:r>
        <w:rPr>
          <w:sz w:val="20"/>
          <w:szCs w:val="20"/>
          <w:color w:val="auto"/>
        </w:rPr>
        <w:tab/>
      </w:r>
      <w:r>
        <w:rPr>
          <w:rFonts w:ascii="Arial" w:cs="Arial" w:eastAsia="Arial" w:hAnsi="Arial"/>
          <w:sz w:val="16"/>
          <w:szCs w:val="16"/>
          <w:color w:val="auto"/>
        </w:rPr>
        <w:t>England &amp; Wales</w:t>
      </w:r>
    </w:p>
    <w:p>
      <w:pPr>
        <w:spacing w:after="0" w:line="86" w:lineRule="exact"/>
        <w:rPr>
          <w:sz w:val="20"/>
          <w:szCs w:val="20"/>
          <w:color w:val="auto"/>
        </w:rPr>
      </w:pPr>
    </w:p>
    <w:p>
      <w:pPr>
        <w:ind w:left="367"/>
        <w:spacing w:after="0"/>
        <w:tabs>
          <w:tab w:leader="none" w:pos="6646" w:val="left"/>
        </w:tabs>
        <w:rPr>
          <w:sz w:val="20"/>
          <w:szCs w:val="20"/>
          <w:color w:val="auto"/>
        </w:rPr>
      </w:pPr>
      <w:r>
        <w:rPr>
          <w:rFonts w:ascii="Arial" w:cs="Arial" w:eastAsia="Arial" w:hAnsi="Arial"/>
          <w:sz w:val="16"/>
          <w:szCs w:val="16"/>
          <w:color w:val="auto"/>
        </w:rPr>
        <w:t>MPW Topco Limited</w:t>
      </w:r>
      <w:r>
        <w:rPr>
          <w:sz w:val="20"/>
          <w:szCs w:val="20"/>
          <w:color w:val="auto"/>
        </w:rPr>
        <w:tab/>
      </w:r>
      <w:r>
        <w:rPr>
          <w:rFonts w:ascii="Arial" w:cs="Arial" w:eastAsia="Arial" w:hAnsi="Arial"/>
          <w:sz w:val="16"/>
          <w:szCs w:val="16"/>
          <w:color w:val="auto"/>
        </w:rPr>
        <w:t>England &amp; Wales</w:t>
      </w:r>
    </w:p>
    <w:p>
      <w:pPr>
        <w:spacing w:after="0" w:line="86" w:lineRule="exact"/>
        <w:rPr>
          <w:sz w:val="20"/>
          <w:szCs w:val="20"/>
          <w:color w:val="auto"/>
        </w:rPr>
      </w:pPr>
    </w:p>
    <w:p>
      <w:pPr>
        <w:ind w:left="647"/>
        <w:spacing w:after="0"/>
        <w:tabs>
          <w:tab w:leader="none" w:pos="6646" w:val="left"/>
        </w:tabs>
        <w:rPr>
          <w:sz w:val="20"/>
          <w:szCs w:val="20"/>
          <w:color w:val="auto"/>
        </w:rPr>
      </w:pPr>
      <w:r>
        <w:rPr>
          <w:rFonts w:ascii="Arial" w:cs="Arial" w:eastAsia="Arial" w:hAnsi="Arial"/>
          <w:sz w:val="16"/>
          <w:szCs w:val="16"/>
          <w:color w:val="auto"/>
        </w:rPr>
        <w:t>MPW Midco Limited</w:t>
      </w:r>
      <w:r>
        <w:rPr>
          <w:sz w:val="20"/>
          <w:szCs w:val="20"/>
          <w:color w:val="auto"/>
        </w:rPr>
        <w:tab/>
      </w:r>
      <w:r>
        <w:rPr>
          <w:rFonts w:ascii="Arial" w:cs="Arial" w:eastAsia="Arial" w:hAnsi="Arial"/>
          <w:sz w:val="16"/>
          <w:szCs w:val="16"/>
          <w:color w:val="auto"/>
        </w:rPr>
        <w:t>England &amp; Wales</w:t>
      </w:r>
    </w:p>
    <w:p>
      <w:pPr>
        <w:spacing w:after="0" w:line="86" w:lineRule="exact"/>
        <w:rPr>
          <w:sz w:val="20"/>
          <w:szCs w:val="20"/>
          <w:color w:val="auto"/>
        </w:rPr>
      </w:pPr>
    </w:p>
    <w:p>
      <w:pPr>
        <w:ind w:left="647"/>
        <w:spacing w:after="0"/>
        <w:tabs>
          <w:tab w:leader="none" w:pos="6646" w:val="left"/>
        </w:tabs>
        <w:rPr>
          <w:sz w:val="20"/>
          <w:szCs w:val="20"/>
          <w:color w:val="auto"/>
        </w:rPr>
      </w:pPr>
      <w:r>
        <w:rPr>
          <w:rFonts w:ascii="Arial" w:cs="Arial" w:eastAsia="Arial" w:hAnsi="Arial"/>
          <w:sz w:val="16"/>
          <w:szCs w:val="16"/>
          <w:color w:val="auto"/>
        </w:rPr>
        <w:t>MPW Holdco Limited</w:t>
      </w:r>
      <w:r>
        <w:rPr>
          <w:sz w:val="20"/>
          <w:szCs w:val="20"/>
          <w:color w:val="auto"/>
        </w:rPr>
        <w:tab/>
      </w:r>
      <w:r>
        <w:rPr>
          <w:rFonts w:ascii="Arial" w:cs="Arial" w:eastAsia="Arial" w:hAnsi="Arial"/>
          <w:sz w:val="16"/>
          <w:szCs w:val="16"/>
          <w:color w:val="auto"/>
        </w:rPr>
        <w:t>England &amp; Wales</w:t>
      </w:r>
    </w:p>
    <w:p>
      <w:pPr>
        <w:spacing w:after="0" w:line="86" w:lineRule="exact"/>
        <w:rPr>
          <w:sz w:val="20"/>
          <w:szCs w:val="20"/>
          <w:color w:val="auto"/>
        </w:rPr>
      </w:pPr>
    </w:p>
    <w:p>
      <w:pPr>
        <w:ind w:left="647"/>
        <w:spacing w:after="0"/>
        <w:tabs>
          <w:tab w:leader="none" w:pos="6646" w:val="left"/>
        </w:tabs>
        <w:rPr>
          <w:sz w:val="20"/>
          <w:szCs w:val="20"/>
          <w:color w:val="auto"/>
        </w:rPr>
      </w:pPr>
      <w:r>
        <w:rPr>
          <w:rFonts w:ascii="Arial" w:cs="Arial" w:eastAsia="Arial" w:hAnsi="Arial"/>
          <w:sz w:val="16"/>
          <w:szCs w:val="16"/>
          <w:color w:val="auto"/>
        </w:rPr>
        <w:t>Mander Portman Woodward Limited</w:t>
      </w:r>
      <w:r>
        <w:rPr>
          <w:sz w:val="20"/>
          <w:szCs w:val="20"/>
          <w:color w:val="auto"/>
        </w:rPr>
        <w:tab/>
      </w:r>
      <w:r>
        <w:rPr>
          <w:rFonts w:ascii="Arial" w:cs="Arial" w:eastAsia="Arial" w:hAnsi="Arial"/>
          <w:sz w:val="16"/>
          <w:szCs w:val="16"/>
          <w:color w:val="auto"/>
        </w:rPr>
        <w:t>England &amp; Wales</w:t>
      </w:r>
    </w:p>
    <w:p>
      <w:pPr>
        <w:spacing w:after="0" w:line="86" w:lineRule="exact"/>
        <w:rPr>
          <w:sz w:val="20"/>
          <w:szCs w:val="20"/>
          <w:color w:val="auto"/>
        </w:rPr>
      </w:pPr>
    </w:p>
    <w:p>
      <w:pPr>
        <w:ind w:left="647"/>
        <w:spacing w:after="0"/>
        <w:tabs>
          <w:tab w:leader="none" w:pos="6646" w:val="left"/>
        </w:tabs>
        <w:rPr>
          <w:sz w:val="20"/>
          <w:szCs w:val="20"/>
          <w:color w:val="auto"/>
        </w:rPr>
      </w:pPr>
      <w:r>
        <w:rPr>
          <w:rFonts w:ascii="Arial" w:cs="Arial" w:eastAsia="Arial" w:hAnsi="Arial"/>
          <w:sz w:val="16"/>
          <w:szCs w:val="16"/>
          <w:color w:val="auto"/>
        </w:rPr>
        <w:t>Kensington Student Services Limited</w:t>
      </w:r>
      <w:r>
        <w:rPr>
          <w:sz w:val="20"/>
          <w:szCs w:val="20"/>
          <w:color w:val="auto"/>
        </w:rPr>
        <w:tab/>
      </w:r>
      <w:r>
        <w:rPr>
          <w:rFonts w:ascii="Arial" w:cs="Arial" w:eastAsia="Arial" w:hAnsi="Arial"/>
          <w:sz w:val="16"/>
          <w:szCs w:val="16"/>
          <w:color w:val="auto"/>
        </w:rPr>
        <w:t>England &amp; Wales</w:t>
      </w:r>
    </w:p>
    <w:p>
      <w:pPr>
        <w:spacing w:after="0" w:line="86" w:lineRule="exact"/>
        <w:rPr>
          <w:sz w:val="20"/>
          <w:szCs w:val="20"/>
          <w:color w:val="auto"/>
        </w:rPr>
      </w:pPr>
    </w:p>
    <w:p>
      <w:pPr>
        <w:jc w:val="right"/>
        <w:ind w:right="1020"/>
        <w:spacing w:after="0"/>
        <w:tabs>
          <w:tab w:leader="none" w:pos="2240" w:val="left"/>
        </w:tabs>
        <w:rPr>
          <w:sz w:val="20"/>
          <w:szCs w:val="20"/>
          <w:color w:val="auto"/>
        </w:rPr>
      </w:pPr>
      <w:r>
        <w:rPr>
          <w:rFonts w:ascii="Arial" w:cs="Arial" w:eastAsia="Arial" w:hAnsi="Arial"/>
          <w:sz w:val="16"/>
          <w:szCs w:val="16"/>
          <w:color w:val="auto"/>
        </w:rPr>
        <w:t>Justin Craig Education Holdings Limited</w:t>
      </w:r>
      <w:r>
        <w:rPr>
          <w:sz w:val="20"/>
          <w:szCs w:val="20"/>
          <w:color w:val="auto"/>
        </w:rPr>
        <w:tab/>
      </w:r>
      <w:r>
        <w:rPr>
          <w:rFonts w:ascii="Arial" w:cs="Arial" w:eastAsia="Arial" w:hAnsi="Arial"/>
          <w:sz w:val="16"/>
          <w:szCs w:val="16"/>
          <w:color w:val="auto"/>
        </w:rPr>
        <w:t>England &amp; Wales</w:t>
      </w:r>
    </w:p>
    <w:p>
      <w:pPr>
        <w:spacing w:after="0" w:line="86" w:lineRule="exact"/>
        <w:rPr>
          <w:sz w:val="20"/>
          <w:szCs w:val="20"/>
          <w:color w:val="auto"/>
        </w:rPr>
      </w:pPr>
    </w:p>
    <w:p>
      <w:pPr>
        <w:jc w:val="right"/>
        <w:ind w:right="1020"/>
        <w:spacing w:after="0"/>
        <w:tabs>
          <w:tab w:leader="none" w:pos="2240" w:val="left"/>
        </w:tabs>
        <w:rPr>
          <w:sz w:val="20"/>
          <w:szCs w:val="20"/>
          <w:color w:val="auto"/>
        </w:rPr>
      </w:pPr>
      <w:r>
        <w:rPr>
          <w:rFonts w:ascii="Arial" w:cs="Arial" w:eastAsia="Arial" w:hAnsi="Arial"/>
          <w:sz w:val="16"/>
          <w:szCs w:val="16"/>
          <w:color w:val="auto"/>
        </w:rPr>
        <w:t>Justin Craig Education Limited</w:t>
      </w:r>
      <w:r>
        <w:rPr>
          <w:sz w:val="20"/>
          <w:szCs w:val="20"/>
          <w:color w:val="auto"/>
        </w:rPr>
        <w:tab/>
      </w:r>
      <w:r>
        <w:rPr>
          <w:rFonts w:ascii="Arial" w:cs="Arial" w:eastAsia="Arial" w:hAnsi="Arial"/>
          <w:sz w:val="16"/>
          <w:szCs w:val="16"/>
          <w:color w:val="auto"/>
        </w:rPr>
        <w:t>England &amp; Wales</w:t>
      </w:r>
    </w:p>
    <w:p>
      <w:pPr>
        <w:spacing w:after="0" w:line="86" w:lineRule="exact"/>
        <w:rPr>
          <w:sz w:val="20"/>
          <w:szCs w:val="20"/>
          <w:color w:val="auto"/>
        </w:rPr>
      </w:pPr>
    </w:p>
    <w:p>
      <w:pPr>
        <w:ind w:left="187"/>
        <w:spacing w:after="0"/>
        <w:tabs>
          <w:tab w:leader="none" w:pos="6646" w:val="left"/>
        </w:tabs>
        <w:rPr>
          <w:sz w:val="20"/>
          <w:szCs w:val="20"/>
          <w:color w:val="auto"/>
        </w:rPr>
      </w:pPr>
      <w:r>
        <w:rPr>
          <w:rFonts w:ascii="Arial" w:cs="Arial" w:eastAsia="Arial" w:hAnsi="Arial"/>
          <w:sz w:val="16"/>
          <w:szCs w:val="16"/>
          <w:color w:val="auto"/>
        </w:rPr>
        <w:t>Kaplan Australia Holdings Pty Limited</w:t>
      </w:r>
      <w:r>
        <w:rPr>
          <w:sz w:val="20"/>
          <w:szCs w:val="20"/>
          <w:color w:val="auto"/>
        </w:rPr>
        <w:tab/>
      </w:r>
      <w:r>
        <w:rPr>
          <w:rFonts w:ascii="Arial" w:cs="Arial" w:eastAsia="Arial" w:hAnsi="Arial"/>
          <w:sz w:val="15"/>
          <w:szCs w:val="15"/>
          <w:color w:val="auto"/>
        </w:rPr>
        <w:t>Australia</w:t>
      </w:r>
    </w:p>
    <w:p>
      <w:pPr>
        <w:spacing w:after="0" w:line="86" w:lineRule="exact"/>
        <w:rPr>
          <w:sz w:val="20"/>
          <w:szCs w:val="20"/>
          <w:color w:val="auto"/>
        </w:rPr>
      </w:pPr>
    </w:p>
    <w:p>
      <w:pPr>
        <w:ind w:left="367"/>
        <w:spacing w:after="0"/>
        <w:tabs>
          <w:tab w:leader="none" w:pos="6646" w:val="left"/>
        </w:tabs>
        <w:rPr>
          <w:sz w:val="20"/>
          <w:szCs w:val="20"/>
          <w:color w:val="auto"/>
        </w:rPr>
      </w:pPr>
      <w:r>
        <w:rPr>
          <w:rFonts w:ascii="Arial" w:cs="Arial" w:eastAsia="Arial" w:hAnsi="Arial"/>
          <w:sz w:val="16"/>
          <w:szCs w:val="16"/>
          <w:color w:val="auto"/>
        </w:rPr>
        <w:t>Kaplan Australia Pty Limited</w:t>
      </w:r>
      <w:r>
        <w:rPr>
          <w:sz w:val="20"/>
          <w:szCs w:val="20"/>
          <w:color w:val="auto"/>
        </w:rPr>
        <w:tab/>
      </w:r>
      <w:r>
        <w:rPr>
          <w:rFonts w:ascii="Arial" w:cs="Arial" w:eastAsia="Arial" w:hAnsi="Arial"/>
          <w:sz w:val="15"/>
          <w:szCs w:val="15"/>
          <w:color w:val="auto"/>
        </w:rPr>
        <w:t>Australia</w:t>
      </w:r>
    </w:p>
    <w:p>
      <w:pPr>
        <w:spacing w:after="0" w:line="86" w:lineRule="exact"/>
        <w:rPr>
          <w:sz w:val="20"/>
          <w:szCs w:val="20"/>
          <w:color w:val="auto"/>
        </w:rPr>
      </w:pPr>
    </w:p>
    <w:p>
      <w:pPr>
        <w:ind w:left="647"/>
        <w:spacing w:after="0"/>
        <w:tabs>
          <w:tab w:leader="none" w:pos="6646" w:val="left"/>
        </w:tabs>
        <w:rPr>
          <w:sz w:val="20"/>
          <w:szCs w:val="20"/>
          <w:color w:val="auto"/>
        </w:rPr>
      </w:pPr>
      <w:r>
        <w:rPr>
          <w:rFonts w:ascii="Arial" w:cs="Arial" w:eastAsia="Arial" w:hAnsi="Arial"/>
          <w:sz w:val="16"/>
          <w:szCs w:val="16"/>
          <w:color w:val="auto"/>
        </w:rPr>
        <w:t>Red Marker Pty Ltd</w:t>
      </w:r>
      <w:r>
        <w:rPr>
          <w:sz w:val="20"/>
          <w:szCs w:val="20"/>
          <w:color w:val="auto"/>
        </w:rPr>
        <w:tab/>
      </w:r>
      <w:r>
        <w:rPr>
          <w:rFonts w:ascii="Arial" w:cs="Arial" w:eastAsia="Arial" w:hAnsi="Arial"/>
          <w:sz w:val="15"/>
          <w:szCs w:val="15"/>
          <w:color w:val="auto"/>
        </w:rPr>
        <w:t>Australia</w:t>
      </w:r>
    </w:p>
    <w:p>
      <w:pPr>
        <w:spacing w:after="0" w:line="86" w:lineRule="exact"/>
        <w:rPr>
          <w:sz w:val="20"/>
          <w:szCs w:val="20"/>
          <w:color w:val="auto"/>
        </w:rPr>
      </w:pPr>
    </w:p>
    <w:p>
      <w:pPr>
        <w:ind w:left="647"/>
        <w:spacing w:after="0"/>
        <w:tabs>
          <w:tab w:leader="none" w:pos="6646" w:val="left"/>
        </w:tabs>
        <w:rPr>
          <w:sz w:val="20"/>
          <w:szCs w:val="20"/>
          <w:color w:val="auto"/>
        </w:rPr>
      </w:pPr>
      <w:r>
        <w:rPr>
          <w:rFonts w:ascii="Arial" w:cs="Arial" w:eastAsia="Arial" w:hAnsi="Arial"/>
          <w:sz w:val="16"/>
          <w:szCs w:val="16"/>
          <w:color w:val="auto"/>
        </w:rPr>
        <w:t>Kaplan Carrick Pty Ltd</w:t>
      </w:r>
      <w:r>
        <w:rPr>
          <w:sz w:val="20"/>
          <w:szCs w:val="20"/>
          <w:color w:val="auto"/>
        </w:rPr>
        <w:tab/>
      </w:r>
      <w:r>
        <w:rPr>
          <w:rFonts w:ascii="Arial" w:cs="Arial" w:eastAsia="Arial" w:hAnsi="Arial"/>
          <w:sz w:val="15"/>
          <w:szCs w:val="15"/>
          <w:color w:val="auto"/>
        </w:rPr>
        <w:t>Australia</w:t>
      </w:r>
    </w:p>
    <w:p>
      <w:pPr>
        <w:spacing w:after="0" w:line="86" w:lineRule="exact"/>
        <w:rPr>
          <w:sz w:val="20"/>
          <w:szCs w:val="20"/>
          <w:color w:val="auto"/>
        </w:rPr>
      </w:pPr>
    </w:p>
    <w:p>
      <w:pPr>
        <w:ind w:left="867"/>
        <w:spacing w:after="0"/>
        <w:tabs>
          <w:tab w:leader="none" w:pos="6646" w:val="left"/>
        </w:tabs>
        <w:rPr>
          <w:sz w:val="20"/>
          <w:szCs w:val="20"/>
          <w:color w:val="auto"/>
        </w:rPr>
      </w:pPr>
      <w:r>
        <w:rPr>
          <w:rFonts w:ascii="Arial" w:cs="Arial" w:eastAsia="Arial" w:hAnsi="Arial"/>
          <w:sz w:val="16"/>
          <w:szCs w:val="16"/>
          <w:color w:val="auto"/>
        </w:rPr>
        <w:t>Kaplan International (Melbourne &amp; Adelaide) Pty Limited</w:t>
      </w:r>
      <w:r>
        <w:rPr>
          <w:sz w:val="20"/>
          <w:szCs w:val="20"/>
          <w:color w:val="auto"/>
        </w:rPr>
        <w:tab/>
      </w:r>
      <w:r>
        <w:rPr>
          <w:rFonts w:ascii="Arial" w:cs="Arial" w:eastAsia="Arial" w:hAnsi="Arial"/>
          <w:sz w:val="15"/>
          <w:szCs w:val="15"/>
          <w:color w:val="auto"/>
        </w:rPr>
        <w:t>Australia</w:t>
      </w:r>
    </w:p>
    <w:p>
      <w:pPr>
        <w:spacing w:after="0" w:line="86" w:lineRule="exact"/>
        <w:rPr>
          <w:sz w:val="20"/>
          <w:szCs w:val="20"/>
          <w:color w:val="auto"/>
        </w:rPr>
      </w:pPr>
    </w:p>
    <w:p>
      <w:pPr>
        <w:ind w:left="1047"/>
        <w:spacing w:after="0"/>
        <w:tabs>
          <w:tab w:leader="none" w:pos="6646" w:val="left"/>
        </w:tabs>
        <w:rPr>
          <w:sz w:val="20"/>
          <w:szCs w:val="20"/>
          <w:color w:val="auto"/>
        </w:rPr>
      </w:pPr>
      <w:r>
        <w:rPr>
          <w:rFonts w:ascii="Arial" w:cs="Arial" w:eastAsia="Arial" w:hAnsi="Arial"/>
          <w:sz w:val="16"/>
          <w:szCs w:val="16"/>
          <w:color w:val="auto"/>
        </w:rPr>
        <w:t>Carrick Higher Education Pty Ltd</w:t>
      </w:r>
      <w:r>
        <w:rPr>
          <w:sz w:val="20"/>
          <w:szCs w:val="20"/>
          <w:color w:val="auto"/>
        </w:rPr>
        <w:tab/>
      </w:r>
      <w:r>
        <w:rPr>
          <w:rFonts w:ascii="Arial" w:cs="Arial" w:eastAsia="Arial" w:hAnsi="Arial"/>
          <w:sz w:val="15"/>
          <w:szCs w:val="15"/>
          <w:color w:val="auto"/>
        </w:rPr>
        <w:t>Australia</w:t>
      </w:r>
    </w:p>
    <w:p>
      <w:pPr>
        <w:spacing w:after="0" w:line="86" w:lineRule="exact"/>
        <w:rPr>
          <w:sz w:val="20"/>
          <w:szCs w:val="20"/>
          <w:color w:val="auto"/>
        </w:rPr>
      </w:pPr>
    </w:p>
    <w:p>
      <w:pPr>
        <w:ind w:left="1227"/>
        <w:spacing w:after="0"/>
        <w:tabs>
          <w:tab w:leader="none" w:pos="6646" w:val="left"/>
        </w:tabs>
        <w:rPr>
          <w:sz w:val="20"/>
          <w:szCs w:val="20"/>
          <w:color w:val="auto"/>
        </w:rPr>
      </w:pPr>
      <w:r>
        <w:rPr>
          <w:rFonts w:ascii="Arial" w:cs="Arial" w:eastAsia="Arial" w:hAnsi="Arial"/>
          <w:sz w:val="16"/>
          <w:szCs w:val="16"/>
          <w:color w:val="auto"/>
        </w:rPr>
        <w:t>CMC – Training at Work Pty Ltd</w:t>
      </w:r>
      <w:r>
        <w:rPr>
          <w:sz w:val="20"/>
          <w:szCs w:val="20"/>
          <w:color w:val="auto"/>
        </w:rPr>
        <w:tab/>
      </w:r>
      <w:r>
        <w:rPr>
          <w:rFonts w:ascii="Arial" w:cs="Arial" w:eastAsia="Arial" w:hAnsi="Arial"/>
          <w:sz w:val="15"/>
          <w:szCs w:val="15"/>
          <w:color w:val="auto"/>
        </w:rPr>
        <w:t>Australia</w:t>
      </w:r>
    </w:p>
    <w:p>
      <w:pPr>
        <w:spacing w:after="0" w:line="86" w:lineRule="exact"/>
        <w:rPr>
          <w:sz w:val="20"/>
          <w:szCs w:val="20"/>
          <w:color w:val="auto"/>
        </w:rPr>
      </w:pPr>
    </w:p>
    <w:p>
      <w:pPr>
        <w:ind w:left="1047"/>
        <w:spacing w:after="0"/>
        <w:tabs>
          <w:tab w:leader="none" w:pos="6646" w:val="left"/>
        </w:tabs>
        <w:rPr>
          <w:sz w:val="20"/>
          <w:szCs w:val="20"/>
          <w:color w:val="auto"/>
        </w:rPr>
      </w:pPr>
      <w:r>
        <w:rPr>
          <w:rFonts w:ascii="Arial" w:cs="Arial" w:eastAsia="Arial" w:hAnsi="Arial"/>
          <w:sz w:val="16"/>
          <w:szCs w:val="16"/>
          <w:color w:val="auto"/>
        </w:rPr>
        <w:t>Carrick Education Group Pty Ltd</w:t>
      </w:r>
      <w:r>
        <w:rPr>
          <w:sz w:val="20"/>
          <w:szCs w:val="20"/>
          <w:color w:val="auto"/>
        </w:rPr>
        <w:tab/>
      </w:r>
      <w:r>
        <w:rPr>
          <w:rFonts w:ascii="Arial" w:cs="Arial" w:eastAsia="Arial" w:hAnsi="Arial"/>
          <w:sz w:val="15"/>
          <w:szCs w:val="15"/>
          <w:color w:val="auto"/>
        </w:rPr>
        <w:t>Australia</w:t>
      </w:r>
    </w:p>
    <w:p>
      <w:pPr>
        <w:spacing w:after="0" w:line="86" w:lineRule="exact"/>
        <w:rPr>
          <w:sz w:val="20"/>
          <w:szCs w:val="20"/>
          <w:color w:val="auto"/>
        </w:rPr>
      </w:pPr>
    </w:p>
    <w:p>
      <w:pPr>
        <w:ind w:left="647"/>
        <w:spacing w:after="0"/>
        <w:tabs>
          <w:tab w:leader="none" w:pos="6646" w:val="left"/>
        </w:tabs>
        <w:rPr>
          <w:sz w:val="20"/>
          <w:szCs w:val="20"/>
          <w:color w:val="auto"/>
        </w:rPr>
      </w:pPr>
      <w:r>
        <w:rPr>
          <w:rFonts w:ascii="Arial" w:cs="Arial" w:eastAsia="Arial" w:hAnsi="Arial"/>
          <w:sz w:val="16"/>
          <w:szCs w:val="16"/>
          <w:color w:val="auto"/>
        </w:rPr>
        <w:t>Kaplan Higher Education Pty Limited</w:t>
      </w:r>
      <w:r>
        <w:rPr>
          <w:sz w:val="20"/>
          <w:szCs w:val="20"/>
          <w:color w:val="auto"/>
        </w:rPr>
        <w:tab/>
      </w:r>
      <w:r>
        <w:rPr>
          <w:rFonts w:ascii="Arial" w:cs="Arial" w:eastAsia="Arial" w:hAnsi="Arial"/>
          <w:sz w:val="15"/>
          <w:szCs w:val="15"/>
          <w:color w:val="auto"/>
        </w:rPr>
        <w:t>Australia</w:t>
      </w:r>
    </w:p>
    <w:p>
      <w:pPr>
        <w:spacing w:after="0" w:line="86" w:lineRule="exact"/>
        <w:rPr>
          <w:sz w:val="20"/>
          <w:szCs w:val="20"/>
          <w:color w:val="auto"/>
        </w:rPr>
      </w:pPr>
    </w:p>
    <w:p>
      <w:pPr>
        <w:ind w:left="867"/>
        <w:spacing w:after="0"/>
        <w:tabs>
          <w:tab w:leader="none" w:pos="6646" w:val="left"/>
        </w:tabs>
        <w:rPr>
          <w:sz w:val="20"/>
          <w:szCs w:val="20"/>
          <w:color w:val="auto"/>
        </w:rPr>
      </w:pPr>
      <w:r>
        <w:rPr>
          <w:rFonts w:ascii="Arial" w:cs="Arial" w:eastAsia="Arial" w:hAnsi="Arial"/>
          <w:sz w:val="16"/>
          <w:szCs w:val="16"/>
          <w:color w:val="auto"/>
        </w:rPr>
        <w:t>Kaplan Business School Pty Limited</w:t>
      </w:r>
      <w:r>
        <w:rPr>
          <w:sz w:val="20"/>
          <w:szCs w:val="20"/>
          <w:color w:val="auto"/>
        </w:rPr>
        <w:tab/>
      </w:r>
      <w:r>
        <w:rPr>
          <w:rFonts w:ascii="Arial" w:cs="Arial" w:eastAsia="Arial" w:hAnsi="Arial"/>
          <w:sz w:val="15"/>
          <w:szCs w:val="15"/>
          <w:color w:val="auto"/>
        </w:rPr>
        <w:t>Australia</w:t>
      </w:r>
    </w:p>
    <w:p>
      <w:pPr>
        <w:spacing w:after="0" w:line="86" w:lineRule="exact"/>
        <w:rPr>
          <w:sz w:val="20"/>
          <w:szCs w:val="20"/>
          <w:color w:val="auto"/>
        </w:rPr>
      </w:pPr>
    </w:p>
    <w:p>
      <w:pPr>
        <w:ind w:left="627"/>
        <w:spacing w:after="0"/>
        <w:tabs>
          <w:tab w:leader="none" w:pos="6646" w:val="left"/>
        </w:tabs>
        <w:rPr>
          <w:sz w:val="20"/>
          <w:szCs w:val="20"/>
          <w:color w:val="auto"/>
        </w:rPr>
      </w:pPr>
      <w:r>
        <w:rPr>
          <w:rFonts w:ascii="Arial" w:cs="Arial" w:eastAsia="Arial" w:hAnsi="Arial"/>
          <w:sz w:val="16"/>
          <w:szCs w:val="16"/>
          <w:color w:val="auto"/>
        </w:rPr>
        <w:t>Tribeca Learning Pty Limited</w:t>
      </w:r>
      <w:r>
        <w:rPr>
          <w:sz w:val="20"/>
          <w:szCs w:val="20"/>
          <w:color w:val="auto"/>
        </w:rPr>
        <w:tab/>
      </w:r>
      <w:r>
        <w:rPr>
          <w:rFonts w:ascii="Arial" w:cs="Arial" w:eastAsia="Arial" w:hAnsi="Arial"/>
          <w:sz w:val="15"/>
          <w:szCs w:val="15"/>
          <w:color w:val="auto"/>
        </w:rPr>
        <w:t>Australia</w:t>
      </w:r>
    </w:p>
    <w:p>
      <w:pPr>
        <w:spacing w:after="0" w:line="86" w:lineRule="exact"/>
        <w:rPr>
          <w:sz w:val="20"/>
          <w:szCs w:val="20"/>
          <w:color w:val="auto"/>
        </w:rPr>
      </w:pPr>
    </w:p>
    <w:p>
      <w:pPr>
        <w:ind w:left="867"/>
        <w:spacing w:after="0"/>
        <w:tabs>
          <w:tab w:leader="none" w:pos="6646" w:val="left"/>
        </w:tabs>
        <w:rPr>
          <w:sz w:val="20"/>
          <w:szCs w:val="20"/>
          <w:color w:val="auto"/>
        </w:rPr>
      </w:pPr>
      <w:r>
        <w:rPr>
          <w:rFonts w:ascii="Arial" w:cs="Arial" w:eastAsia="Arial" w:hAnsi="Arial"/>
          <w:sz w:val="16"/>
          <w:szCs w:val="16"/>
          <w:color w:val="auto"/>
        </w:rPr>
        <w:t>Kaplan Education Pty Limited</w:t>
      </w:r>
      <w:r>
        <w:rPr>
          <w:sz w:val="20"/>
          <w:szCs w:val="20"/>
          <w:color w:val="auto"/>
        </w:rPr>
        <w:tab/>
      </w:r>
      <w:r>
        <w:rPr>
          <w:rFonts w:ascii="Arial" w:cs="Arial" w:eastAsia="Arial" w:hAnsi="Arial"/>
          <w:sz w:val="15"/>
          <w:szCs w:val="15"/>
          <w:color w:val="auto"/>
        </w:rPr>
        <w:t>Australia</w:t>
      </w:r>
    </w:p>
    <w:p>
      <w:pPr>
        <w:spacing w:after="0" w:line="86" w:lineRule="exact"/>
        <w:rPr>
          <w:sz w:val="20"/>
          <w:szCs w:val="20"/>
          <w:color w:val="auto"/>
        </w:rPr>
      </w:pPr>
    </w:p>
    <w:p>
      <w:pPr>
        <w:ind w:left="7"/>
        <w:spacing w:after="0"/>
        <w:tabs>
          <w:tab w:leader="none" w:pos="6646" w:val="left"/>
        </w:tabs>
        <w:rPr>
          <w:sz w:val="20"/>
          <w:szCs w:val="20"/>
          <w:color w:val="auto"/>
        </w:rPr>
      </w:pPr>
      <w:r>
        <w:rPr>
          <w:rFonts w:ascii="Arial" w:cs="Arial" w:eastAsia="Arial" w:hAnsi="Arial"/>
          <w:sz w:val="16"/>
          <w:szCs w:val="16"/>
          <w:color w:val="auto"/>
        </w:rPr>
        <w:t>Post NW, LLC</w:t>
      </w:r>
      <w:r>
        <w:rPr>
          <w:sz w:val="20"/>
          <w:szCs w:val="20"/>
          <w:color w:val="auto"/>
        </w:rPr>
        <w:tab/>
      </w:r>
      <w:r>
        <w:rPr>
          <w:rFonts w:ascii="Arial" w:cs="Arial" w:eastAsia="Arial" w:hAnsi="Arial"/>
          <w:sz w:val="15"/>
          <w:szCs w:val="15"/>
          <w:color w:val="auto"/>
        </w:rPr>
        <w:t>New York</w:t>
      </w:r>
    </w:p>
    <w:p>
      <w:pPr>
        <w:spacing w:after="0" w:line="86" w:lineRule="exact"/>
        <w:rPr>
          <w:sz w:val="20"/>
          <w:szCs w:val="20"/>
          <w:color w:val="auto"/>
        </w:rPr>
      </w:pPr>
    </w:p>
    <w:p>
      <w:pPr>
        <w:ind w:left="7"/>
        <w:spacing w:after="0"/>
        <w:tabs>
          <w:tab w:leader="none" w:pos="6646" w:val="left"/>
        </w:tabs>
        <w:rPr>
          <w:sz w:val="20"/>
          <w:szCs w:val="20"/>
          <w:color w:val="auto"/>
        </w:rPr>
      </w:pPr>
      <w:r>
        <w:rPr>
          <w:rFonts w:ascii="Arial" w:cs="Arial" w:eastAsia="Arial" w:hAnsi="Arial"/>
          <w:sz w:val="16"/>
          <w:szCs w:val="16"/>
          <w:color w:val="auto"/>
        </w:rPr>
        <w:t>Social Code LLC</w:t>
      </w:r>
      <w:r>
        <w:rPr>
          <w:sz w:val="20"/>
          <w:szCs w:val="20"/>
          <w:color w:val="auto"/>
        </w:rPr>
        <w:tab/>
      </w:r>
      <w:r>
        <w:rPr>
          <w:rFonts w:ascii="Arial" w:cs="Arial" w:eastAsia="Arial" w:hAnsi="Arial"/>
          <w:sz w:val="16"/>
          <w:szCs w:val="16"/>
          <w:color w:val="auto"/>
        </w:rPr>
        <w:t>Delaware</w:t>
      </w:r>
    </w:p>
    <w:p>
      <w:pPr>
        <w:spacing w:after="0" w:line="86" w:lineRule="exact"/>
        <w:rPr>
          <w:sz w:val="20"/>
          <w:szCs w:val="20"/>
          <w:color w:val="auto"/>
        </w:rPr>
      </w:pPr>
    </w:p>
    <w:p>
      <w:pPr>
        <w:ind w:left="187"/>
        <w:spacing w:after="0"/>
        <w:tabs>
          <w:tab w:leader="none" w:pos="6646" w:val="left"/>
        </w:tabs>
        <w:rPr>
          <w:sz w:val="20"/>
          <w:szCs w:val="20"/>
          <w:color w:val="auto"/>
        </w:rPr>
      </w:pPr>
      <w:r>
        <w:rPr>
          <w:rFonts w:ascii="Arial" w:cs="Arial" w:eastAsia="Arial" w:hAnsi="Arial"/>
          <w:sz w:val="16"/>
          <w:szCs w:val="16"/>
          <w:color w:val="auto"/>
        </w:rPr>
        <w:t>Social Code Holdings, LLC</w:t>
      </w:r>
      <w:r>
        <w:rPr>
          <w:sz w:val="20"/>
          <w:szCs w:val="20"/>
          <w:color w:val="auto"/>
        </w:rPr>
        <w:tab/>
      </w:r>
      <w:r>
        <w:rPr>
          <w:rFonts w:ascii="Arial" w:cs="Arial" w:eastAsia="Arial" w:hAnsi="Arial"/>
          <w:sz w:val="16"/>
          <w:szCs w:val="16"/>
          <w:color w:val="auto"/>
        </w:rPr>
        <w:t>Delaware</w:t>
      </w:r>
    </w:p>
    <w:p>
      <w:pPr>
        <w:spacing w:after="0" w:line="86" w:lineRule="exact"/>
        <w:rPr>
          <w:sz w:val="20"/>
          <w:szCs w:val="20"/>
          <w:color w:val="auto"/>
        </w:rPr>
      </w:pPr>
    </w:p>
    <w:p>
      <w:pPr>
        <w:ind w:left="7"/>
        <w:spacing w:after="0"/>
        <w:tabs>
          <w:tab w:leader="none" w:pos="6646" w:val="left"/>
        </w:tabs>
        <w:rPr>
          <w:sz w:val="20"/>
          <w:szCs w:val="20"/>
          <w:color w:val="auto"/>
        </w:rPr>
      </w:pPr>
      <w:r>
        <w:rPr>
          <w:rFonts w:ascii="Arial" w:cs="Arial" w:eastAsia="Arial" w:hAnsi="Arial"/>
          <w:sz w:val="16"/>
          <w:szCs w:val="16"/>
          <w:color w:val="auto"/>
        </w:rPr>
        <w:t>The Slate Group, LLC</w:t>
      </w:r>
      <w:r>
        <w:rPr>
          <w:sz w:val="20"/>
          <w:szCs w:val="20"/>
          <w:color w:val="auto"/>
        </w:rPr>
        <w:tab/>
      </w:r>
      <w:r>
        <w:rPr>
          <w:rFonts w:ascii="Arial" w:cs="Arial" w:eastAsia="Arial" w:hAnsi="Arial"/>
          <w:sz w:val="16"/>
          <w:szCs w:val="16"/>
          <w:color w:val="auto"/>
        </w:rPr>
        <w:t>Delaware</w:t>
      </w:r>
    </w:p>
    <w:p>
      <w:pPr>
        <w:spacing w:after="0" w:line="86" w:lineRule="exact"/>
        <w:rPr>
          <w:sz w:val="20"/>
          <w:szCs w:val="20"/>
          <w:color w:val="auto"/>
        </w:rPr>
      </w:pPr>
    </w:p>
    <w:p>
      <w:pPr>
        <w:ind w:left="187"/>
        <w:spacing w:after="0"/>
        <w:tabs>
          <w:tab w:leader="none" w:pos="6646" w:val="left"/>
        </w:tabs>
        <w:rPr>
          <w:sz w:val="20"/>
          <w:szCs w:val="20"/>
          <w:color w:val="auto"/>
        </w:rPr>
      </w:pPr>
      <w:r>
        <w:rPr>
          <w:rFonts w:ascii="Arial" w:cs="Arial" w:eastAsia="Arial" w:hAnsi="Arial"/>
          <w:sz w:val="16"/>
          <w:szCs w:val="16"/>
          <w:color w:val="auto"/>
        </w:rPr>
        <w:t>Panoply Media, LLC</w:t>
      </w:r>
      <w:r>
        <w:rPr>
          <w:sz w:val="20"/>
          <w:szCs w:val="20"/>
          <w:color w:val="auto"/>
        </w:rPr>
        <w:tab/>
      </w:r>
      <w:r>
        <w:rPr>
          <w:rFonts w:ascii="Arial" w:cs="Arial" w:eastAsia="Arial" w:hAnsi="Arial"/>
          <w:sz w:val="16"/>
          <w:szCs w:val="16"/>
          <w:color w:val="auto"/>
        </w:rPr>
        <w:t>Delaware</w:t>
      </w:r>
    </w:p>
    <w:p>
      <w:pPr>
        <w:spacing w:after="0" w:line="25" w:lineRule="exact"/>
        <w:rPr>
          <w:sz w:val="20"/>
          <w:szCs w:val="20"/>
          <w:color w:val="auto"/>
        </w:rPr>
      </w:pPr>
    </w:p>
    <w:p>
      <w:pPr>
        <w:ind w:left="87"/>
        <w:spacing w:after="0"/>
        <w:rPr>
          <w:sz w:val="20"/>
          <w:szCs w:val="20"/>
          <w:color w:val="auto"/>
        </w:rPr>
      </w:pPr>
      <w:r>
        <w:rPr>
          <w:rFonts w:ascii="Arial" w:cs="Arial" w:eastAsia="Arial" w:hAnsi="Arial"/>
          <w:sz w:val="18"/>
          <w:szCs w:val="18"/>
          <w:b w:val="1"/>
          <w:bCs w:val="1"/>
          <w:color w:val="auto"/>
        </w:rPr>
        <w:t>________________________</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100%</w:t>
      </w:r>
    </w:p>
    <w:p>
      <w:pPr>
        <w:spacing w:after="0" w:line="86" w:lineRule="exact"/>
        <w:rPr>
          <w:sz w:val="20"/>
          <w:szCs w:val="20"/>
          <w:color w:val="auto"/>
        </w:rPr>
      </w:pPr>
    </w:p>
    <w:p>
      <w:pPr>
        <w:spacing w:after="0"/>
        <w:rPr>
          <w:sz w:val="20"/>
          <w:szCs w:val="20"/>
          <w:color w:val="auto"/>
        </w:rPr>
      </w:pPr>
      <w:r>
        <w:rPr>
          <w:rFonts w:ascii="Arial" w:cs="Arial" w:eastAsia="Arial" w:hAnsi="Arial"/>
          <w:sz w:val="16"/>
          <w:szCs w:val="16"/>
          <w:color w:val="auto"/>
        </w:rPr>
        <w:t>100%</w:t>
      </w:r>
    </w:p>
    <w:p>
      <w:pPr>
        <w:spacing w:after="0" w:line="86" w:lineRule="exact"/>
        <w:rPr>
          <w:sz w:val="20"/>
          <w:szCs w:val="20"/>
          <w:color w:val="auto"/>
        </w:rPr>
      </w:pPr>
    </w:p>
    <w:p>
      <w:pPr>
        <w:spacing w:after="0"/>
        <w:rPr>
          <w:sz w:val="20"/>
          <w:szCs w:val="20"/>
          <w:color w:val="auto"/>
        </w:rPr>
      </w:pPr>
      <w:r>
        <w:rPr>
          <w:rFonts w:ascii="Arial" w:cs="Arial" w:eastAsia="Arial" w:hAnsi="Arial"/>
          <w:sz w:val="16"/>
          <w:szCs w:val="16"/>
          <w:color w:val="auto"/>
        </w:rPr>
        <w:t>100%</w:t>
      </w:r>
    </w:p>
    <w:p>
      <w:pPr>
        <w:spacing w:after="0" w:line="86" w:lineRule="exact"/>
        <w:rPr>
          <w:sz w:val="20"/>
          <w:szCs w:val="20"/>
          <w:color w:val="auto"/>
        </w:rPr>
      </w:pPr>
    </w:p>
    <w:p>
      <w:pPr>
        <w:ind w:left="100"/>
        <w:spacing w:after="0"/>
        <w:rPr>
          <w:sz w:val="20"/>
          <w:szCs w:val="20"/>
          <w:color w:val="auto"/>
        </w:rPr>
      </w:pPr>
      <w:r>
        <w:rPr>
          <w:rFonts w:ascii="Arial" w:cs="Arial" w:eastAsia="Arial" w:hAnsi="Arial"/>
          <w:sz w:val="16"/>
          <w:szCs w:val="16"/>
          <w:color w:val="auto"/>
        </w:rPr>
        <w:t>45%</w:t>
      </w:r>
    </w:p>
    <w:p>
      <w:pPr>
        <w:spacing w:after="0" w:line="73" w:lineRule="exact"/>
        <w:rPr>
          <w:sz w:val="20"/>
          <w:szCs w:val="20"/>
          <w:color w:val="auto"/>
        </w:rPr>
      </w:pPr>
    </w:p>
    <w:p>
      <w:pPr>
        <w:spacing w:after="0"/>
        <w:rPr>
          <w:sz w:val="20"/>
          <w:szCs w:val="20"/>
          <w:color w:val="auto"/>
        </w:rPr>
      </w:pPr>
      <w:r>
        <w:rPr>
          <w:rFonts w:ascii="Arial" w:cs="Arial" w:eastAsia="Arial" w:hAnsi="Arial"/>
          <w:sz w:val="16"/>
          <w:szCs w:val="16"/>
          <w:color w:val="auto"/>
        </w:rPr>
        <w:t>100% (m)</w:t>
      </w:r>
    </w:p>
    <w:p>
      <w:pPr>
        <w:spacing w:after="0" w:line="100" w:lineRule="exact"/>
        <w:rPr>
          <w:sz w:val="20"/>
          <w:szCs w:val="20"/>
          <w:color w:val="auto"/>
        </w:rPr>
      </w:pPr>
    </w:p>
    <w:p>
      <w:pPr>
        <w:spacing w:after="0"/>
        <w:rPr>
          <w:sz w:val="20"/>
          <w:szCs w:val="20"/>
          <w:color w:val="auto"/>
        </w:rPr>
      </w:pPr>
      <w:r>
        <w:rPr>
          <w:rFonts w:ascii="Arial" w:cs="Arial" w:eastAsia="Arial" w:hAnsi="Arial"/>
          <w:sz w:val="16"/>
          <w:szCs w:val="16"/>
          <w:color w:val="auto"/>
        </w:rPr>
        <w:t>100%</w:t>
      </w:r>
    </w:p>
    <w:p>
      <w:pPr>
        <w:spacing w:after="0" w:line="86" w:lineRule="exact"/>
        <w:rPr>
          <w:sz w:val="20"/>
          <w:szCs w:val="20"/>
          <w:color w:val="auto"/>
        </w:rPr>
      </w:pPr>
    </w:p>
    <w:p>
      <w:pPr>
        <w:spacing w:after="0"/>
        <w:rPr>
          <w:sz w:val="20"/>
          <w:szCs w:val="20"/>
          <w:color w:val="auto"/>
        </w:rPr>
      </w:pPr>
      <w:r>
        <w:rPr>
          <w:rFonts w:ascii="Arial" w:cs="Arial" w:eastAsia="Arial" w:hAnsi="Arial"/>
          <w:sz w:val="16"/>
          <w:szCs w:val="16"/>
          <w:color w:val="auto"/>
        </w:rPr>
        <w:t>100%</w:t>
      </w:r>
    </w:p>
    <w:p>
      <w:pPr>
        <w:spacing w:after="0" w:line="86" w:lineRule="exact"/>
        <w:rPr>
          <w:sz w:val="20"/>
          <w:szCs w:val="20"/>
          <w:color w:val="auto"/>
        </w:rPr>
      </w:pPr>
    </w:p>
    <w:p>
      <w:pPr>
        <w:spacing w:after="0"/>
        <w:rPr>
          <w:sz w:val="20"/>
          <w:szCs w:val="20"/>
          <w:color w:val="auto"/>
        </w:rPr>
      </w:pPr>
      <w:r>
        <w:rPr>
          <w:rFonts w:ascii="Arial" w:cs="Arial" w:eastAsia="Arial" w:hAnsi="Arial"/>
          <w:sz w:val="16"/>
          <w:szCs w:val="16"/>
          <w:color w:val="auto"/>
        </w:rPr>
        <w:t>100%</w:t>
      </w:r>
    </w:p>
    <w:p>
      <w:pPr>
        <w:spacing w:after="0" w:line="86" w:lineRule="exact"/>
        <w:rPr>
          <w:sz w:val="20"/>
          <w:szCs w:val="20"/>
          <w:color w:val="auto"/>
        </w:rPr>
      </w:pPr>
    </w:p>
    <w:p>
      <w:pPr>
        <w:spacing w:after="0"/>
        <w:rPr>
          <w:sz w:val="20"/>
          <w:szCs w:val="20"/>
          <w:color w:val="auto"/>
        </w:rPr>
      </w:pPr>
      <w:r>
        <w:rPr>
          <w:rFonts w:ascii="Arial" w:cs="Arial" w:eastAsia="Arial" w:hAnsi="Arial"/>
          <w:sz w:val="16"/>
          <w:szCs w:val="16"/>
          <w:color w:val="auto"/>
        </w:rPr>
        <w:t>100%</w:t>
      </w:r>
    </w:p>
    <w:p>
      <w:pPr>
        <w:spacing w:after="0" w:line="86" w:lineRule="exact"/>
        <w:rPr>
          <w:sz w:val="20"/>
          <w:szCs w:val="20"/>
          <w:color w:val="auto"/>
        </w:rPr>
      </w:pPr>
    </w:p>
    <w:p>
      <w:pPr>
        <w:spacing w:after="0"/>
        <w:rPr>
          <w:sz w:val="20"/>
          <w:szCs w:val="20"/>
          <w:color w:val="auto"/>
        </w:rPr>
      </w:pPr>
      <w:r>
        <w:rPr>
          <w:rFonts w:ascii="Arial" w:cs="Arial" w:eastAsia="Arial" w:hAnsi="Arial"/>
          <w:sz w:val="16"/>
          <w:szCs w:val="16"/>
          <w:color w:val="auto"/>
        </w:rPr>
        <w:t>100%</w:t>
      </w:r>
    </w:p>
    <w:p>
      <w:pPr>
        <w:spacing w:after="0" w:line="86" w:lineRule="exact"/>
        <w:rPr>
          <w:sz w:val="20"/>
          <w:szCs w:val="20"/>
          <w:color w:val="auto"/>
        </w:rPr>
      </w:pPr>
    </w:p>
    <w:p>
      <w:pPr>
        <w:spacing w:after="0"/>
        <w:rPr>
          <w:sz w:val="20"/>
          <w:szCs w:val="20"/>
          <w:color w:val="auto"/>
        </w:rPr>
      </w:pPr>
      <w:r>
        <w:rPr>
          <w:rFonts w:ascii="Arial" w:cs="Arial" w:eastAsia="Arial" w:hAnsi="Arial"/>
          <w:sz w:val="16"/>
          <w:szCs w:val="16"/>
          <w:color w:val="auto"/>
        </w:rPr>
        <w:t>100%</w:t>
      </w:r>
    </w:p>
    <w:p>
      <w:pPr>
        <w:spacing w:after="0" w:line="86" w:lineRule="exact"/>
        <w:rPr>
          <w:sz w:val="20"/>
          <w:szCs w:val="20"/>
          <w:color w:val="auto"/>
        </w:rPr>
      </w:pPr>
    </w:p>
    <w:p>
      <w:pPr>
        <w:spacing w:after="0"/>
        <w:rPr>
          <w:sz w:val="20"/>
          <w:szCs w:val="20"/>
          <w:color w:val="auto"/>
        </w:rPr>
      </w:pPr>
      <w:r>
        <w:rPr>
          <w:rFonts w:ascii="Arial" w:cs="Arial" w:eastAsia="Arial" w:hAnsi="Arial"/>
          <w:sz w:val="16"/>
          <w:szCs w:val="16"/>
          <w:color w:val="auto"/>
        </w:rPr>
        <w:t>100%</w:t>
      </w:r>
    </w:p>
    <w:p>
      <w:pPr>
        <w:spacing w:after="0" w:line="86" w:lineRule="exact"/>
        <w:rPr>
          <w:sz w:val="20"/>
          <w:szCs w:val="20"/>
          <w:color w:val="auto"/>
        </w:rPr>
      </w:pPr>
    </w:p>
    <w:p>
      <w:pPr>
        <w:spacing w:after="0"/>
        <w:rPr>
          <w:sz w:val="20"/>
          <w:szCs w:val="20"/>
          <w:color w:val="auto"/>
        </w:rPr>
      </w:pPr>
      <w:r>
        <w:rPr>
          <w:rFonts w:ascii="Arial" w:cs="Arial" w:eastAsia="Arial" w:hAnsi="Arial"/>
          <w:sz w:val="16"/>
          <w:szCs w:val="16"/>
          <w:color w:val="auto"/>
        </w:rPr>
        <w:t>100%</w:t>
      </w:r>
    </w:p>
    <w:p>
      <w:pPr>
        <w:spacing w:after="0" w:line="86" w:lineRule="exact"/>
        <w:rPr>
          <w:sz w:val="20"/>
          <w:szCs w:val="20"/>
          <w:color w:val="auto"/>
        </w:rPr>
      </w:pPr>
    </w:p>
    <w:p>
      <w:pPr>
        <w:spacing w:after="0"/>
        <w:rPr>
          <w:sz w:val="20"/>
          <w:szCs w:val="20"/>
          <w:color w:val="auto"/>
        </w:rPr>
      </w:pPr>
      <w:r>
        <w:rPr>
          <w:rFonts w:ascii="Arial" w:cs="Arial" w:eastAsia="Arial" w:hAnsi="Arial"/>
          <w:sz w:val="16"/>
          <w:szCs w:val="16"/>
          <w:color w:val="auto"/>
        </w:rPr>
        <w:t>100%</w:t>
      </w:r>
    </w:p>
    <w:p>
      <w:pPr>
        <w:spacing w:after="0" w:line="86" w:lineRule="exact"/>
        <w:rPr>
          <w:sz w:val="20"/>
          <w:szCs w:val="20"/>
          <w:color w:val="auto"/>
        </w:rPr>
      </w:pPr>
    </w:p>
    <w:p>
      <w:pPr>
        <w:spacing w:after="0"/>
        <w:rPr>
          <w:sz w:val="20"/>
          <w:szCs w:val="20"/>
          <w:color w:val="auto"/>
        </w:rPr>
      </w:pPr>
      <w:r>
        <w:rPr>
          <w:rFonts w:ascii="Arial" w:cs="Arial" w:eastAsia="Arial" w:hAnsi="Arial"/>
          <w:sz w:val="16"/>
          <w:szCs w:val="16"/>
          <w:color w:val="auto"/>
        </w:rPr>
        <w:t>100%</w:t>
      </w:r>
    </w:p>
    <w:p>
      <w:pPr>
        <w:spacing w:after="0" w:line="86" w:lineRule="exact"/>
        <w:rPr>
          <w:sz w:val="20"/>
          <w:szCs w:val="20"/>
          <w:color w:val="auto"/>
        </w:rPr>
      </w:pPr>
    </w:p>
    <w:p>
      <w:pPr>
        <w:spacing w:after="0"/>
        <w:rPr>
          <w:sz w:val="20"/>
          <w:szCs w:val="20"/>
          <w:color w:val="auto"/>
        </w:rPr>
      </w:pPr>
      <w:r>
        <w:rPr>
          <w:rFonts w:ascii="Arial" w:cs="Arial" w:eastAsia="Arial" w:hAnsi="Arial"/>
          <w:sz w:val="16"/>
          <w:szCs w:val="16"/>
          <w:color w:val="auto"/>
        </w:rPr>
        <w:t>100%</w:t>
      </w:r>
    </w:p>
    <w:p>
      <w:pPr>
        <w:spacing w:after="0" w:line="86" w:lineRule="exact"/>
        <w:rPr>
          <w:sz w:val="20"/>
          <w:szCs w:val="20"/>
          <w:color w:val="auto"/>
        </w:rPr>
      </w:pPr>
    </w:p>
    <w:p>
      <w:pPr>
        <w:spacing w:after="0"/>
        <w:rPr>
          <w:sz w:val="20"/>
          <w:szCs w:val="20"/>
          <w:color w:val="auto"/>
        </w:rPr>
      </w:pPr>
      <w:r>
        <w:rPr>
          <w:rFonts w:ascii="Arial" w:cs="Arial" w:eastAsia="Arial" w:hAnsi="Arial"/>
          <w:sz w:val="16"/>
          <w:szCs w:val="16"/>
          <w:color w:val="auto"/>
        </w:rPr>
        <w:t>100%</w:t>
      </w:r>
    </w:p>
    <w:p>
      <w:pPr>
        <w:spacing w:after="0" w:line="86" w:lineRule="exact"/>
        <w:rPr>
          <w:sz w:val="20"/>
          <w:szCs w:val="20"/>
          <w:color w:val="auto"/>
        </w:rPr>
      </w:pPr>
    </w:p>
    <w:p>
      <w:pPr>
        <w:spacing w:after="0"/>
        <w:rPr>
          <w:sz w:val="20"/>
          <w:szCs w:val="20"/>
          <w:color w:val="auto"/>
        </w:rPr>
      </w:pPr>
      <w:r>
        <w:rPr>
          <w:rFonts w:ascii="Arial" w:cs="Arial" w:eastAsia="Arial" w:hAnsi="Arial"/>
          <w:sz w:val="16"/>
          <w:szCs w:val="16"/>
          <w:color w:val="auto"/>
        </w:rPr>
        <w:t>100%</w:t>
      </w:r>
    </w:p>
    <w:p>
      <w:pPr>
        <w:spacing w:after="0" w:line="86" w:lineRule="exact"/>
        <w:rPr>
          <w:sz w:val="20"/>
          <w:szCs w:val="20"/>
          <w:color w:val="auto"/>
        </w:rPr>
      </w:pPr>
    </w:p>
    <w:p>
      <w:pPr>
        <w:spacing w:after="0"/>
        <w:rPr>
          <w:sz w:val="20"/>
          <w:szCs w:val="20"/>
          <w:color w:val="auto"/>
        </w:rPr>
      </w:pPr>
      <w:r>
        <w:rPr>
          <w:rFonts w:ascii="Arial" w:cs="Arial" w:eastAsia="Arial" w:hAnsi="Arial"/>
          <w:sz w:val="16"/>
          <w:szCs w:val="16"/>
          <w:color w:val="auto"/>
        </w:rPr>
        <w:t>100%</w:t>
      </w:r>
    </w:p>
    <w:p>
      <w:pPr>
        <w:spacing w:after="0" w:line="86" w:lineRule="exact"/>
        <w:rPr>
          <w:sz w:val="20"/>
          <w:szCs w:val="20"/>
          <w:color w:val="auto"/>
        </w:rPr>
      </w:pPr>
    </w:p>
    <w:p>
      <w:pPr>
        <w:spacing w:after="0"/>
        <w:rPr>
          <w:sz w:val="20"/>
          <w:szCs w:val="20"/>
          <w:color w:val="auto"/>
        </w:rPr>
      </w:pPr>
      <w:r>
        <w:rPr>
          <w:rFonts w:ascii="Arial" w:cs="Arial" w:eastAsia="Arial" w:hAnsi="Arial"/>
          <w:sz w:val="16"/>
          <w:szCs w:val="16"/>
          <w:color w:val="auto"/>
        </w:rPr>
        <w:t>100%</w:t>
      </w:r>
    </w:p>
    <w:p>
      <w:pPr>
        <w:spacing w:after="0" w:line="86" w:lineRule="exact"/>
        <w:rPr>
          <w:sz w:val="20"/>
          <w:szCs w:val="20"/>
          <w:color w:val="auto"/>
        </w:rPr>
      </w:pPr>
    </w:p>
    <w:p>
      <w:pPr>
        <w:spacing w:after="0"/>
        <w:rPr>
          <w:sz w:val="20"/>
          <w:szCs w:val="20"/>
          <w:color w:val="auto"/>
        </w:rPr>
      </w:pPr>
      <w:r>
        <w:rPr>
          <w:rFonts w:ascii="Arial" w:cs="Arial" w:eastAsia="Arial" w:hAnsi="Arial"/>
          <w:sz w:val="16"/>
          <w:szCs w:val="16"/>
          <w:color w:val="auto"/>
        </w:rPr>
        <w:t>100%</w:t>
      </w:r>
    </w:p>
    <w:p>
      <w:pPr>
        <w:spacing w:after="0" w:line="86" w:lineRule="exact"/>
        <w:rPr>
          <w:sz w:val="20"/>
          <w:szCs w:val="20"/>
          <w:color w:val="auto"/>
        </w:rPr>
      </w:pPr>
    </w:p>
    <w:p>
      <w:pPr>
        <w:spacing w:after="0"/>
        <w:rPr>
          <w:sz w:val="20"/>
          <w:szCs w:val="20"/>
          <w:color w:val="auto"/>
        </w:rPr>
      </w:pPr>
      <w:r>
        <w:rPr>
          <w:rFonts w:ascii="Arial" w:cs="Arial" w:eastAsia="Arial" w:hAnsi="Arial"/>
          <w:sz w:val="16"/>
          <w:szCs w:val="16"/>
          <w:color w:val="auto"/>
        </w:rPr>
        <w:t>100%</w:t>
      </w:r>
    </w:p>
    <w:p>
      <w:pPr>
        <w:spacing w:after="0" w:line="86" w:lineRule="exact"/>
        <w:rPr>
          <w:sz w:val="20"/>
          <w:szCs w:val="20"/>
          <w:color w:val="auto"/>
        </w:rPr>
      </w:pPr>
    </w:p>
    <w:p>
      <w:pPr>
        <w:spacing w:after="0"/>
        <w:rPr>
          <w:sz w:val="20"/>
          <w:szCs w:val="20"/>
          <w:color w:val="auto"/>
        </w:rPr>
      </w:pPr>
      <w:r>
        <w:rPr>
          <w:rFonts w:ascii="Arial" w:cs="Arial" w:eastAsia="Arial" w:hAnsi="Arial"/>
          <w:sz w:val="16"/>
          <w:szCs w:val="16"/>
          <w:color w:val="auto"/>
        </w:rPr>
        <w:t>100%</w:t>
      </w:r>
    </w:p>
    <w:p>
      <w:pPr>
        <w:spacing w:after="0" w:line="86" w:lineRule="exact"/>
        <w:rPr>
          <w:sz w:val="20"/>
          <w:szCs w:val="20"/>
          <w:color w:val="auto"/>
        </w:rPr>
      </w:pPr>
    </w:p>
    <w:p>
      <w:pPr>
        <w:spacing w:after="0"/>
        <w:rPr>
          <w:sz w:val="20"/>
          <w:szCs w:val="20"/>
          <w:color w:val="auto"/>
        </w:rPr>
      </w:pPr>
      <w:r>
        <w:rPr>
          <w:rFonts w:ascii="Arial" w:cs="Arial" w:eastAsia="Arial" w:hAnsi="Arial"/>
          <w:sz w:val="16"/>
          <w:szCs w:val="16"/>
          <w:color w:val="auto"/>
        </w:rPr>
        <w:t>100%</w:t>
      </w:r>
    </w:p>
    <w:p>
      <w:pPr>
        <w:spacing w:after="0" w:line="86" w:lineRule="exact"/>
        <w:rPr>
          <w:sz w:val="20"/>
          <w:szCs w:val="20"/>
          <w:color w:val="auto"/>
        </w:rPr>
      </w:pPr>
    </w:p>
    <w:p>
      <w:pPr>
        <w:spacing w:after="0"/>
        <w:rPr>
          <w:sz w:val="20"/>
          <w:szCs w:val="20"/>
          <w:color w:val="auto"/>
        </w:rPr>
      </w:pPr>
      <w:r>
        <w:rPr>
          <w:rFonts w:ascii="Arial" w:cs="Arial" w:eastAsia="Arial" w:hAnsi="Arial"/>
          <w:sz w:val="16"/>
          <w:szCs w:val="16"/>
          <w:color w:val="auto"/>
        </w:rPr>
        <w:t>100% (n)</w:t>
      </w:r>
    </w:p>
    <w:p>
      <w:pPr>
        <w:spacing w:after="0" w:line="86" w:lineRule="exact"/>
        <w:rPr>
          <w:sz w:val="20"/>
          <w:szCs w:val="20"/>
          <w:color w:val="auto"/>
        </w:rPr>
      </w:pPr>
    </w:p>
    <w:p>
      <w:pPr>
        <w:spacing w:after="0"/>
        <w:rPr>
          <w:sz w:val="20"/>
          <w:szCs w:val="20"/>
          <w:color w:val="auto"/>
        </w:rPr>
      </w:pPr>
      <w:r>
        <w:rPr>
          <w:rFonts w:ascii="Arial" w:cs="Arial" w:eastAsia="Arial" w:hAnsi="Arial"/>
          <w:sz w:val="16"/>
          <w:szCs w:val="16"/>
          <w:color w:val="auto"/>
        </w:rPr>
        <w:t>100%</w:t>
      </w:r>
    </w:p>
    <w:p>
      <w:pPr>
        <w:spacing w:after="0" w:line="86" w:lineRule="exact"/>
        <w:rPr>
          <w:sz w:val="20"/>
          <w:szCs w:val="20"/>
          <w:color w:val="auto"/>
        </w:rPr>
      </w:pPr>
    </w:p>
    <w:p>
      <w:pPr>
        <w:spacing w:after="0"/>
        <w:rPr>
          <w:sz w:val="20"/>
          <w:szCs w:val="20"/>
          <w:color w:val="auto"/>
        </w:rPr>
      </w:pPr>
      <w:r>
        <w:rPr>
          <w:rFonts w:ascii="Arial" w:cs="Arial" w:eastAsia="Arial" w:hAnsi="Arial"/>
          <w:sz w:val="16"/>
          <w:szCs w:val="16"/>
          <w:color w:val="auto"/>
        </w:rPr>
        <w:t>100%</w:t>
      </w:r>
    </w:p>
    <w:p>
      <w:pPr>
        <w:spacing w:after="0" w:line="86" w:lineRule="exact"/>
        <w:rPr>
          <w:sz w:val="20"/>
          <w:szCs w:val="20"/>
          <w:color w:val="auto"/>
        </w:rPr>
      </w:pPr>
    </w:p>
    <w:p>
      <w:pPr>
        <w:spacing w:after="0"/>
        <w:rPr>
          <w:sz w:val="20"/>
          <w:szCs w:val="20"/>
          <w:color w:val="auto"/>
        </w:rPr>
      </w:pPr>
      <w:r>
        <w:rPr>
          <w:rFonts w:ascii="Arial" w:cs="Arial" w:eastAsia="Arial" w:hAnsi="Arial"/>
          <w:sz w:val="16"/>
          <w:szCs w:val="16"/>
          <w:color w:val="auto"/>
        </w:rPr>
        <w:t>100%</w:t>
      </w:r>
    </w:p>
    <w:p>
      <w:pPr>
        <w:spacing w:after="0" w:line="86" w:lineRule="exact"/>
        <w:rPr>
          <w:sz w:val="20"/>
          <w:szCs w:val="20"/>
          <w:color w:val="auto"/>
        </w:rPr>
      </w:pPr>
    </w:p>
    <w:p>
      <w:pPr>
        <w:spacing w:after="0"/>
        <w:rPr>
          <w:sz w:val="20"/>
          <w:szCs w:val="20"/>
          <w:color w:val="auto"/>
        </w:rPr>
      </w:pPr>
      <w:r>
        <w:rPr>
          <w:rFonts w:ascii="Arial" w:cs="Arial" w:eastAsia="Arial" w:hAnsi="Arial"/>
          <w:sz w:val="16"/>
          <w:szCs w:val="16"/>
          <w:color w:val="auto"/>
        </w:rPr>
        <w:t>100%</w:t>
      </w:r>
    </w:p>
    <w:p>
      <w:pPr>
        <w:spacing w:after="0" w:line="86" w:lineRule="exact"/>
        <w:rPr>
          <w:sz w:val="20"/>
          <w:szCs w:val="20"/>
          <w:color w:val="auto"/>
        </w:rPr>
      </w:pPr>
    </w:p>
    <w:p>
      <w:pPr>
        <w:spacing w:after="0"/>
        <w:rPr>
          <w:sz w:val="20"/>
          <w:szCs w:val="20"/>
          <w:color w:val="auto"/>
        </w:rPr>
      </w:pPr>
      <w:r>
        <w:rPr>
          <w:rFonts w:ascii="Arial" w:cs="Arial" w:eastAsia="Arial" w:hAnsi="Arial"/>
          <w:sz w:val="16"/>
          <w:szCs w:val="16"/>
          <w:color w:val="auto"/>
        </w:rPr>
        <w:t>100%</w:t>
      </w:r>
    </w:p>
    <w:p>
      <w:pPr>
        <w:spacing w:after="0" w:line="86" w:lineRule="exact"/>
        <w:rPr>
          <w:sz w:val="20"/>
          <w:szCs w:val="20"/>
          <w:color w:val="auto"/>
        </w:rPr>
      </w:pPr>
    </w:p>
    <w:p>
      <w:pPr>
        <w:spacing w:after="0"/>
        <w:rPr>
          <w:sz w:val="20"/>
          <w:szCs w:val="20"/>
          <w:color w:val="auto"/>
        </w:rPr>
      </w:pPr>
      <w:r>
        <w:rPr>
          <w:rFonts w:ascii="Arial" w:cs="Arial" w:eastAsia="Arial" w:hAnsi="Arial"/>
          <w:sz w:val="16"/>
          <w:szCs w:val="16"/>
          <w:color w:val="auto"/>
        </w:rPr>
        <w:t>100%</w:t>
      </w:r>
    </w:p>
    <w:p>
      <w:pPr>
        <w:spacing w:after="0" w:line="86" w:lineRule="exact"/>
        <w:rPr>
          <w:sz w:val="20"/>
          <w:szCs w:val="20"/>
          <w:color w:val="auto"/>
        </w:rPr>
      </w:pPr>
    </w:p>
    <w:p>
      <w:pPr>
        <w:spacing w:after="0"/>
        <w:rPr>
          <w:sz w:val="20"/>
          <w:szCs w:val="20"/>
          <w:color w:val="auto"/>
        </w:rPr>
      </w:pPr>
      <w:r>
        <w:rPr>
          <w:rFonts w:ascii="Arial" w:cs="Arial" w:eastAsia="Arial" w:hAnsi="Arial"/>
          <w:sz w:val="16"/>
          <w:szCs w:val="16"/>
          <w:color w:val="auto"/>
        </w:rPr>
        <w:t>100%</w:t>
      </w:r>
    </w:p>
    <w:p>
      <w:pPr>
        <w:spacing w:after="0" w:line="86" w:lineRule="exact"/>
        <w:rPr>
          <w:sz w:val="20"/>
          <w:szCs w:val="20"/>
          <w:color w:val="auto"/>
        </w:rPr>
      </w:pPr>
    </w:p>
    <w:p>
      <w:pPr>
        <w:spacing w:after="0"/>
        <w:rPr>
          <w:sz w:val="20"/>
          <w:szCs w:val="20"/>
          <w:color w:val="auto"/>
        </w:rPr>
      </w:pPr>
      <w:r>
        <w:rPr>
          <w:rFonts w:ascii="Arial" w:cs="Arial" w:eastAsia="Arial" w:hAnsi="Arial"/>
          <w:sz w:val="16"/>
          <w:szCs w:val="16"/>
          <w:color w:val="auto"/>
        </w:rPr>
        <w:t>100%</w:t>
      </w:r>
    </w:p>
    <w:p>
      <w:pPr>
        <w:spacing w:after="0" w:line="86" w:lineRule="exact"/>
        <w:rPr>
          <w:sz w:val="20"/>
          <w:szCs w:val="20"/>
          <w:color w:val="auto"/>
        </w:rPr>
      </w:pPr>
    </w:p>
    <w:p>
      <w:pPr>
        <w:spacing w:after="0"/>
        <w:rPr>
          <w:sz w:val="20"/>
          <w:szCs w:val="20"/>
          <w:color w:val="auto"/>
        </w:rPr>
      </w:pPr>
      <w:r>
        <w:rPr>
          <w:rFonts w:ascii="Arial" w:cs="Arial" w:eastAsia="Arial" w:hAnsi="Arial"/>
          <w:sz w:val="16"/>
          <w:szCs w:val="16"/>
          <w:color w:val="auto"/>
        </w:rPr>
        <w:t>100%</w:t>
      </w:r>
    </w:p>
    <w:p>
      <w:pPr>
        <w:spacing w:after="0" w:line="418" w:lineRule="exact"/>
        <w:rPr>
          <w:sz w:val="20"/>
          <w:szCs w:val="20"/>
          <w:color w:val="auto"/>
        </w:rPr>
      </w:pPr>
    </w:p>
    <w:p>
      <w:pPr>
        <w:sectPr>
          <w:pgSz w:w="11900" w:h="16838" w:orient="portrait"/>
          <w:cols w:equalWidth="0" w:num="2">
            <w:col w:w="8927" w:space="720"/>
            <w:col w:w="1260"/>
          </w:cols>
          <w:pgMar w:left="653" w:top="776" w:right="339" w:bottom="1440" w:gutter="0" w:footer="0" w:header="0"/>
        </w:sectPr>
      </w:pPr>
    </w:p>
    <w:p>
      <w:pPr>
        <w:spacing w:after="0" w:line="72" w:lineRule="exact"/>
        <w:rPr>
          <w:sz w:val="20"/>
          <w:szCs w:val="20"/>
          <w:color w:val="auto"/>
        </w:rPr>
      </w:pPr>
    </w:p>
    <w:p>
      <w:pPr>
        <w:ind w:left="467" w:right="40" w:hanging="440"/>
        <w:spacing w:after="0" w:line="246" w:lineRule="auto"/>
        <w:tabs>
          <w:tab w:leader="none" w:pos="467" w:val="left"/>
        </w:tabs>
        <w:numPr>
          <w:ilvl w:val="1"/>
          <w:numId w:val="92"/>
        </w:numPr>
        <w:rPr>
          <w:rFonts w:ascii="Arial" w:cs="Arial" w:eastAsia="Arial" w:hAnsi="Arial"/>
          <w:sz w:val="16"/>
          <w:szCs w:val="16"/>
          <w:color w:val="auto"/>
        </w:rPr>
      </w:pPr>
      <w:r>
        <w:rPr>
          <w:rFonts w:ascii="Arial" w:cs="Arial" w:eastAsia="Arial" w:hAnsi="Arial"/>
          <w:sz w:val="16"/>
          <w:szCs w:val="16"/>
          <w:color w:val="auto"/>
        </w:rPr>
        <w:t>Dekko Global Enterprise, LLC owns 99.998% of Type A Common Stock of Grupo Dekko Mexico, S.A. de C.V. and Group Dekko Holdings, Inc. owns .002% of Type A Common Stock of Grupo Dekko Mexico, S.A. de C.V. Dekko Global Enterprise LLC owns 100% of Type B Common Stock of Grupo Dekko Mexico, S.A. de C.V. The combined ownership by Dekko Global Enterprise LLC and Group Dekko Holdings, Inc. in Grupo Dekko Mexico, S.A. de C.V. is 100%.</w:t>
      </w:r>
    </w:p>
    <w:p>
      <w:pPr>
        <w:spacing w:after="0" w:line="1" w:lineRule="exact"/>
        <w:rPr>
          <w:rFonts w:ascii="Arial" w:cs="Arial" w:eastAsia="Arial" w:hAnsi="Arial"/>
          <w:sz w:val="16"/>
          <w:szCs w:val="16"/>
          <w:color w:val="auto"/>
        </w:rPr>
      </w:pPr>
    </w:p>
    <w:p>
      <w:pPr>
        <w:ind w:left="467" w:right="40" w:hanging="440"/>
        <w:spacing w:after="0" w:line="246" w:lineRule="auto"/>
        <w:tabs>
          <w:tab w:leader="none" w:pos="467" w:val="left"/>
        </w:tabs>
        <w:numPr>
          <w:ilvl w:val="1"/>
          <w:numId w:val="92"/>
        </w:numPr>
        <w:rPr>
          <w:rFonts w:ascii="Arial" w:cs="Arial" w:eastAsia="Arial" w:hAnsi="Arial"/>
          <w:sz w:val="16"/>
          <w:szCs w:val="16"/>
          <w:color w:val="auto"/>
        </w:rPr>
      </w:pPr>
      <w:r>
        <w:rPr>
          <w:rFonts w:ascii="Arial" w:cs="Arial" w:eastAsia="Arial" w:hAnsi="Arial"/>
          <w:sz w:val="16"/>
          <w:szCs w:val="16"/>
          <w:color w:val="auto"/>
        </w:rPr>
        <w:t>Forney Corporation owns .03% and Forney Maquila, LLC owns 99.97% of FMMX S. de R.L. de C.V. The combined ownership of Forney Maquila, LLC and Forney Corporation in FMMX S. de R.L. de C.V. is 100%.</w:t>
      </w:r>
    </w:p>
    <w:p>
      <w:pPr>
        <w:ind w:left="467" w:right="460" w:hanging="467"/>
        <w:spacing w:after="0" w:line="260" w:lineRule="auto"/>
        <w:tabs>
          <w:tab w:leader="none" w:pos="467" w:val="left"/>
        </w:tabs>
        <w:numPr>
          <w:ilvl w:val="0"/>
          <w:numId w:val="93"/>
        </w:numPr>
        <w:rPr>
          <w:rFonts w:ascii="Arial" w:cs="Arial" w:eastAsia="Arial" w:hAnsi="Arial"/>
          <w:sz w:val="16"/>
          <w:szCs w:val="16"/>
          <w:color w:val="auto"/>
        </w:rPr>
      </w:pPr>
      <w:r>
        <w:rPr>
          <w:rFonts w:ascii="Arial" w:cs="Arial" w:eastAsia="Arial" w:hAnsi="Arial"/>
          <w:sz w:val="16"/>
          <w:szCs w:val="16"/>
          <w:color w:val="auto"/>
        </w:rPr>
        <w:t>Forney Maquila, LLC owns .03% and FMMX s. de R.L. de C.V. owns 99.97% of FSM S. de R.L. de C.V. The combined ownership of Forney Maquila, LLC and FMMX S. de R.L. de C.V. in FSM S. de R.L. de C.V. is 100%.</w:t>
      </w:r>
    </w:p>
    <w:p>
      <w:pPr>
        <w:spacing w:after="0" w:line="47" w:lineRule="exact"/>
        <w:rPr>
          <w:rFonts w:ascii="Arial" w:cs="Arial" w:eastAsia="Arial" w:hAnsi="Arial"/>
          <w:sz w:val="16"/>
          <w:szCs w:val="16"/>
          <w:color w:val="auto"/>
        </w:rPr>
      </w:pPr>
    </w:p>
    <w:p>
      <w:pPr>
        <w:ind w:left="467" w:hanging="467"/>
        <w:spacing w:after="0" w:line="253" w:lineRule="auto"/>
        <w:tabs>
          <w:tab w:leader="none" w:pos="467" w:val="left"/>
        </w:tabs>
        <w:numPr>
          <w:ilvl w:val="0"/>
          <w:numId w:val="93"/>
        </w:numPr>
        <w:rPr>
          <w:rFonts w:ascii="Arial" w:cs="Arial" w:eastAsia="Arial" w:hAnsi="Arial"/>
          <w:sz w:val="16"/>
          <w:szCs w:val="16"/>
          <w:color w:val="auto"/>
        </w:rPr>
      </w:pPr>
      <w:r>
        <w:rPr>
          <w:rFonts w:ascii="Arial" w:cs="Arial" w:eastAsia="Arial" w:hAnsi="Arial"/>
          <w:sz w:val="16"/>
          <w:szCs w:val="16"/>
          <w:color w:val="auto"/>
        </w:rPr>
        <w:t>Shanghai Kaplan Education Investment Consulting Co. Ltd also owns 52.5% stock in Shanghai Kai Bo Education Investment Management Co. Limited. The combined ownership of The Financial Training (Shanghai) Co., Ltd and Shanghai Kaplan Education Investment Consulting Co. Ltd in Shanghai Kai Bo Education Investment Management Co. Limited is 100%.</w:t>
      </w:r>
    </w:p>
    <w:p>
      <w:pPr>
        <w:spacing w:after="0" w:line="52" w:lineRule="exact"/>
        <w:rPr>
          <w:rFonts w:ascii="Arial" w:cs="Arial" w:eastAsia="Arial" w:hAnsi="Arial"/>
          <w:sz w:val="16"/>
          <w:szCs w:val="16"/>
          <w:color w:val="auto"/>
        </w:rPr>
      </w:pPr>
    </w:p>
    <w:p>
      <w:pPr>
        <w:ind w:left="467" w:right="80" w:hanging="467"/>
        <w:spacing w:after="0" w:line="260" w:lineRule="auto"/>
        <w:tabs>
          <w:tab w:leader="none" w:pos="467" w:val="left"/>
        </w:tabs>
        <w:numPr>
          <w:ilvl w:val="0"/>
          <w:numId w:val="93"/>
        </w:numPr>
        <w:rPr>
          <w:rFonts w:ascii="Arial" w:cs="Arial" w:eastAsia="Arial" w:hAnsi="Arial"/>
          <w:sz w:val="16"/>
          <w:szCs w:val="16"/>
          <w:color w:val="auto"/>
        </w:rPr>
      </w:pPr>
      <w:r>
        <w:rPr>
          <w:rFonts w:ascii="Arial" w:cs="Arial" w:eastAsia="Arial" w:hAnsi="Arial"/>
          <w:sz w:val="16"/>
          <w:szCs w:val="16"/>
          <w:color w:val="auto"/>
        </w:rPr>
        <w:t>Coxcourt Limited also owns 43.11% voting stock in Accountancy &amp; Business College Holdings Limited. The combined stock ownership of Kaplan Netherlands B.V. and Coxcourt Limited in Accountancy &amp; Business College Holdings Limited is 100%.</w:t>
      </w:r>
    </w:p>
    <w:p>
      <w:pPr>
        <w:spacing w:after="0" w:line="47" w:lineRule="exact"/>
        <w:rPr>
          <w:rFonts w:ascii="Arial" w:cs="Arial" w:eastAsia="Arial" w:hAnsi="Arial"/>
          <w:sz w:val="16"/>
          <w:szCs w:val="16"/>
          <w:color w:val="auto"/>
        </w:rPr>
      </w:pPr>
    </w:p>
    <w:p>
      <w:pPr>
        <w:ind w:left="467" w:right="20" w:hanging="467"/>
        <w:spacing w:after="0" w:line="253" w:lineRule="auto"/>
        <w:tabs>
          <w:tab w:leader="none" w:pos="467" w:val="left"/>
        </w:tabs>
        <w:numPr>
          <w:ilvl w:val="0"/>
          <w:numId w:val="93"/>
        </w:numPr>
        <w:rPr>
          <w:rFonts w:ascii="Arial" w:cs="Arial" w:eastAsia="Arial" w:hAnsi="Arial"/>
          <w:sz w:val="16"/>
          <w:szCs w:val="16"/>
          <w:color w:val="auto"/>
        </w:rPr>
      </w:pPr>
      <w:r>
        <w:rPr>
          <w:rFonts w:ascii="Arial" w:cs="Arial" w:eastAsia="Arial" w:hAnsi="Arial"/>
          <w:sz w:val="16"/>
          <w:szCs w:val="16"/>
          <w:color w:val="auto"/>
        </w:rPr>
        <w:t>Kaplan Mexico Holdings, LLC also owns 1% stock in Kaplan Educational Services de Mexico, S. de R.L. de C.V. and Education HR Services Mexico, S. de R.L. de C.V. The combined ownership of Kaplan, Inc. and Kaplan Mexico Holdings, LLC in Kaplan Educational Services de Mexico, S. de R.L. de C.V. and Education HR Services Mexico, S. de R.L. de C.V. is 100%.</w:t>
      </w:r>
    </w:p>
    <w:p>
      <w:pPr>
        <w:spacing w:after="0" w:line="52" w:lineRule="exact"/>
        <w:rPr>
          <w:rFonts w:ascii="Arial" w:cs="Arial" w:eastAsia="Arial" w:hAnsi="Arial"/>
          <w:sz w:val="16"/>
          <w:szCs w:val="16"/>
          <w:color w:val="auto"/>
        </w:rPr>
      </w:pPr>
    </w:p>
    <w:p>
      <w:pPr>
        <w:ind w:left="467" w:right="100" w:hanging="467"/>
        <w:spacing w:after="0" w:line="260" w:lineRule="auto"/>
        <w:tabs>
          <w:tab w:leader="none" w:pos="467" w:val="left"/>
        </w:tabs>
        <w:numPr>
          <w:ilvl w:val="0"/>
          <w:numId w:val="93"/>
        </w:numPr>
        <w:rPr>
          <w:rFonts w:ascii="Arial" w:cs="Arial" w:eastAsia="Arial" w:hAnsi="Arial"/>
          <w:sz w:val="16"/>
          <w:szCs w:val="16"/>
          <w:color w:val="auto"/>
        </w:rPr>
      </w:pPr>
      <w:r>
        <w:rPr>
          <w:rFonts w:ascii="Arial" w:cs="Arial" w:eastAsia="Arial" w:hAnsi="Arial"/>
          <w:sz w:val="16"/>
          <w:szCs w:val="16"/>
          <w:color w:val="auto"/>
        </w:rPr>
        <w:t>Quest Ventures, LLC is a Limited Partner of Texas Educational Ventures, LP. The combined ownership of Educational Ventures (Texas), Inc. and Quest Ventures, LLC in Texas Educational Ventures, LP is 100%.</w:t>
      </w:r>
    </w:p>
    <w:p>
      <w:pPr>
        <w:sectPr>
          <w:pgSz w:w="11900" w:h="16838" w:orient="portrait"/>
          <w:cols w:equalWidth="0" w:num="1">
            <w:col w:w="10907"/>
          </w:cols>
          <w:pgMar w:left="653" w:top="776" w:right="339" w:bottom="1440" w:gutter="0" w:footer="0" w:header="0"/>
          <w:type w:val="continuous"/>
        </w:sectPr>
      </w:pPr>
    </w:p>
    <w:bookmarkStart w:id="136" w:name="page137"/>
    <w:bookmarkEnd w:id="136"/>
    <w:p>
      <w:pPr>
        <w:ind w:left="467" w:right="200" w:hanging="467"/>
        <w:spacing w:after="0" w:line="260" w:lineRule="auto"/>
        <w:tabs>
          <w:tab w:leader="none" w:pos="467" w:val="left"/>
        </w:tabs>
        <w:numPr>
          <w:ilvl w:val="0"/>
          <w:numId w:val="94"/>
        </w:numPr>
        <w:rPr>
          <w:rFonts w:ascii="Arial" w:cs="Arial" w:eastAsia="Arial" w:hAnsi="Arial"/>
          <w:sz w:val="16"/>
          <w:szCs w:val="16"/>
          <w:color w:val="auto"/>
        </w:rPr>
      </w:pPr>
      <w:r>
        <w:rPr>
          <w:rFonts w:ascii="Arial" w:cs="Arial" w:eastAsia="Arial" w:hAnsi="Arial"/>
          <w:sz w:val="16"/>
          <w:szCs w:val="16"/>
          <w:color w:val="auto"/>
        </w:rPr>
        <w:t>Kaplan Colleges Private Limited also owns 4.35% stock in Kaplan (India) Private Limited. The combined ownership of Kaplan Mexico Holdings, LLC and Kaplan Colleges Private Limited in Kaplan (India) Private Limited is 100%.</w:t>
      </w:r>
    </w:p>
    <w:p>
      <w:pPr>
        <w:spacing w:after="0" w:line="47" w:lineRule="exact"/>
        <w:rPr>
          <w:rFonts w:ascii="Arial" w:cs="Arial" w:eastAsia="Arial" w:hAnsi="Arial"/>
          <w:sz w:val="16"/>
          <w:szCs w:val="16"/>
          <w:color w:val="auto"/>
        </w:rPr>
      </w:pPr>
    </w:p>
    <w:p>
      <w:pPr>
        <w:ind w:left="467" w:right="60" w:hanging="467"/>
        <w:spacing w:after="0" w:line="253" w:lineRule="auto"/>
        <w:tabs>
          <w:tab w:leader="none" w:pos="467" w:val="left"/>
        </w:tabs>
        <w:numPr>
          <w:ilvl w:val="0"/>
          <w:numId w:val="94"/>
        </w:numPr>
        <w:rPr>
          <w:rFonts w:ascii="Arial" w:cs="Arial" w:eastAsia="Arial" w:hAnsi="Arial"/>
          <w:sz w:val="16"/>
          <w:szCs w:val="16"/>
          <w:color w:val="auto"/>
        </w:rPr>
      </w:pPr>
      <w:r>
        <w:rPr>
          <w:rFonts w:ascii="Arial" w:cs="Arial" w:eastAsia="Arial" w:hAnsi="Arial"/>
          <w:sz w:val="16"/>
          <w:szCs w:val="16"/>
          <w:color w:val="auto"/>
        </w:rPr>
        <w:t>Kaplan International North America, LLC and Kaplan Test Prep International, Inc. each own 1 share or .00334% of Kaplan International English (Thailand), Co. Ltd. The combined ownership of Kaplan International North America, LLC, Kaplan Test Prep International, Inc. and Kaplan, Inc. in Kaplan International English (Thailand), Co. Ltd. is 99.99%.</w:t>
      </w:r>
    </w:p>
    <w:p>
      <w:pPr>
        <w:spacing w:after="0" w:line="52" w:lineRule="exact"/>
        <w:rPr>
          <w:rFonts w:ascii="Arial" w:cs="Arial" w:eastAsia="Arial" w:hAnsi="Arial"/>
          <w:sz w:val="16"/>
          <w:szCs w:val="16"/>
          <w:color w:val="auto"/>
        </w:rPr>
      </w:pPr>
    </w:p>
    <w:p>
      <w:pPr>
        <w:ind w:left="467" w:right="60" w:hanging="467"/>
        <w:spacing w:after="0" w:line="253" w:lineRule="auto"/>
        <w:tabs>
          <w:tab w:leader="none" w:pos="467" w:val="left"/>
        </w:tabs>
        <w:numPr>
          <w:ilvl w:val="0"/>
          <w:numId w:val="94"/>
        </w:numPr>
        <w:rPr>
          <w:rFonts w:ascii="Arial" w:cs="Arial" w:eastAsia="Arial" w:hAnsi="Arial"/>
          <w:sz w:val="16"/>
          <w:szCs w:val="16"/>
          <w:color w:val="auto"/>
        </w:rPr>
      </w:pPr>
      <w:r>
        <w:rPr>
          <w:rFonts w:ascii="Arial" w:cs="Arial" w:eastAsia="Arial" w:hAnsi="Arial"/>
          <w:sz w:val="16"/>
          <w:szCs w:val="16"/>
          <w:color w:val="auto"/>
        </w:rPr>
        <w:t>Hands On Consulting Limited owns 49% stock and Kaplan International, Inc. and Kaplan Test Prep International, Inc. each own 0.002% stock of Hands On Education Consultants Co., Ltd. The combined ownership of Kaplan, Inc., Hands On Consulting Limited, Kaplan International, Inc. and Kaplan Test Prep International, Inc. in Hands On Education Consultants Co., Ltd. is 100%.</w:t>
      </w:r>
    </w:p>
    <w:p>
      <w:pPr>
        <w:spacing w:after="0" w:line="52" w:lineRule="exact"/>
        <w:rPr>
          <w:rFonts w:ascii="Arial" w:cs="Arial" w:eastAsia="Arial" w:hAnsi="Arial"/>
          <w:sz w:val="16"/>
          <w:szCs w:val="16"/>
          <w:color w:val="auto"/>
        </w:rPr>
      </w:pPr>
    </w:p>
    <w:p>
      <w:pPr>
        <w:ind w:left="467" w:right="160" w:hanging="467"/>
        <w:spacing w:after="0" w:line="260" w:lineRule="auto"/>
        <w:tabs>
          <w:tab w:leader="none" w:pos="467" w:val="left"/>
        </w:tabs>
        <w:numPr>
          <w:ilvl w:val="0"/>
          <w:numId w:val="94"/>
        </w:numPr>
        <w:rPr>
          <w:rFonts w:ascii="Arial" w:cs="Arial" w:eastAsia="Arial" w:hAnsi="Arial"/>
          <w:sz w:val="16"/>
          <w:szCs w:val="16"/>
          <w:color w:val="auto"/>
        </w:rPr>
      </w:pPr>
      <w:r>
        <w:rPr>
          <w:rFonts w:ascii="Arial" w:cs="Arial" w:eastAsia="Arial" w:hAnsi="Arial"/>
          <w:sz w:val="16"/>
          <w:szCs w:val="16"/>
          <w:color w:val="auto"/>
        </w:rPr>
        <w:t>Aspect Educational Services Limited also owns 5% stock in Kaplan International Colleges, C.A. The combined ownership of Aspect Educational Services Limited and Aspect Education Limited in Kaplan International Colleges, C.A. is 100%.</w:t>
      </w:r>
    </w:p>
    <w:p>
      <w:pPr>
        <w:spacing w:after="0" w:line="47" w:lineRule="exact"/>
        <w:rPr>
          <w:rFonts w:ascii="Arial" w:cs="Arial" w:eastAsia="Arial" w:hAnsi="Arial"/>
          <w:sz w:val="16"/>
          <w:szCs w:val="16"/>
          <w:color w:val="auto"/>
        </w:rPr>
      </w:pPr>
    </w:p>
    <w:p>
      <w:pPr>
        <w:ind w:left="467" w:hanging="467"/>
        <w:spacing w:after="0" w:line="253" w:lineRule="auto"/>
        <w:tabs>
          <w:tab w:leader="none" w:pos="467" w:val="left"/>
        </w:tabs>
        <w:numPr>
          <w:ilvl w:val="0"/>
          <w:numId w:val="94"/>
        </w:numPr>
        <w:rPr>
          <w:rFonts w:ascii="Arial" w:cs="Arial" w:eastAsia="Arial" w:hAnsi="Arial"/>
          <w:sz w:val="16"/>
          <w:szCs w:val="16"/>
          <w:color w:val="auto"/>
        </w:rPr>
      </w:pPr>
      <w:r>
        <w:rPr>
          <w:rFonts w:ascii="Arial" w:cs="Arial" w:eastAsia="Arial" w:hAnsi="Arial"/>
          <w:sz w:val="16"/>
          <w:szCs w:val="16"/>
          <w:color w:val="auto"/>
        </w:rPr>
        <w:t>Aspect Educational Services Limited also owns .002% equity in Kaplan International Operations Mexico, S.A. de C.V. and KI HR Services Mexico, S.A. de C.V. The combined ownership of Aspect Education Limited and Aspect Educational Services Limited in Kaplan International Operations Mexico, S.A. de C.V. and KI HR Services Mexico, S.A. de C.V. is 100%.</w:t>
      </w:r>
    </w:p>
    <w:p>
      <w:pPr>
        <w:spacing w:after="0" w:line="52" w:lineRule="exact"/>
        <w:rPr>
          <w:rFonts w:ascii="Arial" w:cs="Arial" w:eastAsia="Arial" w:hAnsi="Arial"/>
          <w:sz w:val="16"/>
          <w:szCs w:val="16"/>
          <w:color w:val="auto"/>
        </w:rPr>
      </w:pPr>
    </w:p>
    <w:p>
      <w:pPr>
        <w:ind w:left="467" w:hanging="467"/>
        <w:spacing w:after="0" w:line="260" w:lineRule="auto"/>
        <w:tabs>
          <w:tab w:leader="none" w:pos="467" w:val="left"/>
        </w:tabs>
        <w:numPr>
          <w:ilvl w:val="0"/>
          <w:numId w:val="94"/>
        </w:numPr>
        <w:rPr>
          <w:rFonts w:ascii="Arial" w:cs="Arial" w:eastAsia="Arial" w:hAnsi="Arial"/>
          <w:sz w:val="16"/>
          <w:szCs w:val="16"/>
          <w:color w:val="auto"/>
        </w:rPr>
      </w:pPr>
      <w:r>
        <w:rPr>
          <w:rFonts w:ascii="Arial" w:cs="Arial" w:eastAsia="Arial" w:hAnsi="Arial"/>
          <w:sz w:val="16"/>
          <w:szCs w:val="16"/>
          <w:color w:val="auto"/>
        </w:rPr>
        <w:t>Kaplan International Holdings Limited also owns 1 share or .00001% of Kaplan International Colleges Limited. The combined ownership of Kaplan International Holdings Limited and Kaplan International Colleges U.K. Limited in Kaplan International Colleges Limited is 100%.</w:t>
      </w:r>
    </w:p>
    <w:p>
      <w:pPr>
        <w:spacing w:after="0" w:line="47" w:lineRule="exact"/>
        <w:rPr>
          <w:rFonts w:ascii="Arial" w:cs="Arial" w:eastAsia="Arial" w:hAnsi="Arial"/>
          <w:sz w:val="16"/>
          <w:szCs w:val="16"/>
          <w:color w:val="auto"/>
        </w:rPr>
      </w:pPr>
    </w:p>
    <w:p>
      <w:pPr>
        <w:ind w:left="467" w:right="40" w:hanging="467"/>
        <w:spacing w:after="0" w:line="250" w:lineRule="auto"/>
        <w:tabs>
          <w:tab w:leader="none" w:pos="467" w:val="left"/>
        </w:tabs>
        <w:numPr>
          <w:ilvl w:val="0"/>
          <w:numId w:val="94"/>
        </w:numPr>
        <w:rPr>
          <w:rFonts w:ascii="Arial" w:cs="Arial" w:eastAsia="Arial" w:hAnsi="Arial"/>
          <w:sz w:val="16"/>
          <w:szCs w:val="16"/>
          <w:color w:val="auto"/>
        </w:rPr>
      </w:pPr>
      <w:r>
        <w:rPr>
          <w:rFonts w:ascii="Arial" w:cs="Arial" w:eastAsia="Arial" w:hAnsi="Arial"/>
          <w:sz w:val="16"/>
          <w:szCs w:val="16"/>
          <w:color w:val="auto"/>
        </w:rPr>
        <w:t>Kaplan NT Limited, Kaplan Liverpool Limited, Kaplan Glasgow Limited, Kaplan Notingham Limited. - The University of York International Pathway College LLP, Kaplan International College London Limited, Kaplan UWE Limited, Kaplan Bournemouth Limited and Kaplan Brighton Limited each owns 12.5% of Kaplan Partner Services HK Limited. The combined ownership of Kaplan NT Limited, Kaplan Liverpool Limited, Kaplan Glasgow Limited, Kaplan Nottingham Limited, The University of York International Pathway College LLP ,Kaplan International College London Limited, Kaplan UWE Limited, Kaplan Bournemouth Limited and Kaplan Brighton Limited is 100%.</w:t>
      </w:r>
    </w:p>
    <w:p>
      <w:pPr>
        <w:spacing w:after="0" w:line="311" w:lineRule="exact"/>
        <w:rPr>
          <w:rFonts w:ascii="Arial" w:cs="Arial" w:eastAsia="Arial" w:hAnsi="Arial"/>
          <w:sz w:val="16"/>
          <w:szCs w:val="16"/>
          <w:color w:val="auto"/>
        </w:rPr>
      </w:pPr>
    </w:p>
    <w:p>
      <w:pPr>
        <w:ind w:left="467" w:right="200"/>
        <w:spacing w:after="0" w:line="260" w:lineRule="auto"/>
        <w:rPr>
          <w:rFonts w:ascii="Arial" w:cs="Arial" w:eastAsia="Arial" w:hAnsi="Arial"/>
          <w:sz w:val="16"/>
          <w:szCs w:val="16"/>
          <w:color w:val="auto"/>
        </w:rPr>
      </w:pPr>
      <w:r>
        <w:rPr>
          <w:rFonts w:ascii="Arial" w:cs="Arial" w:eastAsia="Arial" w:hAnsi="Arial"/>
          <w:sz w:val="16"/>
          <w:szCs w:val="16"/>
          <w:color w:val="auto"/>
        </w:rPr>
        <w:t>As permitted by Item 601(b)(21) of Regulation S-K, the foregoing list omits certain subsidiaries which, if considered in the aggregate as a single subsidiary, would not constitute a “significant subsidiary” as that term is defined in Rule 1-02(w) of Regulation S-X.</w:t>
      </w:r>
    </w:p>
    <w:p>
      <w:pPr>
        <w:sectPr>
          <w:pgSz w:w="11900" w:h="16838" w:orient="portrait"/>
          <w:cols w:equalWidth="0" w:num="1">
            <w:col w:w="10907"/>
          </w:cols>
          <w:pgMar w:left="653" w:top="601" w:right="339" w:bottom="1440" w:gutter="0" w:footer="0" w:header="0"/>
        </w:sectPr>
      </w:pPr>
    </w:p>
    <w:bookmarkStart w:id="137" w:name="page138"/>
    <w:bookmarkEnd w:id="137"/>
    <w:p>
      <w:pPr>
        <w:jc w:val="right"/>
        <w:spacing w:after="0"/>
        <w:rPr>
          <w:sz w:val="20"/>
          <w:szCs w:val="20"/>
          <w:color w:val="auto"/>
        </w:rPr>
      </w:pPr>
      <w:r>
        <w:rPr>
          <w:rFonts w:ascii="Arial" w:cs="Arial" w:eastAsia="Arial" w:hAnsi="Arial"/>
          <w:sz w:val="18"/>
          <w:szCs w:val="18"/>
          <w:color w:val="auto"/>
        </w:rPr>
        <w:t>EXHIBIT 23</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CONSENT OF INDEPENDENT REGISTERED PUBLIC ACCOUNTING FIRM</w:t>
      </w:r>
    </w:p>
    <w:p>
      <w:pPr>
        <w:spacing w:after="0" w:line="225" w:lineRule="exact"/>
        <w:rPr>
          <w:sz w:val="20"/>
          <w:szCs w:val="20"/>
          <w:color w:val="auto"/>
        </w:rPr>
      </w:pPr>
    </w:p>
    <w:p>
      <w:pPr>
        <w:ind w:right="60"/>
        <w:spacing w:after="0" w:line="256" w:lineRule="auto"/>
        <w:rPr>
          <w:sz w:val="20"/>
          <w:szCs w:val="20"/>
          <w:color w:val="auto"/>
        </w:rPr>
      </w:pPr>
      <w:r>
        <w:rPr>
          <w:rFonts w:ascii="Arial" w:cs="Arial" w:eastAsia="Arial" w:hAnsi="Arial"/>
          <w:sz w:val="18"/>
          <w:szCs w:val="18"/>
          <w:color w:val="auto"/>
        </w:rPr>
        <w:t>We hereby consent to the incorporation by reference in the Registration Statements on Form S-8 (Nos. 333-189559 and 33-54295) and Form S-3 (Registration No. 333-71350) of Graham Holdings Company, of our report dated February 23, 2018 relating to the financial statements and the effectiveness of internal control over financial reporting, which appears in this Form 10-K.</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/s/ PricewaterhouseCoopers LLP</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McLean, Virginia</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February 23, 2018</w:t>
      </w:r>
    </w:p>
    <w:p>
      <w:pPr>
        <w:sectPr>
          <w:pgSz w:w="11900" w:h="16838" w:orient="portrait"/>
          <w:cols w:equalWidth="0" w:num="1">
            <w:col w:w="11420"/>
          </w:cols>
          <w:pgMar w:left="240" w:top="598" w:right="239" w:bottom="1440" w:gutter="0" w:footer="0" w:header="0"/>
        </w:sectPr>
      </w:pPr>
    </w:p>
    <w:bookmarkStart w:id="138" w:name="page139"/>
    <w:bookmarkEnd w:id="138"/>
    <w:p>
      <w:pPr>
        <w:jc w:val="right"/>
        <w:spacing w:after="0"/>
        <w:rPr>
          <w:sz w:val="20"/>
          <w:szCs w:val="20"/>
          <w:color w:val="auto"/>
        </w:rPr>
      </w:pPr>
      <w:r>
        <w:rPr>
          <w:rFonts w:ascii="Arial" w:cs="Arial" w:eastAsia="Arial" w:hAnsi="Arial"/>
          <w:sz w:val="18"/>
          <w:szCs w:val="18"/>
          <w:color w:val="auto"/>
        </w:rPr>
        <w:t>EXHIBIT 24</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Power of Attorney</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Reports Under the Securities Exchange Act of 1934</w:t>
      </w:r>
    </w:p>
    <w:p>
      <w:pPr>
        <w:spacing w:after="0" w:line="225" w:lineRule="exact"/>
        <w:rPr>
          <w:sz w:val="20"/>
          <w:szCs w:val="20"/>
          <w:color w:val="auto"/>
        </w:rPr>
      </w:pPr>
    </w:p>
    <w:p>
      <w:pPr>
        <w:ind w:left="9980"/>
        <w:spacing w:after="0"/>
        <w:rPr>
          <w:sz w:val="20"/>
          <w:szCs w:val="20"/>
          <w:color w:val="auto"/>
        </w:rPr>
      </w:pPr>
      <w:r>
        <w:rPr>
          <w:rFonts w:ascii="Arial" w:cs="Arial" w:eastAsia="Arial" w:hAnsi="Arial"/>
          <w:sz w:val="18"/>
          <w:szCs w:val="18"/>
          <w:color w:val="auto"/>
        </w:rPr>
        <w:t>January 18, 2018</w:t>
      </w:r>
    </w:p>
    <w:p>
      <w:pPr>
        <w:spacing w:after="0" w:line="225" w:lineRule="exact"/>
        <w:rPr>
          <w:sz w:val="20"/>
          <w:szCs w:val="20"/>
          <w:color w:val="auto"/>
        </w:rPr>
      </w:pPr>
    </w:p>
    <w:p>
      <w:pPr>
        <w:ind w:right="20"/>
        <w:spacing w:after="0" w:line="251" w:lineRule="auto"/>
        <w:rPr>
          <w:sz w:val="20"/>
          <w:szCs w:val="20"/>
          <w:color w:val="auto"/>
        </w:rPr>
      </w:pPr>
      <w:r>
        <w:rPr>
          <w:rFonts w:ascii="Arial" w:cs="Arial" w:eastAsia="Arial" w:hAnsi="Arial"/>
          <w:sz w:val="18"/>
          <w:szCs w:val="18"/>
          <w:color w:val="auto"/>
        </w:rPr>
        <w:t>KNOW ALL MEN BY THESE PRESENTS that each of the undersigned directors and officers of Graham Holdings Company, a Delaware corporation (hereinafter called the "Company"), hereby constitutes and appoints TIMOTHY J. O'SHAUGHNESSY, WALLACE R. COONEY and NICOLE MADDREY, and each of them, his or her true and lawful attorneys-in-fact and agents with full power to act without the others and with full power of substitution and resubstitution, for him or her and in his or her name, place and stead, in any and all capacities, to sign my name to an Annual Report on Form 10-K of the Company for the fiscal year ended December 31, 2017, and any and all reports required to be filed by the Company pursuant to the Securities Exchange Act of 1934, as amended, and any and all amendments thereto and other documents in connection therewith, and to file, or cause to be filed, the same with all exhibits thereto (including this power of attorney), with the Securities and Exchange Commission, granting unto said attorneys-in-fact and agents, and each of them, full power and authority to do and perform each and every act and thing requisite and necessary to be done in and about the premises as fully and to all intents and purposes as he or she might or could do in person, hereby ratifying and confirming all that said attorneys-in-fact and agents or any of them, or their or his or her substitute or substitutes, may lawfully do or cause to be done by virtue hereof.</w:t>
      </w:r>
    </w:p>
    <w:p>
      <w:pPr>
        <w:sectPr>
          <w:pgSz w:w="11900" w:h="16838" w:orient="portrait"/>
          <w:cols w:equalWidth="0" w:num="1">
            <w:col w:w="11420"/>
          </w:cols>
          <w:pgMar w:left="240" w:top="598" w:right="239" w:bottom="1440" w:gutter="0" w:footer="0" w:header="0"/>
        </w:sectPr>
      </w:pPr>
    </w:p>
    <w:p>
      <w:pPr>
        <w:spacing w:after="0" w:line="200" w:lineRule="exact"/>
        <w:rPr>
          <w:sz w:val="20"/>
          <w:szCs w:val="20"/>
          <w:color w:val="auto"/>
        </w:rPr>
      </w:pPr>
    </w:p>
    <w:p>
      <w:pPr>
        <w:spacing w:after="0" w:line="390" w:lineRule="exact"/>
        <w:rPr>
          <w:sz w:val="20"/>
          <w:szCs w:val="20"/>
          <w:color w:val="auto"/>
        </w:rPr>
      </w:pPr>
    </w:p>
    <w:p>
      <w:pPr>
        <w:ind w:left="40"/>
        <w:spacing w:after="0"/>
        <w:rPr>
          <w:sz w:val="20"/>
          <w:szCs w:val="20"/>
          <w:color w:val="auto"/>
        </w:rPr>
      </w:pPr>
      <w:r>
        <w:rPr>
          <w:rFonts w:ascii="Arial" w:cs="Arial" w:eastAsia="Arial" w:hAnsi="Arial"/>
          <w:sz w:val="18"/>
          <w:szCs w:val="18"/>
          <w:color w:val="auto"/>
        </w:rPr>
        <w:t>/s/ Donald E. Graham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3601720" cy="88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60">
                      <a:extLst>
                        <a:ext uri="{28A0092B-C50C-407E-A947-70E740481C1C}"/>
                      </a:extLst>
                    </a:blip>
                    <a:srcRect/>
                    <a:stretch>
                      <a:fillRect/>
                    </a:stretch>
                  </pic:blipFill>
                  <pic:spPr bwMode="auto">
                    <a:xfrm>
                      <a:off x="0" y="0"/>
                      <a:ext cx="3601720" cy="8890"/>
                    </a:xfrm>
                    <a:prstGeom prst="rect">
                      <a:avLst/>
                    </a:prstGeom>
                    <a:noFill/>
                  </pic:spPr>
                </pic:pic>
              </a:graphicData>
            </a:graphic>
          </wp:anchor>
        </w:drawing>
      </w:r>
    </w:p>
    <w:p>
      <w:pPr>
        <w:spacing w:after="0" w:line="43" w:lineRule="exact"/>
        <w:rPr>
          <w:sz w:val="20"/>
          <w:szCs w:val="20"/>
          <w:color w:val="auto"/>
        </w:rPr>
      </w:pPr>
    </w:p>
    <w:p>
      <w:pPr>
        <w:ind w:left="40" w:right="780"/>
        <w:spacing w:after="0" w:line="305" w:lineRule="auto"/>
        <w:rPr>
          <w:sz w:val="20"/>
          <w:szCs w:val="20"/>
          <w:color w:val="auto"/>
        </w:rPr>
      </w:pPr>
      <w:r>
        <w:rPr>
          <w:rFonts w:ascii="Arial" w:cs="Arial" w:eastAsia="Arial" w:hAnsi="Arial"/>
          <w:sz w:val="18"/>
          <w:szCs w:val="18"/>
          <w:color w:val="auto"/>
        </w:rPr>
        <w:t>Donald E. Graham, Chairman of the Board and Director /s/ Timothy J. O'Shaughnessy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-24130</wp:posOffset>
            </wp:positionV>
            <wp:extent cx="3601720" cy="88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61">
                      <a:extLst>
                        <a:ext uri="{28A0092B-C50C-407E-A947-70E740481C1C}"/>
                      </a:extLst>
                    </a:blip>
                    <a:srcRect/>
                    <a:stretch>
                      <a:fillRect/>
                    </a:stretch>
                  </pic:blipFill>
                  <pic:spPr bwMode="auto">
                    <a:xfrm>
                      <a:off x="0" y="0"/>
                      <a:ext cx="3601720" cy="8890"/>
                    </a:xfrm>
                    <a:prstGeom prst="rect">
                      <a:avLst/>
                    </a:prstGeom>
                    <a:noFill/>
                  </pic:spPr>
                </pic:pic>
              </a:graphicData>
            </a:graphic>
          </wp:anchor>
        </w:drawing>
      </w:r>
    </w:p>
    <w:p>
      <w:pPr>
        <w:ind w:left="40"/>
        <w:spacing w:after="0" w:line="246" w:lineRule="auto"/>
        <w:rPr>
          <w:sz w:val="20"/>
          <w:szCs w:val="20"/>
          <w:color w:val="auto"/>
        </w:rPr>
      </w:pPr>
      <w:r>
        <w:rPr>
          <w:rFonts w:ascii="Arial" w:cs="Arial" w:eastAsia="Arial" w:hAnsi="Arial"/>
          <w:sz w:val="18"/>
          <w:szCs w:val="18"/>
          <w:color w:val="auto"/>
        </w:rPr>
        <w:t>Timothy J. O'Shaughnessy, President and Chief Executive Officer (Principal Executive Officer) and Director</w:t>
      </w:r>
    </w:p>
    <w:p>
      <w:pPr>
        <w:spacing w:after="0" w:line="35" w:lineRule="exact"/>
        <w:rPr>
          <w:sz w:val="20"/>
          <w:szCs w:val="20"/>
          <w:color w:val="auto"/>
        </w:rPr>
      </w:pPr>
    </w:p>
    <w:p>
      <w:pPr>
        <w:ind w:left="40"/>
        <w:spacing w:after="0"/>
        <w:rPr>
          <w:sz w:val="20"/>
          <w:szCs w:val="20"/>
          <w:color w:val="auto"/>
        </w:rPr>
      </w:pPr>
      <w:r>
        <w:rPr>
          <w:rFonts w:ascii="Arial" w:cs="Arial" w:eastAsia="Arial" w:hAnsi="Arial"/>
          <w:sz w:val="18"/>
          <w:szCs w:val="18"/>
          <w:color w:val="auto"/>
        </w:rPr>
        <w:t>/s/ Wallace R. Cooney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3601720" cy="88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62">
                      <a:extLst>
                        <a:ext uri="{28A0092B-C50C-407E-A947-70E740481C1C}"/>
                      </a:extLst>
                    </a:blip>
                    <a:srcRect/>
                    <a:stretch>
                      <a:fillRect/>
                    </a:stretch>
                  </pic:blipFill>
                  <pic:spPr bwMode="auto">
                    <a:xfrm>
                      <a:off x="0" y="0"/>
                      <a:ext cx="3601720" cy="8890"/>
                    </a:xfrm>
                    <a:prstGeom prst="rect">
                      <a:avLst/>
                    </a:prstGeom>
                    <a:noFill/>
                  </pic:spPr>
                </pic:pic>
              </a:graphicData>
            </a:graphic>
          </wp:anchor>
        </w:drawing>
      </w:r>
    </w:p>
    <w:p>
      <w:pPr>
        <w:spacing w:after="0" w:line="43" w:lineRule="exact"/>
        <w:rPr>
          <w:sz w:val="20"/>
          <w:szCs w:val="20"/>
          <w:color w:val="auto"/>
        </w:rPr>
      </w:pPr>
    </w:p>
    <w:p>
      <w:pPr>
        <w:ind w:left="40" w:right="260"/>
        <w:spacing w:after="0" w:line="246" w:lineRule="auto"/>
        <w:rPr>
          <w:sz w:val="20"/>
          <w:szCs w:val="20"/>
          <w:color w:val="auto"/>
        </w:rPr>
      </w:pPr>
      <w:r>
        <w:rPr>
          <w:rFonts w:ascii="Arial" w:cs="Arial" w:eastAsia="Arial" w:hAnsi="Arial"/>
          <w:sz w:val="18"/>
          <w:szCs w:val="18"/>
          <w:color w:val="auto"/>
        </w:rPr>
        <w:t>Wallace R. Cooney, Senior Vice President - Finance (Principal Finance Officer)</w:t>
      </w:r>
    </w:p>
    <w:p>
      <w:pPr>
        <w:spacing w:after="0" w:line="35" w:lineRule="exact"/>
        <w:rPr>
          <w:sz w:val="20"/>
          <w:szCs w:val="20"/>
          <w:color w:val="auto"/>
        </w:rPr>
      </w:pPr>
    </w:p>
    <w:p>
      <w:pPr>
        <w:ind w:left="40"/>
        <w:spacing w:after="0"/>
        <w:rPr>
          <w:sz w:val="20"/>
          <w:szCs w:val="20"/>
          <w:color w:val="auto"/>
        </w:rPr>
      </w:pPr>
      <w:r>
        <w:rPr>
          <w:rFonts w:ascii="Arial" w:cs="Arial" w:eastAsia="Arial" w:hAnsi="Arial"/>
          <w:sz w:val="18"/>
          <w:szCs w:val="18"/>
          <w:color w:val="auto"/>
        </w:rPr>
        <w:t>/s/ Marcel A. Snyman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3601720" cy="88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63">
                      <a:extLst>
                        <a:ext uri="{28A0092B-C50C-407E-A947-70E740481C1C}"/>
                      </a:extLst>
                    </a:blip>
                    <a:srcRect/>
                    <a:stretch>
                      <a:fillRect/>
                    </a:stretch>
                  </pic:blipFill>
                  <pic:spPr bwMode="auto">
                    <a:xfrm>
                      <a:off x="0" y="0"/>
                      <a:ext cx="3601720" cy="8890"/>
                    </a:xfrm>
                    <a:prstGeom prst="rect">
                      <a:avLst/>
                    </a:prstGeom>
                    <a:noFill/>
                  </pic:spPr>
                </pic:pic>
              </a:graphicData>
            </a:graphic>
          </wp:anchor>
        </w:drawing>
      </w:r>
    </w:p>
    <w:p>
      <w:pPr>
        <w:spacing w:after="0" w:line="43" w:lineRule="exact"/>
        <w:rPr>
          <w:sz w:val="20"/>
          <w:szCs w:val="20"/>
          <w:color w:val="auto"/>
        </w:rPr>
      </w:pPr>
    </w:p>
    <w:p>
      <w:pPr>
        <w:ind w:left="40" w:right="140"/>
        <w:spacing w:after="0" w:line="246" w:lineRule="auto"/>
        <w:rPr>
          <w:sz w:val="20"/>
          <w:szCs w:val="20"/>
          <w:color w:val="auto"/>
        </w:rPr>
      </w:pPr>
      <w:r>
        <w:rPr>
          <w:rFonts w:ascii="Arial" w:cs="Arial" w:eastAsia="Arial" w:hAnsi="Arial"/>
          <w:sz w:val="18"/>
          <w:szCs w:val="18"/>
          <w:color w:val="auto"/>
        </w:rPr>
        <w:t>Marcel A. Snyman, Vice President and Chief Accounting Officer (Principal Accounting Officer)</w:t>
      </w:r>
    </w:p>
    <w:p>
      <w:pPr>
        <w:spacing w:after="0" w:line="35" w:lineRule="exact"/>
        <w:rPr>
          <w:sz w:val="20"/>
          <w:szCs w:val="20"/>
          <w:color w:val="auto"/>
        </w:rPr>
      </w:pPr>
    </w:p>
    <w:p>
      <w:pPr>
        <w:ind w:left="40"/>
        <w:spacing w:after="0"/>
        <w:rPr>
          <w:sz w:val="20"/>
          <w:szCs w:val="20"/>
          <w:color w:val="auto"/>
        </w:rPr>
      </w:pPr>
      <w:r>
        <w:rPr>
          <w:rFonts w:ascii="Arial" w:cs="Arial" w:eastAsia="Arial" w:hAnsi="Arial"/>
          <w:sz w:val="18"/>
          <w:szCs w:val="18"/>
          <w:color w:val="auto"/>
        </w:rPr>
        <w:t>/s/ Lee C. Bollinger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3601720" cy="88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64">
                      <a:extLst>
                        <a:ext uri="{28A0092B-C50C-407E-A947-70E740481C1C}"/>
                      </a:extLst>
                    </a:blip>
                    <a:srcRect/>
                    <a:stretch>
                      <a:fillRect/>
                    </a:stretch>
                  </pic:blipFill>
                  <pic:spPr bwMode="auto">
                    <a:xfrm>
                      <a:off x="0" y="0"/>
                      <a:ext cx="3601720" cy="8890"/>
                    </a:xfrm>
                    <a:prstGeom prst="rect">
                      <a:avLst/>
                    </a:prstGeom>
                    <a:noFill/>
                  </pic:spPr>
                </pic:pic>
              </a:graphicData>
            </a:graphic>
          </wp:anchor>
        </w:drawing>
      </w:r>
    </w:p>
    <w:p>
      <w:pPr>
        <w:spacing w:after="0" w:line="43" w:lineRule="exact"/>
        <w:rPr>
          <w:sz w:val="20"/>
          <w:szCs w:val="20"/>
          <w:color w:val="auto"/>
        </w:rPr>
      </w:pPr>
    </w:p>
    <w:p>
      <w:pPr>
        <w:ind w:left="40"/>
        <w:spacing w:after="0"/>
        <w:rPr>
          <w:sz w:val="20"/>
          <w:szCs w:val="20"/>
          <w:color w:val="auto"/>
        </w:rPr>
      </w:pPr>
      <w:r>
        <w:rPr>
          <w:rFonts w:ascii="Arial" w:cs="Arial" w:eastAsia="Arial" w:hAnsi="Arial"/>
          <w:sz w:val="18"/>
          <w:szCs w:val="18"/>
          <w:color w:val="auto"/>
        </w:rPr>
        <w:t>Lee C. Bollinger, Director</w:t>
      </w:r>
    </w:p>
    <w:p>
      <w:pPr>
        <w:spacing w:after="0" w:line="50" w:lineRule="exact"/>
        <w:rPr>
          <w:sz w:val="20"/>
          <w:szCs w:val="20"/>
          <w:color w:val="auto"/>
        </w:rPr>
      </w:pPr>
    </w:p>
    <w:p>
      <w:pPr>
        <w:ind w:left="40"/>
        <w:spacing w:after="0"/>
        <w:rPr>
          <w:sz w:val="20"/>
          <w:szCs w:val="20"/>
          <w:color w:val="auto"/>
        </w:rPr>
      </w:pPr>
      <w:r>
        <w:rPr>
          <w:rFonts w:ascii="Arial" w:cs="Arial" w:eastAsia="Arial" w:hAnsi="Arial"/>
          <w:sz w:val="18"/>
          <w:szCs w:val="18"/>
          <w:color w:val="auto"/>
        </w:rPr>
        <w:t>/s/ Christopher C. Davis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3601720" cy="88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65">
                      <a:extLst>
                        <a:ext uri="{28A0092B-C50C-407E-A947-70E740481C1C}"/>
                      </a:extLst>
                    </a:blip>
                    <a:srcRect/>
                    <a:stretch>
                      <a:fillRect/>
                    </a:stretch>
                  </pic:blipFill>
                  <pic:spPr bwMode="auto">
                    <a:xfrm>
                      <a:off x="0" y="0"/>
                      <a:ext cx="3601720" cy="8890"/>
                    </a:xfrm>
                    <a:prstGeom prst="rect">
                      <a:avLst/>
                    </a:prstGeom>
                    <a:noFill/>
                  </pic:spPr>
                </pic:pic>
              </a:graphicData>
            </a:graphic>
          </wp:anchor>
        </w:drawing>
      </w:r>
    </w:p>
    <w:p>
      <w:pPr>
        <w:spacing w:after="0" w:line="43" w:lineRule="exact"/>
        <w:rPr>
          <w:sz w:val="20"/>
          <w:szCs w:val="20"/>
          <w:color w:val="auto"/>
        </w:rPr>
      </w:pPr>
    </w:p>
    <w:p>
      <w:pPr>
        <w:ind w:left="40"/>
        <w:spacing w:after="0"/>
        <w:rPr>
          <w:sz w:val="20"/>
          <w:szCs w:val="20"/>
          <w:color w:val="auto"/>
        </w:rPr>
      </w:pPr>
      <w:r>
        <w:rPr>
          <w:rFonts w:ascii="Arial" w:cs="Arial" w:eastAsia="Arial" w:hAnsi="Arial"/>
          <w:sz w:val="18"/>
          <w:szCs w:val="18"/>
          <w:color w:val="auto"/>
        </w:rPr>
        <w:t>Christopher C. Davis, Director</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70" w:lineRule="exact"/>
        <w:rPr>
          <w:sz w:val="20"/>
          <w:szCs w:val="20"/>
          <w:color w:val="auto"/>
        </w:rPr>
      </w:pPr>
    </w:p>
    <w:p>
      <w:pPr>
        <w:spacing w:after="0"/>
        <w:rPr>
          <w:sz w:val="20"/>
          <w:szCs w:val="20"/>
          <w:color w:val="auto"/>
        </w:rPr>
      </w:pPr>
      <w:r>
        <w:rPr>
          <w:rFonts w:ascii="Arial" w:cs="Arial" w:eastAsia="Arial" w:hAnsi="Arial"/>
          <w:sz w:val="18"/>
          <w:szCs w:val="18"/>
          <w:color w:val="auto"/>
        </w:rPr>
        <w:t>/s/ Thomas S. Gayner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14605</wp:posOffset>
            </wp:positionV>
            <wp:extent cx="3542030" cy="88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66">
                      <a:extLst>
                        <a:ext uri="{28A0092B-C50C-407E-A947-70E740481C1C}"/>
                      </a:extLst>
                    </a:blip>
                    <a:srcRect/>
                    <a:stretch>
                      <a:fillRect/>
                    </a:stretch>
                  </pic:blipFill>
                  <pic:spPr bwMode="auto">
                    <a:xfrm>
                      <a:off x="0" y="0"/>
                      <a:ext cx="3542030" cy="8890"/>
                    </a:xfrm>
                    <a:prstGeom prst="rect">
                      <a:avLst/>
                    </a:prstGeom>
                    <a:noFill/>
                  </pic:spPr>
                </pic:pic>
              </a:graphicData>
            </a:graphic>
          </wp:anchor>
        </w:drawing>
      </w:r>
    </w:p>
    <w:p>
      <w:pPr>
        <w:spacing w:after="0" w:line="43" w:lineRule="exact"/>
        <w:rPr>
          <w:sz w:val="20"/>
          <w:szCs w:val="20"/>
          <w:color w:val="auto"/>
        </w:rPr>
      </w:pPr>
    </w:p>
    <w:p>
      <w:pPr>
        <w:spacing w:after="0"/>
        <w:rPr>
          <w:sz w:val="20"/>
          <w:szCs w:val="20"/>
          <w:color w:val="auto"/>
        </w:rPr>
      </w:pPr>
      <w:r>
        <w:rPr>
          <w:rFonts w:ascii="Arial" w:cs="Arial" w:eastAsia="Arial" w:hAnsi="Arial"/>
          <w:sz w:val="18"/>
          <w:szCs w:val="18"/>
          <w:color w:val="auto"/>
        </w:rPr>
        <w:t>Thomas S. Gayner, Director</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color w:val="auto"/>
        </w:rPr>
        <w:t>/s/ Jack A. Markell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14605</wp:posOffset>
            </wp:positionV>
            <wp:extent cx="3542030" cy="88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67">
                      <a:extLst>
                        <a:ext uri="{28A0092B-C50C-407E-A947-70E740481C1C}"/>
                      </a:extLst>
                    </a:blip>
                    <a:srcRect/>
                    <a:stretch>
                      <a:fillRect/>
                    </a:stretch>
                  </pic:blipFill>
                  <pic:spPr bwMode="auto">
                    <a:xfrm>
                      <a:off x="0" y="0"/>
                      <a:ext cx="3542030" cy="8890"/>
                    </a:xfrm>
                    <a:prstGeom prst="rect">
                      <a:avLst/>
                    </a:prstGeom>
                    <a:noFill/>
                  </pic:spPr>
                </pic:pic>
              </a:graphicData>
            </a:graphic>
          </wp:anchor>
        </w:drawing>
      </w:r>
    </w:p>
    <w:p>
      <w:pPr>
        <w:spacing w:after="0" w:line="43" w:lineRule="exact"/>
        <w:rPr>
          <w:sz w:val="20"/>
          <w:szCs w:val="20"/>
          <w:color w:val="auto"/>
        </w:rPr>
      </w:pPr>
    </w:p>
    <w:p>
      <w:pPr>
        <w:spacing w:after="0"/>
        <w:rPr>
          <w:sz w:val="20"/>
          <w:szCs w:val="20"/>
          <w:color w:val="auto"/>
        </w:rPr>
      </w:pPr>
      <w:r>
        <w:rPr>
          <w:rFonts w:ascii="Arial" w:cs="Arial" w:eastAsia="Arial" w:hAnsi="Arial"/>
          <w:sz w:val="18"/>
          <w:szCs w:val="18"/>
          <w:color w:val="auto"/>
        </w:rPr>
        <w:t>Jack A. Markell, Director</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/s/ Anne M. Mulcahy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14605</wp:posOffset>
            </wp:positionV>
            <wp:extent cx="3542030" cy="88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68">
                      <a:extLst>
                        <a:ext uri="{28A0092B-C50C-407E-A947-70E740481C1C}"/>
                      </a:extLst>
                    </a:blip>
                    <a:srcRect/>
                    <a:stretch>
                      <a:fillRect/>
                    </a:stretch>
                  </pic:blipFill>
                  <pic:spPr bwMode="auto">
                    <a:xfrm>
                      <a:off x="0" y="0"/>
                      <a:ext cx="3542030" cy="8890"/>
                    </a:xfrm>
                    <a:prstGeom prst="rect">
                      <a:avLst/>
                    </a:prstGeom>
                    <a:noFill/>
                  </pic:spPr>
                </pic:pic>
              </a:graphicData>
            </a:graphic>
          </wp:anchor>
        </w:drawing>
      </w:r>
    </w:p>
    <w:p>
      <w:pPr>
        <w:spacing w:after="0" w:line="43" w:lineRule="exact"/>
        <w:rPr>
          <w:sz w:val="20"/>
          <w:szCs w:val="20"/>
          <w:color w:val="auto"/>
        </w:rPr>
      </w:pPr>
    </w:p>
    <w:p>
      <w:pPr>
        <w:spacing w:after="0"/>
        <w:rPr>
          <w:sz w:val="20"/>
          <w:szCs w:val="20"/>
          <w:color w:val="auto"/>
        </w:rPr>
      </w:pPr>
      <w:r>
        <w:rPr>
          <w:rFonts w:ascii="Arial" w:cs="Arial" w:eastAsia="Arial" w:hAnsi="Arial"/>
          <w:sz w:val="18"/>
          <w:szCs w:val="18"/>
          <w:color w:val="auto"/>
        </w:rPr>
        <w:t>Anne M. Mulcahy, Director</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/s/ Larry D. Thompson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14605</wp:posOffset>
            </wp:positionV>
            <wp:extent cx="3542030" cy="88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69">
                      <a:extLst>
                        <a:ext uri="{28A0092B-C50C-407E-A947-70E740481C1C}"/>
                      </a:extLst>
                    </a:blip>
                    <a:srcRect/>
                    <a:stretch>
                      <a:fillRect/>
                    </a:stretch>
                  </pic:blipFill>
                  <pic:spPr bwMode="auto">
                    <a:xfrm>
                      <a:off x="0" y="0"/>
                      <a:ext cx="3542030" cy="8890"/>
                    </a:xfrm>
                    <a:prstGeom prst="rect">
                      <a:avLst/>
                    </a:prstGeom>
                    <a:noFill/>
                  </pic:spPr>
                </pic:pic>
              </a:graphicData>
            </a:graphic>
          </wp:anchor>
        </w:drawing>
      </w:r>
    </w:p>
    <w:p>
      <w:pPr>
        <w:spacing w:after="0" w:line="43" w:lineRule="exact"/>
        <w:rPr>
          <w:sz w:val="20"/>
          <w:szCs w:val="20"/>
          <w:color w:val="auto"/>
        </w:rPr>
      </w:pPr>
    </w:p>
    <w:p>
      <w:pPr>
        <w:spacing w:after="0"/>
        <w:rPr>
          <w:sz w:val="20"/>
          <w:szCs w:val="20"/>
          <w:color w:val="auto"/>
        </w:rPr>
      </w:pPr>
      <w:r>
        <w:rPr>
          <w:rFonts w:ascii="Arial" w:cs="Arial" w:eastAsia="Arial" w:hAnsi="Arial"/>
          <w:sz w:val="18"/>
          <w:szCs w:val="18"/>
          <w:color w:val="auto"/>
        </w:rPr>
        <w:t>Larry D. Thompson, Director</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/s/ G. Richard Wagoner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14605</wp:posOffset>
            </wp:positionV>
            <wp:extent cx="3542030" cy="88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70">
                      <a:extLst>
                        <a:ext uri="{28A0092B-C50C-407E-A947-70E740481C1C}"/>
                      </a:extLst>
                    </a:blip>
                    <a:srcRect/>
                    <a:stretch>
                      <a:fillRect/>
                    </a:stretch>
                  </pic:blipFill>
                  <pic:spPr bwMode="auto">
                    <a:xfrm>
                      <a:off x="0" y="0"/>
                      <a:ext cx="3542030" cy="8890"/>
                    </a:xfrm>
                    <a:prstGeom prst="rect">
                      <a:avLst/>
                    </a:prstGeom>
                    <a:noFill/>
                  </pic:spPr>
                </pic:pic>
              </a:graphicData>
            </a:graphic>
          </wp:anchor>
        </w:drawing>
      </w:r>
    </w:p>
    <w:p>
      <w:pPr>
        <w:spacing w:after="0" w:line="43" w:lineRule="exact"/>
        <w:rPr>
          <w:sz w:val="20"/>
          <w:szCs w:val="20"/>
          <w:color w:val="auto"/>
        </w:rPr>
      </w:pPr>
    </w:p>
    <w:p>
      <w:pPr>
        <w:spacing w:after="0"/>
        <w:rPr>
          <w:sz w:val="20"/>
          <w:szCs w:val="20"/>
          <w:color w:val="auto"/>
        </w:rPr>
      </w:pPr>
      <w:r>
        <w:rPr>
          <w:rFonts w:ascii="Arial" w:cs="Arial" w:eastAsia="Arial" w:hAnsi="Arial"/>
          <w:sz w:val="17"/>
          <w:szCs w:val="17"/>
          <w:color w:val="auto"/>
        </w:rPr>
        <w:t>G. Richard Wagoner, Jr., Director</w:t>
      </w:r>
    </w:p>
    <w:p>
      <w:pPr>
        <w:spacing w:after="0" w:line="61" w:lineRule="exact"/>
        <w:rPr>
          <w:sz w:val="20"/>
          <w:szCs w:val="20"/>
          <w:color w:val="auto"/>
        </w:rPr>
      </w:pPr>
    </w:p>
    <w:p>
      <w:pPr>
        <w:spacing w:after="0"/>
        <w:rPr>
          <w:sz w:val="20"/>
          <w:szCs w:val="20"/>
          <w:color w:val="auto"/>
        </w:rPr>
      </w:pPr>
      <w:r>
        <w:rPr>
          <w:rFonts w:ascii="Arial" w:cs="Arial" w:eastAsia="Arial" w:hAnsi="Arial"/>
          <w:sz w:val="18"/>
          <w:szCs w:val="18"/>
          <w:color w:val="auto"/>
        </w:rPr>
        <w:t>/s/ Katharine Weymouth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14605</wp:posOffset>
            </wp:positionV>
            <wp:extent cx="3542030" cy="88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71">
                      <a:extLst>
                        <a:ext uri="{28A0092B-C50C-407E-A947-70E740481C1C}"/>
                      </a:extLst>
                    </a:blip>
                    <a:srcRect/>
                    <a:stretch>
                      <a:fillRect/>
                    </a:stretch>
                  </pic:blipFill>
                  <pic:spPr bwMode="auto">
                    <a:xfrm>
                      <a:off x="0" y="0"/>
                      <a:ext cx="3542030" cy="8890"/>
                    </a:xfrm>
                    <a:prstGeom prst="rect">
                      <a:avLst/>
                    </a:prstGeom>
                    <a:noFill/>
                  </pic:spPr>
                </pic:pic>
              </a:graphicData>
            </a:graphic>
          </wp:anchor>
        </w:drawing>
      </w:r>
    </w:p>
    <w:p>
      <w:pPr>
        <w:spacing w:after="0" w:line="43" w:lineRule="exact"/>
        <w:rPr>
          <w:sz w:val="20"/>
          <w:szCs w:val="20"/>
          <w:color w:val="auto"/>
        </w:rPr>
      </w:pPr>
    </w:p>
    <w:p>
      <w:pPr>
        <w:spacing w:after="0"/>
        <w:rPr>
          <w:sz w:val="20"/>
          <w:szCs w:val="20"/>
          <w:color w:val="auto"/>
        </w:rPr>
      </w:pPr>
      <w:r>
        <w:rPr>
          <w:rFonts w:ascii="Arial" w:cs="Arial" w:eastAsia="Arial" w:hAnsi="Arial"/>
          <w:sz w:val="18"/>
          <w:szCs w:val="18"/>
          <w:color w:val="auto"/>
        </w:rPr>
        <w:t>Katharine Weymouth, Director</w:t>
      </w:r>
    </w:p>
    <w:p>
      <w:pPr>
        <w:sectPr>
          <w:pgSz w:w="11900" w:h="16838" w:orient="portrait"/>
          <w:cols w:equalWidth="0" w:num="2">
            <w:col w:w="5240" w:space="620"/>
            <w:col w:w="5560"/>
          </w:cols>
          <w:pgMar w:left="240" w:top="598" w:right="239" w:bottom="1440" w:gutter="0" w:footer="0" w:header="0"/>
          <w:type w:val="continuous"/>
        </w:sectPr>
      </w:pPr>
    </w:p>
    <w:bookmarkStart w:id="139" w:name="page140"/>
    <w:bookmarkEnd w:id="139"/>
    <w:p>
      <w:pPr>
        <w:jc w:val="right"/>
        <w:spacing w:after="0"/>
        <w:rPr>
          <w:sz w:val="20"/>
          <w:szCs w:val="20"/>
          <w:color w:val="auto"/>
        </w:rPr>
      </w:pPr>
      <w:r>
        <w:rPr>
          <w:rFonts w:ascii="Arial" w:cs="Arial" w:eastAsia="Arial" w:hAnsi="Arial"/>
          <w:sz w:val="18"/>
          <w:szCs w:val="18"/>
          <w:color w:val="auto"/>
        </w:rPr>
        <w:t>EXHIBIT 31.1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RULE 13a-14(a)/15d-14(a) CERTIFICATION OF THE CHIEF EXECUTIVE OFFICER</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AS ADOPTED PURSUANT TO SECTION 302 OF THE SARBANES-OXLEY ACT OF 2002</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I, Timothy J. O'Shaughnessy, Chief Executive Officer (principal executive officer) of Graham Holdings Company (the “Registrant”), certify that:</w:t>
      </w:r>
    </w:p>
    <w:p>
      <w:pPr>
        <w:spacing w:after="0" w:line="225" w:lineRule="exact"/>
        <w:rPr>
          <w:sz w:val="20"/>
          <w:szCs w:val="20"/>
          <w:color w:val="auto"/>
        </w:rPr>
      </w:pPr>
    </w:p>
    <w:p>
      <w:pPr>
        <w:ind w:left="200" w:hanging="192"/>
        <w:spacing w:after="0"/>
        <w:tabs>
          <w:tab w:leader="none" w:pos="200" w:val="left"/>
        </w:tabs>
        <w:numPr>
          <w:ilvl w:val="0"/>
          <w:numId w:val="95"/>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the Registrant;</w:t>
      </w:r>
    </w:p>
    <w:p>
      <w:pPr>
        <w:spacing w:after="0" w:line="225" w:lineRule="exact"/>
        <w:rPr>
          <w:rFonts w:ascii="Arial" w:cs="Arial" w:eastAsia="Arial" w:hAnsi="Arial"/>
          <w:sz w:val="18"/>
          <w:szCs w:val="18"/>
          <w:color w:val="auto"/>
        </w:rPr>
      </w:pPr>
    </w:p>
    <w:p>
      <w:pPr>
        <w:ind w:right="280" w:firstLine="8"/>
        <w:spacing w:after="0" w:line="256" w:lineRule="auto"/>
        <w:tabs>
          <w:tab w:leader="none" w:pos="200" w:val="left"/>
        </w:tabs>
        <w:numPr>
          <w:ilvl w:val="0"/>
          <w:numId w:val="95"/>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201" w:lineRule="exact"/>
        <w:rPr>
          <w:rFonts w:ascii="Arial" w:cs="Arial" w:eastAsia="Arial" w:hAnsi="Arial"/>
          <w:sz w:val="18"/>
          <w:szCs w:val="18"/>
          <w:color w:val="auto"/>
        </w:rPr>
      </w:pPr>
    </w:p>
    <w:p>
      <w:pPr>
        <w:ind w:right="20" w:firstLine="8"/>
        <w:spacing w:after="0" w:line="262" w:lineRule="auto"/>
        <w:tabs>
          <w:tab w:leader="none" w:pos="200" w:val="left"/>
        </w:tabs>
        <w:numPr>
          <w:ilvl w:val="0"/>
          <w:numId w:val="95"/>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96" w:lineRule="exact"/>
        <w:rPr>
          <w:rFonts w:ascii="Arial" w:cs="Arial" w:eastAsia="Arial" w:hAnsi="Arial"/>
          <w:sz w:val="18"/>
          <w:szCs w:val="18"/>
          <w:color w:val="auto"/>
        </w:rPr>
      </w:pPr>
    </w:p>
    <w:p>
      <w:pPr>
        <w:ind w:right="40" w:firstLine="8"/>
        <w:spacing w:after="0" w:line="250" w:lineRule="auto"/>
        <w:tabs>
          <w:tab w:leader="none" w:pos="200" w:val="left"/>
        </w:tabs>
        <w:numPr>
          <w:ilvl w:val="0"/>
          <w:numId w:val="95"/>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w:t>
      </w:r>
    </w:p>
    <w:p>
      <w:pPr>
        <w:spacing w:after="0"/>
        <w:rPr>
          <w:rFonts w:ascii="Arial" w:cs="Arial" w:eastAsia="Arial" w:hAnsi="Arial"/>
          <w:sz w:val="18"/>
          <w:szCs w:val="18"/>
          <w:color w:val="auto"/>
        </w:rPr>
      </w:pPr>
      <w:r>
        <w:rPr>
          <w:rFonts w:ascii="Arial" w:cs="Arial" w:eastAsia="Arial" w:hAnsi="Arial"/>
          <w:sz w:val="18"/>
          <w:szCs w:val="18"/>
          <w:color w:val="auto"/>
        </w:rPr>
        <w:t>15d-15(f)) for the Registrant and have:</w:t>
      </w:r>
    </w:p>
    <w:p>
      <w:pPr>
        <w:spacing w:after="0" w:line="225" w:lineRule="exact"/>
        <w:rPr>
          <w:rFonts w:ascii="Arial" w:cs="Arial" w:eastAsia="Arial" w:hAnsi="Arial"/>
          <w:sz w:val="18"/>
          <w:szCs w:val="18"/>
          <w:color w:val="auto"/>
        </w:rPr>
      </w:pPr>
    </w:p>
    <w:p>
      <w:pPr>
        <w:ind w:left="820" w:hanging="407"/>
        <w:spacing w:after="0" w:line="256" w:lineRule="auto"/>
        <w:tabs>
          <w:tab w:leader="none" w:pos="835" w:val="left"/>
        </w:tabs>
        <w:numPr>
          <w:ilvl w:val="1"/>
          <w:numId w:val="95"/>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201" w:lineRule="exact"/>
        <w:rPr>
          <w:rFonts w:ascii="Arial" w:cs="Arial" w:eastAsia="Arial" w:hAnsi="Arial"/>
          <w:sz w:val="18"/>
          <w:szCs w:val="18"/>
          <w:color w:val="auto"/>
        </w:rPr>
      </w:pPr>
    </w:p>
    <w:p>
      <w:pPr>
        <w:ind w:left="820" w:right="140" w:hanging="407"/>
        <w:spacing w:after="0" w:line="256" w:lineRule="auto"/>
        <w:tabs>
          <w:tab w:leader="none" w:pos="835" w:val="left"/>
        </w:tabs>
        <w:numPr>
          <w:ilvl w:val="1"/>
          <w:numId w:val="95"/>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201" w:lineRule="exact"/>
        <w:rPr>
          <w:rFonts w:ascii="Arial" w:cs="Arial" w:eastAsia="Arial" w:hAnsi="Arial"/>
          <w:sz w:val="18"/>
          <w:szCs w:val="18"/>
          <w:color w:val="auto"/>
        </w:rPr>
      </w:pPr>
    </w:p>
    <w:p>
      <w:pPr>
        <w:ind w:left="820" w:right="20" w:hanging="407"/>
        <w:spacing w:after="0" w:line="256" w:lineRule="auto"/>
        <w:tabs>
          <w:tab w:leader="none" w:pos="825" w:val="left"/>
        </w:tabs>
        <w:numPr>
          <w:ilvl w:val="1"/>
          <w:numId w:val="95"/>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201" w:lineRule="exact"/>
        <w:rPr>
          <w:rFonts w:ascii="Arial" w:cs="Arial" w:eastAsia="Arial" w:hAnsi="Arial"/>
          <w:sz w:val="18"/>
          <w:szCs w:val="18"/>
          <w:color w:val="auto"/>
        </w:rPr>
      </w:pPr>
    </w:p>
    <w:p>
      <w:pPr>
        <w:ind w:left="820" w:right="240" w:hanging="407"/>
        <w:spacing w:after="0" w:line="256" w:lineRule="auto"/>
        <w:tabs>
          <w:tab w:leader="none" w:pos="835" w:val="left"/>
        </w:tabs>
        <w:numPr>
          <w:ilvl w:val="1"/>
          <w:numId w:val="95"/>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201" w:lineRule="exact"/>
        <w:rPr>
          <w:rFonts w:ascii="Arial" w:cs="Arial" w:eastAsia="Arial" w:hAnsi="Arial"/>
          <w:sz w:val="18"/>
          <w:szCs w:val="18"/>
          <w:color w:val="auto"/>
        </w:rPr>
      </w:pPr>
    </w:p>
    <w:p>
      <w:pPr>
        <w:ind w:right="80" w:firstLine="8"/>
        <w:spacing w:after="0" w:line="262" w:lineRule="auto"/>
        <w:tabs>
          <w:tab w:leader="none" w:pos="200" w:val="left"/>
        </w:tabs>
        <w:numPr>
          <w:ilvl w:val="0"/>
          <w:numId w:val="95"/>
        </w:numPr>
        <w:rPr>
          <w:rFonts w:ascii="Arial" w:cs="Arial" w:eastAsia="Arial" w:hAnsi="Arial"/>
          <w:sz w:val="18"/>
          <w:szCs w:val="18"/>
          <w:color w:val="auto"/>
        </w:rPr>
      </w:pPr>
      <w:r>
        <w:rPr>
          <w:rFonts w:ascii="Arial" w:cs="Arial" w:eastAsia="Arial" w:hAnsi="Arial"/>
          <w:sz w:val="18"/>
          <w:szCs w:val="18"/>
          <w:color w:val="auto"/>
        </w:rPr>
        <w:t>The Registrant’s other certifying officer and I have disclosed, based on our most recent evaluation of internal control over financial reporting, to the Registrant’s auditors and the audit committee of Registrant’s board of directors (or persons performing the equivalent functions):</w:t>
      </w:r>
    </w:p>
    <w:p>
      <w:pPr>
        <w:spacing w:after="0" w:line="196" w:lineRule="exact"/>
        <w:rPr>
          <w:rFonts w:ascii="Arial" w:cs="Arial" w:eastAsia="Arial" w:hAnsi="Arial"/>
          <w:sz w:val="18"/>
          <w:szCs w:val="18"/>
          <w:color w:val="auto"/>
        </w:rPr>
      </w:pPr>
    </w:p>
    <w:p>
      <w:pPr>
        <w:ind w:left="820" w:right="260" w:hanging="407"/>
        <w:spacing w:after="0" w:line="262" w:lineRule="auto"/>
        <w:tabs>
          <w:tab w:leader="none" w:pos="835" w:val="left"/>
        </w:tabs>
        <w:numPr>
          <w:ilvl w:val="1"/>
          <w:numId w:val="95"/>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96" w:lineRule="exact"/>
        <w:rPr>
          <w:rFonts w:ascii="Arial" w:cs="Arial" w:eastAsia="Arial" w:hAnsi="Arial"/>
          <w:sz w:val="18"/>
          <w:szCs w:val="18"/>
          <w:color w:val="auto"/>
        </w:rPr>
      </w:pPr>
    </w:p>
    <w:p>
      <w:pPr>
        <w:ind w:left="820" w:right="420" w:hanging="407"/>
        <w:spacing w:after="0" w:line="262" w:lineRule="auto"/>
        <w:tabs>
          <w:tab w:leader="none" w:pos="835" w:val="left"/>
        </w:tabs>
        <w:numPr>
          <w:ilvl w:val="1"/>
          <w:numId w:val="95"/>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372" w:lineRule="exact"/>
        <w:rPr>
          <w:sz w:val="20"/>
          <w:szCs w:val="20"/>
          <w:color w:val="auto"/>
        </w:rPr>
      </w:pPr>
    </w:p>
    <w:p>
      <w:pPr>
        <w:ind w:left="40"/>
        <w:spacing w:after="0"/>
        <w:rPr>
          <w:sz w:val="20"/>
          <w:szCs w:val="20"/>
          <w:color w:val="auto"/>
        </w:rPr>
      </w:pPr>
      <w:r>
        <w:rPr>
          <w:rFonts w:ascii="Arial" w:cs="Arial" w:eastAsia="Arial" w:hAnsi="Arial"/>
          <w:sz w:val="18"/>
          <w:szCs w:val="18"/>
          <w:color w:val="auto"/>
        </w:rPr>
        <w:t>/s/ Timothy J. O’Shaughnessy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1586230" cy="88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72">
                      <a:extLst>
                        <a:ext uri="{28A0092B-C50C-407E-A947-70E740481C1C}"/>
                      </a:extLst>
                    </a:blip>
                    <a:srcRect/>
                    <a:stretch>
                      <a:fillRect/>
                    </a:stretch>
                  </pic:blipFill>
                  <pic:spPr bwMode="auto">
                    <a:xfrm>
                      <a:off x="0" y="0"/>
                      <a:ext cx="1586230" cy="8890"/>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Timothy J. O’Shaughnessy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Chief Executive Officer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February 23, 2018</w:t>
      </w:r>
    </w:p>
    <w:p>
      <w:pPr>
        <w:sectPr>
          <w:pgSz w:w="11900" w:h="16838" w:orient="portrait"/>
          <w:cols w:equalWidth="0" w:num="1">
            <w:col w:w="11420"/>
          </w:cols>
          <w:pgMar w:left="240" w:top="598" w:right="239" w:bottom="1440" w:gutter="0" w:footer="0" w:header="0"/>
        </w:sectPr>
      </w:pPr>
    </w:p>
    <w:bookmarkStart w:id="140" w:name="page141"/>
    <w:bookmarkEnd w:id="140"/>
    <w:p>
      <w:pPr>
        <w:jc w:val="right"/>
        <w:spacing w:after="0"/>
        <w:rPr>
          <w:sz w:val="20"/>
          <w:szCs w:val="20"/>
          <w:color w:val="auto"/>
        </w:rPr>
      </w:pPr>
      <w:r>
        <w:rPr>
          <w:rFonts w:ascii="Arial" w:cs="Arial" w:eastAsia="Arial" w:hAnsi="Arial"/>
          <w:sz w:val="18"/>
          <w:szCs w:val="18"/>
          <w:color w:val="auto"/>
        </w:rPr>
        <w:t>EXHIBIT 31.2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RULE 13a-14(a)/15d-14(a) CERTIFICATION OF THE CHIEF FINANCIAL OFFICER</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AS ADOPTED PURSUANT TO SECTION 302 OF THE SARBANES-OXLEY ACT OF 2002</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I, Wallace R. Cooney, Senior Vice President-Finance (principal financial officer) of Graham Holdings Company (the “Registrant”), certify that:</w:t>
      </w:r>
    </w:p>
    <w:p>
      <w:pPr>
        <w:spacing w:after="0" w:line="225" w:lineRule="exact"/>
        <w:rPr>
          <w:sz w:val="20"/>
          <w:szCs w:val="20"/>
          <w:color w:val="auto"/>
        </w:rPr>
      </w:pPr>
    </w:p>
    <w:p>
      <w:pPr>
        <w:ind w:left="200" w:hanging="192"/>
        <w:spacing w:after="0"/>
        <w:tabs>
          <w:tab w:leader="none" w:pos="200" w:val="left"/>
        </w:tabs>
        <w:numPr>
          <w:ilvl w:val="0"/>
          <w:numId w:val="96"/>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the Registrant;</w:t>
      </w:r>
    </w:p>
    <w:p>
      <w:pPr>
        <w:spacing w:after="0" w:line="225" w:lineRule="exact"/>
        <w:rPr>
          <w:rFonts w:ascii="Arial" w:cs="Arial" w:eastAsia="Arial" w:hAnsi="Arial"/>
          <w:sz w:val="18"/>
          <w:szCs w:val="18"/>
          <w:color w:val="auto"/>
        </w:rPr>
      </w:pPr>
    </w:p>
    <w:p>
      <w:pPr>
        <w:ind w:right="280" w:firstLine="8"/>
        <w:spacing w:after="0" w:line="256" w:lineRule="auto"/>
        <w:tabs>
          <w:tab w:leader="none" w:pos="200" w:val="left"/>
        </w:tabs>
        <w:numPr>
          <w:ilvl w:val="0"/>
          <w:numId w:val="96"/>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201" w:lineRule="exact"/>
        <w:rPr>
          <w:rFonts w:ascii="Arial" w:cs="Arial" w:eastAsia="Arial" w:hAnsi="Arial"/>
          <w:sz w:val="18"/>
          <w:szCs w:val="18"/>
          <w:color w:val="auto"/>
        </w:rPr>
      </w:pPr>
    </w:p>
    <w:p>
      <w:pPr>
        <w:ind w:right="20" w:firstLine="8"/>
        <w:spacing w:after="0" w:line="262" w:lineRule="auto"/>
        <w:tabs>
          <w:tab w:leader="none" w:pos="200" w:val="left"/>
        </w:tabs>
        <w:numPr>
          <w:ilvl w:val="0"/>
          <w:numId w:val="96"/>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96" w:lineRule="exact"/>
        <w:rPr>
          <w:rFonts w:ascii="Arial" w:cs="Arial" w:eastAsia="Arial" w:hAnsi="Arial"/>
          <w:sz w:val="18"/>
          <w:szCs w:val="18"/>
          <w:color w:val="auto"/>
        </w:rPr>
      </w:pPr>
    </w:p>
    <w:p>
      <w:pPr>
        <w:ind w:right="40" w:firstLine="8"/>
        <w:spacing w:after="0" w:line="250" w:lineRule="auto"/>
        <w:tabs>
          <w:tab w:leader="none" w:pos="200" w:val="left"/>
        </w:tabs>
        <w:numPr>
          <w:ilvl w:val="0"/>
          <w:numId w:val="96"/>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w:t>
      </w:r>
    </w:p>
    <w:p>
      <w:pPr>
        <w:spacing w:after="0"/>
        <w:rPr>
          <w:rFonts w:ascii="Arial" w:cs="Arial" w:eastAsia="Arial" w:hAnsi="Arial"/>
          <w:sz w:val="18"/>
          <w:szCs w:val="18"/>
          <w:color w:val="auto"/>
        </w:rPr>
      </w:pPr>
      <w:r>
        <w:rPr>
          <w:rFonts w:ascii="Arial" w:cs="Arial" w:eastAsia="Arial" w:hAnsi="Arial"/>
          <w:sz w:val="18"/>
          <w:szCs w:val="18"/>
          <w:color w:val="auto"/>
        </w:rPr>
        <w:t>15d-15(f)) for the Registrant and have:</w:t>
      </w:r>
    </w:p>
    <w:p>
      <w:pPr>
        <w:spacing w:after="0" w:line="225" w:lineRule="exact"/>
        <w:rPr>
          <w:rFonts w:ascii="Arial" w:cs="Arial" w:eastAsia="Arial" w:hAnsi="Arial"/>
          <w:sz w:val="18"/>
          <w:szCs w:val="18"/>
          <w:color w:val="auto"/>
        </w:rPr>
      </w:pPr>
    </w:p>
    <w:p>
      <w:pPr>
        <w:ind w:left="820" w:hanging="407"/>
        <w:spacing w:after="0" w:line="256" w:lineRule="auto"/>
        <w:tabs>
          <w:tab w:leader="none" w:pos="835" w:val="left"/>
        </w:tabs>
        <w:numPr>
          <w:ilvl w:val="1"/>
          <w:numId w:val="96"/>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201" w:lineRule="exact"/>
        <w:rPr>
          <w:rFonts w:ascii="Arial" w:cs="Arial" w:eastAsia="Arial" w:hAnsi="Arial"/>
          <w:sz w:val="18"/>
          <w:szCs w:val="18"/>
          <w:color w:val="auto"/>
        </w:rPr>
      </w:pPr>
    </w:p>
    <w:p>
      <w:pPr>
        <w:ind w:left="820" w:right="140" w:hanging="407"/>
        <w:spacing w:after="0" w:line="256" w:lineRule="auto"/>
        <w:tabs>
          <w:tab w:leader="none" w:pos="835" w:val="left"/>
        </w:tabs>
        <w:numPr>
          <w:ilvl w:val="1"/>
          <w:numId w:val="96"/>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201" w:lineRule="exact"/>
        <w:rPr>
          <w:rFonts w:ascii="Arial" w:cs="Arial" w:eastAsia="Arial" w:hAnsi="Arial"/>
          <w:sz w:val="18"/>
          <w:szCs w:val="18"/>
          <w:color w:val="auto"/>
        </w:rPr>
      </w:pPr>
    </w:p>
    <w:p>
      <w:pPr>
        <w:ind w:left="820" w:right="20" w:hanging="407"/>
        <w:spacing w:after="0" w:line="256" w:lineRule="auto"/>
        <w:tabs>
          <w:tab w:leader="none" w:pos="825" w:val="left"/>
        </w:tabs>
        <w:numPr>
          <w:ilvl w:val="1"/>
          <w:numId w:val="96"/>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201" w:lineRule="exact"/>
        <w:rPr>
          <w:rFonts w:ascii="Arial" w:cs="Arial" w:eastAsia="Arial" w:hAnsi="Arial"/>
          <w:sz w:val="18"/>
          <w:szCs w:val="18"/>
          <w:color w:val="auto"/>
        </w:rPr>
      </w:pPr>
    </w:p>
    <w:p>
      <w:pPr>
        <w:ind w:left="820" w:right="240" w:hanging="407"/>
        <w:spacing w:after="0" w:line="256" w:lineRule="auto"/>
        <w:tabs>
          <w:tab w:leader="none" w:pos="835" w:val="left"/>
        </w:tabs>
        <w:numPr>
          <w:ilvl w:val="1"/>
          <w:numId w:val="96"/>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201" w:lineRule="exact"/>
        <w:rPr>
          <w:rFonts w:ascii="Arial" w:cs="Arial" w:eastAsia="Arial" w:hAnsi="Arial"/>
          <w:sz w:val="18"/>
          <w:szCs w:val="18"/>
          <w:color w:val="auto"/>
        </w:rPr>
      </w:pPr>
    </w:p>
    <w:p>
      <w:pPr>
        <w:ind w:right="80" w:firstLine="8"/>
        <w:spacing w:after="0" w:line="262" w:lineRule="auto"/>
        <w:tabs>
          <w:tab w:leader="none" w:pos="200" w:val="left"/>
        </w:tabs>
        <w:numPr>
          <w:ilvl w:val="0"/>
          <w:numId w:val="96"/>
        </w:numPr>
        <w:rPr>
          <w:rFonts w:ascii="Arial" w:cs="Arial" w:eastAsia="Arial" w:hAnsi="Arial"/>
          <w:sz w:val="18"/>
          <w:szCs w:val="18"/>
          <w:color w:val="auto"/>
        </w:rPr>
      </w:pPr>
      <w:r>
        <w:rPr>
          <w:rFonts w:ascii="Arial" w:cs="Arial" w:eastAsia="Arial" w:hAnsi="Arial"/>
          <w:sz w:val="18"/>
          <w:szCs w:val="18"/>
          <w:color w:val="auto"/>
        </w:rPr>
        <w:t>The Registrant’s other certifying officer and I have disclosed, based on our most recent evaluation of internal control over financial reporting, to the Registrant’s auditors and the audit committee of Registrant’s board of directors (or persons performing the equivalent functions):</w:t>
      </w:r>
    </w:p>
    <w:p>
      <w:pPr>
        <w:spacing w:after="0" w:line="196" w:lineRule="exact"/>
        <w:rPr>
          <w:rFonts w:ascii="Arial" w:cs="Arial" w:eastAsia="Arial" w:hAnsi="Arial"/>
          <w:sz w:val="18"/>
          <w:szCs w:val="18"/>
          <w:color w:val="auto"/>
        </w:rPr>
      </w:pPr>
    </w:p>
    <w:p>
      <w:pPr>
        <w:ind w:left="820" w:right="260" w:hanging="407"/>
        <w:spacing w:after="0" w:line="262" w:lineRule="auto"/>
        <w:tabs>
          <w:tab w:leader="none" w:pos="835" w:val="left"/>
        </w:tabs>
        <w:numPr>
          <w:ilvl w:val="1"/>
          <w:numId w:val="96"/>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96" w:lineRule="exact"/>
        <w:rPr>
          <w:rFonts w:ascii="Arial" w:cs="Arial" w:eastAsia="Arial" w:hAnsi="Arial"/>
          <w:sz w:val="18"/>
          <w:szCs w:val="18"/>
          <w:color w:val="auto"/>
        </w:rPr>
      </w:pPr>
    </w:p>
    <w:p>
      <w:pPr>
        <w:ind w:left="820" w:right="420" w:hanging="407"/>
        <w:spacing w:after="0" w:line="262" w:lineRule="auto"/>
        <w:tabs>
          <w:tab w:leader="none" w:pos="835" w:val="left"/>
        </w:tabs>
        <w:numPr>
          <w:ilvl w:val="1"/>
          <w:numId w:val="96"/>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372" w:lineRule="exact"/>
        <w:rPr>
          <w:sz w:val="20"/>
          <w:szCs w:val="20"/>
          <w:color w:val="auto"/>
        </w:rPr>
      </w:pPr>
    </w:p>
    <w:p>
      <w:pPr>
        <w:ind w:left="40"/>
        <w:spacing w:after="0"/>
        <w:rPr>
          <w:sz w:val="20"/>
          <w:szCs w:val="20"/>
          <w:color w:val="auto"/>
        </w:rPr>
      </w:pPr>
      <w:r>
        <w:rPr>
          <w:rFonts w:ascii="Arial" w:cs="Arial" w:eastAsia="Arial" w:hAnsi="Arial"/>
          <w:sz w:val="18"/>
          <w:szCs w:val="18"/>
          <w:color w:val="auto"/>
        </w:rPr>
        <w:t>/s/ Wallace R. Cooney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1586230" cy="88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73">
                      <a:extLst>
                        <a:ext uri="{28A0092B-C50C-407E-A947-70E740481C1C}"/>
                      </a:extLst>
                    </a:blip>
                    <a:srcRect/>
                    <a:stretch>
                      <a:fillRect/>
                    </a:stretch>
                  </pic:blipFill>
                  <pic:spPr bwMode="auto">
                    <a:xfrm>
                      <a:off x="0" y="0"/>
                      <a:ext cx="1586230" cy="8890"/>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Wallace R. Cooney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Senior Vice President–Finance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February 23, 2018</w:t>
      </w:r>
    </w:p>
    <w:p>
      <w:pPr>
        <w:sectPr>
          <w:pgSz w:w="11900" w:h="16838" w:orient="portrait"/>
          <w:cols w:equalWidth="0" w:num="1">
            <w:col w:w="11420"/>
          </w:cols>
          <w:pgMar w:left="240" w:top="598" w:right="239" w:bottom="1440" w:gutter="0" w:footer="0" w:header="0"/>
        </w:sectPr>
      </w:pPr>
    </w:p>
    <w:bookmarkStart w:id="141" w:name="page142"/>
    <w:bookmarkEnd w:id="141"/>
    <w:p>
      <w:pPr>
        <w:jc w:val="right"/>
        <w:spacing w:after="0"/>
        <w:rPr>
          <w:sz w:val="20"/>
          <w:szCs w:val="20"/>
          <w:color w:val="auto"/>
        </w:rPr>
      </w:pPr>
      <w:r>
        <w:rPr>
          <w:rFonts w:ascii="Arial" w:cs="Arial" w:eastAsia="Arial" w:hAnsi="Arial"/>
          <w:sz w:val="18"/>
          <w:szCs w:val="18"/>
          <w:color w:val="auto"/>
        </w:rPr>
        <w:t>EXHIBIT 32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SECTION 1350 CERTIFICATION OF THE CHIEF EXECUTIVE OFFICER AND THE CHIEF FINANCIAL</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OFFICER</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AS ADOPTED PURSUANT TO SECTION 906 OF THE SARBANES-OXLEY ACT OF 2002</w:t>
      </w:r>
    </w:p>
    <w:p>
      <w:pPr>
        <w:spacing w:after="0" w:line="225" w:lineRule="exact"/>
        <w:rPr>
          <w:sz w:val="20"/>
          <w:szCs w:val="20"/>
          <w:color w:val="auto"/>
        </w:rPr>
      </w:pPr>
    </w:p>
    <w:p>
      <w:pPr>
        <w:ind w:right="240"/>
        <w:spacing w:after="0" w:line="254" w:lineRule="auto"/>
        <w:rPr>
          <w:sz w:val="20"/>
          <w:szCs w:val="20"/>
          <w:color w:val="auto"/>
        </w:rPr>
      </w:pPr>
      <w:r>
        <w:rPr>
          <w:rFonts w:ascii="Arial" w:cs="Arial" w:eastAsia="Arial" w:hAnsi="Arial"/>
          <w:sz w:val="18"/>
          <w:szCs w:val="18"/>
          <w:color w:val="auto"/>
        </w:rPr>
        <w:t>In connection with the Annual Report of Graham Holdings Company (the “Company”) on Form 10-K for the fiscal year ended December 31, 2017 (the “Report”), Timothy J. O'Shaughnessy, Chief Executive Officer (principal executive officer) of the Company and Wallace R. Cooney, Senior Vice President–Finance (principal financial officer) of the Company, each hereby certifies, pursuant to 18 U.S.C. § 1350, as adopted pursuant to § 906 of the Sarbanes-Oxley Act of 2002, that:</w:t>
      </w:r>
    </w:p>
    <w:p>
      <w:pPr>
        <w:spacing w:after="0" w:line="204" w:lineRule="exact"/>
        <w:rPr>
          <w:sz w:val="20"/>
          <w:szCs w:val="20"/>
          <w:color w:val="auto"/>
        </w:rPr>
      </w:pPr>
    </w:p>
    <w:p>
      <w:pPr>
        <w:ind w:left="280" w:hanging="272"/>
        <w:spacing w:after="0"/>
        <w:tabs>
          <w:tab w:leader="none" w:pos="280" w:val="left"/>
        </w:tabs>
        <w:numPr>
          <w:ilvl w:val="0"/>
          <w:numId w:val="97"/>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225" w:lineRule="exact"/>
        <w:rPr>
          <w:rFonts w:ascii="Arial" w:cs="Arial" w:eastAsia="Arial" w:hAnsi="Arial"/>
          <w:sz w:val="18"/>
          <w:szCs w:val="18"/>
          <w:color w:val="auto"/>
        </w:rPr>
      </w:pPr>
    </w:p>
    <w:p>
      <w:pPr>
        <w:ind w:right="560" w:firstLine="8"/>
        <w:spacing w:after="0" w:line="262" w:lineRule="auto"/>
        <w:tabs>
          <w:tab w:leader="none" w:pos="270" w:val="left"/>
        </w:tabs>
        <w:numPr>
          <w:ilvl w:val="0"/>
          <w:numId w:val="97"/>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388" w:lineRule="exact"/>
        <w:rPr>
          <w:sz w:val="20"/>
          <w:szCs w:val="20"/>
          <w:color w:val="auto"/>
        </w:rPr>
      </w:pPr>
    </w:p>
    <w:p>
      <w:pPr>
        <w:ind w:left="40"/>
        <w:spacing w:after="0"/>
        <w:rPr>
          <w:sz w:val="20"/>
          <w:szCs w:val="20"/>
          <w:color w:val="auto"/>
        </w:rPr>
      </w:pPr>
      <w:r>
        <w:rPr>
          <w:rFonts w:ascii="Arial" w:cs="Arial" w:eastAsia="Arial" w:hAnsi="Arial"/>
          <w:sz w:val="18"/>
          <w:szCs w:val="18"/>
          <w:color w:val="auto"/>
        </w:rPr>
        <w:t>/s/ Timothy J. O’Shaughnessy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1586230" cy="889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74">
                      <a:extLst>
                        <a:ext uri="{28A0092B-C50C-407E-A947-70E740481C1C}"/>
                      </a:extLst>
                    </a:blip>
                    <a:srcRect/>
                    <a:stretch>
                      <a:fillRect/>
                    </a:stretch>
                  </pic:blipFill>
                  <pic:spPr bwMode="auto">
                    <a:xfrm>
                      <a:off x="0" y="0"/>
                      <a:ext cx="1586230" cy="8890"/>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Timothy J. O'Shaughnessy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Chief Executive Officer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February 23, 2018</w:t>
      </w: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ind w:left="40"/>
        <w:spacing w:after="0"/>
        <w:rPr>
          <w:sz w:val="20"/>
          <w:szCs w:val="20"/>
          <w:color w:val="auto"/>
        </w:rPr>
      </w:pPr>
      <w:r>
        <w:rPr>
          <w:rFonts w:ascii="Arial" w:cs="Arial" w:eastAsia="Arial" w:hAnsi="Arial"/>
          <w:sz w:val="18"/>
          <w:szCs w:val="18"/>
          <w:color w:val="auto"/>
        </w:rPr>
        <w:t>/s/ Wallace R. Cooney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1586230" cy="889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75">
                      <a:extLst>
                        <a:ext uri="{28A0092B-C50C-407E-A947-70E740481C1C}"/>
                      </a:extLst>
                    </a:blip>
                    <a:srcRect/>
                    <a:stretch>
                      <a:fillRect/>
                    </a:stretch>
                  </pic:blipFill>
                  <pic:spPr bwMode="auto">
                    <a:xfrm>
                      <a:off x="0" y="0"/>
                      <a:ext cx="1586230" cy="8890"/>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Wallace R. Cooney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Senior Vice President–Finance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February 23, 2018</w:t>
      </w:r>
    </w:p>
    <w:sectPr>
      <w:pgSz w:w="11900" w:h="16838" w:orient="portrait"/>
      <w:cols w:equalWidth="0" w:num="1">
        <w:col w:w="11420"/>
      </w:cols>
      <w:pgMar w:left="240" w:top="598"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84A481A"/>
    <w:multiLevelType w:val="hybridMultilevel"/>
    <w:lvl w:ilvl="0">
      <w:lvlJc w:val="left"/>
      <w:lvlText w:val="•"/>
      <w:numFmt w:val="bullet"/>
      <w:start w:val="1"/>
    </w:lvl>
  </w:abstractNum>
  <w:abstractNum w:abstractNumId="1">
    <w:nsid w:val="579478FE"/>
    <w:multiLevelType w:val="hybridMultilevel"/>
    <w:lvl w:ilvl="0">
      <w:lvlJc w:val="left"/>
      <w:lvlText w:val="(%1)"/>
      <w:numFmt w:val="lowerLetter"/>
      <w:start w:val="1"/>
    </w:lvl>
  </w:abstractNum>
  <w:abstractNum w:abstractNumId="2">
    <w:nsid w:val="749ABB43"/>
    <w:multiLevelType w:val="hybridMultilevel"/>
    <w:lvl w:ilvl="0">
      <w:lvlJc w:val="left"/>
      <w:lvlText w:val="(%1)"/>
      <w:numFmt w:val="lowerLetter"/>
      <w:start w:val="2"/>
    </w:lvl>
  </w:abstractNum>
  <w:abstractNum w:abstractNumId="3">
    <w:nsid w:val="3DC240FB"/>
    <w:multiLevelType w:val="hybridMultilevel"/>
    <w:lvl w:ilvl="0">
      <w:lvlJc w:val="left"/>
      <w:lvlText w:val="•"/>
      <w:numFmt w:val="bullet"/>
      <w:start w:val="1"/>
    </w:lvl>
  </w:abstractNum>
  <w:abstractNum w:abstractNumId="4">
    <w:nsid w:val="1BA026FA"/>
    <w:multiLevelType w:val="hybridMultilevel"/>
    <w:lvl w:ilvl="0">
      <w:lvlJc w:val="left"/>
      <w:lvlText w:val="•"/>
      <w:numFmt w:val="bullet"/>
      <w:start w:val="1"/>
    </w:lvl>
  </w:abstractNum>
  <w:abstractNum w:abstractNumId="5">
    <w:nsid w:val="79A1DEAA"/>
    <w:multiLevelType w:val="hybridMultilevel"/>
    <w:lvl w:ilvl="0">
      <w:lvlJc w:val="left"/>
      <w:lvlText w:val="•"/>
      <w:numFmt w:val="bullet"/>
      <w:start w:val="1"/>
    </w:lvl>
  </w:abstractNum>
  <w:abstractNum w:abstractNumId="6">
    <w:nsid w:val="75C6C33A"/>
    <w:multiLevelType w:val="hybridMultilevel"/>
    <w:lvl w:ilvl="0">
      <w:lvlJc w:val="left"/>
      <w:lvlText w:val="•"/>
      <w:numFmt w:val="bullet"/>
      <w:start w:val="1"/>
    </w:lvl>
  </w:abstractNum>
  <w:abstractNum w:abstractNumId="7">
    <w:nsid w:val="12E685FB"/>
    <w:multiLevelType w:val="hybridMultilevel"/>
    <w:lvl w:ilvl="0">
      <w:lvlJc w:val="left"/>
      <w:lvlText w:val="•"/>
      <w:numFmt w:val="bullet"/>
      <w:start w:val="1"/>
    </w:lvl>
  </w:abstractNum>
  <w:abstractNum w:abstractNumId="8">
    <w:nsid w:val="70C6A529"/>
    <w:multiLevelType w:val="hybridMultilevel"/>
    <w:lvl w:ilvl="0">
      <w:lvlJc w:val="left"/>
      <w:lvlText w:val="•"/>
      <w:numFmt w:val="bullet"/>
      <w:start w:val="1"/>
    </w:lvl>
  </w:abstractNum>
  <w:abstractNum w:abstractNumId="9">
    <w:nsid w:val="520EEDD1"/>
    <w:multiLevelType w:val="hybridMultilevel"/>
    <w:lvl w:ilvl="0">
      <w:lvlJc w:val="left"/>
      <w:lvlText w:val="•"/>
      <w:numFmt w:val="bullet"/>
      <w:start w:val="1"/>
    </w:lvl>
  </w:abstractNum>
  <w:abstractNum w:abstractNumId="10">
    <w:nsid w:val="374A3FE6"/>
    <w:multiLevelType w:val="hybridMultilevel"/>
    <w:lvl w:ilvl="0">
      <w:lvlJc w:val="left"/>
      <w:lvlText w:val="•"/>
      <w:numFmt w:val="bullet"/>
      <w:start w:val="1"/>
    </w:lvl>
  </w:abstractNum>
  <w:abstractNum w:abstractNumId="11">
    <w:nsid w:val="4F4EF005"/>
    <w:multiLevelType w:val="hybridMultilevel"/>
    <w:lvl w:ilvl="0">
      <w:lvlJc w:val="left"/>
      <w:lvlText w:val="•"/>
      <w:numFmt w:val="bullet"/>
      <w:start w:val="1"/>
    </w:lvl>
  </w:abstractNum>
  <w:abstractNum w:abstractNumId="12">
    <w:nsid w:val="23F9C13C"/>
    <w:multiLevelType w:val="hybridMultilevel"/>
    <w:lvl w:ilvl="0">
      <w:lvlJc w:val="left"/>
      <w:lvlText w:val="•"/>
      <w:numFmt w:val="bullet"/>
      <w:start w:val="1"/>
    </w:lvl>
  </w:abstractNum>
  <w:abstractNum w:abstractNumId="13">
    <w:nsid w:val="649BB77C"/>
    <w:multiLevelType w:val="hybridMultilevel"/>
    <w:lvl w:ilvl="0">
      <w:lvlJc w:val="left"/>
      <w:lvlText w:val="•"/>
      <w:numFmt w:val="bullet"/>
      <w:start w:val="1"/>
    </w:lvl>
  </w:abstractNum>
  <w:abstractNum w:abstractNumId="14">
    <w:nsid w:val="275AC794"/>
    <w:multiLevelType w:val="hybridMultilevel"/>
    <w:lvl w:ilvl="0">
      <w:lvlJc w:val="left"/>
      <w:lvlText w:val="•"/>
      <w:numFmt w:val="bullet"/>
      <w:start w:val="1"/>
    </w:lvl>
  </w:abstractNum>
  <w:abstractNum w:abstractNumId="15">
    <w:nsid w:val="39386575"/>
    <w:multiLevelType w:val="hybridMultilevel"/>
    <w:lvl w:ilvl="0">
      <w:lvlJc w:val="left"/>
      <w:lvlText w:val="•"/>
      <w:numFmt w:val="bullet"/>
      <w:start w:val="1"/>
    </w:lvl>
  </w:abstractNum>
  <w:abstractNum w:abstractNumId="16">
    <w:nsid w:val="1CF10FD8"/>
    <w:multiLevelType w:val="hybridMultilevel"/>
    <w:lvl w:ilvl="0">
      <w:lvlJc w:val="left"/>
      <w:lvlText w:val="•"/>
      <w:numFmt w:val="bullet"/>
      <w:start w:val="1"/>
    </w:lvl>
  </w:abstractNum>
  <w:abstractNum w:abstractNumId="17">
    <w:nsid w:val="180115BE"/>
    <w:multiLevelType w:val="hybridMultilevel"/>
    <w:lvl w:ilvl="0">
      <w:lvlJc w:val="left"/>
      <w:lvlText w:val="•"/>
      <w:numFmt w:val="bullet"/>
      <w:start w:val="1"/>
    </w:lvl>
  </w:abstractNum>
  <w:abstractNum w:abstractNumId="18">
    <w:nsid w:val="235BA861"/>
    <w:multiLevelType w:val="hybridMultilevel"/>
    <w:lvl w:ilvl="0">
      <w:lvlJc w:val="left"/>
      <w:lvlText w:val="•"/>
      <w:numFmt w:val="bullet"/>
      <w:start w:val="1"/>
    </w:lvl>
  </w:abstractNum>
  <w:abstractNum w:abstractNumId="19">
    <w:nsid w:val="47398C89"/>
    <w:multiLevelType w:val="hybridMultilevel"/>
    <w:lvl w:ilvl="0">
      <w:lvlJc w:val="left"/>
      <w:lvlText w:val="•"/>
      <w:numFmt w:val="bullet"/>
      <w:start w:val="1"/>
    </w:lvl>
  </w:abstractNum>
  <w:abstractNum w:abstractNumId="20">
    <w:nsid w:val="354FE9F9"/>
    <w:multiLevelType w:val="hybridMultilevel"/>
    <w:lvl w:ilvl="0">
      <w:lvlJc w:val="left"/>
      <w:lvlText w:val="•"/>
      <w:numFmt w:val="bullet"/>
      <w:start w:val="1"/>
    </w:lvl>
  </w:abstractNum>
  <w:abstractNum w:abstractNumId="21">
    <w:nsid w:val="15B5AF5C"/>
    <w:multiLevelType w:val="hybridMultilevel"/>
    <w:lvl w:ilvl="0">
      <w:lvlJc w:val="left"/>
      <w:lvlText w:val="•"/>
      <w:numFmt w:val="bullet"/>
      <w:start w:val="1"/>
    </w:lvl>
  </w:abstractNum>
  <w:abstractNum w:abstractNumId="22">
    <w:nsid w:val="741226BB"/>
    <w:multiLevelType w:val="hybridMultilevel"/>
    <w:lvl w:ilvl="0">
      <w:lvlJc w:val="left"/>
      <w:lvlText w:val="•"/>
      <w:numFmt w:val="bullet"/>
      <w:start w:val="1"/>
    </w:lvl>
  </w:abstractNum>
  <w:abstractNum w:abstractNumId="23">
    <w:nsid w:val="D34B6A8"/>
    <w:multiLevelType w:val="hybridMultilevel"/>
    <w:lvl w:ilvl="0">
      <w:lvlJc w:val="left"/>
      <w:lvlText w:val="•"/>
      <w:numFmt w:val="bullet"/>
      <w:start w:val="1"/>
    </w:lvl>
  </w:abstractNum>
  <w:abstractNum w:abstractNumId="24">
    <w:nsid w:val="10233C99"/>
    <w:multiLevelType w:val="hybridMultilevel"/>
    <w:lvl w:ilvl="0">
      <w:lvlJc w:val="left"/>
      <w:lvlText w:val="•"/>
      <w:numFmt w:val="bullet"/>
      <w:start w:val="1"/>
    </w:lvl>
  </w:abstractNum>
  <w:abstractNum w:abstractNumId="25">
    <w:nsid w:val="3F6AB60F"/>
    <w:multiLevelType w:val="hybridMultilevel"/>
    <w:lvl w:ilvl="0">
      <w:lvlJc w:val="left"/>
      <w:lvlText w:val="•"/>
      <w:numFmt w:val="bullet"/>
      <w:start w:val="1"/>
    </w:lvl>
  </w:abstractNum>
  <w:abstractNum w:abstractNumId="26">
    <w:nsid w:val="61574095"/>
    <w:multiLevelType w:val="hybridMultilevel"/>
    <w:lvl w:ilvl="0">
      <w:lvlJc w:val="left"/>
      <w:lvlText w:val="•"/>
      <w:numFmt w:val="bullet"/>
      <w:start w:val="1"/>
    </w:lvl>
  </w:abstractNum>
  <w:abstractNum w:abstractNumId="27">
    <w:nsid w:val="7E0C57B1"/>
    <w:multiLevelType w:val="hybridMultilevel"/>
    <w:lvl w:ilvl="0">
      <w:lvlJc w:val="left"/>
      <w:lvlText w:val="•"/>
      <w:numFmt w:val="bullet"/>
      <w:start w:val="1"/>
    </w:lvl>
  </w:abstractNum>
  <w:abstractNum w:abstractNumId="28">
    <w:nsid w:val="77AE35EB"/>
    <w:multiLevelType w:val="hybridMultilevel"/>
    <w:lvl w:ilvl="0">
      <w:lvlJc w:val="left"/>
      <w:lvlText w:val="•"/>
      <w:numFmt w:val="bullet"/>
      <w:start w:val="1"/>
    </w:lvl>
  </w:abstractNum>
  <w:abstractNum w:abstractNumId="29">
    <w:nsid w:val="579BE4F1"/>
    <w:multiLevelType w:val="hybridMultilevel"/>
    <w:lvl w:ilvl="0">
      <w:lvlJc w:val="left"/>
      <w:lvlText w:val="•"/>
      <w:numFmt w:val="bullet"/>
      <w:start w:val="1"/>
    </w:lvl>
  </w:abstractNum>
  <w:abstractNum w:abstractNumId="30">
    <w:nsid w:val="310C50B3"/>
    <w:multiLevelType w:val="hybridMultilevel"/>
    <w:lvl w:ilvl="0">
      <w:lvlJc w:val="left"/>
      <w:lvlText w:val="•"/>
      <w:numFmt w:val="bullet"/>
      <w:start w:val="1"/>
    </w:lvl>
  </w:abstractNum>
  <w:abstractNum w:abstractNumId="31">
    <w:nsid w:val="5FF87E05"/>
    <w:multiLevelType w:val="hybridMultilevel"/>
    <w:lvl w:ilvl="0">
      <w:lvlJc w:val="left"/>
      <w:lvlText w:val="•"/>
      <w:numFmt w:val="bullet"/>
      <w:start w:val="1"/>
    </w:lvl>
  </w:abstractNum>
  <w:abstractNum w:abstractNumId="32">
    <w:nsid w:val="2F305DEF"/>
    <w:multiLevelType w:val="hybridMultilevel"/>
    <w:lvl w:ilvl="0">
      <w:lvlJc w:val="left"/>
      <w:lvlText w:val="•"/>
      <w:numFmt w:val="bullet"/>
      <w:start w:val="1"/>
    </w:lvl>
  </w:abstractNum>
  <w:abstractNum w:abstractNumId="33">
    <w:nsid w:val="25A70BF7"/>
    <w:multiLevelType w:val="hybridMultilevel"/>
    <w:lvl w:ilvl="0">
      <w:lvlJc w:val="left"/>
      <w:lvlText w:val="•"/>
      <w:numFmt w:val="bullet"/>
      <w:start w:val="1"/>
    </w:lvl>
  </w:abstractNum>
  <w:abstractNum w:abstractNumId="34">
    <w:nsid w:val="1DBABF00"/>
    <w:multiLevelType w:val="hybridMultilevel"/>
    <w:lvl w:ilvl="0">
      <w:lvlJc w:val="left"/>
      <w:lvlText w:val="•"/>
      <w:numFmt w:val="bullet"/>
      <w:start w:val="1"/>
    </w:lvl>
  </w:abstractNum>
  <w:abstractNum w:abstractNumId="35">
    <w:nsid w:val="4AD084E9"/>
    <w:multiLevelType w:val="hybridMultilevel"/>
    <w:lvl w:ilvl="0">
      <w:lvlJc w:val="left"/>
      <w:lvlText w:val="•"/>
      <w:numFmt w:val="bullet"/>
      <w:start w:val="1"/>
    </w:lvl>
  </w:abstractNum>
  <w:abstractNum w:abstractNumId="36">
    <w:nsid w:val="1F48EAA1"/>
    <w:multiLevelType w:val="hybridMultilevel"/>
    <w:lvl w:ilvl="0">
      <w:lvlJc w:val="left"/>
      <w:lvlText w:val="•"/>
      <w:numFmt w:val="bullet"/>
      <w:start w:val="1"/>
    </w:lvl>
  </w:abstractNum>
  <w:abstractNum w:abstractNumId="37">
    <w:nsid w:val="1381823A"/>
    <w:multiLevelType w:val="hybridMultilevel"/>
    <w:lvl w:ilvl="0">
      <w:lvlJc w:val="left"/>
      <w:lvlText w:val="•"/>
      <w:numFmt w:val="bullet"/>
      <w:start w:val="1"/>
    </w:lvl>
  </w:abstractNum>
  <w:abstractNum w:abstractNumId="38">
    <w:nsid w:val="5DB70AE5"/>
    <w:multiLevelType w:val="hybridMultilevel"/>
    <w:lvl w:ilvl="0">
      <w:lvlJc w:val="left"/>
      <w:lvlText w:val="•"/>
      <w:numFmt w:val="bullet"/>
      <w:start w:val="1"/>
    </w:lvl>
  </w:abstractNum>
  <w:abstractNum w:abstractNumId="39">
    <w:nsid w:val="100F8FCA"/>
    <w:multiLevelType w:val="hybridMultilevel"/>
    <w:lvl w:ilvl="0">
      <w:lvlJc w:val="left"/>
      <w:lvlText w:val="•"/>
      <w:numFmt w:val="bullet"/>
      <w:start w:val="1"/>
    </w:lvl>
  </w:abstractNum>
  <w:abstractNum w:abstractNumId="40">
    <w:nsid w:val="6590700B"/>
    <w:multiLevelType w:val="hybridMultilevel"/>
    <w:lvl w:ilvl="0">
      <w:lvlJc w:val="left"/>
      <w:lvlText w:val="(%1)"/>
      <w:numFmt w:val="lowerRoman"/>
      <w:start w:val="3"/>
    </w:lvl>
  </w:abstractNum>
  <w:abstractNum w:abstractNumId="41">
    <w:nsid w:val="15014ACB"/>
    <w:multiLevelType w:val="hybridMultilevel"/>
    <w:lvl w:ilvl="0">
      <w:lvlJc w:val="left"/>
      <w:lvlText w:val="%1"/>
      <w:numFmt w:val="decimal"/>
      <w:start w:val="1"/>
    </w:lvl>
    <w:lvl w:ilvl="1">
      <w:lvlJc w:val="left"/>
      <w:lvlText w:val="%2."/>
      <w:numFmt w:val="decimal"/>
      <w:start w:val="1"/>
    </w:lvl>
  </w:abstractNum>
  <w:abstractNum w:abstractNumId="42">
    <w:nsid w:val="5F5E7FD0"/>
    <w:multiLevelType w:val="hybridMultilevel"/>
    <w:lvl w:ilvl="0">
      <w:lvlJc w:val="left"/>
      <w:lvlText w:val="%1."/>
      <w:numFmt w:val="decimal"/>
      <w:start w:val="2"/>
    </w:lvl>
    <w:lvl w:ilvl="1">
      <w:lvlJc w:val="left"/>
      <w:lvlText w:val="%2"/>
      <w:numFmt w:val="decimal"/>
      <w:start w:val="1"/>
    </w:lvl>
  </w:abstractNum>
  <w:abstractNum w:abstractNumId="43">
    <w:nsid w:val="98A3148"/>
    <w:multiLevelType w:val="hybridMultilevel"/>
    <w:lvl w:ilvl="0">
      <w:lvlJc w:val="left"/>
      <w:lvlText w:val="%1"/>
      <w:numFmt w:val="decimal"/>
      <w:start w:val="21"/>
    </w:lvl>
  </w:abstractNum>
  <w:abstractNum w:abstractNumId="44">
    <w:nsid w:val="799D0247"/>
    <w:multiLevelType w:val="hybridMultilevel"/>
    <w:lvl w:ilvl="0">
      <w:lvlJc w:val="left"/>
      <w:lvlText w:val="%1"/>
      <w:numFmt w:val="decimal"/>
      <w:start w:val="23"/>
    </w:lvl>
  </w:abstractNum>
  <w:abstractNum w:abstractNumId="45">
    <w:nsid w:val="6B94764"/>
    <w:multiLevelType w:val="hybridMultilevel"/>
    <w:lvl w:ilvl="0">
      <w:lvlJc w:val="left"/>
      <w:lvlText w:val="%1"/>
      <w:numFmt w:val="decimal"/>
      <w:start w:val="32"/>
    </w:lvl>
  </w:abstractNum>
  <w:abstractNum w:abstractNumId="46">
    <w:nsid w:val="42C296BD"/>
    <w:multiLevelType w:val="hybridMultilevel"/>
    <w:lvl w:ilvl="0">
      <w:lvlJc w:val="left"/>
      <w:lvlText w:val="%1"/>
      <w:numFmt w:val="decimal"/>
      <w:start w:val="101"/>
    </w:lvl>
  </w:abstractNum>
  <w:abstractNum w:abstractNumId="47">
    <w:nsid w:val="168E121F"/>
    <w:multiLevelType w:val="hybridMultilevel"/>
    <w:lvl w:ilvl="0">
      <w:lvlJc w:val="left"/>
      <w:lvlText w:val="•"/>
      <w:numFmt w:val="bullet"/>
      <w:start w:val="1"/>
    </w:lvl>
  </w:abstractNum>
  <w:abstractNum w:abstractNumId="48">
    <w:nsid w:val="1EBA5D23"/>
    <w:multiLevelType w:val="hybridMultilevel"/>
    <w:lvl w:ilvl="0">
      <w:lvlJc w:val="left"/>
      <w:lvlText w:val="•"/>
      <w:numFmt w:val="bullet"/>
      <w:start w:val="1"/>
    </w:lvl>
  </w:abstractNum>
  <w:abstractNum w:abstractNumId="49">
    <w:nsid w:val="661E3F1E"/>
    <w:multiLevelType w:val="hybridMultilevel"/>
    <w:lvl w:ilvl="0">
      <w:lvlJc w:val="left"/>
      <w:lvlText w:val="•"/>
      <w:numFmt w:val="bullet"/>
      <w:start w:val="1"/>
    </w:lvl>
  </w:abstractNum>
  <w:abstractNum w:abstractNumId="50">
    <w:nsid w:val="5DC79EA8"/>
    <w:multiLevelType w:val="hybridMultilevel"/>
    <w:lvl w:ilvl="0">
      <w:lvlJc w:val="left"/>
      <w:lvlText w:val="•"/>
      <w:numFmt w:val="bullet"/>
      <w:start w:val="1"/>
    </w:lvl>
  </w:abstractNum>
  <w:abstractNum w:abstractNumId="51">
    <w:nsid w:val="540A471C"/>
    <w:multiLevelType w:val="hybridMultilevel"/>
    <w:lvl w:ilvl="0">
      <w:lvlJc w:val="left"/>
      <w:lvlText w:val="(%1)"/>
      <w:numFmt w:val="decimal"/>
      <w:start w:val="1"/>
    </w:lvl>
  </w:abstractNum>
  <w:abstractNum w:abstractNumId="52">
    <w:nsid w:val="7BD3EE7B"/>
    <w:multiLevelType w:val="hybridMultilevel"/>
    <w:lvl w:ilvl="0">
      <w:lvlJc w:val="left"/>
      <w:lvlText w:val="•"/>
      <w:numFmt w:val="bullet"/>
      <w:start w:val="1"/>
    </w:lvl>
  </w:abstractNum>
  <w:abstractNum w:abstractNumId="53">
    <w:nsid w:val="51D9C564"/>
    <w:multiLevelType w:val="hybridMultilevel"/>
    <w:lvl w:ilvl="0">
      <w:lvlJc w:val="left"/>
      <w:lvlText w:val="•"/>
      <w:numFmt w:val="bullet"/>
      <w:start w:val="1"/>
    </w:lvl>
  </w:abstractNum>
  <w:abstractNum w:abstractNumId="54">
    <w:nsid w:val="613EFDC5"/>
    <w:multiLevelType w:val="hybridMultilevel"/>
    <w:lvl w:ilvl="0">
      <w:lvlJc w:val="left"/>
      <w:lvlText w:val="•"/>
      <w:numFmt w:val="bullet"/>
      <w:start w:val="1"/>
    </w:lvl>
  </w:abstractNum>
  <w:abstractNum w:abstractNumId="55">
    <w:nsid w:val="BF72B14"/>
    <w:multiLevelType w:val="hybridMultilevel"/>
    <w:lvl w:ilvl="0">
      <w:lvlJc w:val="left"/>
      <w:lvlText w:val="%1."/>
      <w:numFmt w:val="decimal"/>
      <w:start w:val="1"/>
    </w:lvl>
  </w:abstractNum>
  <w:abstractNum w:abstractNumId="56">
    <w:nsid w:val="11447B73"/>
    <w:multiLevelType w:val="hybridMultilevel"/>
    <w:lvl w:ilvl="0">
      <w:lvlJc w:val="left"/>
      <w:lvlText w:val="%1."/>
      <w:numFmt w:val="decimal"/>
      <w:start w:val="2"/>
    </w:lvl>
  </w:abstractNum>
  <w:abstractNum w:abstractNumId="57">
    <w:nsid w:val="42963E5A"/>
    <w:multiLevelType w:val="hybridMultilevel"/>
    <w:lvl w:ilvl="0">
      <w:lvlJc w:val="left"/>
      <w:lvlText w:val="%1."/>
      <w:numFmt w:val="decimal"/>
      <w:start w:val="3"/>
    </w:lvl>
  </w:abstractNum>
  <w:abstractNum w:abstractNumId="58">
    <w:nsid w:val="A0382C5"/>
    <w:multiLevelType w:val="hybridMultilevel"/>
    <w:lvl w:ilvl="0">
      <w:lvlJc w:val="left"/>
      <w:lvlText w:val="%1."/>
      <w:numFmt w:val="decimal"/>
      <w:start w:val="4"/>
    </w:lvl>
  </w:abstractNum>
  <w:abstractNum w:abstractNumId="59">
    <w:nsid w:val="8F2B15E"/>
    <w:multiLevelType w:val="hybridMultilevel"/>
    <w:lvl w:ilvl="0">
      <w:lvlJc w:val="left"/>
      <w:lvlText w:val="$"/>
      <w:numFmt w:val="bullet"/>
      <w:start w:val="1"/>
    </w:lvl>
  </w:abstractNum>
  <w:abstractNum w:abstractNumId="60">
    <w:nsid w:val="1A32234B"/>
    <w:multiLevelType w:val="hybridMultilevel"/>
    <w:lvl w:ilvl="0">
      <w:lvlJc w:val="left"/>
      <w:lvlText w:val="$"/>
      <w:numFmt w:val="bullet"/>
      <w:start w:val="1"/>
    </w:lvl>
  </w:abstractNum>
  <w:abstractNum w:abstractNumId="61">
    <w:nsid w:val="3B0FD379"/>
    <w:multiLevelType w:val="hybridMultilevel"/>
    <w:lvl w:ilvl="0">
      <w:lvlJc w:val="left"/>
      <w:lvlText w:val="$"/>
      <w:numFmt w:val="bullet"/>
      <w:start w:val="1"/>
    </w:lvl>
  </w:abstractNum>
  <w:abstractNum w:abstractNumId="62">
    <w:nsid w:val="68EB2F63"/>
    <w:multiLevelType w:val="hybridMultilevel"/>
    <w:lvl w:ilvl="0">
      <w:lvlJc w:val="left"/>
      <w:lvlText w:val="$"/>
      <w:numFmt w:val="bullet"/>
      <w:start w:val="1"/>
    </w:lvl>
  </w:abstractNum>
  <w:abstractNum w:abstractNumId="63">
    <w:nsid w:val="4962813B"/>
    <w:multiLevelType w:val="hybridMultilevel"/>
    <w:lvl w:ilvl="0">
      <w:lvlJc w:val="left"/>
      <w:lvlText w:val="%1."/>
      <w:numFmt w:val="decimal"/>
      <w:start w:val="5"/>
    </w:lvl>
  </w:abstractNum>
  <w:abstractNum w:abstractNumId="64">
    <w:nsid w:val="60B6DF70"/>
    <w:multiLevelType w:val="hybridMultilevel"/>
    <w:lvl w:ilvl="0">
      <w:lvlJc w:val="left"/>
      <w:lvlText w:val="%1."/>
      <w:numFmt w:val="decimal"/>
      <w:start w:val="6"/>
    </w:lvl>
  </w:abstractNum>
  <w:abstractNum w:abstractNumId="65">
    <w:nsid w:val="6A5EE64"/>
    <w:multiLevelType w:val="hybridMultilevel"/>
    <w:lvl w:ilvl="0">
      <w:lvlJc w:val="left"/>
      <w:lvlText w:val="%1."/>
      <w:numFmt w:val="decimal"/>
      <w:start w:val="7"/>
    </w:lvl>
  </w:abstractNum>
  <w:abstractNum w:abstractNumId="66">
    <w:nsid w:val="14330624"/>
    <w:multiLevelType w:val="hybridMultilevel"/>
    <w:lvl w:ilvl="0">
      <w:lvlJc w:val="left"/>
      <w:lvlText w:val="%1."/>
      <w:numFmt w:val="decimal"/>
      <w:start w:val="8"/>
    </w:lvl>
  </w:abstractNum>
  <w:abstractNum w:abstractNumId="67">
    <w:nsid w:val="7FFFCA11"/>
    <w:multiLevelType w:val="hybridMultilevel"/>
    <w:lvl w:ilvl="0">
      <w:lvlJc w:val="left"/>
      <w:lvlText w:val="%1."/>
      <w:numFmt w:val="decimal"/>
      <w:start w:val="9"/>
    </w:lvl>
  </w:abstractNum>
  <w:abstractNum w:abstractNumId="68">
    <w:nsid w:val="1A27709E"/>
    <w:multiLevelType w:val="hybridMultilevel"/>
    <w:lvl w:ilvl="0">
      <w:lvlJc w:val="left"/>
      <w:lvlText w:val="(%1)"/>
      <w:numFmt w:val="decimal"/>
      <w:start w:val="1"/>
    </w:lvl>
  </w:abstractNum>
  <w:abstractNum w:abstractNumId="69">
    <w:nsid w:val="71EA1109"/>
    <w:multiLevelType w:val="hybridMultilevel"/>
    <w:lvl w:ilvl="0">
      <w:lvlJc w:val="left"/>
      <w:lvlText w:val="%1."/>
      <w:numFmt w:val="decimal"/>
      <w:start w:val="10"/>
    </w:lvl>
  </w:abstractNum>
  <w:abstractNum w:abstractNumId="70">
    <w:nsid w:val="100F59DC"/>
    <w:multiLevelType w:val="hybridMultilevel"/>
    <w:lvl w:ilvl="0">
      <w:lvlJc w:val="left"/>
      <w:lvlText w:val="%1."/>
      <w:numFmt w:val="decimal"/>
      <w:start w:val="11"/>
    </w:lvl>
  </w:abstractNum>
  <w:abstractNum w:abstractNumId="71">
    <w:nsid w:val="7FB7E0AA"/>
    <w:multiLevelType w:val="hybridMultilevel"/>
    <w:lvl w:ilvl="0">
      <w:lvlJc w:val="left"/>
      <w:lvlText w:val="(%1)"/>
      <w:numFmt w:val="decimal"/>
      <w:start w:val="1"/>
    </w:lvl>
  </w:abstractNum>
  <w:abstractNum w:abstractNumId="72">
    <w:nsid w:val="6EB5BD4"/>
    <w:multiLevelType w:val="hybridMultilevel"/>
    <w:lvl w:ilvl="0">
      <w:lvlJc w:val="left"/>
      <w:lvlText w:val="%1."/>
      <w:numFmt w:val="decimal"/>
      <w:start w:val="12"/>
    </w:lvl>
  </w:abstractNum>
  <w:abstractNum w:abstractNumId="73">
    <w:nsid w:val="6F6DD9AC"/>
    <w:multiLevelType w:val="hybridMultilevel"/>
    <w:lvl w:ilvl="0">
      <w:lvlJc w:val="left"/>
      <w:lvlText w:val="(%1)"/>
      <w:numFmt w:val="decimal"/>
      <w:start w:val="1"/>
    </w:lvl>
  </w:abstractNum>
  <w:abstractNum w:abstractNumId="74">
    <w:nsid w:val="94211F2"/>
    <w:multiLevelType w:val="hybridMultilevel"/>
    <w:lvl w:ilvl="0">
      <w:lvlJc w:val="left"/>
      <w:lvlText w:val="%1."/>
      <w:numFmt w:val="decimal"/>
      <w:start w:val="13"/>
    </w:lvl>
  </w:abstractNum>
  <w:abstractNum w:abstractNumId="75">
    <w:nsid w:val="885E1B"/>
    <w:multiLevelType w:val="hybridMultilevel"/>
    <w:lvl w:ilvl="0">
      <w:lvlJc w:val="left"/>
      <w:lvlText w:val="%1."/>
      <w:numFmt w:val="decimal"/>
      <w:start w:val="14"/>
    </w:lvl>
  </w:abstractNum>
  <w:abstractNum w:abstractNumId="76">
    <w:nsid w:val="76272110"/>
    <w:multiLevelType w:val="hybridMultilevel"/>
    <w:lvl w:ilvl="0">
      <w:lvlJc w:val="left"/>
      <w:lvlText w:val="%1."/>
      <w:numFmt w:val="decimal"/>
      <w:start w:val="15"/>
    </w:lvl>
  </w:abstractNum>
  <w:abstractNum w:abstractNumId="77">
    <w:nsid w:val="4C04A8AF"/>
    <w:multiLevelType w:val="hybridMultilevel"/>
    <w:lvl w:ilvl="0">
      <w:lvlJc w:val="left"/>
      <w:lvlText w:val="(%1)"/>
      <w:numFmt w:val="decimal"/>
      <w:start w:val="1"/>
    </w:lvl>
  </w:abstractNum>
  <w:abstractNum w:abstractNumId="78">
    <w:nsid w:val="1716703B"/>
    <w:multiLevelType w:val="hybridMultilevel"/>
    <w:lvl w:ilvl="0">
      <w:lvlJc w:val="left"/>
      <w:lvlText w:val="$"/>
      <w:numFmt w:val="bullet"/>
      <w:start w:val="1"/>
    </w:lvl>
  </w:abstractNum>
  <w:abstractNum w:abstractNumId="79">
    <w:nsid w:val="14E17E33"/>
    <w:multiLevelType w:val="hybridMultilevel"/>
    <w:lvl w:ilvl="0">
      <w:lvlJc w:val="left"/>
      <w:lvlText w:val="%1."/>
      <w:numFmt w:val="decimal"/>
      <w:start w:val="16"/>
    </w:lvl>
  </w:abstractNum>
  <w:abstractNum w:abstractNumId="80">
    <w:nsid w:val="3222E7CD"/>
    <w:multiLevelType w:val="hybridMultilevel"/>
    <w:lvl w:ilvl="0">
      <w:lvlJc w:val="left"/>
      <w:lvlText w:val="%1."/>
      <w:numFmt w:val="decimal"/>
      <w:start w:val="17"/>
    </w:lvl>
  </w:abstractNum>
  <w:abstractNum w:abstractNumId="81">
    <w:nsid w:val="74DE0EE3"/>
    <w:multiLevelType w:val="hybridMultilevel"/>
    <w:lvl w:ilvl="0">
      <w:lvlJc w:val="left"/>
      <w:lvlText w:val="%1."/>
      <w:numFmt w:val="decimal"/>
      <w:start w:val="18"/>
    </w:lvl>
  </w:abstractNum>
  <w:abstractNum w:abstractNumId="82">
    <w:nsid w:val="68EBC550"/>
    <w:multiLevelType w:val="hybridMultilevel"/>
    <w:lvl w:ilvl="0">
      <w:lvlJc w:val="left"/>
      <w:lvlText w:val="%1."/>
      <w:numFmt w:val="decimal"/>
      <w:start w:val="19"/>
    </w:lvl>
  </w:abstractNum>
  <w:abstractNum w:abstractNumId="83">
    <w:nsid w:val="2DF6D648"/>
    <w:multiLevelType w:val="hybridMultilevel"/>
    <w:lvl w:ilvl="0">
      <w:lvlJc w:val="left"/>
      <w:lvlText w:val="%1."/>
      <w:numFmt w:val="decimal"/>
      <w:start w:val="20"/>
    </w:lvl>
  </w:abstractNum>
  <w:abstractNum w:abstractNumId="84">
    <w:nsid w:val="46B7D447"/>
    <w:multiLevelType w:val="hybridMultilevel"/>
    <w:lvl w:ilvl="0">
      <w:lvlJc w:val="left"/>
      <w:lvlText w:val="•"/>
      <w:numFmt w:val="bullet"/>
      <w:start w:val="1"/>
    </w:lvl>
  </w:abstractNum>
  <w:abstractNum w:abstractNumId="85">
    <w:nsid w:val="4A2AC315"/>
    <w:multiLevelType w:val="hybridMultilevel"/>
    <w:lvl w:ilvl="0">
      <w:lvlJc w:val="left"/>
      <w:lvlText w:val="%1."/>
      <w:numFmt w:val="decimal"/>
      <w:start w:val="21"/>
    </w:lvl>
  </w:abstractNum>
  <w:abstractNum w:abstractNumId="86">
    <w:nsid w:val="39EE015C"/>
    <w:multiLevelType w:val="hybridMultilevel"/>
    <w:lvl w:ilvl="0">
      <w:lvlJc w:val="left"/>
      <w:lvlText w:val="•"/>
      <w:numFmt w:val="bullet"/>
      <w:start w:val="1"/>
    </w:lvl>
  </w:abstractNum>
  <w:abstractNum w:abstractNumId="87">
    <w:nsid w:val="57FC4FBB"/>
    <w:multiLevelType w:val="hybridMultilevel"/>
    <w:lvl w:ilvl="0">
      <w:lvlJc w:val="left"/>
      <w:lvlText w:val="•"/>
      <w:numFmt w:val="bullet"/>
      <w:start w:val="1"/>
    </w:lvl>
  </w:abstractNum>
  <w:abstractNum w:abstractNumId="88">
    <w:nsid w:val="CC1016F"/>
    <w:multiLevelType w:val="hybridMultilevel"/>
    <w:lvl w:ilvl="0">
      <w:lvlJc w:val="left"/>
      <w:lvlText w:val="•"/>
      <w:numFmt w:val="bullet"/>
      <w:start w:val="1"/>
    </w:lvl>
  </w:abstractNum>
  <w:abstractNum w:abstractNumId="89">
    <w:nsid w:val="43F18422"/>
    <w:multiLevelType w:val="hybridMultilevel"/>
    <w:lvl w:ilvl="0">
      <w:lvlJc w:val="left"/>
      <w:lvlText w:val="•"/>
      <w:numFmt w:val="bullet"/>
      <w:start w:val="1"/>
    </w:lvl>
  </w:abstractNum>
  <w:abstractNum w:abstractNumId="90">
    <w:nsid w:val="60EF0119"/>
    <w:multiLevelType w:val="hybridMultilevel"/>
    <w:lvl w:ilvl="0">
      <w:lvlJc w:val="left"/>
      <w:lvlText w:val="•"/>
      <w:numFmt w:val="bullet"/>
      <w:start w:val="1"/>
    </w:lvl>
  </w:abstractNum>
  <w:abstractNum w:abstractNumId="91">
    <w:nsid w:val="26F324BA"/>
    <w:multiLevelType w:val="hybridMultilevel"/>
    <w:lvl w:ilvl="0">
      <w:lvlJc w:val="left"/>
      <w:lvlText w:val="%1"/>
      <w:numFmt w:val="lowerLetter"/>
      <w:start w:val="1"/>
    </w:lvl>
    <w:lvl w:ilvl="1">
      <w:lvlJc w:val="left"/>
      <w:lvlText w:val="(%2)"/>
      <w:numFmt w:val="lowerLetter"/>
      <w:start w:val="1"/>
    </w:lvl>
  </w:abstractNum>
  <w:abstractNum w:abstractNumId="92">
    <w:nsid w:val="7F01579B"/>
    <w:multiLevelType w:val="hybridMultilevel"/>
    <w:lvl w:ilvl="0">
      <w:lvlJc w:val="left"/>
      <w:lvlText w:val="(%1)"/>
      <w:numFmt w:val="lowerLetter"/>
      <w:start w:val="3"/>
    </w:lvl>
    <w:lvl w:ilvl="1">
      <w:lvlJc w:val="left"/>
      <w:lvlText w:val="%2"/>
      <w:numFmt w:val="lowerLetter"/>
      <w:start w:val="1"/>
    </w:lvl>
  </w:abstractNum>
  <w:abstractNum w:abstractNumId="93">
    <w:nsid w:val="49DA307D"/>
    <w:multiLevelType w:val="hybridMultilevel"/>
    <w:lvl w:ilvl="0">
      <w:lvlJc w:val="left"/>
      <w:lvlText w:val="(%1)"/>
      <w:numFmt w:val="lowerLetter"/>
      <w:start w:val="8"/>
    </w:lvl>
  </w:abstractNum>
  <w:abstractNum w:abstractNumId="94">
    <w:nsid w:val="7055A5F5"/>
    <w:multiLevelType w:val="hybridMultilevel"/>
    <w:lvl w:ilvl="0">
      <w:lvlJc w:val="left"/>
      <w:lvlText w:val="%1."/>
      <w:numFmt w:val="decimal"/>
      <w:start w:val="1"/>
    </w:lvl>
    <w:lvl w:ilvl="1">
      <w:lvlJc w:val="left"/>
      <w:lvlText w:val="(%2)"/>
      <w:numFmt w:val="lowerLetter"/>
      <w:start w:val="1"/>
    </w:lvl>
  </w:abstractNum>
  <w:abstractNum w:abstractNumId="95">
    <w:nsid w:val="5FB8370B"/>
    <w:multiLevelType w:val="hybridMultilevel"/>
    <w:lvl w:ilvl="0">
      <w:lvlJc w:val="left"/>
      <w:lvlText w:val="%1."/>
      <w:numFmt w:val="decimal"/>
      <w:start w:val="1"/>
    </w:lvl>
    <w:lvl w:ilvl="1">
      <w:lvlJc w:val="left"/>
      <w:lvlText w:val="(%2)"/>
      <w:numFmt w:val="lowerLetter"/>
      <w:start w:val="1"/>
    </w:lvl>
  </w:abstractNum>
  <w:abstractNum w:abstractNumId="96">
    <w:nsid w:val="50801EE1"/>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jpeg"/><Relationship Id="rId28" Type="http://schemas.openxmlformats.org/officeDocument/2006/relationships/image" Target="media/image4.png"/><Relationship Id="rId29" Type="http://schemas.openxmlformats.org/officeDocument/2006/relationships/image" Target="media/image5.png"/><Relationship Id="rId30" Type="http://schemas.openxmlformats.org/officeDocument/2006/relationships/image" Target="media/image6.png"/><Relationship Id="rId31" Type="http://schemas.openxmlformats.org/officeDocument/2006/relationships/image" Target="media/image7.png"/><Relationship Id="rId32" Type="http://schemas.openxmlformats.org/officeDocument/2006/relationships/image" Target="media/image8.png"/><Relationship Id="rId33" Type="http://schemas.openxmlformats.org/officeDocument/2006/relationships/image" Target="media/image9.png"/><Relationship Id="rId34" Type="http://schemas.openxmlformats.org/officeDocument/2006/relationships/image" Target="media/image10.png"/><Relationship Id="rId35" Type="http://schemas.openxmlformats.org/officeDocument/2006/relationships/image" Target="media/image11.png"/><Relationship Id="rId36" Type="http://schemas.openxmlformats.org/officeDocument/2006/relationships/image" Target="media/image12.png"/><Relationship Id="rId37" Type="http://schemas.openxmlformats.org/officeDocument/2006/relationships/image" Target="media/image13.png"/><Relationship Id="rId38" Type="http://schemas.openxmlformats.org/officeDocument/2006/relationships/image" Target="media/image14.png"/><Relationship Id="rId39" Type="http://schemas.openxmlformats.org/officeDocument/2006/relationships/image" Target="media/image15.png"/><Relationship Id="rId40" Type="http://schemas.openxmlformats.org/officeDocument/2006/relationships/image" Target="media/image16.png"/><Relationship Id="rId41" Type="http://schemas.openxmlformats.org/officeDocument/2006/relationships/image" Target="media/image17.png"/><Relationship Id="rId42" Type="http://schemas.openxmlformats.org/officeDocument/2006/relationships/image" Target="media/image18.png"/><Relationship Id="rId43" Type="http://schemas.openxmlformats.org/officeDocument/2006/relationships/image" Target="media/image19.png"/><Relationship Id="rId44" Type="http://schemas.openxmlformats.org/officeDocument/2006/relationships/image" Target="media/image20.png"/><Relationship Id="rId45" Type="http://schemas.openxmlformats.org/officeDocument/2006/relationships/image" Target="media/image21.png"/><Relationship Id="rId46" Type="http://schemas.openxmlformats.org/officeDocument/2006/relationships/image" Target="media/image22.png"/><Relationship Id="rId47" Type="http://schemas.openxmlformats.org/officeDocument/2006/relationships/image" Target="media/image23.png"/><Relationship Id="rId48" Type="http://schemas.openxmlformats.org/officeDocument/2006/relationships/image" Target="media/image24.png"/><Relationship Id="rId49" Type="http://schemas.openxmlformats.org/officeDocument/2006/relationships/image" Target="media/image25.png"/><Relationship Id="rId50" Type="http://schemas.openxmlformats.org/officeDocument/2006/relationships/image" Target="media/image26.png"/><Relationship Id="rId51" Type="http://schemas.openxmlformats.org/officeDocument/2006/relationships/image" Target="media/image27.png"/><Relationship Id="rId52" Type="http://schemas.openxmlformats.org/officeDocument/2006/relationships/image" Target="media/image28.png"/><Relationship Id="rId53" Type="http://schemas.openxmlformats.org/officeDocument/2006/relationships/image" Target="media/image29.png"/><Relationship Id="rId54" Type="http://schemas.openxmlformats.org/officeDocument/2006/relationships/image" Target="media/image30.png"/><Relationship Id="rId55" Type="http://schemas.openxmlformats.org/officeDocument/2006/relationships/image" Target="media/image31.png"/><Relationship Id="rId56" Type="http://schemas.openxmlformats.org/officeDocument/2006/relationships/image" Target="media/image32.png"/><Relationship Id="rId57" Type="http://schemas.openxmlformats.org/officeDocument/2006/relationships/image" Target="media/image33.png"/><Relationship Id="rId58" Type="http://schemas.openxmlformats.org/officeDocument/2006/relationships/image" Target="media/image34.png"/><Relationship Id="rId59" Type="http://schemas.openxmlformats.org/officeDocument/2006/relationships/image" Target="media/image35.png"/><Relationship Id="rId60" Type="http://schemas.openxmlformats.org/officeDocument/2006/relationships/image" Target="media/image36.png"/><Relationship Id="rId61" Type="http://schemas.openxmlformats.org/officeDocument/2006/relationships/image" Target="media/image37.png"/><Relationship Id="rId62" Type="http://schemas.openxmlformats.org/officeDocument/2006/relationships/image" Target="media/image38.png"/><Relationship Id="rId63" Type="http://schemas.openxmlformats.org/officeDocument/2006/relationships/image" Target="media/image39.png"/><Relationship Id="rId64" Type="http://schemas.openxmlformats.org/officeDocument/2006/relationships/image" Target="media/image40.png"/><Relationship Id="rId65" Type="http://schemas.openxmlformats.org/officeDocument/2006/relationships/image" Target="media/image41.png"/><Relationship Id="rId66" Type="http://schemas.openxmlformats.org/officeDocument/2006/relationships/image" Target="media/image42.png"/><Relationship Id="rId67" Type="http://schemas.openxmlformats.org/officeDocument/2006/relationships/image" Target="media/image43.png"/><Relationship Id="rId68" Type="http://schemas.openxmlformats.org/officeDocument/2006/relationships/image" Target="media/image44.png"/><Relationship Id="rId69" Type="http://schemas.openxmlformats.org/officeDocument/2006/relationships/image" Target="media/image45.png"/><Relationship Id="rId70" Type="http://schemas.openxmlformats.org/officeDocument/2006/relationships/image" Target="media/image46.png"/><Relationship Id="rId71" Type="http://schemas.openxmlformats.org/officeDocument/2006/relationships/image" Target="media/image47.png"/><Relationship Id="rId72" Type="http://schemas.openxmlformats.org/officeDocument/2006/relationships/image" Target="media/image48.png"/><Relationship Id="rId73" Type="http://schemas.openxmlformats.org/officeDocument/2006/relationships/image" Target="media/image49.png"/><Relationship Id="rId74" Type="http://schemas.openxmlformats.org/officeDocument/2006/relationships/image" Target="media/image50.png"/><Relationship Id="rId75" Type="http://schemas.openxmlformats.org/officeDocument/2006/relationships/image" Target="media/image51.png"/><Relationship Id="rId11" Type="http://schemas.openxmlformats.org/officeDocument/2006/relationships/hyperlink" Target="http://www.sec.gov/Archives/edgar/data/104889/000095015717000514/ex2-1.htm" TargetMode="External"/><Relationship Id="rId12" Type="http://schemas.openxmlformats.org/officeDocument/2006/relationships/hyperlink" Target="http://www.sec.gov/Archives/edgar/data/104889/000095013304000785/w94191exv3w1.htm" TargetMode="External"/><Relationship Id="rId13" Type="http://schemas.openxmlformats.org/officeDocument/2006/relationships/hyperlink" Target="http://www.sec.gov/Archives/edgar/data/104889/000095015713000428/ex3-1.htm" TargetMode="External"/><Relationship Id="rId14" Type="http://schemas.openxmlformats.org/officeDocument/2006/relationships/hyperlink" Target="http://www.sec.gov/Archives/edgar/data/104889/000095015713000428/ex3-2.htm" TargetMode="External"/><Relationship Id="rId15" Type="http://schemas.openxmlformats.org/officeDocument/2006/relationships/hyperlink" Target="http://www.sec.gov/Archives/edgar/data/104889/0000950133-99-000908.txt" TargetMode="External"/><Relationship Id="rId16" Type="http://schemas.openxmlformats.org/officeDocument/2006/relationships/hyperlink" Target="http://www.sec.gov/Archives/edgar/data/104889/000095015703000561/ex4-1.txt" TargetMode="External"/><Relationship Id="rId17" Type="http://schemas.openxmlformats.org/officeDocument/2006/relationships/hyperlink" Target="http://www.sec.gov/Archives/edgar/data/104889/000119312509015492/dex102.htm" TargetMode="External"/><Relationship Id="rId18" Type="http://schemas.openxmlformats.org/officeDocument/2006/relationships/hyperlink" Target="http://www.sec.gov/Archives/edgar/data/104889/000010488916000088/dex101.htm" TargetMode="External"/><Relationship Id="rId19" Type="http://schemas.openxmlformats.org/officeDocument/2006/relationships/hyperlink" Target="http://www.sec.gov/Archives/edgar/data/104889/000119312503072185/dex101.htm" TargetMode="External"/><Relationship Id="rId20" Type="http://schemas.openxmlformats.org/officeDocument/2006/relationships/hyperlink" Target="http://www.sec.gov/Archives/edgar/data/104889/000010488914000013/dex103.htm" TargetMode="External"/><Relationship Id="rId21" Type="http://schemas.openxmlformats.org/officeDocument/2006/relationships/hyperlink" Target="http://www.sec.gov/Archives/edgar/data/104889/000010488915000017/dex104.htm" TargetMode="External"/><Relationship Id="rId22" Type="http://schemas.openxmlformats.org/officeDocument/2006/relationships/hyperlink" Target="http://www.sec.gov/Archives/edgar/data/104889/000010488914000013/dex104.htm" TargetMode="External"/><Relationship Id="rId23" Type="http://schemas.openxmlformats.org/officeDocument/2006/relationships/hyperlink" Target="http://www.sec.gov/Archives/edgar/data/104889/000010488915000017/dex106.htm" TargetMode="External"/><Relationship Id="rId24" Type="http://schemas.openxmlformats.org/officeDocument/2006/relationships/hyperlink" Target="http://www.sec.gov/Archives/edgar/data/104889/000095015714000770/ex10-3.htm" TargetMode="External"/><Relationship Id="rId25" Type="http://schemas.openxmlformats.org/officeDocument/2006/relationships/hyperlink" Target="http://www.sec.gov/Archives/edgar/data/104889/000010488915000032/dex101.htm" TargetMode="External"/><Relationship Id="rId26" Type="http://schemas.openxmlformats.org/officeDocument/2006/relationships/hyperlink" Target="http://www.sec.gov/Archives/edgar/data/104889/000119312509015492/dex101.htm" TargetMode="External"/><Relationship Id="rId27" Type="http://schemas.openxmlformats.org/officeDocument/2006/relationships/hyperlink" Target="http://www.sec.gov/Archives/edgar/data/104889/000095015715000580/ex10-2.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2019-12-29T01:07:57Z</dcterms:created>
  <dcterms:modified xsi:type="dcterms:W3CDTF">2019-12-29T01:07:57Z</dcterms:modified>
</cp:coreProperties>
</file>