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6, 2021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4"/>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5.07 Submission of Matters to a Vote of Security Holders</w:t>
      </w:r>
    </w:p>
    <w:p>
      <w:pPr>
        <w:spacing w:after="0" w:line="200" w:lineRule="exact"/>
        <w:rPr>
          <w:sz w:val="20"/>
          <w:szCs w:val="20"/>
          <w:color w:val="auto"/>
        </w:rPr>
      </w:pPr>
    </w:p>
    <w:p>
      <w:pPr>
        <w:spacing w:after="0" w:line="209" w:lineRule="exact"/>
        <w:rPr>
          <w:sz w:val="20"/>
          <w:szCs w:val="20"/>
          <w:color w:val="auto"/>
        </w:rPr>
      </w:pPr>
    </w:p>
    <w:p>
      <w:pPr>
        <w:ind w:right="480" w:firstLine="200"/>
        <w:spacing w:after="0" w:line="235" w:lineRule="auto"/>
        <w:rPr>
          <w:sz w:val="20"/>
          <w:szCs w:val="20"/>
          <w:color w:val="auto"/>
        </w:rPr>
      </w:pPr>
      <w:r>
        <w:rPr>
          <w:rFonts w:ascii="Arial" w:cs="Arial" w:eastAsia="Arial" w:hAnsi="Arial"/>
          <w:sz w:val="18"/>
          <w:szCs w:val="18"/>
          <w:color w:val="auto"/>
        </w:rPr>
        <w:t>On May 6, 2021,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nine persons nominated as Directors of the Company as set forth below:</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1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05"/>
        </w:trPr>
        <w:tc>
          <w:tcPr>
            <w:tcW w:w="3260" w:type="dxa"/>
            <w:vAlign w:val="bottom"/>
          </w:tcPr>
          <w:p>
            <w:pPr>
              <w:spacing w:after="0"/>
              <w:rPr>
                <w:sz w:val="24"/>
                <w:szCs w:val="24"/>
                <w:color w:val="auto"/>
              </w:rPr>
            </w:pPr>
          </w:p>
        </w:tc>
        <w:tc>
          <w:tcPr>
            <w:tcW w:w="1900" w:type="dxa"/>
            <w:vAlign w:val="bottom"/>
          </w:tcPr>
          <w:p>
            <w:pPr>
              <w:ind w:left="760"/>
              <w:spacing w:after="0"/>
              <w:rPr>
                <w:sz w:val="20"/>
                <w:szCs w:val="20"/>
                <w:color w:val="auto"/>
              </w:rPr>
            </w:pPr>
            <w:r>
              <w:rPr>
                <w:rFonts w:ascii="Arial" w:cs="Arial" w:eastAsia="Arial" w:hAnsi="Arial"/>
                <w:sz w:val="18"/>
                <w:szCs w:val="18"/>
                <w:color w:val="auto"/>
              </w:rPr>
              <w:t>For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Broker Non-Votes</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Thomas S. Gayner</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Donald E. Graham</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Jack A. Markell</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Timothy J. O'Shaughnessy</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G. Richard Wagoner, Jr.</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Katharine Weymouth</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878"/>
        </w:trPr>
        <w:tc>
          <w:tcPr>
            <w:tcW w:w="326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5"/>
        </w:trPr>
        <w:tc>
          <w:tcPr>
            <w:tcW w:w="3260" w:type="dxa"/>
            <w:vAlign w:val="bottom"/>
          </w:tcPr>
          <w:p>
            <w:pPr>
              <w:spacing w:after="0"/>
              <w:rPr>
                <w:sz w:val="24"/>
                <w:szCs w:val="24"/>
                <w:color w:val="auto"/>
              </w:rPr>
            </w:pPr>
          </w:p>
        </w:tc>
        <w:tc>
          <w:tcPr>
            <w:tcW w:w="1900" w:type="dxa"/>
            <w:vAlign w:val="bottom"/>
          </w:tcPr>
          <w:p>
            <w:pPr>
              <w:ind w:left="760"/>
              <w:spacing w:after="0"/>
              <w:rPr>
                <w:sz w:val="20"/>
                <w:szCs w:val="20"/>
                <w:color w:val="auto"/>
              </w:rPr>
            </w:pPr>
            <w:r>
              <w:rPr>
                <w:rFonts w:ascii="Arial" w:cs="Arial" w:eastAsia="Arial" w:hAnsi="Arial"/>
                <w:sz w:val="18"/>
                <w:szCs w:val="18"/>
                <w:color w:val="auto"/>
              </w:rPr>
              <w:t>For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780" w:type="dxa"/>
            <w:vAlign w:val="bottom"/>
          </w:tcPr>
          <w:p>
            <w:pPr>
              <w:jc w:val="center"/>
              <w:ind w:left="5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Broker Non-Votes</w:t>
            </w:r>
          </w:p>
        </w:tc>
      </w:tr>
      <w:tr>
        <w:trPr>
          <w:trHeight w:val="243"/>
        </w:trPr>
        <w:tc>
          <w:tcPr>
            <w:tcW w:w="3260" w:type="dxa"/>
            <w:vAlign w:val="bottom"/>
          </w:tcPr>
          <w:p>
            <w:pPr>
              <w:ind w:left="60"/>
              <w:spacing w:after="0"/>
              <w:rPr>
                <w:sz w:val="20"/>
                <w:szCs w:val="20"/>
                <w:color w:val="auto"/>
              </w:rPr>
            </w:pPr>
            <w:r>
              <w:rPr>
                <w:rFonts w:ascii="Arial" w:cs="Arial" w:eastAsia="Arial" w:hAnsi="Arial"/>
                <w:sz w:val="18"/>
                <w:szCs w:val="18"/>
                <w:color w:val="auto"/>
              </w:rPr>
              <w:t>Tony Allen</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9"/>
              </w:rPr>
              <w:t>3,085,989</w:t>
            </w:r>
          </w:p>
        </w:tc>
        <w:tc>
          <w:tcPr>
            <w:tcW w:w="2060" w:type="dxa"/>
            <w:vAlign w:val="bottom"/>
          </w:tcPr>
          <w:p>
            <w:pPr>
              <w:jc w:val="center"/>
              <w:spacing w:after="0"/>
              <w:rPr>
                <w:sz w:val="20"/>
                <w:szCs w:val="20"/>
                <w:color w:val="auto"/>
              </w:rPr>
            </w:pPr>
            <w:r>
              <w:rPr>
                <w:rFonts w:ascii="Arial" w:cs="Arial" w:eastAsia="Arial" w:hAnsi="Arial"/>
                <w:sz w:val="18"/>
                <w:szCs w:val="18"/>
                <w:color w:val="auto"/>
              </w:rPr>
              <w:t>24,879</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9"/>
              </w:rPr>
              <w:t>2,908,617</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202,251</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60"/>
              <w:spacing w:after="0"/>
              <w:rPr>
                <w:sz w:val="20"/>
                <w:szCs w:val="20"/>
                <w:color w:val="auto"/>
              </w:rPr>
            </w:pPr>
            <w:r>
              <w:rPr>
                <w:rFonts w:ascii="Arial" w:cs="Arial" w:eastAsia="Arial" w:hAnsi="Arial"/>
                <w:sz w:val="18"/>
                <w:szCs w:val="18"/>
                <w:color w:val="auto"/>
              </w:rPr>
              <w:t>Anne M. Mulcahy</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9"/>
              </w:rPr>
              <w:t>1,968,784</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1,142,084</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Proposal 2: Advisory Vote to Approve 2020 Compensation Awarded to Named Executive Officers</w:t>
      </w:r>
    </w:p>
    <w:p>
      <w:pPr>
        <w:spacing w:after="0" w:line="200" w:lineRule="exact"/>
        <w:rPr>
          <w:sz w:val="20"/>
          <w:szCs w:val="20"/>
          <w:color w:val="auto"/>
        </w:rPr>
      </w:pPr>
    </w:p>
    <w:p>
      <w:pPr>
        <w:spacing w:after="0" w:line="34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2020, as set forth below:</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180"/>
          </w:cols>
          <w:pgMar w:left="320" w:top="1089" w:right="399" w:bottom="1440" w:gutter="0" w:footer="0" w:header="0"/>
        </w:sectPr>
      </w:pPr>
    </w:p>
    <w:p>
      <w:pPr>
        <w:spacing w:after="0" w:line="198"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Against</w:t>
      </w:r>
    </w:p>
    <w:p>
      <w:pPr>
        <w:spacing w:after="0" w:line="48"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Abstain</w:t>
      </w:r>
    </w:p>
    <w:p>
      <w:pPr>
        <w:spacing w:after="0" w:line="4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503555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420"/>
        <w:spacing w:after="0"/>
        <w:rPr>
          <w:sz w:val="20"/>
          <w:szCs w:val="20"/>
          <w:color w:val="auto"/>
        </w:rPr>
      </w:pPr>
      <w:r>
        <w:rPr>
          <w:rFonts w:ascii="Arial" w:cs="Arial" w:eastAsia="Arial" w:hAnsi="Arial"/>
          <w:sz w:val="17"/>
          <w:szCs w:val="17"/>
          <w:color w:val="auto"/>
        </w:rPr>
        <w:t>Broker Non-Votes</w:t>
      </w:r>
    </w:p>
    <w:p>
      <w:pPr>
        <w:spacing w:after="0" w:line="48" w:lineRule="exact"/>
        <w:rPr>
          <w:sz w:val="20"/>
          <w:szCs w:val="20"/>
          <w:color w:val="auto"/>
        </w:rPr>
      </w:pPr>
    </w:p>
    <w:p>
      <w:pPr>
        <w:jc w:val="center"/>
        <w:ind w:right="3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2000" w:space="720"/>
            <w:col w:w="1280" w:space="720"/>
            <w:col w:w="900" w:space="720"/>
            <w:col w:w="4840"/>
          </w:cols>
          <w:pgMar w:left="320" w:top="108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85"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563245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19" w:lineRule="auto"/>
        <w:rPr>
          <w:sz w:val="20"/>
          <w:szCs w:val="20"/>
          <w:color w:val="auto"/>
        </w:rPr>
      </w:pPr>
      <w:r>
        <w:rPr>
          <w:rFonts w:ascii="Arial" w:cs="Arial" w:eastAsia="Arial" w:hAnsi="Arial"/>
          <w:sz w:val="18"/>
          <w:szCs w:val="18"/>
          <w:color w:val="auto"/>
        </w:rPr>
        <w:t>Senior Vice President, General Counsel,</w:t>
      </w:r>
    </w:p>
    <w:p>
      <w:pPr>
        <w:jc w:val="center"/>
        <w:ind w:left="7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10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2021-05-10T09:59:32Z</dcterms:created>
  <dcterms:modified xsi:type="dcterms:W3CDTF">2021-05-10T09:59:32Z</dcterms:modified>
</cp:coreProperties>
</file>