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271780</wp:posOffset>
            </wp:positionV>
            <wp:extent cx="49485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338455</wp:posOffset>
            </wp:positionV>
            <wp:extent cx="49485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November 1, 2017</w:t>
      </w:r>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14" w:lineRule="exact"/>
        <w:rPr>
          <w:sz w:val="24"/>
          <w:szCs w:val="24"/>
          <w:color w:val="auto"/>
        </w:rPr>
      </w:pPr>
    </w:p>
    <w:tbl>
      <w:tblPr>
        <w:tblLayout w:type="fixed"/>
        <w:tblInd w:w="1020" w:type="dxa"/>
        <w:tblCellMar>
          <w:top w:w="0" w:type="dxa"/>
          <w:left w:w="0" w:type="dxa"/>
          <w:bottom w:w="0" w:type="dxa"/>
          <w:right w:w="0" w:type="dxa"/>
        </w:tblCellMar>
      </w:tblPr>
      <w:tr>
        <w:trPr>
          <w:trHeight w:val="239"/>
        </w:trPr>
        <w:tc>
          <w:tcPr>
            <w:tcW w:w="4200" w:type="dxa"/>
            <w:vAlign w:val="bottom"/>
          </w:tcPr>
          <w:p>
            <w:pPr>
              <w:jc w:val="center"/>
              <w:ind w:right="2141"/>
              <w:spacing w:after="0"/>
              <w:rPr>
                <w:sz w:val="20"/>
                <w:szCs w:val="20"/>
                <w:color w:val="auto"/>
              </w:rPr>
            </w:pPr>
            <w:r>
              <w:rPr>
                <w:rFonts w:ascii="Arial" w:cs="Arial" w:eastAsia="Arial" w:hAnsi="Arial"/>
                <w:sz w:val="18"/>
                <w:szCs w:val="18"/>
                <w:b w:val="1"/>
                <w:bCs w:val="1"/>
                <w:color w:val="auto"/>
                <w:w w:val="98"/>
              </w:rPr>
              <w:t>Delaware</w:t>
            </w:r>
          </w:p>
        </w:tc>
        <w:tc>
          <w:tcPr>
            <w:tcW w:w="2340" w:type="dxa"/>
            <w:vAlign w:val="bottom"/>
          </w:tcPr>
          <w:p>
            <w:pPr>
              <w:jc w:val="center"/>
              <w:ind w:right="1142"/>
              <w:spacing w:after="0"/>
              <w:rPr>
                <w:sz w:val="20"/>
                <w:szCs w:val="20"/>
                <w:color w:val="auto"/>
              </w:rPr>
            </w:pPr>
            <w:r>
              <w:rPr>
                <w:rFonts w:ascii="Arial" w:cs="Arial" w:eastAsia="Arial" w:hAnsi="Arial"/>
                <w:sz w:val="18"/>
                <w:szCs w:val="18"/>
                <w:b w:val="1"/>
                <w:bCs w:val="1"/>
                <w:color w:val="auto"/>
                <w:w w:val="99"/>
              </w:rPr>
              <w:t>1-6714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89"/>
        </w:trPr>
        <w:tc>
          <w:tcPr>
            <w:tcW w:w="4200" w:type="dxa"/>
            <w:vAlign w:val="bottom"/>
          </w:tcPr>
          <w:p>
            <w:pPr>
              <w:jc w:val="center"/>
              <w:ind w:right="2141"/>
              <w:spacing w:after="0"/>
              <w:rPr>
                <w:sz w:val="20"/>
                <w:szCs w:val="20"/>
                <w:color w:val="auto"/>
              </w:rPr>
            </w:pPr>
            <w:r>
              <w:rPr>
                <w:rFonts w:ascii="Arial" w:cs="Arial" w:eastAsia="Arial" w:hAnsi="Arial"/>
                <w:sz w:val="14"/>
                <w:szCs w:val="14"/>
                <w:b w:val="1"/>
                <w:bCs w:val="1"/>
                <w:color w:val="auto"/>
              </w:rPr>
              <w:t>(State or other jurisdiction of</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26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200" w:type="dxa"/>
            <w:vAlign w:val="bottom"/>
          </w:tcPr>
          <w:p>
            <w:pPr>
              <w:jc w:val="center"/>
              <w:ind w:right="2141"/>
              <w:spacing w:after="0"/>
              <w:rPr>
                <w:sz w:val="20"/>
                <w:szCs w:val="20"/>
                <w:color w:val="auto"/>
              </w:rPr>
            </w:pPr>
            <w:r>
              <w:rPr>
                <w:rFonts w:ascii="Arial" w:cs="Arial" w:eastAsia="Arial" w:hAnsi="Arial"/>
                <w:sz w:val="14"/>
                <w:szCs w:val="14"/>
                <w:b w:val="1"/>
                <w:bCs w:val="1"/>
                <w:color w:val="auto"/>
              </w:rPr>
              <w:t>incorporation)</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Identification No.)</w:t>
            </w:r>
          </w:p>
        </w:tc>
      </w:tr>
      <w:tr>
        <w:trPr>
          <w:trHeight w:val="552"/>
        </w:trPr>
        <w:tc>
          <w:tcPr>
            <w:tcW w:w="6540" w:type="dxa"/>
            <w:vAlign w:val="bottom"/>
            <w:gridSpan w:val="2"/>
          </w:tcPr>
          <w:p>
            <w:pPr>
              <w:jc w:val="center"/>
              <w:ind w:right="942"/>
              <w:spacing w:after="0"/>
              <w:rPr>
                <w:sz w:val="20"/>
                <w:szCs w:val="20"/>
                <w:color w:val="auto"/>
              </w:rPr>
            </w:pPr>
            <w:r>
              <w:rPr>
                <w:rFonts w:ascii="Arial" w:cs="Arial" w:eastAsia="Arial" w:hAnsi="Arial"/>
                <w:sz w:val="18"/>
                <w:szCs w:val="18"/>
                <w:b w:val="1"/>
                <w:bCs w:val="1"/>
                <w:color w:val="auto"/>
                <w:w w:val="99"/>
              </w:rPr>
              <w:t>1300 North 17th Street, Arlington, Virginia</w:t>
            </w: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22209</w:t>
            </w:r>
          </w:p>
        </w:tc>
      </w:tr>
      <w:tr>
        <w:trPr>
          <w:trHeight w:val="218"/>
        </w:trPr>
        <w:tc>
          <w:tcPr>
            <w:tcW w:w="4200" w:type="dxa"/>
            <w:vAlign w:val="bottom"/>
          </w:tcPr>
          <w:p>
            <w:pPr>
              <w:jc w:val="center"/>
              <w:ind w:left="1241"/>
              <w:spacing w:after="0"/>
              <w:rPr>
                <w:sz w:val="20"/>
                <w:szCs w:val="20"/>
                <w:color w:val="auto"/>
              </w:rPr>
            </w:pPr>
            <w:r>
              <w:rPr>
                <w:rFonts w:ascii="Arial" w:cs="Arial" w:eastAsia="Arial" w:hAnsi="Arial"/>
                <w:sz w:val="14"/>
                <w:szCs w:val="14"/>
                <w:b w:val="1"/>
                <w:bCs w:val="1"/>
                <w:color w:val="auto"/>
              </w:rPr>
              <w:t>(Address of principal executive offices)</w:t>
            </w:r>
          </w:p>
        </w:tc>
        <w:tc>
          <w:tcPr>
            <w:tcW w:w="2340" w:type="dxa"/>
            <w:vAlign w:val="bottom"/>
          </w:tcPr>
          <w:p>
            <w:pPr>
              <w:spacing w:after="0"/>
              <w:rPr>
                <w:sz w:val="18"/>
                <w:szCs w:val="18"/>
                <w:color w:val="auto"/>
              </w:rPr>
            </w:pP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(Zip Code)</w:t>
            </w:r>
          </w:p>
        </w:tc>
      </w:tr>
    </w:tbl>
    <w:p>
      <w:pPr>
        <w:spacing w:after="0" w:line="3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103505</wp:posOffset>
            </wp:positionV>
            <wp:extent cx="49485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spacing w:after="0" w:line="23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97" w:lineRule="exact"/>
        <w:rPr>
          <w:sz w:val="24"/>
          <w:szCs w:val="24"/>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306"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306"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306"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306" w:lineRule="exact"/>
        <w:rPr>
          <w:sz w:val="24"/>
          <w:szCs w:val="24"/>
          <w:color w:val="auto"/>
        </w:rPr>
      </w:pPr>
    </w:p>
    <w:p>
      <w:pPr>
        <w:ind w:right="120"/>
        <w:spacing w:after="0" w:line="23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2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352" w:lineRule="exact"/>
        <w:rPr>
          <w:sz w:val="24"/>
          <w:szCs w:val="24"/>
          <w:color w:val="auto"/>
        </w:rPr>
      </w:pPr>
    </w:p>
    <w:p>
      <w:pPr>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752" w:right="239" w:bottom="1440"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8890"/>
                    </a:xfrm>
                    <a:prstGeom prst="rect">
                      <a:avLst/>
                    </a:prstGeom>
                    <a:noFill/>
                  </pic:spPr>
                </pic:pic>
              </a:graphicData>
            </a:graphic>
          </wp:anchor>
        </w:drawing>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28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November 1, 2017, Graham Holdings Company issued a press release announcing the Company’s earnings for the third quarter ended September 30, 2017. A copy of this press release is furnished with this report as an exhibit to this Form 8-K.</w:t>
      </w:r>
    </w:p>
    <w:p>
      <w:pPr>
        <w:spacing w:after="0" w:line="200" w:lineRule="exact"/>
        <w:rPr>
          <w:sz w:val="20"/>
          <w:szCs w:val="20"/>
          <w:color w:val="auto"/>
        </w:rPr>
      </w:pPr>
    </w:p>
    <w:p>
      <w:pPr>
        <w:spacing w:after="0" w:line="27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Exhibit 99.1 Graham Holdings Company Earnings Release Dated November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323850</wp:posOffset>
            </wp:positionV>
            <wp:extent cx="7212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60"/>
          </w:cols>
          <w:pgMar w:left="240" w:top="994" w:right="59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8890"/>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4"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14605</wp:posOffset>
            </wp:positionV>
            <wp:extent cx="25984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43"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63" w:lineRule="exact"/>
        <w:rPr>
          <w:sz w:val="20"/>
          <w:szCs w:val="20"/>
          <w:color w:val="auto"/>
        </w:rPr>
      </w:pPr>
    </w:p>
    <w:p>
      <w:pPr>
        <w:ind w:left="40"/>
        <w:spacing w:after="0"/>
        <w:tabs>
          <w:tab w:leader="none" w:pos="8440" w:val="left"/>
        </w:tabs>
        <w:rPr>
          <w:sz w:val="20"/>
          <w:szCs w:val="20"/>
          <w:color w:val="auto"/>
        </w:rPr>
      </w:pPr>
      <w:r>
        <w:rPr>
          <w:rFonts w:ascii="Arial" w:cs="Arial" w:eastAsia="Arial" w:hAnsi="Arial"/>
          <w:sz w:val="18"/>
          <w:szCs w:val="18"/>
          <w:color w:val="auto"/>
        </w:rPr>
        <w:t>Date: November 1, 2017</w:t>
      </w:r>
      <w:r>
        <w:rPr>
          <w:sz w:val="20"/>
          <w:szCs w:val="20"/>
          <w:color w:val="auto"/>
        </w:rPr>
        <w:tab/>
      </w:r>
      <w:r>
        <w:rPr>
          <w:rFonts w:ascii="Arial" w:cs="Arial" w:eastAsia="Arial" w:hAnsi="Arial"/>
          <w:sz w:val="17"/>
          <w:szCs w:val="17"/>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14605</wp:posOffset>
            </wp:positionV>
            <wp:extent cx="25984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9"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Wallace R. Cooney,</w:t>
      </w:r>
    </w:p>
    <w:p>
      <w:pPr>
        <w:jc w:val="center"/>
        <w:ind w:left="7280"/>
        <w:spacing w:after="0" w:line="234" w:lineRule="auto"/>
        <w:rPr>
          <w:sz w:val="20"/>
          <w:szCs w:val="20"/>
          <w:color w:val="auto"/>
        </w:rPr>
      </w:pPr>
      <w:r>
        <w:rPr>
          <w:rFonts w:ascii="Arial" w:cs="Arial" w:eastAsia="Arial" w:hAnsi="Arial"/>
          <w:sz w:val="18"/>
          <w:szCs w:val="18"/>
          <w:color w:val="auto"/>
        </w:rPr>
        <w:t>Senior Vice President-Finance</w:t>
      </w:r>
    </w:p>
    <w:p>
      <w:pPr>
        <w:spacing w:after="0" w:line="1"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1292860</wp:posOffset>
            </wp:positionV>
            <wp:extent cx="72123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240" w:top="994"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2330" cy="8890"/>
                    </a:xfrm>
                    <a:prstGeom prst="rect">
                      <a:avLst/>
                    </a:prstGeom>
                    <a:noFill/>
                  </pic:spPr>
                </pic:pic>
              </a:graphicData>
            </a:graphic>
          </wp:anchor>
        </w:drawing>
        <w:t>Exhibit Index</w:t>
      </w:r>
    </w:p>
    <w:p>
      <w:pPr>
        <w:spacing w:after="0" w:line="200" w:lineRule="exact"/>
        <w:rPr>
          <w:sz w:val="20"/>
          <w:szCs w:val="20"/>
          <w:color w:val="auto"/>
        </w:rPr>
      </w:pPr>
    </w:p>
    <w:p>
      <w:pPr>
        <w:spacing w:after="0" w:line="263" w:lineRule="exact"/>
        <w:rPr>
          <w:sz w:val="20"/>
          <w:szCs w:val="20"/>
          <w:color w:val="auto"/>
        </w:rPr>
      </w:pPr>
    </w:p>
    <w:p>
      <w:pPr>
        <w:spacing w:after="0"/>
        <w:tabs>
          <w:tab w:leader="none" w:pos="1080" w:val="left"/>
        </w:tabs>
        <w:rPr>
          <w:rFonts w:ascii="Arial" w:cs="Arial" w:eastAsia="Arial" w:hAnsi="Arial"/>
          <w:sz w:val="18"/>
          <w:szCs w:val="18"/>
          <w:u w:val="single" w:color="auto"/>
          <w:color w:val="0000FF"/>
        </w:rPr>
      </w:pPr>
      <w:r>
        <w:rPr>
          <w:rFonts w:ascii="Arial" w:cs="Arial" w:eastAsia="Arial" w:hAnsi="Arial"/>
          <w:sz w:val="18"/>
          <w:szCs w:val="18"/>
          <w:color w:val="auto"/>
        </w:rPr>
        <w:t>Exhibit 99.1</w:t>
      </w:r>
      <w:r>
        <w:rPr>
          <w:sz w:val="20"/>
          <w:szCs w:val="20"/>
          <w:color w:val="auto"/>
        </w:rPr>
        <w:tab/>
      </w:r>
      <w:hyperlink w:anchor="page5">
        <w:r>
          <w:rPr>
            <w:rFonts w:ascii="Arial" w:cs="Arial" w:eastAsia="Arial" w:hAnsi="Arial"/>
            <w:sz w:val="18"/>
            <w:szCs w:val="18"/>
            <w:u w:val="single" w:color="auto"/>
            <w:color w:val="0000FF"/>
          </w:rPr>
          <w:t>Graham Holdings Company Earnings Release dated November 1,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461010</wp:posOffset>
            </wp:positionV>
            <wp:extent cx="72123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99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Arial" w:cs="Arial" w:eastAsia="Arial" w:hAnsi="Arial"/>
                <w:sz w:val="18"/>
                <w:szCs w:val="18"/>
                <w:color w:val="auto"/>
              </w:rPr>
              <w:t>Contact:</w:t>
            </w:r>
          </w:p>
        </w:tc>
        <w:tc>
          <w:tcPr>
            <w:tcW w:w="3960" w:type="dxa"/>
            <w:vAlign w:val="bottom"/>
          </w:tcPr>
          <w:p>
            <w:pPr>
              <w:jc w:val="right"/>
              <w:ind w:right="2010"/>
              <w:spacing w:after="0"/>
              <w:rPr>
                <w:sz w:val="20"/>
                <w:szCs w:val="20"/>
                <w:color w:val="auto"/>
              </w:rPr>
            </w:pPr>
            <w:r>
              <w:rPr>
                <w:rFonts w:ascii="Arial" w:cs="Arial" w:eastAsia="Arial" w:hAnsi="Arial"/>
                <w:sz w:val="18"/>
                <w:szCs w:val="18"/>
                <w:color w:val="auto"/>
              </w:rPr>
              <w:t>Wallace R. Cooney</w:t>
            </w:r>
          </w:p>
        </w:tc>
        <w:tc>
          <w:tcPr>
            <w:tcW w:w="2240" w:type="dxa"/>
            <w:vAlign w:val="bottom"/>
          </w:tcPr>
          <w:p>
            <w:pPr>
              <w:spacing w:after="0"/>
              <w:rPr>
                <w:sz w:val="17"/>
                <w:szCs w:val="17"/>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For Immediate Release</w:t>
            </w:r>
          </w:p>
        </w:tc>
      </w:tr>
      <w:tr>
        <w:trPr>
          <w:trHeight w:val="237"/>
        </w:trPr>
        <w:tc>
          <w:tcPr>
            <w:tcW w:w="960" w:type="dxa"/>
            <w:vAlign w:val="bottom"/>
          </w:tcPr>
          <w:p>
            <w:pPr>
              <w:spacing w:after="0"/>
              <w:rPr>
                <w:sz w:val="20"/>
                <w:szCs w:val="20"/>
                <w:color w:val="auto"/>
              </w:rPr>
            </w:pPr>
          </w:p>
        </w:tc>
        <w:tc>
          <w:tcPr>
            <w:tcW w:w="3960" w:type="dxa"/>
            <w:vAlign w:val="bottom"/>
          </w:tcPr>
          <w:p>
            <w:pPr>
              <w:jc w:val="right"/>
              <w:ind w:right="2350"/>
              <w:spacing w:after="0"/>
              <w:rPr>
                <w:sz w:val="20"/>
                <w:szCs w:val="20"/>
                <w:color w:val="auto"/>
              </w:rPr>
            </w:pPr>
            <w:r>
              <w:rPr>
                <w:rFonts w:ascii="Arial" w:cs="Arial" w:eastAsia="Arial" w:hAnsi="Arial"/>
                <w:sz w:val="18"/>
                <w:szCs w:val="18"/>
                <w:color w:val="auto"/>
              </w:rPr>
              <w:t>(703) 345-6470</w:t>
            </w:r>
          </w:p>
        </w:tc>
        <w:tc>
          <w:tcPr>
            <w:tcW w:w="4120" w:type="dxa"/>
            <w:vAlign w:val="bottom"/>
            <w:gridSpan w:val="2"/>
          </w:tcPr>
          <w:p>
            <w:pPr>
              <w:ind w:left="2120"/>
              <w:spacing w:after="0"/>
              <w:rPr>
                <w:sz w:val="20"/>
                <w:szCs w:val="20"/>
                <w:color w:val="auto"/>
              </w:rPr>
            </w:pPr>
            <w:r>
              <w:rPr>
                <w:rFonts w:ascii="Arial" w:cs="Arial" w:eastAsia="Arial" w:hAnsi="Arial"/>
                <w:sz w:val="18"/>
                <w:szCs w:val="18"/>
                <w:color w:val="auto"/>
              </w:rPr>
              <w:t>November 1, 2017</w:t>
            </w: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GRAHAM HOLDINGS COMPANY REPORTS</w:t>
      </w:r>
    </w:p>
    <w:p>
      <w:pPr>
        <w:jc w:val="center"/>
        <w:spacing w:after="0"/>
        <w:rPr>
          <w:sz w:val="20"/>
          <w:szCs w:val="20"/>
          <w:color w:val="auto"/>
        </w:rPr>
      </w:pPr>
      <w:r>
        <w:rPr>
          <w:rFonts w:ascii="Arial" w:cs="Arial" w:eastAsia="Arial" w:hAnsi="Arial"/>
          <w:sz w:val="18"/>
          <w:szCs w:val="18"/>
          <w:color w:val="auto"/>
        </w:rPr>
        <w:t>THIRD QUARTER EARNINGS</w:t>
      </w:r>
    </w:p>
    <w:p>
      <w:pPr>
        <w:spacing w:after="0" w:line="144"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ARLINGTON, VA – Graham Holdings Company (NYSE: GHC) today reported income attributable to common shares of $24.8 million ($4.42 per share) for the third quarter of 2017, compared to $33.1 million ($5.87 per share) for the third quarter of 2016.</w:t>
      </w:r>
    </w:p>
    <w:p>
      <w:pPr>
        <w:spacing w:after="0" w:line="135"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The results for the third quarter of 2017 and 2016 were affected by a number of items as described in the following paragraphs. Excluding these items, income attributable to common shares was $23.9 million ($4.26 per share) for the third quarter of 2017, compared to $36.9 million ($6.53 per share) for the third quarter of 2016. (Refer to the Non-GAAP Financial Information schedule at the end of this release for additional details.)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third quarter of 2017:</w:t>
      </w:r>
    </w:p>
    <w:p>
      <w:pPr>
        <w:spacing w:after="0" w:line="144" w:lineRule="exact"/>
        <w:rPr>
          <w:sz w:val="20"/>
          <w:szCs w:val="20"/>
          <w:color w:val="auto"/>
        </w:rPr>
      </w:pPr>
    </w:p>
    <w:p>
      <w:pPr>
        <w:ind w:right="2980" w:firstLine="8"/>
        <w:spacing w:after="0" w:line="407" w:lineRule="auto"/>
        <w:tabs>
          <w:tab w:leader="none" w:pos="162" w:val="left"/>
        </w:tabs>
        <w:numPr>
          <w:ilvl w:val="0"/>
          <w:numId w:val="2"/>
        </w:numPr>
        <w:rPr>
          <w:rFonts w:ascii="Arial" w:cs="Arial" w:eastAsia="Arial" w:hAnsi="Arial"/>
          <w:sz w:val="18"/>
          <w:szCs w:val="18"/>
          <w:color w:val="auto"/>
        </w:rPr>
      </w:pPr>
      <w:r>
        <w:rPr>
          <w:rFonts w:ascii="Arial" w:cs="Arial" w:eastAsia="Arial" w:hAnsi="Arial"/>
          <w:sz w:val="18"/>
          <w:szCs w:val="18"/>
          <w:color w:val="auto"/>
        </w:rPr>
        <w:t>$1.4 million in non-operating foreign currency gains (after-tax impact of $0.9 million, or $0.16 per share). Items included in the Company’s net income for the third quarter of 2016:</w:t>
      </w: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$15.0 million non-operating expense from the write-down of a cost method investment (after-tax impact of $9.6 million, or $1.70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$3.8 million in non-operating foreign currency losses (after-tax impact of $2.4 million, or $0.43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net nonrecurring $8.3 million deferred tax benefit related to Kaplan's international operations ($1.47 per share).</w:t>
      </w:r>
    </w:p>
    <w:p>
      <w:pPr>
        <w:spacing w:after="0" w:line="144"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Revenue for the third quarter of 2017 was $657.2 million, up 6% from $621.6 million in the third quarter of 2016. Revenues increased in other businesses, offset by a decline at the education and television broadcasting divisions. The Company reported operating income of $ 44.6 million for the third quarter of 2017, compared to $68.0 million for the third quarter of 2016. The operating income decline is driven by lower earnings at the television broadcasting and education divisions, offset by an increase in other businesses.</w:t>
      </w:r>
    </w:p>
    <w:p>
      <w:pPr>
        <w:spacing w:after="0" w:line="135" w:lineRule="exact"/>
        <w:rPr>
          <w:sz w:val="20"/>
          <w:szCs w:val="20"/>
          <w:color w:val="auto"/>
        </w:rPr>
      </w:pPr>
    </w:p>
    <w:p>
      <w:pPr>
        <w:ind w:right="160"/>
        <w:spacing w:after="0" w:line="223" w:lineRule="auto"/>
        <w:rPr>
          <w:sz w:val="20"/>
          <w:szCs w:val="20"/>
          <w:color w:val="auto"/>
        </w:rPr>
      </w:pPr>
      <w:r>
        <w:rPr>
          <w:rFonts w:ascii="Arial" w:cs="Arial" w:eastAsia="Arial" w:hAnsi="Arial"/>
          <w:sz w:val="18"/>
          <w:szCs w:val="18"/>
          <w:color w:val="auto"/>
        </w:rPr>
        <w:t>On April 27, 2017, certain Kaplan subsidiaries entered into a Contribution and Transfer Agreement (Transfer Agreement) to contribute Kaplan University (KU), its institutional assets and operations to a new, nonprofit, public-benefit corporation (New University) affiliated with Purdue University (Purdue) in exchange for a Transition and Operations Support Agreement (TOSA) to provide key non-academic operations support to New University for an initial term of 30 years with a buy-out option after six years. The transfer does not include any of the assets of Kaplan University School of Professional and Continuing Education (KU-PACE), which provides professional training and exam preparation for professional certifications and licensures, nor does it include the transfer of other Kaplan businesses such as Kaplan Test Preparation and Kaplan International.</w:t>
      </w:r>
    </w:p>
    <w:p>
      <w:pPr>
        <w:spacing w:after="0" w:line="139" w:lineRule="exact"/>
        <w:rPr>
          <w:sz w:val="20"/>
          <w:szCs w:val="20"/>
          <w:color w:val="auto"/>
        </w:rPr>
      </w:pPr>
    </w:p>
    <w:p>
      <w:pPr>
        <w:ind w:right="200"/>
        <w:spacing w:after="0" w:line="223" w:lineRule="auto"/>
        <w:rPr>
          <w:sz w:val="20"/>
          <w:szCs w:val="20"/>
          <w:color w:val="auto"/>
        </w:rPr>
      </w:pPr>
      <w:r>
        <w:rPr>
          <w:rFonts w:ascii="Arial" w:cs="Arial" w:eastAsia="Arial" w:hAnsi="Arial"/>
          <w:sz w:val="18"/>
          <w:szCs w:val="18"/>
          <w:color w:val="auto"/>
        </w:rPr>
        <w:t>Consummation of the transactions contemplated by the Transfer Agreement is subject to various closing conditions, including, among others, regulatory approvals from the U.S. Department of Education (ED), the Indiana Commission for Higher Education (ICHE) and Higher Learning Commissions (HLC), which is the regional accreditor of both Purdue and KU, and certain other state educational agencies and accreditors of programs. In the third quarter of 2017, ICHE granted its approval and the ED provided preliminary approval based on its review of a pre-acquisition application, subject to certain conditions. Kaplan is unable to predict with certainty when and if HLC approval will be obtained; however, such approval is not expected to be received until the first quarter of 2018. If the transaction is not consummated by April 30, 2018, either party may terminate the Transfer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the first nine months of 2017, the Company reported income attributable to common shares of $87.9 million ($15.64 per share), compared</w:t>
      </w:r>
    </w:p>
    <w:p>
      <w:pPr>
        <w:spacing w:after="0" w:line="219" w:lineRule="auto"/>
        <w:rPr>
          <w:sz w:val="20"/>
          <w:szCs w:val="20"/>
          <w:color w:val="auto"/>
        </w:rPr>
      </w:pPr>
      <w:r>
        <w:rPr>
          <w:rFonts w:ascii="Arial" w:cs="Arial" w:eastAsia="Arial" w:hAnsi="Arial"/>
          <w:sz w:val="18"/>
          <w:szCs w:val="18"/>
          <w:color w:val="auto"/>
        </w:rPr>
        <w:t>to $131.7 million ($23.21 per share) for the first nine months of 2016. The results for the first nine months of 2017 and 2016 were affected by a</w:t>
      </w:r>
    </w:p>
    <w:p>
      <w:pPr>
        <w:spacing w:after="0" w:line="219" w:lineRule="auto"/>
        <w:rPr>
          <w:sz w:val="20"/>
          <w:szCs w:val="20"/>
          <w:color w:val="auto"/>
        </w:rPr>
      </w:pPr>
      <w:r>
        <w:rPr>
          <w:rFonts w:ascii="Arial" w:cs="Arial" w:eastAsia="Arial" w:hAnsi="Arial"/>
          <w:sz w:val="18"/>
          <w:szCs w:val="18"/>
          <w:color w:val="auto"/>
        </w:rPr>
        <w:t>number of items as described in the following paragraphs. Excluding these items, income attributable to common shares was $83.6 million</w:t>
      </w:r>
    </w:p>
    <w:p>
      <w:pPr>
        <w:spacing w:after="0" w:line="219" w:lineRule="auto"/>
        <w:rPr>
          <w:sz w:val="20"/>
          <w:szCs w:val="20"/>
          <w:color w:val="auto"/>
        </w:rPr>
      </w:pPr>
      <w:r>
        <w:rPr>
          <w:rFonts w:ascii="Arial" w:cs="Arial" w:eastAsia="Arial" w:hAnsi="Arial"/>
          <w:sz w:val="18"/>
          <w:szCs w:val="18"/>
          <w:color w:val="auto"/>
        </w:rPr>
        <w:t>($14.87 per share) for the first nine months of 2017, compared to $110.1 million ($19.41 per share) for the first nine months of 2016. (Refer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Non-GAAP Financial Information schedule at the end of this release for additional details.)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76"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Items included in the Company’s net income for the first nine months of 2017:</w:t>
      </w:r>
    </w:p>
    <w:p>
      <w:pPr>
        <w:spacing w:after="0" w:line="144"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$9.2 million goodwill and other long-lived asset impairment charge in other businesses (after-tax impact of $5.8 million, or $1.03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$6.6 million in non-operating foreign currency gains (after-tax impact of $4.2 million, or $0.74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$5.9 million in income tax benefits related to stock compensation ($1.06 per share).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first nine months of 2016:</w:t>
      </w:r>
    </w:p>
    <w:p>
      <w:pPr>
        <w:spacing w:after="0" w:line="144" w:lineRule="exact"/>
        <w:rPr>
          <w:sz w:val="20"/>
          <w:szCs w:val="20"/>
          <w:color w:val="auto"/>
        </w:rPr>
      </w:pPr>
    </w:p>
    <w:p>
      <w:pPr>
        <w:ind w:left="180" w:right="460" w:hanging="172"/>
        <w:spacing w:after="0" w:line="235"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$40.3 million non-operating gain from the sales of land and marketable equity securities (after-tax impact of $25.0 million, or $4.42 per share);</w:t>
      </w:r>
    </w:p>
    <w:p>
      <w:pPr>
        <w:spacing w:after="0" w:line="134" w:lineRule="exact"/>
        <w:rPr>
          <w:rFonts w:ascii="Arial" w:cs="Arial" w:eastAsia="Arial" w:hAnsi="Arial"/>
          <w:sz w:val="18"/>
          <w:szCs w:val="18"/>
          <w:color w:val="auto"/>
        </w:rPr>
      </w:pPr>
    </w:p>
    <w:p>
      <w:pPr>
        <w:ind w:left="180" w:right="60" w:hanging="172"/>
        <w:spacing w:after="0" w:line="235"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$22.2 million non-operating gain arising from the sale of a business and the formation of a joint venture (after-tax impact of $13.6 million, or $2.37 per share);</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$15.0 million non-operating expense from the write-down of a cost method investment (after-tax impact of $9.6 million, or $1.70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$33.3 million in non-operating foreign currency losses (after-tax impact of $21.3 million, or $3.76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net nonrecurring $8.3 million deferred tax benefit related to Kaplan's international operations ($1.47 per share); and</w:t>
      </w:r>
    </w:p>
    <w:p>
      <w:pPr>
        <w:spacing w:after="0" w:line="144" w:lineRule="exact"/>
        <w:rPr>
          <w:rFonts w:ascii="Arial" w:cs="Arial" w:eastAsia="Arial" w:hAnsi="Arial"/>
          <w:sz w:val="18"/>
          <w:szCs w:val="18"/>
          <w:color w:val="auto"/>
        </w:rPr>
      </w:pPr>
    </w:p>
    <w:p>
      <w:pPr>
        <w:ind w:left="180" w:right="320" w:hanging="172"/>
        <w:spacing w:after="0" w:line="235"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favorable $5.6 million out of period deferred tax adjustment related to the KHE goodwill impairment recorded in the third quarter of 2015 ($1.00 per share).</w:t>
      </w:r>
    </w:p>
    <w:p>
      <w:pPr>
        <w:spacing w:after="0" w:line="135"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Revenue for the first nine months of 2017 was $1,916.0 million, up 3% from $1,852.3 million in the first nine months of 2016. Revenues increased in other businesses, offset by a decline at the education and television broadcasting divisions. The Company reported operating income of $142.0 million for the first nine months of 2017, compared to $194.0 million for first nine months of 2016. Operating results declined at the education and television broadcasting divisions and in other businesses.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Education division revenue totaled $376.8 million for the third quarter of 2017, down 3% from $386.9 million for the same period of 2016.</w:t>
      </w:r>
    </w:p>
    <w:p>
      <w:pPr>
        <w:spacing w:after="0"/>
        <w:rPr>
          <w:sz w:val="20"/>
          <w:szCs w:val="20"/>
          <w:color w:val="auto"/>
        </w:rPr>
      </w:pPr>
      <w:r>
        <w:rPr>
          <w:rFonts w:ascii="Arial" w:cs="Arial" w:eastAsia="Arial" w:hAnsi="Arial"/>
          <w:sz w:val="18"/>
          <w:szCs w:val="18"/>
          <w:color w:val="auto"/>
        </w:rPr>
        <w:t>Kaplan reported operating income of $13.4 million for the third quarter of 2017, compared to $16.3 million for the third quarter of 2016.</w:t>
      </w:r>
    </w:p>
    <w:p>
      <w:pPr>
        <w:spacing w:after="0" w:line="144"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For the first nine months of 2017, education division revenue totaled $1,136.2 million, down 6% from $1,207.2 million for the same period of 2016. Kaplan reported operating income of $55.3 million for the first nine months of 2017, compared to $63.7 million for the first nine months of 2016.</w:t>
      </w:r>
    </w:p>
    <w:p>
      <w:pPr>
        <w:spacing w:after="0" w:line="137"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In recent years, Kaplan has formulated and implemented restructuring plans at its various businesses that have resulted in restructuring costs, with the objective of establishing lower cost levels in future periods. Across all businesses, restructuring costs totaled $2.7 million and $4.9 million for the first nine months of 2017 and 2016, respectively. Additional restructuring costs are expected to be incurred in the fourth quarter of 2017.</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Three Months Ended</w:t>
            </w: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Nine Months Ended</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40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15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2016</w:t>
            </w:r>
          </w:p>
        </w:tc>
        <w:tc>
          <w:tcPr>
            <w:tcW w:w="15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 Change</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2016</w:t>
            </w:r>
          </w:p>
        </w:tc>
        <w:tc>
          <w:tcPr>
            <w:tcW w:w="13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50"/>
        </w:trPr>
        <w:tc>
          <w:tcPr>
            <w:tcW w:w="4080" w:type="dxa"/>
            <w:vAlign w:val="bottom"/>
          </w:tcPr>
          <w:p>
            <w:pPr>
              <w:ind w:left="40"/>
              <w:spacing w:after="0"/>
              <w:rPr>
                <w:sz w:val="20"/>
                <w:szCs w:val="20"/>
                <w:color w:val="auto"/>
              </w:rPr>
            </w:pPr>
            <w:r>
              <w:rPr>
                <w:rFonts w:ascii="Arial" w:cs="Arial" w:eastAsia="Arial" w:hAnsi="Arial"/>
                <w:sz w:val="16"/>
                <w:szCs w:val="16"/>
                <w:b w:val="1"/>
                <w:bCs w:val="1"/>
                <w:color w:val="auto"/>
              </w:rPr>
              <w:t>Revenue</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133,459</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148,602</w:t>
            </w:r>
          </w:p>
        </w:tc>
        <w:tc>
          <w:tcPr>
            <w:tcW w:w="1500" w:type="dxa"/>
            <w:vAlign w:val="bottom"/>
          </w:tcPr>
          <w:p>
            <w:pPr>
              <w:jc w:val="right"/>
              <w:ind w:right="420"/>
              <w:spacing w:after="0"/>
              <w:rPr>
                <w:sz w:val="20"/>
                <w:szCs w:val="20"/>
                <w:color w:val="auto"/>
              </w:rPr>
            </w:pPr>
            <w:r>
              <w:rPr>
                <w:rFonts w:ascii="Arial" w:cs="Arial" w:eastAsia="Arial" w:hAnsi="Arial"/>
                <w:sz w:val="16"/>
                <w:szCs w:val="16"/>
                <w:color w:val="auto"/>
              </w:rPr>
              <w:t>(10)</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81"/>
              <w:spacing w:after="0"/>
              <w:rPr>
                <w:sz w:val="20"/>
                <w:szCs w:val="20"/>
                <w:color w:val="auto"/>
              </w:rPr>
            </w:pPr>
            <w:r>
              <w:rPr>
                <w:rFonts w:ascii="Arial" w:cs="Arial" w:eastAsia="Arial" w:hAnsi="Arial"/>
                <w:sz w:val="16"/>
                <w:szCs w:val="16"/>
                <w:b w:val="1"/>
                <w:bCs w:val="1"/>
                <w:color w:val="auto"/>
              </w:rPr>
              <w:t>416,973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472,131</w:t>
            </w:r>
          </w:p>
        </w:tc>
        <w:tc>
          <w:tcPr>
            <w:tcW w:w="1380" w:type="dxa"/>
            <w:vAlign w:val="bottom"/>
          </w:tcPr>
          <w:p>
            <w:pPr>
              <w:jc w:val="right"/>
              <w:ind w:right="30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70"/>
        </w:trPr>
        <w:tc>
          <w:tcPr>
            <w:tcW w:w="408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72,680</w:t>
            </w:r>
          </w:p>
        </w:tc>
        <w:tc>
          <w:tcPr>
            <w:tcW w:w="30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78,291</w:t>
            </w:r>
          </w:p>
        </w:tc>
        <w:tc>
          <w:tcPr>
            <w:tcW w:w="1500" w:type="dxa"/>
            <w:vAlign w:val="bottom"/>
          </w:tcPr>
          <w:p>
            <w:pPr>
              <w:jc w:val="right"/>
              <w:ind w:right="420"/>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23"/>
                <w:szCs w:val="23"/>
                <w:color w:val="auto"/>
              </w:rPr>
            </w:pPr>
          </w:p>
        </w:tc>
        <w:tc>
          <w:tcPr>
            <w:tcW w:w="960" w:type="dxa"/>
            <w:vAlign w:val="bottom"/>
          </w:tcPr>
          <w:p>
            <w:pPr>
              <w:jc w:val="right"/>
              <w:ind w:right="81"/>
              <w:spacing w:after="0"/>
              <w:rPr>
                <w:sz w:val="20"/>
                <w:szCs w:val="20"/>
                <w:color w:val="auto"/>
              </w:rPr>
            </w:pPr>
            <w:r>
              <w:rPr>
                <w:rFonts w:ascii="Arial" w:cs="Arial" w:eastAsia="Arial" w:hAnsi="Arial"/>
                <w:sz w:val="16"/>
                <w:szCs w:val="16"/>
                <w:b w:val="1"/>
                <w:bCs w:val="1"/>
                <w:color w:val="auto"/>
              </w:rPr>
              <w:t>212,978</w:t>
            </w:r>
          </w:p>
        </w:tc>
        <w:tc>
          <w:tcPr>
            <w:tcW w:w="26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224,102</w:t>
            </w:r>
          </w:p>
        </w:tc>
        <w:tc>
          <w:tcPr>
            <w:tcW w:w="1380" w:type="dxa"/>
            <w:vAlign w:val="bottom"/>
          </w:tcPr>
          <w:p>
            <w:pPr>
              <w:jc w:val="right"/>
              <w:ind w:right="30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70"/>
        </w:trPr>
        <w:tc>
          <w:tcPr>
            <w:tcW w:w="408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spacing w:after="0"/>
              <w:rPr>
                <w:sz w:val="23"/>
                <w:szCs w:val="23"/>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171,259</w:t>
            </w:r>
          </w:p>
        </w:tc>
        <w:tc>
          <w:tcPr>
            <w:tcW w:w="30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160,456</w:t>
            </w:r>
          </w:p>
        </w:tc>
        <w:tc>
          <w:tcPr>
            <w:tcW w:w="1500" w:type="dxa"/>
            <w:vAlign w:val="bottom"/>
          </w:tcPr>
          <w:p>
            <w:pPr>
              <w:jc w:val="right"/>
              <w:ind w:right="460"/>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23"/>
                <w:szCs w:val="23"/>
                <w:color w:val="auto"/>
              </w:rPr>
            </w:pPr>
          </w:p>
        </w:tc>
        <w:tc>
          <w:tcPr>
            <w:tcW w:w="960" w:type="dxa"/>
            <w:vAlign w:val="bottom"/>
          </w:tcPr>
          <w:p>
            <w:pPr>
              <w:jc w:val="right"/>
              <w:ind w:right="81"/>
              <w:spacing w:after="0"/>
              <w:rPr>
                <w:sz w:val="20"/>
                <w:szCs w:val="20"/>
                <w:color w:val="auto"/>
              </w:rPr>
            </w:pPr>
            <w:r>
              <w:rPr>
                <w:rFonts w:ascii="Arial" w:cs="Arial" w:eastAsia="Arial" w:hAnsi="Arial"/>
                <w:sz w:val="16"/>
                <w:szCs w:val="16"/>
                <w:b w:val="1"/>
                <w:bCs w:val="1"/>
                <w:color w:val="auto"/>
              </w:rPr>
              <w:t>507,568</w:t>
            </w:r>
          </w:p>
        </w:tc>
        <w:tc>
          <w:tcPr>
            <w:tcW w:w="26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512,068</w:t>
            </w:r>
          </w:p>
        </w:tc>
        <w:tc>
          <w:tcPr>
            <w:tcW w:w="1380" w:type="dxa"/>
            <w:vAlign w:val="bottom"/>
          </w:tcPr>
          <w:p>
            <w:pPr>
              <w:jc w:val="right"/>
              <w:ind w:right="30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408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23"/>
                <w:szCs w:val="23"/>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49</w:t>
            </w:r>
          </w:p>
        </w:tc>
        <w:tc>
          <w:tcPr>
            <w:tcW w:w="30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47</w:t>
            </w:r>
          </w:p>
        </w:tc>
        <w:tc>
          <w:tcPr>
            <w:tcW w:w="1500" w:type="dxa"/>
            <w:vAlign w:val="bottom"/>
          </w:tcPr>
          <w:p>
            <w:pPr>
              <w:jc w:val="right"/>
              <w:ind w:right="460"/>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23"/>
                <w:szCs w:val="23"/>
                <w:color w:val="auto"/>
              </w:rPr>
            </w:pPr>
          </w:p>
        </w:tc>
        <w:tc>
          <w:tcPr>
            <w:tcW w:w="960" w:type="dxa"/>
            <w:vAlign w:val="bottom"/>
          </w:tcPr>
          <w:p>
            <w:pPr>
              <w:jc w:val="right"/>
              <w:ind w:right="81"/>
              <w:spacing w:after="0"/>
              <w:rPr>
                <w:sz w:val="20"/>
                <w:szCs w:val="20"/>
                <w:color w:val="auto"/>
              </w:rPr>
            </w:pPr>
            <w:r>
              <w:rPr>
                <w:rFonts w:ascii="Arial" w:cs="Arial" w:eastAsia="Arial" w:hAnsi="Arial"/>
                <w:sz w:val="16"/>
                <w:szCs w:val="16"/>
                <w:b w:val="1"/>
                <w:bCs w:val="1"/>
                <w:color w:val="auto"/>
              </w:rPr>
              <w:t>120</w:t>
            </w:r>
          </w:p>
        </w:tc>
        <w:tc>
          <w:tcPr>
            <w:tcW w:w="26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190</w:t>
            </w:r>
          </w:p>
        </w:tc>
        <w:tc>
          <w:tcPr>
            <w:tcW w:w="1380" w:type="dxa"/>
            <w:vAlign w:val="bottom"/>
          </w:tcPr>
          <w:p>
            <w:pPr>
              <w:jc w:val="right"/>
              <w:ind w:right="30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83"/>
        </w:trPr>
        <w:tc>
          <w:tcPr>
            <w:tcW w:w="408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(642)</w:t>
            </w: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w:t>
            </w:r>
          </w:p>
        </w:tc>
        <w:tc>
          <w:tcPr>
            <w:tcW w:w="150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(1,438)</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(1,266)</w:t>
            </w:r>
          </w:p>
        </w:tc>
        <w:tc>
          <w:tcPr>
            <w:tcW w:w="138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40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376,805</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386,936</w:t>
            </w:r>
          </w:p>
        </w:tc>
        <w:tc>
          <w:tcPr>
            <w:tcW w:w="1500" w:type="dxa"/>
            <w:vAlign w:val="bottom"/>
          </w:tcPr>
          <w:p>
            <w:pPr>
              <w:jc w:val="right"/>
              <w:ind w:right="420"/>
              <w:spacing w:after="0"/>
              <w:rPr>
                <w:sz w:val="20"/>
                <w:szCs w:val="20"/>
                <w:color w:val="auto"/>
              </w:rPr>
            </w:pPr>
            <w:r>
              <w:rPr>
                <w:rFonts w:ascii="Arial" w:cs="Arial" w:eastAsia="Arial" w:hAnsi="Arial"/>
                <w:sz w:val="16"/>
                <w:szCs w:val="16"/>
                <w:color w:val="auto"/>
              </w:rPr>
              <w:t>(3)</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1,136,201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1,207,225</w:t>
            </w:r>
          </w:p>
        </w:tc>
        <w:tc>
          <w:tcPr>
            <w:tcW w:w="1380" w:type="dxa"/>
            <w:vAlign w:val="bottom"/>
          </w:tcPr>
          <w:p>
            <w:pPr>
              <w:jc w:val="right"/>
              <w:ind w:right="30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
        </w:trPr>
        <w:tc>
          <w:tcPr>
            <w:tcW w:w="40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8,809</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11,494</w:t>
            </w:r>
          </w:p>
        </w:tc>
        <w:tc>
          <w:tcPr>
            <w:tcW w:w="1500" w:type="dxa"/>
            <w:vAlign w:val="bottom"/>
          </w:tcPr>
          <w:p>
            <w:pPr>
              <w:jc w:val="right"/>
              <w:ind w:right="420"/>
              <w:spacing w:after="0"/>
              <w:rPr>
                <w:sz w:val="20"/>
                <w:szCs w:val="20"/>
                <w:color w:val="auto"/>
              </w:rPr>
            </w:pPr>
            <w:r>
              <w:rPr>
                <w:rFonts w:ascii="Arial" w:cs="Arial" w:eastAsia="Arial" w:hAnsi="Arial"/>
                <w:sz w:val="16"/>
                <w:szCs w:val="16"/>
                <w:color w:val="auto"/>
              </w:rPr>
              <w:t>(23)</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81"/>
              <w:spacing w:after="0"/>
              <w:rPr>
                <w:sz w:val="20"/>
                <w:szCs w:val="20"/>
                <w:color w:val="auto"/>
              </w:rPr>
            </w:pPr>
            <w:r>
              <w:rPr>
                <w:rFonts w:ascii="Arial" w:cs="Arial" w:eastAsia="Arial" w:hAnsi="Arial"/>
                <w:sz w:val="16"/>
                <w:szCs w:val="16"/>
                <w:b w:val="1"/>
                <w:bCs w:val="1"/>
                <w:color w:val="auto"/>
              </w:rPr>
              <w:t>39,124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50,037</w:t>
            </w:r>
          </w:p>
        </w:tc>
        <w:tc>
          <w:tcPr>
            <w:tcW w:w="1380" w:type="dxa"/>
            <w:vAlign w:val="bottom"/>
          </w:tcPr>
          <w:p>
            <w:pPr>
              <w:jc w:val="right"/>
              <w:ind w:right="30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70"/>
        </w:trPr>
        <w:tc>
          <w:tcPr>
            <w:tcW w:w="408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7,330</w:t>
            </w:r>
          </w:p>
        </w:tc>
        <w:tc>
          <w:tcPr>
            <w:tcW w:w="30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8,588</w:t>
            </w:r>
          </w:p>
        </w:tc>
        <w:tc>
          <w:tcPr>
            <w:tcW w:w="1500" w:type="dxa"/>
            <w:vAlign w:val="bottom"/>
          </w:tcPr>
          <w:p>
            <w:pPr>
              <w:jc w:val="right"/>
              <w:ind w:right="420"/>
              <w:spacing w:after="0"/>
              <w:rPr>
                <w:sz w:val="20"/>
                <w:szCs w:val="20"/>
                <w:color w:val="auto"/>
              </w:rPr>
            </w:pPr>
            <w:r>
              <w:rPr>
                <w:rFonts w:ascii="Arial" w:cs="Arial" w:eastAsia="Arial" w:hAnsi="Arial"/>
                <w:sz w:val="16"/>
                <w:szCs w:val="16"/>
                <w:color w:val="auto"/>
              </w:rPr>
              <w:t>(15)</w:t>
            </w:r>
          </w:p>
        </w:tc>
        <w:tc>
          <w:tcPr>
            <w:tcW w:w="200" w:type="dxa"/>
            <w:vAlign w:val="bottom"/>
          </w:tcPr>
          <w:p>
            <w:pPr>
              <w:spacing w:after="0"/>
              <w:rPr>
                <w:sz w:val="23"/>
                <w:szCs w:val="23"/>
                <w:color w:val="auto"/>
              </w:rPr>
            </w:pPr>
          </w:p>
        </w:tc>
        <w:tc>
          <w:tcPr>
            <w:tcW w:w="960" w:type="dxa"/>
            <w:vAlign w:val="bottom"/>
          </w:tcPr>
          <w:p>
            <w:pPr>
              <w:jc w:val="right"/>
              <w:ind w:right="81"/>
              <w:spacing w:after="0"/>
              <w:rPr>
                <w:sz w:val="20"/>
                <w:szCs w:val="20"/>
                <w:color w:val="auto"/>
              </w:rPr>
            </w:pPr>
            <w:r>
              <w:rPr>
                <w:rFonts w:ascii="Arial" w:cs="Arial" w:eastAsia="Arial" w:hAnsi="Arial"/>
                <w:sz w:val="16"/>
                <w:szCs w:val="16"/>
                <w:b w:val="1"/>
                <w:bCs w:val="1"/>
                <w:color w:val="auto"/>
              </w:rPr>
              <w:t>10,207</w:t>
            </w:r>
          </w:p>
        </w:tc>
        <w:tc>
          <w:tcPr>
            <w:tcW w:w="26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13,314</w:t>
            </w:r>
          </w:p>
        </w:tc>
        <w:tc>
          <w:tcPr>
            <w:tcW w:w="1380" w:type="dxa"/>
            <w:vAlign w:val="bottom"/>
          </w:tcPr>
          <w:p>
            <w:pPr>
              <w:jc w:val="right"/>
              <w:ind w:right="30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70"/>
        </w:trPr>
        <w:tc>
          <w:tcPr>
            <w:tcW w:w="408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spacing w:after="0"/>
              <w:rPr>
                <w:sz w:val="23"/>
                <w:szCs w:val="23"/>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5,348</w:t>
            </w:r>
          </w:p>
        </w:tc>
        <w:tc>
          <w:tcPr>
            <w:tcW w:w="30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1,561</w:t>
            </w:r>
          </w:p>
        </w:tc>
        <w:tc>
          <w:tcPr>
            <w:tcW w:w="150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81"/>
              <w:spacing w:after="0"/>
              <w:rPr>
                <w:sz w:val="20"/>
                <w:szCs w:val="20"/>
                <w:color w:val="auto"/>
              </w:rPr>
            </w:pPr>
            <w:r>
              <w:rPr>
                <w:rFonts w:ascii="Arial" w:cs="Arial" w:eastAsia="Arial" w:hAnsi="Arial"/>
                <w:sz w:val="16"/>
                <w:szCs w:val="16"/>
                <w:b w:val="1"/>
                <w:bCs w:val="1"/>
                <w:color w:val="auto"/>
              </w:rPr>
              <w:t>29,009</w:t>
            </w:r>
          </w:p>
        </w:tc>
        <w:tc>
          <w:tcPr>
            <w:tcW w:w="26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22,937</w:t>
            </w:r>
          </w:p>
        </w:tc>
        <w:tc>
          <w:tcPr>
            <w:tcW w:w="1380" w:type="dxa"/>
            <w:vAlign w:val="bottom"/>
          </w:tcPr>
          <w:p>
            <w:pPr>
              <w:jc w:val="right"/>
              <w:ind w:right="36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70"/>
        </w:trPr>
        <w:tc>
          <w:tcPr>
            <w:tcW w:w="408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23"/>
                <w:szCs w:val="23"/>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b w:val="1"/>
                <w:bCs w:val="1"/>
                <w:color w:val="auto"/>
              </w:rPr>
              <w:t>(6,682)</w:t>
            </w:r>
          </w:p>
        </w:tc>
        <w:tc>
          <w:tcPr>
            <w:tcW w:w="3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(3,537)</w:t>
            </w:r>
          </w:p>
        </w:tc>
        <w:tc>
          <w:tcPr>
            <w:tcW w:w="1500" w:type="dxa"/>
            <w:vAlign w:val="bottom"/>
          </w:tcPr>
          <w:p>
            <w:pPr>
              <w:jc w:val="right"/>
              <w:ind w:right="420"/>
              <w:spacing w:after="0"/>
              <w:rPr>
                <w:sz w:val="20"/>
                <w:szCs w:val="20"/>
                <w:color w:val="auto"/>
              </w:rPr>
            </w:pPr>
            <w:r>
              <w:rPr>
                <w:rFonts w:ascii="Arial" w:cs="Arial" w:eastAsia="Arial" w:hAnsi="Arial"/>
                <w:sz w:val="16"/>
                <w:szCs w:val="16"/>
                <w:color w:val="auto"/>
              </w:rPr>
              <w:t>(89)</w:t>
            </w:r>
          </w:p>
        </w:tc>
        <w:tc>
          <w:tcPr>
            <w:tcW w:w="200" w:type="dxa"/>
            <w:vAlign w:val="bottom"/>
          </w:tcPr>
          <w:p>
            <w:pPr>
              <w:spacing w:after="0"/>
              <w:rPr>
                <w:sz w:val="23"/>
                <w:szCs w:val="23"/>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b w:val="1"/>
                <w:bCs w:val="1"/>
                <w:color w:val="auto"/>
              </w:rPr>
              <w:t>(19,159)</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(17,368)</w:t>
            </w:r>
          </w:p>
        </w:tc>
        <w:tc>
          <w:tcPr>
            <w:tcW w:w="1380" w:type="dxa"/>
            <w:vAlign w:val="bottom"/>
          </w:tcPr>
          <w:p>
            <w:pPr>
              <w:jc w:val="right"/>
              <w:ind w:right="30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70"/>
        </w:trPr>
        <w:tc>
          <w:tcPr>
            <w:tcW w:w="4080" w:type="dxa"/>
            <w:vAlign w:val="bottom"/>
          </w:tcPr>
          <w:p>
            <w:pPr>
              <w:ind w:left="18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23"/>
                <w:szCs w:val="23"/>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b w:val="1"/>
                <w:bCs w:val="1"/>
                <w:color w:val="auto"/>
              </w:rPr>
              <w:t>(1,355)</w:t>
            </w:r>
          </w:p>
        </w:tc>
        <w:tc>
          <w:tcPr>
            <w:tcW w:w="3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(1,773)</w:t>
            </w:r>
          </w:p>
        </w:tc>
        <w:tc>
          <w:tcPr>
            <w:tcW w:w="1500" w:type="dxa"/>
            <w:vAlign w:val="bottom"/>
          </w:tcPr>
          <w:p>
            <w:pPr>
              <w:jc w:val="right"/>
              <w:ind w:right="460"/>
              <w:spacing w:after="0"/>
              <w:rPr>
                <w:sz w:val="20"/>
                <w:szCs w:val="20"/>
                <w:color w:val="auto"/>
              </w:rPr>
            </w:pPr>
            <w:r>
              <w:rPr>
                <w:rFonts w:ascii="Arial" w:cs="Arial" w:eastAsia="Arial" w:hAnsi="Arial"/>
                <w:sz w:val="16"/>
                <w:szCs w:val="16"/>
                <w:color w:val="auto"/>
              </w:rPr>
              <w:t>24</w:t>
            </w:r>
          </w:p>
        </w:tc>
        <w:tc>
          <w:tcPr>
            <w:tcW w:w="200" w:type="dxa"/>
            <w:vAlign w:val="bottom"/>
          </w:tcPr>
          <w:p>
            <w:pPr>
              <w:spacing w:after="0"/>
              <w:rPr>
                <w:sz w:val="23"/>
                <w:szCs w:val="23"/>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b w:val="1"/>
                <w:bCs w:val="1"/>
                <w:color w:val="auto"/>
              </w:rPr>
              <w:t>(3,798)</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(5,158)</w:t>
            </w:r>
          </w:p>
        </w:tc>
        <w:tc>
          <w:tcPr>
            <w:tcW w:w="1380" w:type="dxa"/>
            <w:vAlign w:val="bottom"/>
          </w:tcPr>
          <w:p>
            <w:pPr>
              <w:jc w:val="right"/>
              <w:ind w:right="36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83"/>
        </w:trPr>
        <w:tc>
          <w:tcPr>
            <w:tcW w:w="408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(59)</w:t>
            </w: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(36)</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38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4080" w:type="dxa"/>
            <w:vAlign w:val="bottom"/>
          </w:tcPr>
          <w:p>
            <w:pPr>
              <w:spacing w:after="0"/>
              <w:rPr>
                <w:sz w:val="23"/>
                <w:szCs w:val="23"/>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13,391</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16,333</w:t>
            </w:r>
          </w:p>
        </w:tc>
        <w:tc>
          <w:tcPr>
            <w:tcW w:w="1500" w:type="dxa"/>
            <w:vAlign w:val="bottom"/>
          </w:tcPr>
          <w:p>
            <w:pPr>
              <w:jc w:val="right"/>
              <w:ind w:right="420"/>
              <w:spacing w:after="0"/>
              <w:rPr>
                <w:sz w:val="20"/>
                <w:szCs w:val="20"/>
                <w:color w:val="auto"/>
              </w:rPr>
            </w:pPr>
            <w:r>
              <w:rPr>
                <w:rFonts w:ascii="Arial" w:cs="Arial" w:eastAsia="Arial" w:hAnsi="Arial"/>
                <w:sz w:val="16"/>
                <w:szCs w:val="16"/>
                <w:color w:val="auto"/>
              </w:rPr>
              <w:t>(18)</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55,347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63,713</w:t>
            </w:r>
          </w:p>
        </w:tc>
        <w:tc>
          <w:tcPr>
            <w:tcW w:w="1380" w:type="dxa"/>
            <w:vAlign w:val="bottom"/>
          </w:tcPr>
          <w:p>
            <w:pPr>
              <w:jc w:val="right"/>
              <w:ind w:right="30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KHE includes Kaplan’s domestic postsecondary education businesses, made up of fixed-facility colleges and online postsecondary and career programs. KHE also includes the domestic professional and other continuing education businesses.</w:t>
      </w:r>
    </w:p>
    <w:p>
      <w:pPr>
        <w:spacing w:after="0" w:line="135"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color w:val="auto"/>
        </w:rPr>
        <w:t>In the third quarter and first nine months of 2017, KHE revenue was down 10% and 12%, respectively, due to declines in average enrollments at Kaplan University. KHE operating results declined in the first nine months of 2017 due primarily to lower enrollment at Kaplan University.</w:t>
      </w:r>
    </w:p>
    <w:p>
      <w:pPr>
        <w:spacing w:after="0" w:line="120"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New higher education student enrollments at Kaplan University declined 8% in the third quarter of 2017 and 4% for the first nine months of 2017; total students at Kaplan University were 30,461 at September 30, 2017, down 12% from September 30, 2016.</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Kaplan University enrollments at September 30, 2017 and 2016, by degree and certificate programs,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360" w:type="dxa"/>
            <w:vAlign w:val="bottom"/>
          </w:tcPr>
          <w:p>
            <w:pPr>
              <w:spacing w:after="0"/>
              <w:rPr>
                <w:sz w:val="17"/>
                <w:szCs w:val="17"/>
                <w:color w:val="auto"/>
              </w:rPr>
            </w:pPr>
          </w:p>
        </w:tc>
        <w:tc>
          <w:tcPr>
            <w:tcW w:w="20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As of September 30</w:t>
            </w:r>
          </w:p>
        </w:tc>
      </w:tr>
      <w:tr>
        <w:trPr>
          <w:trHeight w:val="264"/>
        </w:trPr>
        <w:tc>
          <w:tcPr>
            <w:tcW w:w="9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2017</w:t>
            </w:r>
          </w:p>
        </w:tc>
        <w:tc>
          <w:tcPr>
            <w:tcW w:w="8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2016</w:t>
            </w:r>
          </w:p>
        </w:tc>
      </w:tr>
      <w:tr>
        <w:trPr>
          <w:trHeight w:val="250"/>
        </w:trPr>
        <w:tc>
          <w:tcPr>
            <w:tcW w:w="9360" w:type="dxa"/>
            <w:vAlign w:val="bottom"/>
          </w:tcPr>
          <w:p>
            <w:pPr>
              <w:ind w:left="40"/>
              <w:spacing w:after="0"/>
              <w:rPr>
                <w:sz w:val="20"/>
                <w:szCs w:val="20"/>
                <w:color w:val="auto"/>
              </w:rPr>
            </w:pPr>
            <w:r>
              <w:rPr>
                <w:rFonts w:ascii="Arial" w:cs="Arial" w:eastAsia="Arial" w:hAnsi="Arial"/>
                <w:sz w:val="16"/>
                <w:szCs w:val="16"/>
                <w:color w:val="auto"/>
              </w:rPr>
              <w:t>Certificate</w:t>
            </w:r>
          </w:p>
        </w:tc>
        <w:tc>
          <w:tcPr>
            <w:tcW w:w="1180" w:type="dxa"/>
            <w:vAlign w:val="bottom"/>
          </w:tcPr>
          <w:p>
            <w:pPr>
              <w:jc w:val="right"/>
              <w:ind w:right="162"/>
              <w:spacing w:after="0"/>
              <w:rPr>
                <w:sz w:val="20"/>
                <w:szCs w:val="20"/>
                <w:color w:val="auto"/>
              </w:rPr>
            </w:pPr>
            <w:r>
              <w:rPr>
                <w:rFonts w:ascii="Arial" w:cs="Arial" w:eastAsia="Arial" w:hAnsi="Arial"/>
                <w:sz w:val="16"/>
                <w:szCs w:val="16"/>
                <w:b w:val="1"/>
                <w:bCs w:val="1"/>
                <w:color w:val="auto"/>
              </w:rPr>
              <w:t>10.0%</w:t>
            </w:r>
          </w:p>
        </w:tc>
        <w:tc>
          <w:tcPr>
            <w:tcW w:w="88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70"/>
        </w:trPr>
        <w:tc>
          <w:tcPr>
            <w:tcW w:w="9360" w:type="dxa"/>
            <w:vAlign w:val="bottom"/>
          </w:tcPr>
          <w:p>
            <w:pPr>
              <w:ind w:left="40"/>
              <w:spacing w:after="0"/>
              <w:rPr>
                <w:sz w:val="20"/>
                <w:szCs w:val="20"/>
                <w:color w:val="auto"/>
              </w:rPr>
            </w:pPr>
            <w:r>
              <w:rPr>
                <w:rFonts w:ascii="Arial" w:cs="Arial" w:eastAsia="Arial" w:hAnsi="Arial"/>
                <w:sz w:val="16"/>
                <w:szCs w:val="16"/>
                <w:color w:val="auto"/>
              </w:rPr>
              <w:t>Associate’s</w:t>
            </w:r>
          </w:p>
        </w:tc>
        <w:tc>
          <w:tcPr>
            <w:tcW w:w="1180" w:type="dxa"/>
            <w:vAlign w:val="bottom"/>
          </w:tcPr>
          <w:p>
            <w:pPr>
              <w:jc w:val="right"/>
              <w:ind w:right="162"/>
              <w:spacing w:after="0"/>
              <w:rPr>
                <w:sz w:val="20"/>
                <w:szCs w:val="20"/>
                <w:color w:val="auto"/>
              </w:rPr>
            </w:pPr>
            <w:r>
              <w:rPr>
                <w:rFonts w:ascii="Arial" w:cs="Arial" w:eastAsia="Arial" w:hAnsi="Arial"/>
                <w:sz w:val="16"/>
                <w:szCs w:val="16"/>
                <w:b w:val="1"/>
                <w:bCs w:val="1"/>
                <w:color w:val="auto"/>
              </w:rPr>
              <w:t>16.8%</w:t>
            </w:r>
          </w:p>
        </w:tc>
        <w:tc>
          <w:tcPr>
            <w:tcW w:w="880" w:type="dxa"/>
            <w:vAlign w:val="bottom"/>
          </w:tcPr>
          <w:p>
            <w:pPr>
              <w:jc w:val="right"/>
              <w:spacing w:after="0"/>
              <w:rPr>
                <w:sz w:val="20"/>
                <w:szCs w:val="20"/>
                <w:color w:val="auto"/>
              </w:rPr>
            </w:pPr>
            <w:r>
              <w:rPr>
                <w:rFonts w:ascii="Arial" w:cs="Arial" w:eastAsia="Arial" w:hAnsi="Arial"/>
                <w:sz w:val="16"/>
                <w:szCs w:val="16"/>
                <w:color w:val="auto"/>
              </w:rPr>
              <w:t>19.5%</w:t>
            </w:r>
          </w:p>
        </w:tc>
      </w:tr>
      <w:tr>
        <w:trPr>
          <w:trHeight w:val="270"/>
        </w:trPr>
        <w:tc>
          <w:tcPr>
            <w:tcW w:w="9360" w:type="dxa"/>
            <w:vAlign w:val="bottom"/>
          </w:tcPr>
          <w:p>
            <w:pPr>
              <w:ind w:left="40"/>
              <w:spacing w:after="0"/>
              <w:rPr>
                <w:sz w:val="20"/>
                <w:szCs w:val="20"/>
                <w:color w:val="auto"/>
              </w:rPr>
            </w:pPr>
            <w:r>
              <w:rPr>
                <w:rFonts w:ascii="Arial" w:cs="Arial" w:eastAsia="Arial" w:hAnsi="Arial"/>
                <w:sz w:val="16"/>
                <w:szCs w:val="16"/>
                <w:color w:val="auto"/>
              </w:rPr>
              <w:t>Bachelor’s</w:t>
            </w:r>
          </w:p>
        </w:tc>
        <w:tc>
          <w:tcPr>
            <w:tcW w:w="1180" w:type="dxa"/>
            <w:vAlign w:val="bottom"/>
          </w:tcPr>
          <w:p>
            <w:pPr>
              <w:jc w:val="right"/>
              <w:ind w:right="162"/>
              <w:spacing w:after="0"/>
              <w:rPr>
                <w:sz w:val="20"/>
                <w:szCs w:val="20"/>
                <w:color w:val="auto"/>
              </w:rPr>
            </w:pPr>
            <w:r>
              <w:rPr>
                <w:rFonts w:ascii="Arial" w:cs="Arial" w:eastAsia="Arial" w:hAnsi="Arial"/>
                <w:sz w:val="16"/>
                <w:szCs w:val="16"/>
                <w:b w:val="1"/>
                <w:bCs w:val="1"/>
                <w:color w:val="auto"/>
              </w:rPr>
              <w:t>50.1%</w:t>
            </w:r>
          </w:p>
        </w:tc>
        <w:tc>
          <w:tcPr>
            <w:tcW w:w="880" w:type="dxa"/>
            <w:vAlign w:val="bottom"/>
          </w:tcPr>
          <w:p>
            <w:pPr>
              <w:jc w:val="right"/>
              <w:spacing w:after="0"/>
              <w:rPr>
                <w:sz w:val="20"/>
                <w:szCs w:val="20"/>
                <w:color w:val="auto"/>
              </w:rPr>
            </w:pPr>
            <w:r>
              <w:rPr>
                <w:rFonts w:ascii="Arial" w:cs="Arial" w:eastAsia="Arial" w:hAnsi="Arial"/>
                <w:sz w:val="16"/>
                <w:szCs w:val="16"/>
                <w:color w:val="auto"/>
              </w:rPr>
              <w:t>51.0%</w:t>
            </w:r>
          </w:p>
        </w:tc>
      </w:tr>
      <w:tr>
        <w:trPr>
          <w:trHeight w:val="283"/>
        </w:trPr>
        <w:tc>
          <w:tcPr>
            <w:tcW w:w="9360" w:type="dxa"/>
            <w:vAlign w:val="bottom"/>
          </w:tcPr>
          <w:p>
            <w:pPr>
              <w:ind w:left="40"/>
              <w:spacing w:after="0"/>
              <w:rPr>
                <w:sz w:val="20"/>
                <w:szCs w:val="20"/>
                <w:color w:val="auto"/>
              </w:rPr>
            </w:pPr>
            <w:r>
              <w:rPr>
                <w:rFonts w:ascii="Arial" w:cs="Arial" w:eastAsia="Arial" w:hAnsi="Arial"/>
                <w:sz w:val="16"/>
                <w:szCs w:val="16"/>
                <w:color w:val="auto"/>
              </w:rPr>
              <w:t>Master’s</w:t>
            </w:r>
          </w:p>
        </w:tc>
        <w:tc>
          <w:tcPr>
            <w:tcW w:w="11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23.1%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w:t>
            </w:r>
          </w:p>
        </w:tc>
      </w:tr>
      <w:tr>
        <w:trPr>
          <w:trHeight w:val="264"/>
        </w:trPr>
        <w:tc>
          <w:tcPr>
            <w:tcW w:w="9360" w:type="dxa"/>
            <w:vAlign w:val="bottom"/>
          </w:tcPr>
          <w:p>
            <w:pPr>
              <w:spacing w:after="0"/>
              <w:rPr>
                <w:sz w:val="22"/>
                <w:szCs w:val="22"/>
                <w:color w:val="auto"/>
              </w:rPr>
            </w:pPr>
          </w:p>
        </w:tc>
        <w:tc>
          <w:tcPr>
            <w:tcW w:w="11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100.0%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9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Kaplan Test Preparation (KTP) includes Kaplan’s standardized test preparation programs. KTP revenue declined 7% and 5% for the third quarter and first nine months of 2017, respectively. Enrollments, excluding the new economy skills training offerings, were flat for both the third quarter and the first nine months of 2017; however, unit prices were generally lower. In comparison to 2016, KTP operating results were down 15% and 23% in the third quarter and first nine months of 2017, respectively, due to lower revenues and increased losses from the new economy skills training programs. Operating losses for the new economy skills training programs were $11.2 million and $9.8 million for the first nine months of 2017 and 2016, respectively, including $1.3 million in restructuring costs in the third quarter of 2017. In July 2017, Kaplan announced that Dev Bootcamp, which makes up the majority of KTP’s new economy skills training programs, will be closing operations by the end of 2017.</w:t>
      </w:r>
    </w:p>
    <w:p>
      <w:pPr>
        <w:spacing w:after="0" w:line="136"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Kaplan International includes English-language programs, and postsecondary education and professional training businesses largely outside the United States. Kaplan International revenue increased 7% for the third quarter and decreased 1% for the first nine months of 2017, respectively. On a constant currency basis, revenue increased 6% for the third quarter and 3% for the first nine months of 2017, respectively, primarily due to growth in Pathways enrollments and favorable timing of class starts in the third quarter of 2017. Operating income increased 26% in the first nine months of 2017, due largely to improved Pathways results, partially offset by a decline in Singapore. Restructuring costs at Kaplan International totaled $0.9 million and $3.2 million for the first nine months of 2017 and 2016, respectively.</w:t>
      </w:r>
    </w:p>
    <w:p>
      <w:pPr>
        <w:spacing w:after="0" w:line="137"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584" w:right="239" w:bottom="1440" w:gutter="0" w:footer="0" w:header="0"/>
        </w:sectPr>
      </w:pP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84" w:right="2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66"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On January 17, 2017, the Company closed on its agreement with Nexstar Broadcasting Group, Inc. and Media General, Inc. to acquire WCWJ, a CW affiliate television station in Jacksonville, FL and WSLS, an NBC affiliate television station in Roanoke, VA for $60 million in cash and the assumption of certain pension obligations. The Company continues to operate both stations under their current network affiliations.</w:t>
      </w:r>
    </w:p>
    <w:p>
      <w:pPr>
        <w:spacing w:after="0" w:line="137" w:lineRule="exact"/>
        <w:rPr>
          <w:sz w:val="20"/>
          <w:szCs w:val="20"/>
          <w:color w:val="auto"/>
        </w:rPr>
      </w:pPr>
    </w:p>
    <w:p>
      <w:pPr>
        <w:jc w:val="both"/>
        <w:ind w:right="120"/>
        <w:spacing w:after="0" w:line="229" w:lineRule="auto"/>
        <w:rPr>
          <w:sz w:val="20"/>
          <w:szCs w:val="20"/>
          <w:color w:val="auto"/>
        </w:rPr>
      </w:pPr>
      <w:r>
        <w:rPr>
          <w:rFonts w:ascii="Arial" w:cs="Arial" w:eastAsia="Arial" w:hAnsi="Arial"/>
          <w:sz w:val="18"/>
          <w:szCs w:val="18"/>
          <w:color w:val="auto"/>
        </w:rPr>
        <w:t>In the third quarter of 2017, the Company's televisions stations in Texas and Florida ran extensive news programming coverage of hurricanes Harvey and Irma; this adversely impacted revenues by an estimated $2.1 million and resulted in $0.6 million in additional expenses during the third quarter of 2017.</w:t>
      </w:r>
    </w:p>
    <w:p>
      <w:pPr>
        <w:spacing w:after="0" w:line="137"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Revenue at the television broadcasting division decreased 10% to $101.3 million in the third quarter of 2017, from $ 112.4 million in the same period of 2016. Excluding revenue from the two newly acquired stations, revenue declined 15% due to $13.1 million in third quarter 2016 incremental summer Olympics-related advertising revenue at the Company's NBC affiliates, an $8.1 million decrease in political advertising revenue, lower network revenue and the adverse impact of the hurricanes, offset by $6.0 million in higher retransmission revenues. As previously disclosed, the Company’s NBC affiliates in Houston and Detroit are operating under a new contract with NBC effective January 1, 2017 that has resulted in a significant increase in network fees in 2017, compared to 2016. Operating income for the third quarter of 2017 decreased 44% to $32.9 million, from $59.2 million in the same period of 2016 due to lower revenues and the significantly higher network fees.</w:t>
      </w:r>
    </w:p>
    <w:p>
      <w:pPr>
        <w:spacing w:after="0" w:line="139"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Revenue at the television broadcasting division decreased 1% to $298.9 million in the first nine months of 2017, from $300.9 million in the same period of 2016. Excluding revenue from the two newly acquired stations, revenue declined 7% due to $13.1 million in third quarter 2016 incremental summer Olympic-related advertising revenue at the Company's NBC affiliates, a $13.4 million decrease in political advertising revenue, lower network revenue and the adverse impact of the hurricanes, offset by $14.7 million in higher retransmission revenues. Operating income for the first nine months of 2017 decreased 32% to $98.2 million from $144.6 million in the same period of 2016, due to lower revenues and the significantly higher network fees.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66"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Manufacturing includes four businesses: Dekko, a manufacturer of electrical workspace solutions, architectural lighting and electrical components and assemblies; Joyce/Dayton Corp., a manufacturer of screw jacks and other linear motion systems; Forney, a global supplier of products and systems that control and monitor combustion processes in electric utility and industrial applications; and Hoover Treated Wood Products, Inc., a supplier of pressure impregnated kiln-dried lumber and plywood products for fire retardant and preservative applications that the Company acquired in April 2017. In September 2016, Dekko acquired Electri-Cable Assemblies (ECA), a manufacturer of power, data and electrical solutions for the office furniture industry.</w:t>
      </w:r>
    </w:p>
    <w:p>
      <w:pPr>
        <w:spacing w:after="0" w:line="137"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In the second quarter of 2017, the Company recorded a $9.2 million goodwill and other long-lived asset impairment charge at Forney, due to lower than expected revenues resulting from sluggish overall demand for its energy products. Excluding this impairment charge, manufacturing revenues and operating income increased in the first nine months of 2017 due to the Hoover acquisition and growth and improved results at Dekko, including the ECA acquisition, offset by a decline in results at Forney, which included $ 1.2 million in expense related to a separation incentive program implemented in the third quarter of 2017 that will be mostly funded from the assets of the Company's pension plan.</w:t>
      </w:r>
    </w:p>
    <w:p>
      <w:pPr>
        <w:spacing w:after="0" w:line="137"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The Graham Healthcare Group (GHG) provides home health and hospice services in three states. In June 2016, the Company acquired the outstanding 20% redeemable noncontrolling interest in Residential Healthcare (Residential). Also in June 2016, Celtic Healthcare (Celtic) and Residential combined their business operations and the Company now owns 90% of the combined entity. The company incurred approximately $2.0 million in expense in conjunction with these transactions in the second quarter of 2016. At the end of June 2017, GHG acquired Hometown Home Health and Hospice, a Lapeer, MI-based healthcare services provider. Healthcare revenues increased 5% in the first nine months of 2017, while operating results were down, due largely to increased bad debt expense and higher information systems and other integration costs.</w:t>
      </w:r>
    </w:p>
    <w:p>
      <w:pPr>
        <w:spacing w:after="0" w:line="139"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color w:val="auto"/>
        </w:rPr>
        <w:t>In June 2016, Residential and a Michigan hospital formed a joint venture to provide home health services to West Michigan patients. Residential manages the operations of the joint venture and holds a 40% interest. The pro rata operating results of the joint venture are included in the Company’s equity in earnings of affiliates. In connection with this June 2016 transaction, the Company recorded a pre-tax gain of $3.2 million in the second quarter of 2016 that is included in other non-operating income.</w:t>
      </w:r>
    </w:p>
    <w:p>
      <w:pPr>
        <w:spacing w:after="0" w:line="135" w:lineRule="exact"/>
        <w:rPr>
          <w:sz w:val="20"/>
          <w:szCs w:val="20"/>
          <w:color w:val="auto"/>
        </w:rPr>
      </w:pPr>
    </w:p>
    <w:p>
      <w:pPr>
        <w:jc w:val="both"/>
        <w:ind w:right="80"/>
        <w:spacing w:after="0" w:line="229" w:lineRule="auto"/>
        <w:rPr>
          <w:sz w:val="20"/>
          <w:szCs w:val="20"/>
          <w:color w:val="auto"/>
        </w:rPr>
      </w:pPr>
      <w:r>
        <w:rPr>
          <w:rFonts w:ascii="Arial" w:cs="Arial" w:eastAsia="Arial" w:hAnsi="Arial"/>
          <w:sz w:val="18"/>
          <w:szCs w:val="18"/>
          <w:color w:val="auto"/>
        </w:rPr>
        <w:t>SocialCode is a provider of marketing solutions on social, mobile and video platforms. SocialCode revenue declined 4% in the third quarter of 2017 due to lower digital advertising spend from its clients in the retail and consumer packaged goods sectors. SocialCode revenue increased 8% for the first nine months of 2017, due to growth in</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562" w:right="279" w:bottom="1440" w:gutter="0" w:footer="0" w:header="0"/>
        </w:sectPr>
      </w:pPr>
    </w:p>
    <w:bookmarkStart w:id="8" w:name="page9"/>
    <w:bookmarkEnd w:id="8"/>
    <w:p>
      <w:pPr>
        <w:ind w:right="20"/>
        <w:spacing w:after="0" w:line="225" w:lineRule="auto"/>
        <w:rPr>
          <w:sz w:val="20"/>
          <w:szCs w:val="20"/>
          <w:color w:val="auto"/>
        </w:rPr>
      </w:pPr>
      <w:r>
        <w:rPr>
          <w:rFonts w:ascii="Arial" w:cs="Arial" w:eastAsia="Arial" w:hAnsi="Arial"/>
          <w:sz w:val="18"/>
          <w:szCs w:val="18"/>
          <w:color w:val="auto"/>
        </w:rPr>
        <w:t>digital advertising service revenues. SocialCode reported operating losses of $6.2 million and $8.2 million in the third quarter and first nine months of 2017, compared to operating losses of $10.8 million and $ 15.3 million in the third quarter and first nine months of 2016. SocialCode's operating results included incentive accruals of $5.1 million and $ 1.2 million related to SocialCode’s phantom equity plans in the third quarter and first nine months of 2017, respectively; whereas 2016 results included incentive accruals of $11.3 million and $12.0 million related to phantom equity plans for the relevant periods.</w:t>
      </w:r>
    </w:p>
    <w:p>
      <w:pPr>
        <w:spacing w:after="0" w:line="137" w:lineRule="exact"/>
        <w:rPr>
          <w:sz w:val="20"/>
          <w:szCs w:val="20"/>
          <w:color w:val="auto"/>
        </w:rPr>
      </w:pPr>
    </w:p>
    <w:p>
      <w:pPr>
        <w:ind w:right="400"/>
        <w:spacing w:after="0" w:line="229" w:lineRule="auto"/>
        <w:rPr>
          <w:sz w:val="20"/>
          <w:szCs w:val="20"/>
          <w:color w:val="auto"/>
        </w:rPr>
      </w:pPr>
      <w:r>
        <w:rPr>
          <w:rFonts w:ascii="Arial" w:cs="Arial" w:eastAsia="Arial" w:hAnsi="Arial"/>
          <w:sz w:val="18"/>
          <w:szCs w:val="18"/>
          <w:color w:val="auto"/>
        </w:rPr>
        <w:t>Other businesses also include Slate and Foreign Policy, which publish online and print magazines and websites; and two investment stage businesses, Panoply and CyberVista. Losses from each of these businesses in the first nine months of 2017 adversely affected operating results.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66"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Corporate office includes the expenses of the Company’s corporate office, the pension credit for the Company’s traditional defined benefit plan and certain continuing obligations related to prior business dispositions. The total pension credit for the Company’s traditional defined benefit plan was $54.6 million and $48.1 million in the first nine months of 2017 and 2016,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Without the pension credit, corporate office expenses declined slightly in the first nine months of 2017.</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Earnings (Losses) of Affiliates</w:t>
      </w:r>
    </w:p>
    <w:p>
      <w:pPr>
        <w:spacing w:after="0" w:line="166"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At September 30, 2017, the Company held interests in a number of home health and hospice joint ventures, and interests in several other affiliates. In September 2017, the Company acquired approximately 10% of Intersection Holdings, LLC, which provides digital marketing and advertising services and products for cities, transit systems, airports, and other public and private spaces. The Company recorded equity in losses of affiliates of $0.5 million for the third quarter of 2017, compared to $1.0 million for the third quarter of 2016. The Company recorded equity in earnings of affiliates of $1.4 million for the first nine months of 2017, compared to equity in losses of affiliates of $0.9 million for the first nine months of 2016.</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Income (Expense)</w:t>
      </w:r>
    </w:p>
    <w:p>
      <w:pPr>
        <w:spacing w:after="0" w:line="166" w:lineRule="exact"/>
        <w:rPr>
          <w:sz w:val="20"/>
          <w:szCs w:val="20"/>
          <w:color w:val="auto"/>
        </w:rPr>
      </w:pPr>
    </w:p>
    <w:p>
      <w:pPr>
        <w:ind w:right="140"/>
        <w:spacing w:after="0" w:line="227" w:lineRule="auto"/>
        <w:rPr>
          <w:sz w:val="20"/>
          <w:szCs w:val="20"/>
          <w:color w:val="auto"/>
        </w:rPr>
      </w:pPr>
      <w:r>
        <w:rPr>
          <w:rFonts w:ascii="Arial" w:cs="Arial" w:eastAsia="Arial" w:hAnsi="Arial"/>
          <w:sz w:val="18"/>
          <w:szCs w:val="18"/>
          <w:color w:val="auto"/>
        </w:rPr>
        <w:t>The Company recorded total other non-operating income, net, of $2.0 million for the third quarter of 2017, compared to other non -operating expense, net, of $18.2 million for the third quarter of 2016. The 2017 amounts included $ 1.4 million in foreign currency gains and other items. The 2016 amounts included a $15.0 million write-down of a cost method investment and $3.8 million in foreign currency losses, partially offset by other items.</w:t>
      </w:r>
    </w:p>
    <w:p>
      <w:pPr>
        <w:spacing w:after="0" w:line="135"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The Company recorded total other non-operating income, net, of $ 6.9 million for the first nine months of 2017, compared to $15.9 million for the first nine months of 2016. The 2017 amounts included $6.6 million in foreign currency gains and other items. The 2016 amounts included a $34.1 million gain on the sale of land; an $18.9 million gain on the sale of a business; a $6.3 million gain on the sale of marketable equity securities; a $3.2 million gain on the Residential joint venture transaction and other items, partially offset by $33.3 million in foreign currency losses and $15.2 million in cost method investment write-downs.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 and Related Balances</w:t>
      </w:r>
    </w:p>
    <w:p>
      <w:pPr>
        <w:spacing w:after="0" w:line="166" w:lineRule="exact"/>
        <w:rPr>
          <w:sz w:val="20"/>
          <w:szCs w:val="20"/>
          <w:color w:val="auto"/>
        </w:rPr>
      </w:pPr>
    </w:p>
    <w:p>
      <w:pPr>
        <w:jc w:val="both"/>
        <w:ind w:right="280"/>
        <w:spacing w:after="0" w:line="229" w:lineRule="auto"/>
        <w:rPr>
          <w:sz w:val="20"/>
          <w:szCs w:val="20"/>
          <w:color w:val="auto"/>
        </w:rPr>
      </w:pPr>
      <w:r>
        <w:rPr>
          <w:rFonts w:ascii="Arial" w:cs="Arial" w:eastAsia="Arial" w:hAnsi="Arial"/>
          <w:sz w:val="18"/>
          <w:szCs w:val="18"/>
          <w:color w:val="auto"/>
        </w:rPr>
        <w:t>The Company incurred net interest expense of $7.8 million and $22.4 million for the third quarter and first nine months of 2017, compared to $7.9 million and $22.5 million for the third quarter and first nine months of 2016. At September 30, 2017, the Company had $493.0 million in borrowings outstanding at an average interest rate of 6.3% and cash, marketable equity securities and other investments of $936.0 million.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66" w:lineRule="exact"/>
        <w:rPr>
          <w:sz w:val="20"/>
          <w:szCs w:val="20"/>
          <w:color w:val="auto"/>
        </w:rPr>
      </w:pPr>
    </w:p>
    <w:p>
      <w:pPr>
        <w:ind w:right="180"/>
        <w:spacing w:after="0" w:line="225" w:lineRule="auto"/>
        <w:rPr>
          <w:sz w:val="20"/>
          <w:szCs w:val="20"/>
          <w:color w:val="auto"/>
        </w:rPr>
      </w:pPr>
      <w:r>
        <w:rPr>
          <w:rFonts w:ascii="Arial" w:cs="Arial" w:eastAsia="Arial" w:hAnsi="Arial"/>
          <w:sz w:val="18"/>
          <w:szCs w:val="18"/>
          <w:color w:val="auto"/>
        </w:rPr>
        <w:t>The Company’s effective tax rate for the first nine months of 2017 was 31.3%, compared to 28.9% for the first nine months of 2016. The low effective tax rate in the first nine months of 2017 is due to a $5.9 million income tax benefit related to the vesting of restricted stock awards. In the first quarter of 2017, the Company adopted a new accounting standard that requires all excess income tax benefits and deficiencies from stock compensation to be recorded as discrete items in the provision for income taxes. Excluding this $5.9 million benefit, the overall income tax rate for the first nine months of 2017 was 35.9%.</w:t>
      </w:r>
    </w:p>
    <w:p>
      <w:pPr>
        <w:spacing w:after="0" w:line="137"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In the third quarter of 2016, a net nonrecurring $ 8.3 million deferred tax benefit related to Kaplan's international operations was recorded. In the second quarter of 2016, the Company benefited from a favorable $5.6 million out of period deferred tax adjustment related to the KHE goodwill impairment recorded in the third quarter of 2015. Excluding these adjustments, the Company’s effective tax rate for the first nine months of 2016 was 36.4%.</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Earnings Per Share</w:t>
      </w:r>
    </w:p>
    <w:p>
      <w:pPr>
        <w:spacing w:after="0" w:line="166" w:lineRule="exact"/>
        <w:rPr>
          <w:sz w:val="20"/>
          <w:szCs w:val="20"/>
          <w:color w:val="auto"/>
        </w:rPr>
      </w:pPr>
    </w:p>
    <w:p>
      <w:pPr>
        <w:ind w:right="140"/>
        <w:spacing w:after="0" w:line="227" w:lineRule="auto"/>
        <w:rPr>
          <w:sz w:val="20"/>
          <w:szCs w:val="20"/>
          <w:color w:val="auto"/>
        </w:rPr>
      </w:pPr>
      <w:r>
        <w:rPr>
          <w:rFonts w:ascii="Arial" w:cs="Arial" w:eastAsia="Arial" w:hAnsi="Arial"/>
          <w:sz w:val="18"/>
          <w:szCs w:val="18"/>
          <w:color w:val="auto"/>
        </w:rPr>
        <w:t>The calculation of diluted earnings per share for the third quarter and first nine months of 2017 was based on 5,554,458 and 5,566,874 weighted average shares outstanding, compared to 5,573,982 and 5,599,898 for the third quarter and first nine months of 2016. At September 30, 2017, there were 5,531,816 shares outstanding. On May 14, 2015, the Board of Directors authorized the Company to acquire up to 500,000 shares of its Class B common stock; the Company has remaining authorization for 163,237 shares as of September 30, 2017.</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66"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This press release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562" w:right="31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gridSpan w:val="3"/>
          </w:tcPr>
          <w:p>
            <w:pPr>
              <w:jc w:val="right"/>
              <w:ind w:right="279"/>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ind w:right="519"/>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2016</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834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657,225</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621,638</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70"/>
        </w:trPr>
        <w:tc>
          <w:tcPr>
            <w:tcW w:w="83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585,417</w:t>
            </w:r>
          </w:p>
        </w:tc>
        <w:tc>
          <w:tcPr>
            <w:tcW w:w="30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530,888</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70"/>
        </w:trPr>
        <w:tc>
          <w:tcPr>
            <w:tcW w:w="8340" w:type="dxa"/>
            <w:vAlign w:val="bottom"/>
          </w:tcPr>
          <w:p>
            <w:pPr>
              <w:ind w:left="20"/>
              <w:spacing w:after="0"/>
              <w:rPr>
                <w:sz w:val="20"/>
                <w:szCs w:val="20"/>
                <w:color w:val="auto"/>
              </w:rPr>
            </w:pPr>
            <w:r>
              <w:rPr>
                <w:rFonts w:ascii="Arial" w:cs="Arial" w:eastAsia="Arial" w:hAnsi="Arial"/>
                <w:sz w:val="16"/>
                <w:szCs w:val="16"/>
                <w:color w:val="auto"/>
              </w:rPr>
              <w:t>Depreciation of property, plant and equipment</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16,002</w:t>
            </w:r>
          </w:p>
        </w:tc>
        <w:tc>
          <w:tcPr>
            <w:tcW w:w="30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16,097</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834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10,923</w:t>
            </w:r>
          </w:p>
        </w:tc>
        <w:tc>
          <w:tcPr>
            <w:tcW w:w="30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6,620</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83"/>
        </w:trPr>
        <w:tc>
          <w:tcPr>
            <w:tcW w:w="8340" w:type="dxa"/>
            <w:vAlign w:val="bottom"/>
          </w:tcPr>
          <w:p>
            <w:pPr>
              <w:ind w:left="20"/>
              <w:spacing w:after="0"/>
              <w:rPr>
                <w:sz w:val="20"/>
                <w:szCs w:val="20"/>
                <w:color w:val="auto"/>
              </w:rPr>
            </w:pPr>
            <w:r>
              <w:rPr>
                <w:rFonts w:ascii="Arial" w:cs="Arial" w:eastAsia="Arial" w:hAnsi="Arial"/>
                <w:sz w:val="16"/>
                <w:szCs w:val="16"/>
                <w:color w:val="auto"/>
              </w:rPr>
              <w:t>Impairment of goodwill and other long-lived assets</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312</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tcPr>
          <w:p>
            <w:pPr>
              <w:spacing w:after="0"/>
              <w:rPr>
                <w:sz w:val="21"/>
                <w:szCs w:val="21"/>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44,571</w:t>
            </w:r>
          </w:p>
        </w:tc>
        <w:tc>
          <w:tcPr>
            <w:tcW w:w="300" w:type="dxa"/>
            <w:vAlign w:val="bottom"/>
          </w:tcPr>
          <w:p>
            <w:pPr>
              <w:spacing w:after="0"/>
              <w:rPr>
                <w:sz w:val="21"/>
                <w:szCs w:val="21"/>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68,033</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Equity in losses of affiliates, net</w:t>
            </w:r>
          </w:p>
        </w:tc>
        <w:tc>
          <w:tcPr>
            <w:tcW w:w="22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(532)</w:t>
            </w: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(1,008)</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861</w:t>
            </w:r>
          </w:p>
        </w:tc>
        <w:tc>
          <w:tcPr>
            <w:tcW w:w="30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740</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(8,619)</w:t>
            </w: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(8,614)</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340" w:type="dxa"/>
            <w:vAlign w:val="bottom"/>
          </w:tcPr>
          <w:p>
            <w:pPr>
              <w:ind w:left="280"/>
              <w:spacing w:after="0"/>
              <w:rPr>
                <w:sz w:val="20"/>
                <w:szCs w:val="20"/>
                <w:color w:val="auto"/>
              </w:rPr>
            </w:pPr>
            <w:r>
              <w:rPr>
                <w:rFonts w:ascii="Arial" w:cs="Arial" w:eastAsia="Arial" w:hAnsi="Arial"/>
                <w:sz w:val="16"/>
                <w:szCs w:val="16"/>
                <w:color w:val="auto"/>
              </w:rPr>
              <w:t>Other income (expense), net</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1,963</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(18,225)</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20" w:type="dxa"/>
            <w:vAlign w:val="bottom"/>
          </w:tcPr>
          <w:p>
            <w:pPr>
              <w:spacing w:after="0"/>
              <w:rPr>
                <w:sz w:val="21"/>
                <w:szCs w:val="21"/>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38,244</w:t>
            </w:r>
          </w:p>
        </w:tc>
        <w:tc>
          <w:tcPr>
            <w:tcW w:w="300" w:type="dxa"/>
            <w:vAlign w:val="bottom"/>
          </w:tcPr>
          <w:p>
            <w:pPr>
              <w:spacing w:after="0"/>
              <w:rPr>
                <w:sz w:val="21"/>
                <w:szCs w:val="21"/>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40,926</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83"/>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13,400</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7,800</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51"/>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21"/>
                <w:szCs w:val="21"/>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24,844</w:t>
            </w:r>
          </w:p>
        </w:tc>
        <w:tc>
          <w:tcPr>
            <w:tcW w:w="300" w:type="dxa"/>
            <w:vAlign w:val="bottom"/>
          </w:tcPr>
          <w:p>
            <w:pPr>
              <w:spacing w:after="0"/>
              <w:rPr>
                <w:sz w:val="21"/>
                <w:szCs w:val="21"/>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33,126</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83"/>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(60)</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24,784</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33,126</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Basic net income per common share</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4.45</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5.90</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Basic average number of common shares outstanding</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5,518</w:t>
            </w:r>
          </w:p>
        </w:tc>
        <w:tc>
          <w:tcPr>
            <w:tcW w:w="30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5,544</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Diluted net income per common share</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4.42</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5.87</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Diluted average number of common shares outstanding</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5,554</w:t>
            </w:r>
          </w:p>
        </w:tc>
        <w:tc>
          <w:tcPr>
            <w:tcW w:w="30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5,574</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60" w:top="760" w:right="259" w:bottom="1440" w:gutter="0" w:footer="0" w:header="0"/>
        </w:sectPr>
      </w:pPr>
    </w:p>
    <w:bookmarkStart w:id="11" w:name="page12"/>
    <w:bookmarkEnd w:id="11"/>
    <w:p>
      <w:pPr>
        <w:jc w:val="center"/>
        <w:ind w:right="900"/>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ind w:right="900"/>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ind w:right="900"/>
        <w:spacing w:after="0"/>
        <w:rPr>
          <w:sz w:val="20"/>
          <w:szCs w:val="20"/>
          <w:color w:val="auto"/>
        </w:rPr>
      </w:pPr>
      <w:r>
        <w:rPr>
          <w:rFonts w:ascii="Arial" w:cs="Arial" w:eastAsia="Arial" w:hAnsi="Arial"/>
          <w:sz w:val="18"/>
          <w:szCs w:val="18"/>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3"/>
          </w:tcPr>
          <w:p>
            <w:pPr>
              <w:jc w:val="right"/>
              <w:ind w:right="419"/>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2016</w:t>
            </w: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1,916,029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1,852,311</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1,689,692</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1,590,203</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Depreciation of property, plant and equipment</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46,525</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48,903</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28,290</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19,160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83"/>
        </w:trPr>
        <w:tc>
          <w:tcPr>
            <w:tcW w:w="8120" w:type="dxa"/>
            <w:vAlign w:val="bottom"/>
          </w:tcPr>
          <w:p>
            <w:pPr>
              <w:ind w:left="40"/>
              <w:spacing w:after="0"/>
              <w:rPr>
                <w:sz w:val="20"/>
                <w:szCs w:val="20"/>
                <w:color w:val="auto"/>
              </w:rPr>
            </w:pPr>
            <w:r>
              <w:rPr>
                <w:rFonts w:ascii="Arial" w:cs="Arial" w:eastAsia="Arial" w:hAnsi="Arial"/>
                <w:sz w:val="16"/>
                <w:szCs w:val="16"/>
                <w:color w:val="auto"/>
              </w:rPr>
              <w:t>Impairment of goodwill and other long-lived assets</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9,536</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141,986</w:t>
            </w:r>
          </w:p>
        </w:tc>
        <w:tc>
          <w:tcPr>
            <w:tcW w:w="28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194,045</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Equity in earnings (losses) of affiliates, net</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1,448</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(895)</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3,397</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2,052</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(25,783)</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(24,533)</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83"/>
        </w:trPr>
        <w:tc>
          <w:tcPr>
            <w:tcW w:w="8120" w:type="dxa"/>
            <w:vAlign w:val="bottom"/>
          </w:tcPr>
          <w:p>
            <w:pPr>
              <w:ind w:left="280"/>
              <w:spacing w:after="0"/>
              <w:rPr>
                <w:sz w:val="20"/>
                <w:szCs w:val="20"/>
                <w:color w:val="auto"/>
              </w:rPr>
            </w:pPr>
            <w:r>
              <w:rPr>
                <w:rFonts w:ascii="Arial" w:cs="Arial" w:eastAsia="Arial" w:hAnsi="Arial"/>
                <w:sz w:val="16"/>
                <w:szCs w:val="16"/>
                <w:color w:val="auto"/>
              </w:rPr>
              <w:t>Other income, net</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6,881</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15,871</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22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127,929</w:t>
            </w:r>
          </w:p>
        </w:tc>
        <w:tc>
          <w:tcPr>
            <w:tcW w:w="28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186,540</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83"/>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40,000</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54,000</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87,929</w:t>
            </w:r>
          </w:p>
        </w:tc>
        <w:tc>
          <w:tcPr>
            <w:tcW w:w="28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132,540</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83"/>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(63)</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(868)</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87,866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131,672</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Basic net income per common share</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15.74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23.33</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Basic average number of common shares outstanding</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5,530</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5,570</w:t>
            </w: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Diluted net income per common share</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15.64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23.21</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Diluted average number of common shares outstanding</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5,567</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5,600</w:t>
            </w: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760" w:right="2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SEGMENT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3"/>
          </w:tcPr>
          <w:p>
            <w:pPr>
              <w:jc w:val="right"/>
              <w:ind w:right="319"/>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3"/>
          </w:tcPr>
          <w:p>
            <w:pPr>
              <w:jc w:val="right"/>
              <w:ind w:right="419"/>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6"/>
                <w:szCs w:val="16"/>
                <w:color w:val="auto"/>
              </w:rPr>
            </w:pPr>
          </w:p>
        </w:tc>
      </w:tr>
      <w:tr>
        <w:trPr>
          <w:trHeight w:val="276"/>
        </w:trPr>
        <w:tc>
          <w:tcPr>
            <w:tcW w:w="49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Pr>
          <w:p>
            <w:pPr>
              <w:jc w:val="right"/>
              <w:ind w:right="3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jc w:val="right"/>
              <w:ind w:right="240"/>
              <w:spacing w:after="0"/>
              <w:rPr>
                <w:sz w:val="20"/>
                <w:szCs w:val="20"/>
                <w:color w:val="auto"/>
              </w:rPr>
            </w:pPr>
            <w:r>
              <w:rPr>
                <w:rFonts w:ascii="Arial" w:cs="Arial" w:eastAsia="Arial" w:hAnsi="Arial"/>
                <w:sz w:val="14"/>
                <w:szCs w:val="14"/>
                <w:color w:val="auto"/>
              </w:rPr>
              <w:t>%</w:t>
            </w:r>
          </w:p>
        </w:tc>
      </w:tr>
      <w:tr>
        <w:trPr>
          <w:trHeight w:val="26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2016</w:t>
            </w:r>
          </w:p>
        </w:tc>
        <w:tc>
          <w:tcPr>
            <w:tcW w:w="10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color w:val="auto"/>
              </w:rPr>
              <w:t>Change</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2016</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r>
      <w:tr>
        <w:trPr>
          <w:trHeight w:val="250"/>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376,805</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386,936</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(3)</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1,136,201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1,207,225</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101,295</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112,389</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298,893</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300,927</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179,125</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122,313</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46</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480,935</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344,298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40</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49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657,225</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621,638</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6</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1,916,029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1,852,311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363,414</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370,603</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(2)</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1,080,854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1,143,512</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68,347</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53,230</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28</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200,712</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156,333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28</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186,158</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133,114</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40</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507,450</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365,891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39</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40" w:type="dxa"/>
            <w:vAlign w:val="bottom"/>
          </w:tcPr>
          <w:p>
            <w:pPr>
              <w:spacing w:after="0"/>
              <w:rPr>
                <w:sz w:val="23"/>
                <w:szCs w:val="23"/>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(5,265)</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(3,342)</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58</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(14,973)</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(7,331)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49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612,654</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553,605</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11</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1,774,043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1,658,266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13,391</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16,333</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(18)</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55,347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63,713</w:t>
            </w: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32,948</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59,159</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(44)</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98,181</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144,594</w:t>
            </w:r>
          </w:p>
        </w:tc>
        <w:tc>
          <w:tcPr>
            <w:tcW w:w="90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(7,033)</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(10,801)</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35</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(26,515)</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(21,593)</w:t>
            </w: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83"/>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5,265</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3,342</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58</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14,973</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7,331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44,571</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68,033</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(34)</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141,986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194,045</w:t>
            </w:r>
          </w:p>
        </w:tc>
        <w:tc>
          <w:tcPr>
            <w:tcW w:w="9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8,085</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9,977</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(19)</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24,994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31,322</w:t>
            </w: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3,118</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2,540</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23</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8,703</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7,367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18</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4,520</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3,289</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37</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11,968</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9,389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27</w:t>
            </w:r>
          </w:p>
        </w:tc>
      </w:tr>
      <w:tr>
        <w:trPr>
          <w:trHeight w:val="283"/>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279</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291</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(4)</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860</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825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16,002</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16,097</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46,525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48,903</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184"/>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 and Impairment of</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5"/>
        </w:trPr>
        <w:tc>
          <w:tcPr>
            <w:tcW w:w="4920" w:type="dxa"/>
            <w:vAlign w:val="bottom"/>
          </w:tcPr>
          <w:p>
            <w:pPr>
              <w:ind w:left="200"/>
              <w:spacing w:after="0"/>
              <w:rPr>
                <w:sz w:val="20"/>
                <w:szCs w:val="20"/>
                <w:color w:val="auto"/>
              </w:rPr>
            </w:pPr>
            <w:r>
              <w:rPr>
                <w:rFonts w:ascii="Arial" w:cs="Arial" w:eastAsia="Arial" w:hAnsi="Arial"/>
                <w:sz w:val="16"/>
                <w:szCs w:val="16"/>
                <w:b w:val="1"/>
                <w:bCs w:val="1"/>
                <w:color w:val="auto"/>
              </w:rPr>
              <w:t>Goodwill and Other Long-Lived 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1,355</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1,773</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(24)</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3,798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5,158</w:t>
            </w:r>
          </w:p>
        </w:tc>
        <w:tc>
          <w:tcPr>
            <w:tcW w:w="9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1,071</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63</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2,943</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189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8,809</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4,784</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84</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31,085</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13,813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11,235</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6,620</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70</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37,826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19,160</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97</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Pension Expense (Credit)</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2,430</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2,838</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(14)</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7,289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8,965</w:t>
            </w: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485</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428</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13</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1,457</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1,285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13</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1,375</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279</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2,273</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839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(18,122)</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(15,934)</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14</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(54,368)</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(47,803)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14</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(13,832)</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(12,389)</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12</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(43,349)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(36,714)</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18</w:t>
            </w:r>
          </w:p>
        </w:tc>
      </w:tr>
    </w:tbl>
    <w:p>
      <w:pPr>
        <w:spacing w:after="0" w:line="200" w:lineRule="exact"/>
        <w:rPr>
          <w:sz w:val="20"/>
          <w:szCs w:val="20"/>
          <w:color w:val="auto"/>
        </w:rPr>
      </w:pPr>
    </w:p>
    <w:p>
      <w:pPr>
        <w:sectPr>
          <w:pgSz w:w="11900" w:h="16838" w:orient="portrait"/>
          <w:cols w:equalWidth="0" w:num="1">
            <w:col w:w="11420"/>
          </w:cols>
          <w:pgMar w:left="240" w:top="760" w:right="239" w:bottom="1440" w:gutter="0" w:footer="0" w:header="0"/>
        </w:sectPr>
      </w:pPr>
    </w:p>
    <w:p>
      <w:pPr>
        <w:spacing w:after="0" w:line="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60" w:right="2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EDUCATION DIVISION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3"/>
          </w:tcPr>
          <w:p>
            <w:pPr>
              <w:jc w:val="right"/>
              <w:ind w:right="319"/>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3"/>
          </w:tcPr>
          <w:p>
            <w:pPr>
              <w:jc w:val="right"/>
              <w:ind w:right="419"/>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6"/>
                <w:szCs w:val="16"/>
                <w:color w:val="auto"/>
              </w:rPr>
            </w:pPr>
          </w:p>
        </w:tc>
      </w:tr>
      <w:tr>
        <w:trPr>
          <w:trHeight w:val="276"/>
        </w:trPr>
        <w:tc>
          <w:tcPr>
            <w:tcW w:w="49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Pr>
          <w:p>
            <w:pPr>
              <w:jc w:val="right"/>
              <w:ind w:right="3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jc w:val="right"/>
              <w:ind w:right="240"/>
              <w:spacing w:after="0"/>
              <w:rPr>
                <w:sz w:val="20"/>
                <w:szCs w:val="20"/>
                <w:color w:val="auto"/>
              </w:rPr>
            </w:pPr>
            <w:r>
              <w:rPr>
                <w:rFonts w:ascii="Arial" w:cs="Arial" w:eastAsia="Arial" w:hAnsi="Arial"/>
                <w:sz w:val="14"/>
                <w:szCs w:val="14"/>
                <w:color w:val="auto"/>
              </w:rPr>
              <w:t>%</w:t>
            </w:r>
          </w:p>
        </w:tc>
      </w:tr>
      <w:tr>
        <w:trPr>
          <w:trHeight w:val="26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2016</w:t>
            </w:r>
          </w:p>
        </w:tc>
        <w:tc>
          <w:tcPr>
            <w:tcW w:w="10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color w:val="auto"/>
              </w:rPr>
              <w:t>Change</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2016</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r>
      <w:tr>
        <w:trPr>
          <w:trHeight w:val="250"/>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133,459</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148,602</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(10)</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416,973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472,131</w:t>
            </w: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72,680</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78,291</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212,978</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224,102</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171,259</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160,456</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507,568</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512,068</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49</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120</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190</w:t>
            </w:r>
          </w:p>
        </w:tc>
        <w:tc>
          <w:tcPr>
            <w:tcW w:w="90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83"/>
        </w:trPr>
        <w:tc>
          <w:tcPr>
            <w:tcW w:w="49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(642)</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(1,438)</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376,805</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386,936</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(3)</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1,136,201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1,207,225</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124,650</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137,108</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(9)</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377,849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422,094</w:t>
            </w: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65,350</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69,703</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202,771</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210,788</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165,911</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158,895</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478,559</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489,131</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6,731</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3,584</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88</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19,279</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17,558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10</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1,355</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1,773</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(24)</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3,798</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5,158</w:t>
            </w:r>
          </w:p>
        </w:tc>
        <w:tc>
          <w:tcPr>
            <w:tcW w:w="9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83"/>
        </w:trPr>
        <w:tc>
          <w:tcPr>
            <w:tcW w:w="49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(583)</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(1,402)</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363,414</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370,603</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(2)</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1,080,854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1,143,512</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8,809</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11,494</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(23)</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39,124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50,037</w:t>
            </w: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7,330</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8,588</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(15)</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10,207</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13,314</w:t>
            </w: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5,348</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1,561</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29,009</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22,937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26</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23"/>
                <w:szCs w:val="23"/>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(6,682)</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(3,537)</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(89)</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(19,159)</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(17,368)</w:t>
            </w: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23"/>
                <w:szCs w:val="23"/>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(1,355)</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(1,773)</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24</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(3,798)</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(5,158)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26</w:t>
            </w:r>
          </w:p>
        </w:tc>
      </w:tr>
      <w:tr>
        <w:trPr>
          <w:trHeight w:val="283"/>
        </w:trPr>
        <w:tc>
          <w:tcPr>
            <w:tcW w:w="49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(59)</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13,391</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16,333</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(18)</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55,347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63,713</w:t>
            </w: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2,768</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4,157</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(33)</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9,448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12,325</w:t>
            </w: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1,407</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1,441</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4,080</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4,837</w:t>
            </w: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3,780</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4,360</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(13)</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11,071</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13,739</w:t>
            </w: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83"/>
        </w:trPr>
        <w:tc>
          <w:tcPr>
            <w:tcW w:w="49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130</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395</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421</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8,085</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9,977</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(19)</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24,994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31,322</w:t>
            </w: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548</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1,905</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(71)</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4,636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5,715</w:t>
            </w: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244</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768</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(68)</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2,066</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2,304</w:t>
            </w: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24</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67</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(64)</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198</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201</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83"/>
        </w:trPr>
        <w:tc>
          <w:tcPr>
            <w:tcW w:w="49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1,614</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98</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389</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745</w:t>
            </w:r>
          </w:p>
        </w:tc>
        <w:tc>
          <w:tcPr>
            <w:tcW w:w="90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2,430</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2,838</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(14)</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7,289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8,965</w:t>
            </w: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6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OTHER BUSINESSES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gridSpan w:val="3"/>
          </w:tcPr>
          <w:p>
            <w:pPr>
              <w:jc w:val="right"/>
              <w:ind w:right="299"/>
              <w:spacing w:after="0"/>
              <w:rPr>
                <w:sz w:val="20"/>
                <w:szCs w:val="20"/>
                <w:color w:val="auto"/>
              </w:rPr>
            </w:pPr>
            <w:r>
              <w:rPr>
                <w:rFonts w:ascii="Arial" w:cs="Arial" w:eastAsia="Arial" w:hAnsi="Arial"/>
                <w:sz w:val="14"/>
                <w:szCs w:val="14"/>
                <w:b w:val="1"/>
                <w:bCs w:val="1"/>
                <w:color w:val="auto"/>
              </w:rPr>
              <w:t>Three Months Ended</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3"/>
          </w:tcPr>
          <w:p>
            <w:pPr>
              <w:jc w:val="right"/>
              <w:ind w:right="419"/>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6"/>
                <w:szCs w:val="16"/>
                <w:color w:val="auto"/>
              </w:rPr>
            </w:pPr>
          </w:p>
        </w:tc>
      </w:tr>
      <w:tr>
        <w:trPr>
          <w:trHeight w:val="276"/>
        </w:trPr>
        <w:tc>
          <w:tcPr>
            <w:tcW w:w="48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4"/>
                <w:szCs w:val="14"/>
                <w:b w:val="1"/>
                <w:bCs w:val="1"/>
                <w:color w:val="auto"/>
              </w:rPr>
              <w:t>September 30</w:t>
            </w:r>
          </w:p>
        </w:tc>
        <w:tc>
          <w:tcPr>
            <w:tcW w:w="1120" w:type="dxa"/>
            <w:vAlign w:val="bottom"/>
          </w:tcPr>
          <w:p>
            <w:pPr>
              <w:jc w:val="right"/>
              <w:ind w:right="4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jc w:val="right"/>
              <w:ind w:right="240"/>
              <w:spacing w:after="0"/>
              <w:rPr>
                <w:sz w:val="20"/>
                <w:szCs w:val="20"/>
                <w:color w:val="auto"/>
              </w:rPr>
            </w:pPr>
            <w:r>
              <w:rPr>
                <w:rFonts w:ascii="Arial" w:cs="Arial" w:eastAsia="Arial" w:hAnsi="Arial"/>
                <w:sz w:val="14"/>
                <w:szCs w:val="14"/>
                <w:color w:val="auto"/>
              </w:rPr>
              <w:t>%</w:t>
            </w:r>
          </w:p>
        </w:tc>
      </w:tr>
      <w:tr>
        <w:trPr>
          <w:trHeight w:val="264"/>
        </w:trPr>
        <w:tc>
          <w:tcPr>
            <w:tcW w:w="4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2016</w:t>
            </w:r>
          </w:p>
        </w:tc>
        <w:tc>
          <w:tcPr>
            <w:tcW w:w="11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Change</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2016</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r>
      <w:tr>
        <w:trPr>
          <w:trHeight w:val="250"/>
        </w:trPr>
        <w:tc>
          <w:tcPr>
            <w:tcW w:w="48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115,594</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62,207</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86</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298,164</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176,908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69</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40,473</w:t>
            </w:r>
          </w:p>
        </w:tc>
        <w:tc>
          <w:tcPr>
            <w:tcW w:w="3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37,690</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7</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115,592</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110,068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14,497</w:t>
            </w:r>
          </w:p>
        </w:tc>
        <w:tc>
          <w:tcPr>
            <w:tcW w:w="3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15,180</w:t>
            </w: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41,926</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38,961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8</w:t>
            </w:r>
          </w:p>
        </w:tc>
      </w:tr>
      <w:tr>
        <w:trPr>
          <w:trHeight w:val="283"/>
        </w:trPr>
        <w:tc>
          <w:tcPr>
            <w:tcW w:w="48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8,561</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7,236</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18</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25,253</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18,361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38</w:t>
            </w:r>
          </w:p>
        </w:tc>
      </w:tr>
      <w:tr>
        <w:trPr>
          <w:trHeight w:val="264"/>
        </w:trPr>
        <w:tc>
          <w:tcPr>
            <w:tcW w:w="48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179,125</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122,313</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46</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480,935</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344,298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40</w:t>
            </w:r>
          </w:p>
        </w:tc>
      </w:tr>
      <w:tr>
        <w:trPr>
          <w:trHeight w:val="251"/>
        </w:trPr>
        <w:tc>
          <w:tcPr>
            <w:tcW w:w="48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109,813</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58,430</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88</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292,893</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169,145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73</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39,553</w:t>
            </w:r>
          </w:p>
        </w:tc>
        <w:tc>
          <w:tcPr>
            <w:tcW w:w="3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36,383</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9</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115,214</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107,288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20,745</w:t>
            </w:r>
          </w:p>
        </w:tc>
        <w:tc>
          <w:tcPr>
            <w:tcW w:w="3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26,017</w:t>
            </w: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(20)</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50,078</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54,223</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83"/>
        </w:trPr>
        <w:tc>
          <w:tcPr>
            <w:tcW w:w="48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16,047</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12,284</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31</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49,265</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35,235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40</w:t>
            </w:r>
          </w:p>
        </w:tc>
      </w:tr>
      <w:tr>
        <w:trPr>
          <w:trHeight w:val="264"/>
        </w:trPr>
        <w:tc>
          <w:tcPr>
            <w:tcW w:w="48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186,158</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133,114</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40</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507,450</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365,891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39</w:t>
            </w:r>
          </w:p>
        </w:tc>
      </w:tr>
      <w:tr>
        <w:trPr>
          <w:trHeight w:val="251"/>
        </w:trPr>
        <w:tc>
          <w:tcPr>
            <w:tcW w:w="48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5,781</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3,777</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53</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5,271</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7,763</w:t>
            </w:r>
          </w:p>
        </w:tc>
        <w:tc>
          <w:tcPr>
            <w:tcW w:w="90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920</w:t>
            </w:r>
          </w:p>
        </w:tc>
        <w:tc>
          <w:tcPr>
            <w:tcW w:w="3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1,307</w:t>
            </w: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(30)</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378</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2,780</w:t>
            </w:r>
          </w:p>
        </w:tc>
        <w:tc>
          <w:tcPr>
            <w:tcW w:w="90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b w:val="1"/>
                <w:bCs w:val="1"/>
                <w:color w:val="auto"/>
              </w:rPr>
              <w:t>(6,248)</w:t>
            </w: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(10,837)</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42</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(8,152)</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(15,262)</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47</w:t>
            </w:r>
          </w:p>
        </w:tc>
      </w:tr>
      <w:tr>
        <w:trPr>
          <w:trHeight w:val="283"/>
        </w:trPr>
        <w:tc>
          <w:tcPr>
            <w:tcW w:w="48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(7,486)</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(5,048)</w:t>
            </w: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(48)</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(24,012)</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(16,874)</w:t>
            </w:r>
          </w:p>
        </w:tc>
        <w:tc>
          <w:tcPr>
            <w:tcW w:w="90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64"/>
        </w:trPr>
        <w:tc>
          <w:tcPr>
            <w:tcW w:w="48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(7,033)</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(10,801)</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35</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(26,515)</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(21,593)</w:t>
            </w: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51"/>
        </w:trPr>
        <w:tc>
          <w:tcPr>
            <w:tcW w:w="482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2,717</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1,809</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50</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6,629</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5,588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19</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1,166</w:t>
            </w:r>
          </w:p>
        </w:tc>
        <w:tc>
          <w:tcPr>
            <w:tcW w:w="3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686</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70</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3,429</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2,090</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64</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256</w:t>
            </w:r>
          </w:p>
        </w:tc>
        <w:tc>
          <w:tcPr>
            <w:tcW w:w="3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241</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6</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753</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683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10</w:t>
            </w:r>
          </w:p>
        </w:tc>
      </w:tr>
      <w:tr>
        <w:trPr>
          <w:trHeight w:val="283"/>
        </w:trPr>
        <w:tc>
          <w:tcPr>
            <w:tcW w:w="48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381</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553</w:t>
            </w: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(31)</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1,157</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1,028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13</w:t>
            </w:r>
          </w:p>
        </w:tc>
      </w:tr>
      <w:tr>
        <w:trPr>
          <w:trHeight w:val="264"/>
        </w:trPr>
        <w:tc>
          <w:tcPr>
            <w:tcW w:w="48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4,520</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3,289</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37</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11,968</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9,389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27</w:t>
            </w:r>
          </w:p>
        </w:tc>
      </w:tr>
      <w:tr>
        <w:trPr>
          <w:trHeight w:val="184"/>
        </w:trPr>
        <w:tc>
          <w:tcPr>
            <w:tcW w:w="482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 and Impairment of</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5"/>
        </w:trPr>
        <w:tc>
          <w:tcPr>
            <w:tcW w:w="4820" w:type="dxa"/>
            <w:vAlign w:val="bottom"/>
          </w:tcPr>
          <w:p>
            <w:pPr>
              <w:ind w:left="200"/>
              <w:spacing w:after="0"/>
              <w:rPr>
                <w:sz w:val="20"/>
                <w:szCs w:val="20"/>
                <w:color w:val="auto"/>
              </w:rPr>
            </w:pPr>
            <w:r>
              <w:rPr>
                <w:rFonts w:ascii="Arial" w:cs="Arial" w:eastAsia="Arial" w:hAnsi="Arial"/>
                <w:sz w:val="16"/>
                <w:szCs w:val="16"/>
                <w:b w:val="1"/>
                <w:bCs w:val="1"/>
                <w:color w:val="auto"/>
              </w:rPr>
              <w:t>Goodwill and Other Long-Lived Assets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6,306</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3,089</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25,117</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8,722</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2,420</w:t>
            </w:r>
          </w:p>
        </w:tc>
        <w:tc>
          <w:tcPr>
            <w:tcW w:w="3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1,674</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45</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5,718</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5,028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14</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83</w:t>
            </w:r>
          </w:p>
        </w:tc>
        <w:tc>
          <w:tcPr>
            <w:tcW w:w="3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250</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48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48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8,809</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4,784</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84</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31,085</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13,813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51"/>
        </w:trPr>
        <w:tc>
          <w:tcPr>
            <w:tcW w:w="482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947</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994</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62</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166</w:t>
            </w:r>
          </w:p>
        </w:tc>
        <w:tc>
          <w:tcPr>
            <w:tcW w:w="3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498</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149</w:t>
            </w:r>
          </w:p>
        </w:tc>
        <w:tc>
          <w:tcPr>
            <w:tcW w:w="3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135</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10</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445</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406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10</w:t>
            </w:r>
          </w:p>
        </w:tc>
      </w:tr>
      <w:tr>
        <w:trPr>
          <w:trHeight w:val="283"/>
        </w:trPr>
        <w:tc>
          <w:tcPr>
            <w:tcW w:w="48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113</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120</w:t>
            </w: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(6)</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336</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371</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64"/>
        </w:trPr>
        <w:tc>
          <w:tcPr>
            <w:tcW w:w="48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1,375</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279</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2,273</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839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ectPr>
          <w:pgSz w:w="11900" w:h="16838" w:orient="portrait"/>
          <w:cols w:equalWidth="0" w:num="1">
            <w:col w:w="11420"/>
          </w:cols>
          <w:pgMar w:left="240" w:top="760" w:right="2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60" w:right="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color w:val="auto"/>
        </w:rPr>
        <w:t>NON-GAAP FINANCIAL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GRAHAM HOLDINGS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p>
      <w:pPr>
        <w:ind w:right="260"/>
        <w:spacing w:after="0" w:line="227" w:lineRule="auto"/>
        <w:rPr>
          <w:sz w:val="20"/>
          <w:szCs w:val="20"/>
          <w:color w:val="auto"/>
        </w:rPr>
      </w:pPr>
      <w:r>
        <w:rPr>
          <w:rFonts w:ascii="Arial" w:cs="Arial" w:eastAsia="Arial" w:hAnsi="Arial"/>
          <w:sz w:val="18"/>
          <w:szCs w:val="18"/>
          <w:color w:val="auto"/>
        </w:rPr>
        <w:t>In addition to the results reported in accordance with accounting principles generally accepted in the United States (GAAP) included in this press release, the Company has provided information regarding net income, excluding certain items described below, reconciled to the most directly comparable GAAP measures. Management believes that these non-GAAP measures, when read in conjunction with the Company’s GAAP financials, provide useful information to investors by offering:</w:t>
      </w:r>
    </w:p>
    <w:p>
      <w:pPr>
        <w:spacing w:after="0" w:line="8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to make meaningful period-to-period comparisons of the Company’s ongoing results;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to identify trends in the Company’s underlying business;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better understanding of how management plans and measures the Company’s underlying business.</w:t>
      </w:r>
    </w:p>
    <w:p>
      <w:pPr>
        <w:spacing w:after="0" w:line="90" w:lineRule="exact"/>
        <w:rPr>
          <w:sz w:val="20"/>
          <w:szCs w:val="20"/>
          <w:color w:val="auto"/>
        </w:rPr>
      </w:pPr>
    </w:p>
    <w:p>
      <w:pPr>
        <w:jc w:val="both"/>
        <w:ind w:right="300"/>
        <w:spacing w:after="0" w:line="229" w:lineRule="auto"/>
        <w:rPr>
          <w:sz w:val="20"/>
          <w:szCs w:val="20"/>
          <w:color w:val="auto"/>
        </w:rPr>
      </w:pPr>
      <w:r>
        <w:rPr>
          <w:rFonts w:ascii="Arial" w:cs="Arial" w:eastAsia="Arial" w:hAnsi="Arial"/>
          <w:sz w:val="18"/>
          <w:szCs w:val="18"/>
          <w:color w:val="auto"/>
        </w:rPr>
        <w:t>Net income, excluding certain items, should not be considered substitutes or alternatives to computations calculated in accordance with and required by GAAP. These non-GAAP financial measures should be read only in conjunction with financial information presented on a GAAP basis.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non-GAAP financial measures to the most directly comparable GAAP measures:</w:t>
      </w:r>
    </w:p>
    <w:p>
      <w:pPr>
        <w:spacing w:after="0" w:line="140" w:lineRule="exact"/>
        <w:rPr>
          <w:sz w:val="20"/>
          <w:szCs w:val="20"/>
          <w:color w:val="auto"/>
        </w:rPr>
      </w:pPr>
    </w:p>
    <w:p>
      <w:pPr>
        <w:ind w:left="6600"/>
        <w:spacing w:after="0"/>
        <w:rPr>
          <w:sz w:val="20"/>
          <w:szCs w:val="20"/>
          <w:color w:val="auto"/>
        </w:rPr>
      </w:pPr>
      <w:r>
        <w:rPr>
          <w:rFonts w:ascii="Arial" w:cs="Arial" w:eastAsia="Arial" w:hAnsi="Arial"/>
          <w:sz w:val="16"/>
          <w:szCs w:val="16"/>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31750</wp:posOffset>
            </wp:positionV>
            <wp:extent cx="44164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416425" cy="8890"/>
                    </a:xfrm>
                    <a:prstGeom prst="rect">
                      <a:avLst/>
                    </a:prstGeom>
                    <a:noFill/>
                  </pic:spPr>
                </pic:pic>
              </a:graphicData>
            </a:graphic>
          </wp:anchor>
        </w:drawing>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460" w:type="dxa"/>
            <w:vAlign w:val="bottom"/>
          </w:tcPr>
          <w:p>
            <w:pPr>
              <w:spacing w:after="0"/>
              <w:rPr>
                <w:sz w:val="18"/>
                <w:szCs w:val="18"/>
                <w:color w:val="auto"/>
              </w:rPr>
            </w:pPr>
          </w:p>
        </w:tc>
        <w:tc>
          <w:tcPr>
            <w:tcW w:w="1340" w:type="dxa"/>
            <w:vAlign w:val="bottom"/>
            <w:gridSpan w:val="2"/>
            <w:vMerge w:val="restart"/>
          </w:tcPr>
          <w:p>
            <w:pPr>
              <w:jc w:val="right"/>
              <w:ind w:right="59"/>
              <w:spacing w:after="0"/>
              <w:rPr>
                <w:sz w:val="20"/>
                <w:szCs w:val="20"/>
                <w:color w:val="auto"/>
              </w:rPr>
            </w:pPr>
            <w:r>
              <w:rPr>
                <w:rFonts w:ascii="Arial" w:cs="Arial" w:eastAsia="Arial" w:hAnsi="Arial"/>
                <w:sz w:val="16"/>
                <w:szCs w:val="16"/>
                <w:b w:val="1"/>
                <w:bCs w:val="1"/>
                <w:color w:val="auto"/>
              </w:rPr>
              <w:t>Income before</w:t>
            </w:r>
          </w:p>
        </w:tc>
        <w:tc>
          <w:tcPr>
            <w:tcW w:w="220" w:type="dxa"/>
            <w:vAlign w:val="bottom"/>
          </w:tcPr>
          <w:p>
            <w:pPr>
              <w:spacing w:after="0"/>
              <w:rPr>
                <w:sz w:val="18"/>
                <w:szCs w:val="18"/>
                <w:color w:val="auto"/>
              </w:rPr>
            </w:pPr>
          </w:p>
        </w:tc>
        <w:tc>
          <w:tcPr>
            <w:tcW w:w="8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Income</w:t>
            </w: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Net Income</w:t>
            </w:r>
          </w:p>
        </w:tc>
        <w:tc>
          <w:tcPr>
            <w:tcW w:w="300" w:type="dxa"/>
            <w:vAlign w:val="bottom"/>
          </w:tcPr>
          <w:p>
            <w:pPr>
              <w:spacing w:after="0"/>
              <w:rPr>
                <w:sz w:val="18"/>
                <w:szCs w:val="18"/>
                <w:color w:val="auto"/>
              </w:rPr>
            </w:pPr>
          </w:p>
        </w:tc>
        <w:tc>
          <w:tcPr>
            <w:tcW w:w="900" w:type="dxa"/>
            <w:vAlign w:val="bottom"/>
          </w:tcPr>
          <w:p>
            <w:pPr>
              <w:jc w:val="center"/>
              <w:ind w:right="159"/>
              <w:spacing w:after="0"/>
              <w:rPr>
                <w:sz w:val="20"/>
                <w:szCs w:val="20"/>
                <w:color w:val="auto"/>
              </w:rPr>
            </w:pPr>
            <w:r>
              <w:rPr>
                <w:rFonts w:ascii="Arial" w:cs="Arial" w:eastAsia="Arial" w:hAnsi="Arial"/>
                <w:sz w:val="16"/>
                <w:szCs w:val="16"/>
                <w:color w:val="auto"/>
              </w:rPr>
              <w:t>Income</w:t>
            </w:r>
          </w:p>
        </w:tc>
        <w:tc>
          <w:tcPr>
            <w:tcW w:w="240" w:type="dxa"/>
            <w:vAlign w:val="bottom"/>
          </w:tcPr>
          <w:p>
            <w:pPr>
              <w:spacing w:after="0"/>
              <w:rPr>
                <w:sz w:val="18"/>
                <w:szCs w:val="18"/>
                <w:color w:val="auto"/>
              </w:rPr>
            </w:pPr>
          </w:p>
        </w:tc>
        <w:tc>
          <w:tcPr>
            <w:tcW w:w="940" w:type="dxa"/>
            <w:vAlign w:val="bottom"/>
            <w:vMerge w:val="restart"/>
          </w:tcPr>
          <w:p>
            <w:pPr>
              <w:jc w:val="right"/>
              <w:ind w:right="260"/>
              <w:spacing w:after="0"/>
              <w:rPr>
                <w:sz w:val="20"/>
                <w:szCs w:val="20"/>
                <w:color w:val="auto"/>
              </w:rPr>
            </w:pPr>
            <w:r>
              <w:rPr>
                <w:rFonts w:ascii="Arial" w:cs="Arial" w:eastAsia="Arial" w:hAnsi="Arial"/>
                <w:sz w:val="16"/>
                <w:szCs w:val="16"/>
                <w:color w:val="auto"/>
              </w:rPr>
              <w:t>Income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446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900" w:type="dxa"/>
            <w:vAlign w:val="bottom"/>
            <w:vMerge w:val="restart"/>
          </w:tcPr>
          <w:p>
            <w:pPr>
              <w:jc w:val="center"/>
              <w:ind w:right="159"/>
              <w:spacing w:after="0"/>
              <w:rPr>
                <w:sz w:val="20"/>
                <w:szCs w:val="20"/>
                <w:color w:val="auto"/>
              </w:rPr>
            </w:pPr>
            <w:r>
              <w:rPr>
                <w:rFonts w:ascii="Arial" w:cs="Arial" w:eastAsia="Arial" w:hAnsi="Arial"/>
                <w:sz w:val="16"/>
                <w:szCs w:val="16"/>
                <w:color w:val="auto"/>
              </w:rPr>
              <w:t>before</w:t>
            </w:r>
          </w:p>
        </w:tc>
        <w:tc>
          <w:tcPr>
            <w:tcW w:w="24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vMerge w:val="restart"/>
          </w:tcPr>
          <w:p>
            <w:pPr>
              <w:jc w:val="right"/>
              <w:ind w:right="79"/>
              <w:spacing w:after="0"/>
              <w:rPr>
                <w:sz w:val="20"/>
                <w:szCs w:val="20"/>
                <w:color w:val="auto"/>
              </w:rPr>
            </w:pPr>
            <w:r>
              <w:rPr>
                <w:rFonts w:ascii="Arial" w:cs="Arial" w:eastAsia="Arial" w:hAnsi="Arial"/>
                <w:sz w:val="16"/>
                <w:szCs w:val="16"/>
                <w:color w:val="auto"/>
              </w:rPr>
              <w:t>Net Income</w:t>
            </w:r>
          </w:p>
        </w:tc>
        <w:tc>
          <w:tcPr>
            <w:tcW w:w="0" w:type="dxa"/>
            <w:vAlign w:val="bottom"/>
          </w:tcPr>
          <w:p>
            <w:pPr>
              <w:spacing w:after="0"/>
              <w:rPr>
                <w:sz w:val="1"/>
                <w:szCs w:val="1"/>
                <w:color w:val="auto"/>
              </w:rPr>
            </w:pPr>
          </w:p>
        </w:tc>
      </w:tr>
      <w:tr>
        <w:trPr>
          <w:trHeight w:val="115"/>
        </w:trPr>
        <w:tc>
          <w:tcPr>
            <w:tcW w:w="4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98"/>
              </w:rPr>
              <w:t>income taxes</w:t>
            </w:r>
          </w:p>
        </w:tc>
        <w:tc>
          <w:tcPr>
            <w:tcW w:w="220" w:type="dxa"/>
            <w:vAlign w:val="bottom"/>
          </w:tcPr>
          <w:p>
            <w:pPr>
              <w:spacing w:after="0"/>
              <w:rPr>
                <w:sz w:val="9"/>
                <w:szCs w:val="9"/>
                <w:color w:val="auto"/>
              </w:rPr>
            </w:pPr>
          </w:p>
        </w:tc>
        <w:tc>
          <w:tcPr>
            <w:tcW w:w="860" w:type="dxa"/>
            <w:vAlign w:val="bottom"/>
            <w:vMerge w:val="restart"/>
          </w:tcPr>
          <w:p>
            <w:pPr>
              <w:jc w:val="right"/>
              <w:ind w:right="260"/>
              <w:spacing w:after="0"/>
              <w:rPr>
                <w:sz w:val="20"/>
                <w:szCs w:val="20"/>
                <w:color w:val="auto"/>
              </w:rPr>
            </w:pPr>
            <w:r>
              <w:rPr>
                <w:rFonts w:ascii="Arial" w:cs="Arial" w:eastAsia="Arial" w:hAnsi="Arial"/>
                <w:sz w:val="16"/>
                <w:szCs w:val="16"/>
                <w:b w:val="1"/>
                <w:bCs w:val="1"/>
                <w:color w:val="auto"/>
              </w:rPr>
              <w:t>Taxes</w:t>
            </w:r>
          </w:p>
        </w:tc>
        <w:tc>
          <w:tcPr>
            <w:tcW w:w="102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vMerge w:val="restart"/>
          </w:tcPr>
          <w:p>
            <w:pPr>
              <w:jc w:val="right"/>
              <w:ind w:right="320"/>
              <w:spacing w:after="0"/>
              <w:rPr>
                <w:sz w:val="20"/>
                <w:szCs w:val="20"/>
                <w:color w:val="auto"/>
              </w:rPr>
            </w:pPr>
            <w:r>
              <w:rPr>
                <w:rFonts w:ascii="Arial" w:cs="Arial" w:eastAsia="Arial" w:hAnsi="Arial"/>
                <w:sz w:val="16"/>
                <w:szCs w:val="16"/>
                <w:color w:val="auto"/>
              </w:rPr>
              <w:t>Taxes</w:t>
            </w:r>
          </w:p>
        </w:tc>
        <w:tc>
          <w:tcPr>
            <w:tcW w:w="1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4460" w:type="dxa"/>
            <w:vAlign w:val="bottom"/>
            <w:vMerge w:val="restart"/>
          </w:tcPr>
          <w:p>
            <w:pPr>
              <w:ind w:left="40"/>
              <w:spacing w:after="0"/>
              <w:rPr>
                <w:sz w:val="20"/>
                <w:szCs w:val="20"/>
                <w:color w:val="auto"/>
              </w:rPr>
            </w:pPr>
            <w:r>
              <w:rPr>
                <w:rFonts w:ascii="Arial" w:cs="Arial" w:eastAsia="Arial" w:hAnsi="Arial"/>
                <w:sz w:val="14"/>
                <w:szCs w:val="14"/>
                <w:color w:val="auto"/>
              </w:rPr>
              <w:t>(in thousands, except per share amounts)</w:t>
            </w:r>
          </w:p>
        </w:tc>
        <w:tc>
          <w:tcPr>
            <w:tcW w:w="14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6"/>
                <w:szCs w:val="16"/>
                <w:color w:val="auto"/>
                <w:w w:val="99"/>
              </w:rPr>
              <w:t>income taxes</w:t>
            </w:r>
          </w:p>
        </w:tc>
        <w:tc>
          <w:tcPr>
            <w:tcW w:w="24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460" w:type="dxa"/>
            <w:vAlign w:val="bottom"/>
            <w:tcBorders>
              <w:bottom w:val="single" w:sz="8" w:color="auto"/>
            </w:tcBorders>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gridSpan w:val="2"/>
            <w:vMerge w:val="continue"/>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4460" w:type="dxa"/>
            <w:vAlign w:val="bottom"/>
          </w:tcPr>
          <w:p>
            <w:pPr>
              <w:ind w:left="40"/>
              <w:spacing w:after="0"/>
              <w:rPr>
                <w:sz w:val="20"/>
                <w:szCs w:val="20"/>
                <w:color w:val="auto"/>
              </w:rPr>
            </w:pPr>
            <w:r>
              <w:rPr>
                <w:rFonts w:ascii="Arial" w:cs="Arial" w:eastAsia="Arial" w:hAnsi="Arial"/>
                <w:sz w:val="16"/>
                <w:szCs w:val="16"/>
                <w:b w:val="1"/>
                <w:bCs w:val="1"/>
                <w:color w:val="auto"/>
              </w:rPr>
              <w:t>Amounts attributable to Graham Holdings Company</w:t>
            </w: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460" w:type="dxa"/>
            <w:vAlign w:val="bottom"/>
          </w:tcPr>
          <w:p>
            <w:pPr>
              <w:ind w:left="200"/>
              <w:spacing w:after="0"/>
              <w:rPr>
                <w:sz w:val="20"/>
                <w:szCs w:val="20"/>
                <w:color w:val="auto"/>
              </w:rPr>
            </w:pPr>
            <w:r>
              <w:rPr>
                <w:rFonts w:ascii="Arial" w:cs="Arial" w:eastAsia="Arial" w:hAnsi="Arial"/>
                <w:sz w:val="16"/>
                <w:szCs w:val="16"/>
                <w:b w:val="1"/>
                <w:bCs w:val="1"/>
                <w:color w:val="auto"/>
              </w:rPr>
              <w:t>Common Stockholders</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460" w:type="dxa"/>
            <w:vAlign w:val="bottom"/>
          </w:tcPr>
          <w:p>
            <w:pPr>
              <w:ind w:left="40"/>
              <w:spacing w:after="0"/>
              <w:rPr>
                <w:sz w:val="20"/>
                <w:szCs w:val="20"/>
                <w:color w:val="auto"/>
              </w:rPr>
            </w:pPr>
            <w:r>
              <w:rPr>
                <w:rFonts w:ascii="Arial" w:cs="Arial" w:eastAsia="Arial" w:hAnsi="Arial"/>
                <w:sz w:val="16"/>
                <w:szCs w:val="16"/>
                <w:color w:val="auto"/>
              </w:rPr>
              <w:t>As reported</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auto"/>
              </w:rPr>
              <w:t>38,244</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140"/>
              <w:spacing w:after="0"/>
              <w:rPr>
                <w:sz w:val="20"/>
                <w:szCs w:val="20"/>
                <w:color w:val="auto"/>
              </w:rPr>
            </w:pPr>
            <w:r>
              <w:rPr>
                <w:rFonts w:ascii="Arial" w:cs="Arial" w:eastAsia="Arial" w:hAnsi="Arial"/>
                <w:sz w:val="16"/>
                <w:szCs w:val="16"/>
                <w:b w:val="1"/>
                <w:bCs w:val="1"/>
                <w:color w:val="auto"/>
              </w:rPr>
              <w:t>13,400</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b w:val="1"/>
                <w:bCs w:val="1"/>
                <w:color w:val="auto"/>
              </w:rPr>
              <w:t>24,844</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40,926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7,800</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33,126</w:t>
            </w:r>
          </w:p>
        </w:tc>
        <w:tc>
          <w:tcPr>
            <w:tcW w:w="0" w:type="dxa"/>
            <w:vAlign w:val="bottom"/>
          </w:tcPr>
          <w:p>
            <w:pPr>
              <w:spacing w:after="0"/>
              <w:rPr>
                <w:sz w:val="1"/>
                <w:szCs w:val="1"/>
                <w:color w:val="auto"/>
              </w:rPr>
            </w:pPr>
          </w:p>
        </w:tc>
      </w:tr>
      <w:tr>
        <w:trPr>
          <w:trHeight w:val="283"/>
        </w:trPr>
        <w:tc>
          <w:tcPr>
            <w:tcW w:w="4460" w:type="dxa"/>
            <w:vAlign w:val="bottom"/>
          </w:tcPr>
          <w:p>
            <w:pPr>
              <w:ind w:left="40"/>
              <w:spacing w:after="0"/>
              <w:rPr>
                <w:sz w:val="20"/>
                <w:szCs w:val="20"/>
                <w:color w:val="auto"/>
              </w:rPr>
            </w:pPr>
            <w:r>
              <w:rPr>
                <w:rFonts w:ascii="Arial" w:cs="Arial" w:eastAsia="Arial" w:hAnsi="Arial"/>
                <w:sz w:val="16"/>
                <w:szCs w:val="16"/>
                <w:color w:val="auto"/>
              </w:rPr>
              <w:t>Attributable to noncontrolling interests</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6"/>
                <w:szCs w:val="16"/>
                <w:color w:val="auto"/>
              </w:rPr>
              <w:t>Attributable to Graham Holdings Company Stockholders</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b w:val="1"/>
                <w:bCs w:val="1"/>
                <w:color w:val="auto"/>
              </w:rPr>
              <w:t>24,784</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33,126</w:t>
            </w:r>
          </w:p>
        </w:tc>
        <w:tc>
          <w:tcPr>
            <w:tcW w:w="0" w:type="dxa"/>
            <w:vAlign w:val="bottom"/>
          </w:tcPr>
          <w:p>
            <w:pPr>
              <w:spacing w:after="0"/>
              <w:rPr>
                <w:sz w:val="1"/>
                <w:szCs w:val="1"/>
                <w:color w:val="auto"/>
              </w:rPr>
            </w:pPr>
          </w:p>
        </w:tc>
      </w:tr>
      <w:tr>
        <w:trPr>
          <w:trHeight w:val="270"/>
        </w:trPr>
        <w:tc>
          <w:tcPr>
            <w:tcW w:w="4460" w:type="dxa"/>
            <w:vAlign w:val="bottom"/>
          </w:tcPr>
          <w:p>
            <w:pPr>
              <w:ind w:left="180"/>
              <w:spacing w:after="0"/>
              <w:rPr>
                <w:sz w:val="20"/>
                <w:szCs w:val="20"/>
                <w:color w:val="auto"/>
              </w:rPr>
            </w:pPr>
            <w:r>
              <w:rPr>
                <w:rFonts w:ascii="Arial" w:cs="Arial" w:eastAsia="Arial" w:hAnsi="Arial"/>
                <w:sz w:val="16"/>
                <w:szCs w:val="16"/>
                <w:color w:val="auto"/>
              </w:rPr>
              <w:t>Adjustments:</w:t>
            </w: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460" w:type="dxa"/>
            <w:vAlign w:val="bottom"/>
          </w:tcPr>
          <w:p>
            <w:pPr>
              <w:ind w:left="280"/>
              <w:spacing w:after="0"/>
              <w:rPr>
                <w:sz w:val="20"/>
                <w:szCs w:val="20"/>
                <w:color w:val="auto"/>
              </w:rPr>
            </w:pPr>
            <w:r>
              <w:rPr>
                <w:rFonts w:ascii="Arial" w:cs="Arial" w:eastAsia="Arial" w:hAnsi="Arial"/>
                <w:sz w:val="16"/>
                <w:szCs w:val="16"/>
                <w:color w:val="auto"/>
              </w:rPr>
              <w:t>Foreign currency (gain) loss</w:t>
            </w:r>
          </w:p>
        </w:tc>
        <w:tc>
          <w:tcPr>
            <w:tcW w:w="1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(1,414)</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(523)</w:t>
            </w: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(891)</w:t>
            </w:r>
          </w:p>
        </w:tc>
        <w:tc>
          <w:tcPr>
            <w:tcW w:w="30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3,796</w:t>
            </w:r>
          </w:p>
        </w:tc>
        <w:tc>
          <w:tcPr>
            <w:tcW w:w="240" w:type="dxa"/>
            <w:vAlign w:val="bottom"/>
          </w:tcPr>
          <w:p>
            <w:pPr>
              <w:spacing w:after="0"/>
              <w:rPr>
                <w:sz w:val="23"/>
                <w:szCs w:val="23"/>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1,366</w:t>
            </w:r>
          </w:p>
        </w:tc>
        <w:tc>
          <w:tcPr>
            <w:tcW w:w="14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2,430</w:t>
            </w:r>
          </w:p>
        </w:tc>
        <w:tc>
          <w:tcPr>
            <w:tcW w:w="0" w:type="dxa"/>
            <w:vAlign w:val="bottom"/>
          </w:tcPr>
          <w:p>
            <w:pPr>
              <w:spacing w:after="0"/>
              <w:rPr>
                <w:sz w:val="1"/>
                <w:szCs w:val="1"/>
                <w:color w:val="auto"/>
              </w:rPr>
            </w:pPr>
          </w:p>
        </w:tc>
      </w:tr>
      <w:tr>
        <w:trPr>
          <w:trHeight w:val="270"/>
        </w:trPr>
        <w:tc>
          <w:tcPr>
            <w:tcW w:w="4460" w:type="dxa"/>
            <w:vAlign w:val="bottom"/>
          </w:tcPr>
          <w:p>
            <w:pPr>
              <w:ind w:left="280"/>
              <w:spacing w:after="0"/>
              <w:rPr>
                <w:sz w:val="20"/>
                <w:szCs w:val="20"/>
                <w:color w:val="auto"/>
              </w:rPr>
            </w:pPr>
            <w:r>
              <w:rPr>
                <w:rFonts w:ascii="Arial" w:cs="Arial" w:eastAsia="Arial" w:hAnsi="Arial"/>
                <w:sz w:val="16"/>
                <w:szCs w:val="16"/>
                <w:color w:val="auto"/>
              </w:rPr>
              <w:t>Write-down of a cost method investment</w:t>
            </w:r>
          </w:p>
        </w:tc>
        <w:tc>
          <w:tcPr>
            <w:tcW w:w="140" w:type="dxa"/>
            <w:vAlign w:val="bottom"/>
          </w:tcPr>
          <w:p>
            <w:pPr>
              <w:spacing w:after="0"/>
              <w:rPr>
                <w:sz w:val="23"/>
                <w:szCs w:val="23"/>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3"/>
                <w:szCs w:val="23"/>
                <w:color w:val="auto"/>
              </w:rPr>
            </w:pPr>
          </w:p>
        </w:tc>
        <w:tc>
          <w:tcPr>
            <w:tcW w:w="860" w:type="dxa"/>
            <w:vAlign w:val="bottom"/>
          </w:tcPr>
          <w:p>
            <w:pPr>
              <w:jc w:val="right"/>
              <w:ind w:right="1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15,000</w:t>
            </w:r>
          </w:p>
        </w:tc>
        <w:tc>
          <w:tcPr>
            <w:tcW w:w="240" w:type="dxa"/>
            <w:vAlign w:val="bottom"/>
          </w:tcPr>
          <w:p>
            <w:pPr>
              <w:spacing w:after="0"/>
              <w:rPr>
                <w:sz w:val="23"/>
                <w:szCs w:val="23"/>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5,400</w:t>
            </w:r>
          </w:p>
        </w:tc>
        <w:tc>
          <w:tcPr>
            <w:tcW w:w="14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9,600</w:t>
            </w:r>
          </w:p>
        </w:tc>
        <w:tc>
          <w:tcPr>
            <w:tcW w:w="0" w:type="dxa"/>
            <w:vAlign w:val="bottom"/>
          </w:tcPr>
          <w:p>
            <w:pPr>
              <w:spacing w:after="0"/>
              <w:rPr>
                <w:sz w:val="1"/>
                <w:szCs w:val="1"/>
                <w:color w:val="auto"/>
              </w:rPr>
            </w:pPr>
          </w:p>
        </w:tc>
      </w:tr>
      <w:tr>
        <w:trPr>
          <w:trHeight w:val="283"/>
        </w:trPr>
        <w:tc>
          <w:tcPr>
            <w:tcW w:w="4460" w:type="dxa"/>
            <w:vAlign w:val="bottom"/>
          </w:tcPr>
          <w:p>
            <w:pPr>
              <w:ind w:left="280"/>
              <w:spacing w:after="0"/>
              <w:rPr>
                <w:sz w:val="20"/>
                <w:szCs w:val="20"/>
                <w:color w:val="auto"/>
              </w:rPr>
            </w:pPr>
            <w:r>
              <w:rPr>
                <w:rFonts w:ascii="Arial" w:cs="Arial" w:eastAsia="Arial" w:hAnsi="Arial"/>
                <w:sz w:val="16"/>
                <w:szCs w:val="16"/>
                <w:color w:val="auto"/>
              </w:rPr>
              <w:t>Nonrecurring deferred tax benefit</w:t>
            </w:r>
          </w:p>
        </w:tc>
        <w:tc>
          <w:tcPr>
            <w:tcW w:w="140" w:type="dxa"/>
            <w:vAlign w:val="bottom"/>
          </w:tcPr>
          <w:p>
            <w:pPr>
              <w:spacing w:after="0"/>
              <w:rPr>
                <w:sz w:val="24"/>
                <w:szCs w:val="24"/>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4"/>
                <w:szCs w:val="24"/>
                <w:color w:val="auto"/>
              </w:rPr>
            </w:pPr>
          </w:p>
        </w:tc>
        <w:tc>
          <w:tcPr>
            <w:tcW w:w="860" w:type="dxa"/>
            <w:vAlign w:val="bottom"/>
          </w:tcPr>
          <w:p>
            <w:pPr>
              <w:jc w:val="right"/>
              <w:ind w:right="14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4"/>
                <w:szCs w:val="24"/>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8,286</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(8,286)</w:t>
            </w:r>
          </w:p>
        </w:tc>
        <w:tc>
          <w:tcPr>
            <w:tcW w:w="0" w:type="dxa"/>
            <w:vAlign w:val="bottom"/>
          </w:tcPr>
          <w:p>
            <w:pPr>
              <w:spacing w:after="0"/>
              <w:rPr>
                <w:sz w:val="1"/>
                <w:szCs w:val="1"/>
                <w:color w:val="auto"/>
              </w:rPr>
            </w:pPr>
          </w:p>
        </w:tc>
      </w:tr>
      <w:tr>
        <w:trPr>
          <w:trHeight w:val="250"/>
        </w:trPr>
        <w:tc>
          <w:tcPr>
            <w:tcW w:w="4460" w:type="dxa"/>
            <w:vAlign w:val="bottom"/>
          </w:tcPr>
          <w:p>
            <w:pPr>
              <w:ind w:left="40"/>
              <w:spacing w:after="0"/>
              <w:rPr>
                <w:sz w:val="20"/>
                <w:szCs w:val="20"/>
                <w:color w:val="auto"/>
              </w:rPr>
            </w:pPr>
            <w:r>
              <w:rPr>
                <w:rFonts w:ascii="Arial" w:cs="Arial" w:eastAsia="Arial" w:hAnsi="Arial"/>
                <w:sz w:val="16"/>
                <w:szCs w:val="16"/>
                <w:color w:val="auto"/>
              </w:rPr>
              <w:t>Net Income, adjusted (non-GAAP)</w:t>
            </w: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23,893</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36,870</w:t>
            </w:r>
          </w:p>
        </w:tc>
        <w:tc>
          <w:tcPr>
            <w:tcW w:w="0" w:type="dxa"/>
            <w:vAlign w:val="bottom"/>
          </w:tcPr>
          <w:p>
            <w:pPr>
              <w:spacing w:after="0"/>
              <w:rPr>
                <w:sz w:val="1"/>
                <w:szCs w:val="1"/>
                <w:color w:val="auto"/>
              </w:rPr>
            </w:pPr>
          </w:p>
        </w:tc>
      </w:tr>
      <w:tr>
        <w:trPr>
          <w:trHeight w:val="441"/>
        </w:trPr>
        <w:tc>
          <w:tcPr>
            <w:tcW w:w="4460" w:type="dxa"/>
            <w:vAlign w:val="bottom"/>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460" w:type="dxa"/>
            <w:vAlign w:val="bottom"/>
          </w:tcPr>
          <w:p>
            <w:pPr>
              <w:ind w:left="200"/>
              <w:spacing w:after="0"/>
              <w:rPr>
                <w:sz w:val="20"/>
                <w:szCs w:val="20"/>
                <w:color w:val="auto"/>
              </w:rPr>
            </w:pPr>
            <w:r>
              <w:rPr>
                <w:rFonts w:ascii="Arial" w:cs="Arial" w:eastAsia="Arial" w:hAnsi="Arial"/>
                <w:sz w:val="16"/>
                <w:szCs w:val="16"/>
                <w:b w:val="1"/>
                <w:bCs w:val="1"/>
                <w:color w:val="auto"/>
              </w:rPr>
              <w:t>Company Common Stockholders</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460" w:type="dxa"/>
            <w:vAlign w:val="bottom"/>
          </w:tcPr>
          <w:p>
            <w:pPr>
              <w:ind w:left="40"/>
              <w:spacing w:after="0"/>
              <w:rPr>
                <w:sz w:val="20"/>
                <w:szCs w:val="20"/>
                <w:color w:val="auto"/>
              </w:rPr>
            </w:pPr>
            <w:r>
              <w:rPr>
                <w:rFonts w:ascii="Arial" w:cs="Arial" w:eastAsia="Arial" w:hAnsi="Arial"/>
                <w:sz w:val="16"/>
                <w:szCs w:val="16"/>
                <w:color w:val="auto"/>
              </w:rPr>
              <w:t>Diluted income per common share, as reported</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4.42</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5.87</w:t>
            </w:r>
          </w:p>
        </w:tc>
        <w:tc>
          <w:tcPr>
            <w:tcW w:w="0" w:type="dxa"/>
            <w:vAlign w:val="bottom"/>
          </w:tcPr>
          <w:p>
            <w:pPr>
              <w:spacing w:after="0"/>
              <w:rPr>
                <w:sz w:val="1"/>
                <w:szCs w:val="1"/>
                <w:color w:val="auto"/>
              </w:rPr>
            </w:pPr>
          </w:p>
        </w:tc>
      </w:tr>
      <w:tr>
        <w:trPr>
          <w:trHeight w:val="237"/>
        </w:trPr>
        <w:tc>
          <w:tcPr>
            <w:tcW w:w="4460" w:type="dxa"/>
            <w:vAlign w:val="bottom"/>
          </w:tcPr>
          <w:p>
            <w:pPr>
              <w:ind w:left="180"/>
              <w:spacing w:after="0"/>
              <w:rPr>
                <w:sz w:val="20"/>
                <w:szCs w:val="20"/>
                <w:color w:val="auto"/>
              </w:rPr>
            </w:pPr>
            <w:r>
              <w:rPr>
                <w:rFonts w:ascii="Arial" w:cs="Arial" w:eastAsia="Arial" w:hAnsi="Arial"/>
                <w:sz w:val="16"/>
                <w:szCs w:val="16"/>
                <w:color w:val="auto"/>
              </w:rPr>
              <w:t>Adjustments:</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460" w:type="dxa"/>
            <w:vAlign w:val="bottom"/>
          </w:tcPr>
          <w:p>
            <w:pPr>
              <w:ind w:left="280"/>
              <w:spacing w:after="0"/>
              <w:rPr>
                <w:sz w:val="20"/>
                <w:szCs w:val="20"/>
                <w:color w:val="auto"/>
              </w:rPr>
            </w:pPr>
            <w:r>
              <w:rPr>
                <w:rFonts w:ascii="Arial" w:cs="Arial" w:eastAsia="Arial" w:hAnsi="Arial"/>
                <w:sz w:val="16"/>
                <w:szCs w:val="16"/>
                <w:color w:val="auto"/>
              </w:rPr>
              <w:t>Foreign currency (gain) loss</w:t>
            </w: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(0.16)</w:t>
            </w: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0.43</w:t>
            </w:r>
          </w:p>
        </w:tc>
        <w:tc>
          <w:tcPr>
            <w:tcW w:w="0" w:type="dxa"/>
            <w:vAlign w:val="bottom"/>
          </w:tcPr>
          <w:p>
            <w:pPr>
              <w:spacing w:after="0"/>
              <w:rPr>
                <w:sz w:val="1"/>
                <w:szCs w:val="1"/>
                <w:color w:val="auto"/>
              </w:rPr>
            </w:pPr>
          </w:p>
        </w:tc>
      </w:tr>
      <w:tr>
        <w:trPr>
          <w:trHeight w:val="270"/>
        </w:trPr>
        <w:tc>
          <w:tcPr>
            <w:tcW w:w="4460" w:type="dxa"/>
            <w:vAlign w:val="bottom"/>
          </w:tcPr>
          <w:p>
            <w:pPr>
              <w:ind w:left="280"/>
              <w:spacing w:after="0"/>
              <w:rPr>
                <w:sz w:val="20"/>
                <w:szCs w:val="20"/>
                <w:color w:val="auto"/>
              </w:rPr>
            </w:pPr>
            <w:r>
              <w:rPr>
                <w:rFonts w:ascii="Arial" w:cs="Arial" w:eastAsia="Arial" w:hAnsi="Arial"/>
                <w:sz w:val="16"/>
                <w:szCs w:val="16"/>
                <w:color w:val="auto"/>
              </w:rPr>
              <w:t>Write-down of a cost method investment</w:t>
            </w: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83"/>
        </w:trPr>
        <w:tc>
          <w:tcPr>
            <w:tcW w:w="4460" w:type="dxa"/>
            <w:vAlign w:val="bottom"/>
          </w:tcPr>
          <w:p>
            <w:pPr>
              <w:ind w:left="280"/>
              <w:spacing w:after="0"/>
              <w:rPr>
                <w:sz w:val="20"/>
                <w:szCs w:val="20"/>
                <w:color w:val="auto"/>
              </w:rPr>
            </w:pPr>
            <w:r>
              <w:rPr>
                <w:rFonts w:ascii="Arial" w:cs="Arial" w:eastAsia="Arial" w:hAnsi="Arial"/>
                <w:sz w:val="16"/>
                <w:szCs w:val="16"/>
                <w:color w:val="auto"/>
              </w:rPr>
              <w:t>Nonrecurring deferred tax benefit</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50"/>
        </w:trPr>
        <w:tc>
          <w:tcPr>
            <w:tcW w:w="4460" w:type="dxa"/>
            <w:vAlign w:val="bottom"/>
          </w:tcPr>
          <w:p>
            <w:pPr>
              <w:ind w:left="40"/>
              <w:spacing w:after="0"/>
              <w:rPr>
                <w:sz w:val="20"/>
                <w:szCs w:val="20"/>
                <w:color w:val="auto"/>
              </w:rPr>
            </w:pPr>
            <w:r>
              <w:rPr>
                <w:rFonts w:ascii="Arial" w:cs="Arial" w:eastAsia="Arial" w:hAnsi="Arial"/>
                <w:sz w:val="16"/>
                <w:szCs w:val="16"/>
                <w:color w:val="auto"/>
              </w:rPr>
              <w:t>Diluted income per common share, adjusted (non-GAAP)</w:t>
            </w: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4.26</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6.53</w:t>
            </w:r>
          </w:p>
        </w:tc>
        <w:tc>
          <w:tcPr>
            <w:tcW w:w="0" w:type="dxa"/>
            <w:vAlign w:val="bottom"/>
          </w:tcPr>
          <w:p>
            <w:pPr>
              <w:spacing w:after="0"/>
              <w:rPr>
                <w:sz w:val="1"/>
                <w:szCs w:val="1"/>
                <w:color w:val="auto"/>
              </w:rPr>
            </w:pPr>
          </w:p>
        </w:tc>
      </w:tr>
    </w:tbl>
    <w:p>
      <w:pPr>
        <w:spacing w:after="0" w:line="272"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adjusted diluted per share amounts may not compute due to rounding.</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98" w:right="239" w:bottom="1440" w:gutter="0" w:footer="0" w:header="0"/>
        </w:sectPr>
      </w:pPr>
    </w:p>
    <w:bookmarkStart w:id="16" w:name="page17"/>
    <w:bookmarkEnd w:id="16"/>
    <w:p>
      <w:pPr>
        <w:ind w:left="6760"/>
        <w:spacing w:after="0"/>
        <w:rPr>
          <w:sz w:val="20"/>
          <w:szCs w:val="20"/>
          <w:color w:val="auto"/>
        </w:rPr>
      </w:pPr>
      <w:r>
        <w:rPr>
          <w:rFonts w:ascii="Arial" w:cs="Arial" w:eastAsia="Arial" w:hAnsi="Arial"/>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31750</wp:posOffset>
            </wp:positionV>
            <wp:extent cx="42710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center"/>
              <w:ind w:right="139"/>
              <w:spacing w:after="0"/>
              <w:rPr>
                <w:sz w:val="20"/>
                <w:szCs w:val="20"/>
                <w:color w:val="auto"/>
              </w:rPr>
            </w:pPr>
            <w:r>
              <w:rPr>
                <w:rFonts w:ascii="Arial" w:cs="Arial" w:eastAsia="Arial" w:hAnsi="Arial"/>
                <w:sz w:val="16"/>
                <w:szCs w:val="16"/>
                <w:b w:val="1"/>
                <w:bCs w:val="1"/>
                <w:color w:val="auto"/>
              </w:rPr>
              <w:t>Income</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center"/>
              <w:ind w:right="119"/>
              <w:spacing w:after="0"/>
              <w:rPr>
                <w:sz w:val="20"/>
                <w:szCs w:val="20"/>
                <w:color w:val="auto"/>
              </w:rPr>
            </w:pPr>
            <w:r>
              <w:rPr>
                <w:rFonts w:ascii="Arial" w:cs="Arial" w:eastAsia="Arial" w:hAnsi="Arial"/>
                <w:sz w:val="16"/>
                <w:szCs w:val="16"/>
                <w:color w:val="auto"/>
              </w:rPr>
              <w:t>Income</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center"/>
              <w:ind w:right="139"/>
              <w:spacing w:after="0"/>
              <w:rPr>
                <w:sz w:val="20"/>
                <w:szCs w:val="20"/>
                <w:color w:val="auto"/>
              </w:rPr>
            </w:pPr>
            <w:r>
              <w:rPr>
                <w:rFonts w:ascii="Arial" w:cs="Arial" w:eastAsia="Arial" w:hAnsi="Arial"/>
                <w:sz w:val="16"/>
                <w:szCs w:val="16"/>
                <w:b w:val="1"/>
                <w:bCs w:val="1"/>
                <w:color w:val="auto"/>
              </w:rPr>
              <w:t>before</w:t>
            </w:r>
          </w:p>
        </w:tc>
        <w:tc>
          <w:tcPr>
            <w:tcW w:w="220" w:type="dxa"/>
            <w:vAlign w:val="bottom"/>
          </w:tcPr>
          <w:p>
            <w:pPr>
              <w:spacing w:after="0"/>
              <w:rPr>
                <w:sz w:val="16"/>
                <w:szCs w:val="16"/>
                <w:color w:val="auto"/>
              </w:rPr>
            </w:pPr>
          </w:p>
        </w:tc>
        <w:tc>
          <w:tcPr>
            <w:tcW w:w="880" w:type="dxa"/>
            <w:vAlign w:val="bottom"/>
          </w:tcPr>
          <w:p>
            <w:pPr>
              <w:jc w:val="right"/>
              <w:ind w:right="200"/>
              <w:spacing w:after="0"/>
              <w:rPr>
                <w:sz w:val="20"/>
                <w:szCs w:val="20"/>
                <w:color w:val="auto"/>
              </w:rPr>
            </w:pPr>
            <w:r>
              <w:rPr>
                <w:rFonts w:ascii="Arial" w:cs="Arial" w:eastAsia="Arial" w:hAnsi="Arial"/>
                <w:sz w:val="16"/>
                <w:szCs w:val="16"/>
                <w:b w:val="1"/>
                <w:bCs w:val="1"/>
                <w:color w:val="auto"/>
              </w:rPr>
              <w:t>Income</w:t>
            </w:r>
          </w:p>
        </w:tc>
        <w:tc>
          <w:tcPr>
            <w:tcW w:w="120" w:type="dxa"/>
            <w:vAlign w:val="bottom"/>
          </w:tcPr>
          <w:p>
            <w:pPr>
              <w:spacing w:after="0"/>
              <w:rPr>
                <w:sz w:val="16"/>
                <w:szCs w:val="16"/>
                <w:color w:val="auto"/>
              </w:rPr>
            </w:pPr>
          </w:p>
        </w:tc>
        <w:tc>
          <w:tcPr>
            <w:tcW w:w="10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99"/>
              </w:rPr>
              <w:t>Net Income</w:t>
            </w:r>
          </w:p>
        </w:tc>
        <w:tc>
          <w:tcPr>
            <w:tcW w:w="260" w:type="dxa"/>
            <w:vAlign w:val="bottom"/>
          </w:tcPr>
          <w:p>
            <w:pPr>
              <w:spacing w:after="0"/>
              <w:rPr>
                <w:sz w:val="16"/>
                <w:szCs w:val="16"/>
                <w:color w:val="auto"/>
              </w:rPr>
            </w:pPr>
          </w:p>
        </w:tc>
        <w:tc>
          <w:tcPr>
            <w:tcW w:w="780" w:type="dxa"/>
            <w:vAlign w:val="bottom"/>
          </w:tcPr>
          <w:p>
            <w:pPr>
              <w:jc w:val="center"/>
              <w:ind w:right="119"/>
              <w:spacing w:after="0"/>
              <w:rPr>
                <w:sz w:val="20"/>
                <w:szCs w:val="20"/>
                <w:color w:val="auto"/>
              </w:rPr>
            </w:pPr>
            <w:r>
              <w:rPr>
                <w:rFonts w:ascii="Arial" w:cs="Arial" w:eastAsia="Arial" w:hAnsi="Arial"/>
                <w:sz w:val="16"/>
                <w:szCs w:val="16"/>
                <w:color w:val="auto"/>
              </w:rPr>
              <w:t>before</w:t>
            </w:r>
          </w:p>
        </w:tc>
        <w:tc>
          <w:tcPr>
            <w:tcW w:w="260" w:type="dxa"/>
            <w:vAlign w:val="bottom"/>
          </w:tcPr>
          <w:p>
            <w:pPr>
              <w:spacing w:after="0"/>
              <w:rPr>
                <w:sz w:val="16"/>
                <w:szCs w:val="16"/>
                <w:color w:val="auto"/>
              </w:rPr>
            </w:pPr>
          </w:p>
        </w:tc>
        <w:tc>
          <w:tcPr>
            <w:tcW w:w="940" w:type="dxa"/>
            <w:vAlign w:val="bottom"/>
          </w:tcPr>
          <w:p>
            <w:pPr>
              <w:jc w:val="right"/>
              <w:ind w:right="260"/>
              <w:spacing w:after="0"/>
              <w:rPr>
                <w:sz w:val="20"/>
                <w:szCs w:val="20"/>
                <w:color w:val="auto"/>
              </w:rPr>
            </w:pPr>
            <w:r>
              <w:rPr>
                <w:rFonts w:ascii="Arial" w:cs="Arial" w:eastAsia="Arial" w:hAnsi="Arial"/>
                <w:sz w:val="16"/>
                <w:szCs w:val="16"/>
                <w:color w:val="auto"/>
              </w:rPr>
              <w:t>Income</w:t>
            </w:r>
          </w:p>
        </w:tc>
        <w:tc>
          <w:tcPr>
            <w:tcW w:w="140" w:type="dxa"/>
            <w:vAlign w:val="bottom"/>
          </w:tcPr>
          <w:p>
            <w:pPr>
              <w:spacing w:after="0"/>
              <w:rPr>
                <w:sz w:val="16"/>
                <w:szCs w:val="16"/>
                <w:color w:val="auto"/>
              </w:rPr>
            </w:pPr>
          </w:p>
        </w:tc>
        <w:tc>
          <w:tcPr>
            <w:tcW w:w="1000" w:type="dxa"/>
            <w:vAlign w:val="bottom"/>
            <w:vMerge w:val="restart"/>
          </w:tcPr>
          <w:p>
            <w:pPr>
              <w:jc w:val="right"/>
              <w:ind w:right="79"/>
              <w:spacing w:after="0"/>
              <w:rPr>
                <w:sz w:val="20"/>
                <w:szCs w:val="20"/>
                <w:color w:val="auto"/>
              </w:rPr>
            </w:pPr>
            <w:r>
              <w:rPr>
                <w:rFonts w:ascii="Arial" w:cs="Arial" w:eastAsia="Arial" w:hAnsi="Arial"/>
                <w:sz w:val="16"/>
                <w:szCs w:val="16"/>
                <w:color w:val="auto"/>
              </w:rPr>
              <w:t>Net Income</w:t>
            </w:r>
          </w:p>
        </w:tc>
        <w:tc>
          <w:tcPr>
            <w:tcW w:w="0" w:type="dxa"/>
            <w:vAlign w:val="bottom"/>
          </w:tcPr>
          <w:p>
            <w:pPr>
              <w:spacing w:after="0"/>
              <w:rPr>
                <w:sz w:val="1"/>
                <w:szCs w:val="1"/>
                <w:color w:val="auto"/>
              </w:rPr>
            </w:pPr>
          </w:p>
        </w:tc>
      </w:tr>
      <w:tr>
        <w:trPr>
          <w:trHeight w:val="120"/>
        </w:trPr>
        <w:tc>
          <w:tcPr>
            <w:tcW w:w="4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vMerge w:val="restart"/>
          </w:tcPr>
          <w:p>
            <w:pPr>
              <w:jc w:val="center"/>
              <w:ind w:right="139"/>
              <w:spacing w:after="0"/>
              <w:rPr>
                <w:sz w:val="20"/>
                <w:szCs w:val="20"/>
                <w:color w:val="auto"/>
              </w:rPr>
            </w:pPr>
            <w:r>
              <w:rPr>
                <w:rFonts w:ascii="Arial" w:cs="Arial" w:eastAsia="Arial" w:hAnsi="Arial"/>
                <w:sz w:val="16"/>
                <w:szCs w:val="16"/>
                <w:b w:val="1"/>
                <w:bCs w:val="1"/>
                <w:color w:val="auto"/>
              </w:rPr>
              <w:t>income</w:t>
            </w:r>
          </w:p>
        </w:tc>
        <w:tc>
          <w:tcPr>
            <w:tcW w:w="220" w:type="dxa"/>
            <w:vAlign w:val="bottom"/>
          </w:tcPr>
          <w:p>
            <w:pPr>
              <w:spacing w:after="0"/>
              <w:rPr>
                <w:sz w:val="10"/>
                <w:szCs w:val="10"/>
                <w:color w:val="auto"/>
              </w:rPr>
            </w:pPr>
          </w:p>
        </w:tc>
        <w:tc>
          <w:tcPr>
            <w:tcW w:w="880" w:type="dxa"/>
            <w:vAlign w:val="bottom"/>
            <w:vMerge w:val="restart"/>
          </w:tcPr>
          <w:p>
            <w:pPr>
              <w:jc w:val="right"/>
              <w:ind w:right="260"/>
              <w:spacing w:after="0"/>
              <w:rPr>
                <w:sz w:val="20"/>
                <w:szCs w:val="20"/>
                <w:color w:val="auto"/>
              </w:rPr>
            </w:pPr>
            <w:r>
              <w:rPr>
                <w:rFonts w:ascii="Arial" w:cs="Arial" w:eastAsia="Arial" w:hAnsi="Arial"/>
                <w:sz w:val="16"/>
                <w:szCs w:val="16"/>
                <w:b w:val="1"/>
                <w:bCs w:val="1"/>
                <w:color w:val="auto"/>
              </w:rPr>
              <w:t>Taxes</w:t>
            </w:r>
          </w:p>
        </w:tc>
        <w:tc>
          <w:tcPr>
            <w:tcW w:w="12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vMerge w:val="restart"/>
          </w:tcPr>
          <w:p>
            <w:pPr>
              <w:jc w:val="center"/>
              <w:ind w:right="119"/>
              <w:spacing w:after="0"/>
              <w:rPr>
                <w:sz w:val="20"/>
                <w:szCs w:val="20"/>
                <w:color w:val="auto"/>
              </w:rPr>
            </w:pPr>
            <w:r>
              <w:rPr>
                <w:rFonts w:ascii="Arial" w:cs="Arial" w:eastAsia="Arial" w:hAnsi="Arial"/>
                <w:sz w:val="16"/>
                <w:szCs w:val="16"/>
                <w:color w:val="auto"/>
              </w:rPr>
              <w:t>income</w:t>
            </w:r>
          </w:p>
        </w:tc>
        <w:tc>
          <w:tcPr>
            <w:tcW w:w="260" w:type="dxa"/>
            <w:vAlign w:val="bottom"/>
          </w:tcPr>
          <w:p>
            <w:pPr>
              <w:spacing w:after="0"/>
              <w:rPr>
                <w:sz w:val="10"/>
                <w:szCs w:val="10"/>
                <w:color w:val="auto"/>
              </w:rPr>
            </w:pPr>
          </w:p>
        </w:tc>
        <w:tc>
          <w:tcPr>
            <w:tcW w:w="940" w:type="dxa"/>
            <w:vAlign w:val="bottom"/>
            <w:vMerge w:val="restart"/>
          </w:tcPr>
          <w:p>
            <w:pPr>
              <w:jc w:val="right"/>
              <w:ind w:right="320"/>
              <w:spacing w:after="0"/>
              <w:rPr>
                <w:sz w:val="20"/>
                <w:szCs w:val="20"/>
                <w:color w:val="auto"/>
              </w:rPr>
            </w:pPr>
            <w:r>
              <w:rPr>
                <w:rFonts w:ascii="Arial" w:cs="Arial" w:eastAsia="Arial" w:hAnsi="Arial"/>
                <w:sz w:val="16"/>
                <w:szCs w:val="16"/>
                <w:color w:val="auto"/>
              </w:rPr>
              <w:t>Taxes</w:t>
            </w:r>
          </w:p>
        </w:tc>
        <w:tc>
          <w:tcPr>
            <w:tcW w:w="1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4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taxes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w w:val="99"/>
              </w:rPr>
              <w:t>taxes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Amounts attributable to Graham Holdings Company</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700" w:type="dxa"/>
            <w:vAlign w:val="bottom"/>
          </w:tcPr>
          <w:p>
            <w:pPr>
              <w:ind w:left="200"/>
              <w:spacing w:after="0"/>
              <w:rPr>
                <w:sz w:val="20"/>
                <w:szCs w:val="20"/>
                <w:color w:val="auto"/>
              </w:rPr>
            </w:pPr>
            <w:r>
              <w:rPr>
                <w:rFonts w:ascii="Arial" w:cs="Arial" w:eastAsia="Arial" w:hAnsi="Arial"/>
                <w:sz w:val="16"/>
                <w:szCs w:val="16"/>
                <w:b w:val="1"/>
                <w:bCs w:val="1"/>
                <w:color w:val="auto"/>
              </w:rPr>
              <w:t>Common Stockholders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6"/>
                <w:szCs w:val="16"/>
                <w:color w:val="auto"/>
              </w:rPr>
              <w:t>As reported</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127,929</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40"/>
              <w:spacing w:after="0"/>
              <w:rPr>
                <w:sz w:val="20"/>
                <w:szCs w:val="20"/>
                <w:color w:val="auto"/>
              </w:rPr>
            </w:pPr>
            <w:r>
              <w:rPr>
                <w:rFonts w:ascii="Arial" w:cs="Arial" w:eastAsia="Arial" w:hAnsi="Arial"/>
                <w:sz w:val="16"/>
                <w:szCs w:val="16"/>
                <w:b w:val="1"/>
                <w:bCs w:val="1"/>
                <w:color w:val="auto"/>
              </w:rPr>
              <w:t>40,000</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87,929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186,540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54,000</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132,540</w:t>
            </w:r>
          </w:p>
        </w:tc>
        <w:tc>
          <w:tcPr>
            <w:tcW w:w="0" w:type="dxa"/>
            <w:vAlign w:val="bottom"/>
          </w:tcPr>
          <w:p>
            <w:pPr>
              <w:spacing w:after="0"/>
              <w:rPr>
                <w:sz w:val="1"/>
                <w:szCs w:val="1"/>
                <w:color w:val="auto"/>
              </w:rPr>
            </w:pPr>
          </w:p>
        </w:tc>
      </w:tr>
      <w:tr>
        <w:trPr>
          <w:trHeight w:val="283"/>
        </w:trPr>
        <w:tc>
          <w:tcPr>
            <w:tcW w:w="4700" w:type="dxa"/>
            <w:vAlign w:val="bottom"/>
          </w:tcPr>
          <w:p>
            <w:pPr>
              <w:ind w:left="40"/>
              <w:spacing w:after="0"/>
              <w:rPr>
                <w:sz w:val="20"/>
                <w:szCs w:val="20"/>
                <w:color w:val="auto"/>
              </w:rPr>
            </w:pPr>
            <w:r>
              <w:rPr>
                <w:rFonts w:ascii="Arial" w:cs="Arial" w:eastAsia="Arial" w:hAnsi="Arial"/>
                <w:sz w:val="16"/>
                <w:szCs w:val="16"/>
                <w:color w:val="auto"/>
              </w:rPr>
              <w:t>Attributable to noncontrolling interests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Attributable to Graham Holdings Company Stockholders</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87,866</w:t>
            </w: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131,672</w:t>
            </w:r>
          </w:p>
        </w:tc>
        <w:tc>
          <w:tcPr>
            <w:tcW w:w="0" w:type="dxa"/>
            <w:vAlign w:val="bottom"/>
          </w:tcPr>
          <w:p>
            <w:pPr>
              <w:spacing w:after="0"/>
              <w:rPr>
                <w:sz w:val="1"/>
                <w:szCs w:val="1"/>
                <w:color w:val="auto"/>
              </w:rPr>
            </w:pPr>
          </w:p>
        </w:tc>
      </w:tr>
      <w:tr>
        <w:trPr>
          <w:trHeight w:val="270"/>
        </w:trPr>
        <w:tc>
          <w:tcPr>
            <w:tcW w:w="4700" w:type="dxa"/>
            <w:vAlign w:val="bottom"/>
          </w:tcPr>
          <w:p>
            <w:pPr>
              <w:ind w:left="180"/>
              <w:spacing w:after="0"/>
              <w:rPr>
                <w:sz w:val="20"/>
                <w:szCs w:val="20"/>
                <w:color w:val="auto"/>
              </w:rPr>
            </w:pPr>
            <w:r>
              <w:rPr>
                <w:rFonts w:ascii="Arial" w:cs="Arial" w:eastAsia="Arial" w:hAnsi="Arial"/>
                <w:sz w:val="16"/>
                <w:szCs w:val="16"/>
                <w:color w:val="auto"/>
              </w:rPr>
              <w:t>Adjustments:</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280"/>
              <w:spacing w:after="0"/>
              <w:rPr>
                <w:sz w:val="20"/>
                <w:szCs w:val="20"/>
                <w:color w:val="auto"/>
              </w:rPr>
            </w:pPr>
            <w:r>
              <w:rPr>
                <w:rFonts w:ascii="Arial" w:cs="Arial" w:eastAsia="Arial" w:hAnsi="Arial"/>
                <w:sz w:val="16"/>
                <w:szCs w:val="16"/>
                <w:color w:val="auto"/>
              </w:rPr>
              <w:t>Goodwill and other long-lived asset impairment charge</w:t>
            </w:r>
          </w:p>
        </w:tc>
        <w:tc>
          <w:tcPr>
            <w:tcW w:w="18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9,224</w:t>
            </w:r>
          </w:p>
        </w:tc>
        <w:tc>
          <w:tcPr>
            <w:tcW w:w="220" w:type="dxa"/>
            <w:vAlign w:val="bottom"/>
          </w:tcPr>
          <w:p>
            <w:pPr>
              <w:spacing w:after="0"/>
              <w:rPr>
                <w:sz w:val="23"/>
                <w:szCs w:val="23"/>
                <w:color w:val="auto"/>
              </w:rPr>
            </w:pPr>
          </w:p>
        </w:tc>
        <w:tc>
          <w:tcPr>
            <w:tcW w:w="880" w:type="dxa"/>
            <w:vAlign w:val="bottom"/>
          </w:tcPr>
          <w:p>
            <w:pPr>
              <w:jc w:val="right"/>
              <w:ind w:right="140"/>
              <w:spacing w:after="0"/>
              <w:rPr>
                <w:sz w:val="20"/>
                <w:szCs w:val="20"/>
                <w:color w:val="auto"/>
              </w:rPr>
            </w:pPr>
            <w:r>
              <w:rPr>
                <w:rFonts w:ascii="Arial" w:cs="Arial" w:eastAsia="Arial" w:hAnsi="Arial"/>
                <w:sz w:val="16"/>
                <w:szCs w:val="16"/>
                <w:b w:val="1"/>
                <w:bCs w:val="1"/>
                <w:color w:val="auto"/>
              </w:rPr>
              <w:t>3,413</w:t>
            </w:r>
          </w:p>
        </w:tc>
        <w:tc>
          <w:tcPr>
            <w:tcW w:w="12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5,811</w:t>
            </w:r>
          </w:p>
        </w:tc>
        <w:tc>
          <w:tcPr>
            <w:tcW w:w="260" w:type="dxa"/>
            <w:vAlign w:val="bottom"/>
          </w:tcPr>
          <w:p>
            <w:pPr>
              <w:spacing w:after="0"/>
              <w:rPr>
                <w:sz w:val="23"/>
                <w:szCs w:val="23"/>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700" w:type="dxa"/>
            <w:vAlign w:val="bottom"/>
          </w:tcPr>
          <w:p>
            <w:pPr>
              <w:ind w:left="280"/>
              <w:spacing w:after="0"/>
              <w:rPr>
                <w:sz w:val="20"/>
                <w:szCs w:val="20"/>
                <w:color w:val="auto"/>
              </w:rPr>
            </w:pPr>
            <w:r>
              <w:rPr>
                <w:rFonts w:ascii="Arial" w:cs="Arial" w:eastAsia="Arial" w:hAnsi="Arial"/>
                <w:sz w:val="16"/>
                <w:szCs w:val="16"/>
                <w:color w:val="auto"/>
              </w:rPr>
              <w:t>Foreign currency (gain) loss</w:t>
            </w:r>
          </w:p>
        </w:tc>
        <w:tc>
          <w:tcPr>
            <w:tcW w:w="1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(6,608)</w:t>
            </w:r>
          </w:p>
        </w:tc>
        <w:tc>
          <w:tcPr>
            <w:tcW w:w="220" w:type="dxa"/>
            <w:vAlign w:val="bottom"/>
          </w:tcPr>
          <w:p>
            <w:pPr>
              <w:spacing w:after="0"/>
              <w:rPr>
                <w:sz w:val="23"/>
                <w:szCs w:val="23"/>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(2,445)</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(4,163)</w:t>
            </w:r>
          </w:p>
        </w:tc>
        <w:tc>
          <w:tcPr>
            <w:tcW w:w="260" w:type="dxa"/>
            <w:vAlign w:val="bottom"/>
          </w:tcPr>
          <w:p>
            <w:pPr>
              <w:spacing w:after="0"/>
              <w:rPr>
                <w:sz w:val="23"/>
                <w:szCs w:val="23"/>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33,324</w:t>
            </w:r>
          </w:p>
        </w:tc>
        <w:tc>
          <w:tcPr>
            <w:tcW w:w="260" w:type="dxa"/>
            <w:vAlign w:val="bottom"/>
          </w:tcPr>
          <w:p>
            <w:pPr>
              <w:spacing w:after="0"/>
              <w:rPr>
                <w:sz w:val="23"/>
                <w:szCs w:val="23"/>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11,997</w:t>
            </w:r>
          </w:p>
        </w:tc>
        <w:tc>
          <w:tcPr>
            <w:tcW w:w="14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21,327</w:t>
            </w:r>
          </w:p>
        </w:tc>
        <w:tc>
          <w:tcPr>
            <w:tcW w:w="0" w:type="dxa"/>
            <w:vAlign w:val="bottom"/>
          </w:tcPr>
          <w:p>
            <w:pPr>
              <w:spacing w:after="0"/>
              <w:rPr>
                <w:sz w:val="1"/>
                <w:szCs w:val="1"/>
                <w:color w:val="auto"/>
              </w:rPr>
            </w:pPr>
          </w:p>
        </w:tc>
      </w:tr>
      <w:tr>
        <w:trPr>
          <w:trHeight w:val="270"/>
        </w:trPr>
        <w:tc>
          <w:tcPr>
            <w:tcW w:w="4700" w:type="dxa"/>
            <w:vAlign w:val="bottom"/>
          </w:tcPr>
          <w:p>
            <w:pPr>
              <w:ind w:left="280"/>
              <w:spacing w:after="0"/>
              <w:rPr>
                <w:sz w:val="20"/>
                <w:szCs w:val="20"/>
                <w:color w:val="auto"/>
              </w:rPr>
            </w:pPr>
            <w:r>
              <w:rPr>
                <w:rFonts w:ascii="Arial" w:cs="Arial" w:eastAsia="Arial" w:hAnsi="Arial"/>
                <w:sz w:val="16"/>
                <w:szCs w:val="16"/>
                <w:color w:val="auto"/>
              </w:rPr>
              <w:t>Gain from the sales of land and marketable equity securities</w:t>
            </w:r>
          </w:p>
        </w:tc>
        <w:tc>
          <w:tcPr>
            <w:tcW w:w="18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3"/>
                <w:szCs w:val="23"/>
                <w:color w:val="auto"/>
              </w:rPr>
            </w:pPr>
          </w:p>
        </w:tc>
        <w:tc>
          <w:tcPr>
            <w:tcW w:w="880" w:type="dxa"/>
            <w:vAlign w:val="bottom"/>
          </w:tcPr>
          <w:p>
            <w:pPr>
              <w:jc w:val="right"/>
              <w:ind w:right="14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(40,328)</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(15,324)</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(25,004)</w:t>
            </w:r>
          </w:p>
        </w:tc>
        <w:tc>
          <w:tcPr>
            <w:tcW w:w="0" w:type="dxa"/>
            <w:vAlign w:val="bottom"/>
          </w:tcPr>
          <w:p>
            <w:pPr>
              <w:spacing w:after="0"/>
              <w:rPr>
                <w:sz w:val="1"/>
                <w:szCs w:val="1"/>
                <w:color w:val="auto"/>
              </w:rPr>
            </w:pPr>
          </w:p>
        </w:tc>
      </w:tr>
      <w:tr>
        <w:trPr>
          <w:trHeight w:val="238"/>
        </w:trPr>
        <w:tc>
          <w:tcPr>
            <w:tcW w:w="4700" w:type="dxa"/>
            <w:vAlign w:val="bottom"/>
          </w:tcPr>
          <w:p>
            <w:pPr>
              <w:ind w:left="280"/>
              <w:spacing w:after="0"/>
              <w:rPr>
                <w:sz w:val="20"/>
                <w:szCs w:val="20"/>
                <w:color w:val="auto"/>
              </w:rPr>
            </w:pPr>
            <w:r>
              <w:rPr>
                <w:rFonts w:ascii="Arial" w:cs="Arial" w:eastAsia="Arial" w:hAnsi="Arial"/>
                <w:sz w:val="16"/>
                <w:szCs w:val="16"/>
                <w:color w:val="auto"/>
              </w:rPr>
              <w:t>Gain from the sale of a business and formation of a joint</w:t>
            </w:r>
          </w:p>
        </w:tc>
        <w:tc>
          <w:tcPr>
            <w:tcW w:w="180" w:type="dxa"/>
            <w:vAlign w:val="bottom"/>
          </w:tcPr>
          <w:p>
            <w:pPr>
              <w:spacing w:after="0"/>
              <w:rPr>
                <w:sz w:val="20"/>
                <w:szCs w:val="20"/>
                <w:color w:val="auto"/>
              </w:rPr>
            </w:pPr>
          </w:p>
        </w:tc>
        <w:tc>
          <w:tcPr>
            <w:tcW w:w="9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p>
        </w:tc>
        <w:tc>
          <w:tcPr>
            <w:tcW w:w="880" w:type="dxa"/>
            <w:vAlign w:val="bottom"/>
            <w:vMerge w:val="restart"/>
          </w:tcPr>
          <w:p>
            <w:pPr>
              <w:jc w:val="right"/>
              <w:ind w:right="14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10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700" w:type="dxa"/>
            <w:vAlign w:val="bottom"/>
          </w:tcPr>
          <w:p>
            <w:pPr>
              <w:ind w:left="440"/>
              <w:spacing w:after="0"/>
              <w:rPr>
                <w:sz w:val="20"/>
                <w:szCs w:val="20"/>
                <w:color w:val="auto"/>
              </w:rPr>
            </w:pPr>
            <w:r>
              <w:rPr>
                <w:rFonts w:ascii="Arial" w:cs="Arial" w:eastAsia="Arial" w:hAnsi="Arial"/>
                <w:sz w:val="16"/>
                <w:szCs w:val="16"/>
                <w:color w:val="auto"/>
              </w:rPr>
              <w:t>venture</w:t>
            </w:r>
          </w:p>
        </w:tc>
        <w:tc>
          <w:tcPr>
            <w:tcW w:w="1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(22,163)</w:t>
            </w:r>
          </w:p>
        </w:tc>
        <w:tc>
          <w:tcPr>
            <w:tcW w:w="260" w:type="dxa"/>
            <w:vAlign w:val="bottom"/>
          </w:tcPr>
          <w:p>
            <w:pPr>
              <w:spacing w:after="0"/>
              <w:rPr>
                <w:sz w:val="16"/>
                <w:szCs w:val="16"/>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(8,582)</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(13,581)</w:t>
            </w:r>
          </w:p>
        </w:tc>
        <w:tc>
          <w:tcPr>
            <w:tcW w:w="0" w:type="dxa"/>
            <w:vAlign w:val="bottom"/>
          </w:tcPr>
          <w:p>
            <w:pPr>
              <w:spacing w:after="0"/>
              <w:rPr>
                <w:sz w:val="1"/>
                <w:szCs w:val="1"/>
                <w:color w:val="auto"/>
              </w:rPr>
            </w:pPr>
          </w:p>
        </w:tc>
      </w:tr>
      <w:tr>
        <w:trPr>
          <w:trHeight w:val="270"/>
        </w:trPr>
        <w:tc>
          <w:tcPr>
            <w:tcW w:w="4700" w:type="dxa"/>
            <w:vAlign w:val="bottom"/>
          </w:tcPr>
          <w:p>
            <w:pPr>
              <w:ind w:left="280"/>
              <w:spacing w:after="0"/>
              <w:rPr>
                <w:sz w:val="20"/>
                <w:szCs w:val="20"/>
                <w:color w:val="auto"/>
              </w:rPr>
            </w:pPr>
            <w:r>
              <w:rPr>
                <w:rFonts w:ascii="Arial" w:cs="Arial" w:eastAsia="Arial" w:hAnsi="Arial"/>
                <w:sz w:val="16"/>
                <w:szCs w:val="16"/>
                <w:color w:val="auto"/>
              </w:rPr>
              <w:t>Write-down of a cost method investment</w:t>
            </w:r>
          </w:p>
        </w:tc>
        <w:tc>
          <w:tcPr>
            <w:tcW w:w="18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3"/>
                <w:szCs w:val="23"/>
                <w:color w:val="auto"/>
              </w:rPr>
            </w:pPr>
          </w:p>
        </w:tc>
        <w:tc>
          <w:tcPr>
            <w:tcW w:w="880" w:type="dxa"/>
            <w:vAlign w:val="bottom"/>
          </w:tcPr>
          <w:p>
            <w:pPr>
              <w:jc w:val="right"/>
              <w:ind w:right="14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15,000</w:t>
            </w:r>
          </w:p>
        </w:tc>
        <w:tc>
          <w:tcPr>
            <w:tcW w:w="260" w:type="dxa"/>
            <w:vAlign w:val="bottom"/>
          </w:tcPr>
          <w:p>
            <w:pPr>
              <w:spacing w:after="0"/>
              <w:rPr>
                <w:sz w:val="23"/>
                <w:szCs w:val="23"/>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5,400</w:t>
            </w:r>
          </w:p>
        </w:tc>
        <w:tc>
          <w:tcPr>
            <w:tcW w:w="14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9,600</w:t>
            </w:r>
          </w:p>
        </w:tc>
        <w:tc>
          <w:tcPr>
            <w:tcW w:w="0" w:type="dxa"/>
            <w:vAlign w:val="bottom"/>
          </w:tcPr>
          <w:p>
            <w:pPr>
              <w:spacing w:after="0"/>
              <w:rPr>
                <w:sz w:val="1"/>
                <w:szCs w:val="1"/>
                <w:color w:val="auto"/>
              </w:rPr>
            </w:pPr>
          </w:p>
        </w:tc>
      </w:tr>
      <w:tr>
        <w:trPr>
          <w:trHeight w:val="270"/>
        </w:trPr>
        <w:tc>
          <w:tcPr>
            <w:tcW w:w="4700" w:type="dxa"/>
            <w:vAlign w:val="bottom"/>
          </w:tcPr>
          <w:p>
            <w:pPr>
              <w:ind w:left="280"/>
              <w:spacing w:after="0"/>
              <w:rPr>
                <w:sz w:val="20"/>
                <w:szCs w:val="20"/>
                <w:color w:val="auto"/>
              </w:rPr>
            </w:pPr>
            <w:r>
              <w:rPr>
                <w:rFonts w:ascii="Arial" w:cs="Arial" w:eastAsia="Arial" w:hAnsi="Arial"/>
                <w:sz w:val="16"/>
                <w:szCs w:val="16"/>
                <w:color w:val="auto"/>
              </w:rPr>
              <w:t>Tax benefit related to stock compensation</w:t>
            </w:r>
          </w:p>
        </w:tc>
        <w:tc>
          <w:tcPr>
            <w:tcW w:w="18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3"/>
                <w:szCs w:val="23"/>
                <w:color w:val="auto"/>
              </w:rPr>
            </w:pPr>
          </w:p>
        </w:tc>
        <w:tc>
          <w:tcPr>
            <w:tcW w:w="880" w:type="dxa"/>
            <w:vAlign w:val="bottom"/>
          </w:tcPr>
          <w:p>
            <w:pPr>
              <w:jc w:val="right"/>
              <w:ind w:right="140"/>
              <w:spacing w:after="0"/>
              <w:rPr>
                <w:sz w:val="20"/>
                <w:szCs w:val="20"/>
                <w:color w:val="auto"/>
              </w:rPr>
            </w:pPr>
            <w:r>
              <w:rPr>
                <w:rFonts w:ascii="Arial" w:cs="Arial" w:eastAsia="Arial" w:hAnsi="Arial"/>
                <w:sz w:val="16"/>
                <w:szCs w:val="16"/>
                <w:b w:val="1"/>
                <w:bCs w:val="1"/>
                <w:color w:val="auto"/>
              </w:rPr>
              <w:t>5,933</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(5,933)</w:t>
            </w:r>
          </w:p>
        </w:tc>
        <w:tc>
          <w:tcPr>
            <w:tcW w:w="260" w:type="dxa"/>
            <w:vAlign w:val="bottom"/>
          </w:tcPr>
          <w:p>
            <w:pPr>
              <w:spacing w:after="0"/>
              <w:rPr>
                <w:sz w:val="23"/>
                <w:szCs w:val="23"/>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700" w:type="dxa"/>
            <w:vAlign w:val="bottom"/>
          </w:tcPr>
          <w:p>
            <w:pPr>
              <w:ind w:left="280"/>
              <w:spacing w:after="0"/>
              <w:rPr>
                <w:sz w:val="20"/>
                <w:szCs w:val="20"/>
                <w:color w:val="auto"/>
              </w:rPr>
            </w:pPr>
            <w:r>
              <w:rPr>
                <w:rFonts w:ascii="Arial" w:cs="Arial" w:eastAsia="Arial" w:hAnsi="Arial"/>
                <w:sz w:val="16"/>
                <w:szCs w:val="16"/>
                <w:color w:val="auto"/>
              </w:rPr>
              <w:t>Nonrecurring deferred tax benefit</w:t>
            </w:r>
          </w:p>
        </w:tc>
        <w:tc>
          <w:tcPr>
            <w:tcW w:w="18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3"/>
                <w:szCs w:val="23"/>
                <w:color w:val="auto"/>
              </w:rPr>
            </w:pPr>
          </w:p>
        </w:tc>
        <w:tc>
          <w:tcPr>
            <w:tcW w:w="880" w:type="dxa"/>
            <w:vAlign w:val="bottom"/>
          </w:tcPr>
          <w:p>
            <w:pPr>
              <w:jc w:val="right"/>
              <w:ind w:right="14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8,286</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(8,286)</w:t>
            </w:r>
          </w:p>
        </w:tc>
        <w:tc>
          <w:tcPr>
            <w:tcW w:w="0" w:type="dxa"/>
            <w:vAlign w:val="bottom"/>
          </w:tcPr>
          <w:p>
            <w:pPr>
              <w:spacing w:after="0"/>
              <w:rPr>
                <w:sz w:val="1"/>
                <w:szCs w:val="1"/>
                <w:color w:val="auto"/>
              </w:rPr>
            </w:pPr>
          </w:p>
        </w:tc>
      </w:tr>
      <w:tr>
        <w:trPr>
          <w:trHeight w:val="283"/>
        </w:trPr>
        <w:tc>
          <w:tcPr>
            <w:tcW w:w="4700" w:type="dxa"/>
            <w:vAlign w:val="bottom"/>
          </w:tcPr>
          <w:p>
            <w:pPr>
              <w:ind w:left="280"/>
              <w:spacing w:after="0"/>
              <w:rPr>
                <w:sz w:val="20"/>
                <w:szCs w:val="20"/>
                <w:color w:val="auto"/>
              </w:rPr>
            </w:pPr>
            <w:r>
              <w:rPr>
                <w:rFonts w:ascii="Arial" w:cs="Arial" w:eastAsia="Arial" w:hAnsi="Arial"/>
                <w:sz w:val="16"/>
                <w:szCs w:val="16"/>
                <w:color w:val="auto"/>
              </w:rPr>
              <w:t>Favorable out of period deferred tax adjustment</w:t>
            </w:r>
          </w:p>
        </w:tc>
        <w:tc>
          <w:tcPr>
            <w:tcW w:w="180" w:type="dxa"/>
            <w:vAlign w:val="bottom"/>
          </w:tcPr>
          <w:p>
            <w:pPr>
              <w:spacing w:after="0"/>
              <w:rPr>
                <w:sz w:val="24"/>
                <w:szCs w:val="24"/>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4"/>
                <w:szCs w:val="24"/>
                <w:color w:val="auto"/>
              </w:rPr>
            </w:pPr>
          </w:p>
        </w:tc>
        <w:tc>
          <w:tcPr>
            <w:tcW w:w="880" w:type="dxa"/>
            <w:vAlign w:val="bottom"/>
          </w:tcPr>
          <w:p>
            <w:pPr>
              <w:jc w:val="right"/>
              <w:ind w:right="140"/>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4"/>
                <w:szCs w:val="24"/>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5,631</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(5,631)</w:t>
            </w:r>
          </w:p>
        </w:tc>
        <w:tc>
          <w:tcPr>
            <w:tcW w:w="0" w:type="dxa"/>
            <w:vAlign w:val="bottom"/>
          </w:tcPr>
          <w:p>
            <w:pPr>
              <w:spacing w:after="0"/>
              <w:rPr>
                <w:sz w:val="1"/>
                <w:szCs w:val="1"/>
                <w:color w:val="auto"/>
              </w:rPr>
            </w:pPr>
          </w:p>
        </w:tc>
      </w:tr>
      <w:tr>
        <w:trPr>
          <w:trHeight w:val="250"/>
        </w:trPr>
        <w:tc>
          <w:tcPr>
            <w:tcW w:w="4700" w:type="dxa"/>
            <w:vAlign w:val="bottom"/>
          </w:tcPr>
          <w:p>
            <w:pPr>
              <w:ind w:left="40"/>
              <w:spacing w:after="0"/>
              <w:rPr>
                <w:sz w:val="20"/>
                <w:szCs w:val="20"/>
                <w:color w:val="auto"/>
              </w:rPr>
            </w:pPr>
            <w:r>
              <w:rPr>
                <w:rFonts w:ascii="Arial" w:cs="Arial" w:eastAsia="Arial" w:hAnsi="Arial"/>
                <w:sz w:val="16"/>
                <w:szCs w:val="16"/>
                <w:color w:val="auto"/>
              </w:rPr>
              <w:t>Net Income, adjusted (non-GAAP)</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83,581</w:t>
            </w: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110,097</w:t>
            </w:r>
          </w:p>
        </w:tc>
        <w:tc>
          <w:tcPr>
            <w:tcW w:w="0" w:type="dxa"/>
            <w:vAlign w:val="bottom"/>
          </w:tcPr>
          <w:p>
            <w:pPr>
              <w:spacing w:after="0"/>
              <w:rPr>
                <w:sz w:val="1"/>
                <w:szCs w:val="1"/>
                <w:color w:val="auto"/>
              </w:rPr>
            </w:pPr>
          </w:p>
        </w:tc>
      </w:tr>
      <w:tr>
        <w:trPr>
          <w:trHeight w:val="441"/>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700" w:type="dxa"/>
            <w:vAlign w:val="bottom"/>
          </w:tcPr>
          <w:p>
            <w:pPr>
              <w:ind w:left="200"/>
              <w:spacing w:after="0"/>
              <w:rPr>
                <w:sz w:val="20"/>
                <w:szCs w:val="20"/>
                <w:color w:val="auto"/>
              </w:rPr>
            </w:pPr>
            <w:r>
              <w:rPr>
                <w:rFonts w:ascii="Arial" w:cs="Arial" w:eastAsia="Arial" w:hAnsi="Arial"/>
                <w:sz w:val="16"/>
                <w:szCs w:val="16"/>
                <w:b w:val="1"/>
                <w:bCs w:val="1"/>
                <w:color w:val="auto"/>
              </w:rPr>
              <w:t>Company Common Stockholders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700" w:type="dxa"/>
            <w:vAlign w:val="bottom"/>
          </w:tcPr>
          <w:p>
            <w:pPr>
              <w:ind w:left="40"/>
              <w:spacing w:after="0"/>
              <w:rPr>
                <w:sz w:val="20"/>
                <w:szCs w:val="20"/>
                <w:color w:val="auto"/>
              </w:rPr>
            </w:pPr>
            <w:r>
              <w:rPr>
                <w:rFonts w:ascii="Arial" w:cs="Arial" w:eastAsia="Arial" w:hAnsi="Arial"/>
                <w:sz w:val="16"/>
                <w:szCs w:val="16"/>
                <w:color w:val="auto"/>
              </w:rPr>
              <w:t>Diluted income per common share, as reported</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15.64</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23.21</w:t>
            </w: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Adjustments:</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280"/>
              <w:spacing w:after="0"/>
              <w:rPr>
                <w:sz w:val="20"/>
                <w:szCs w:val="20"/>
                <w:color w:val="auto"/>
              </w:rPr>
            </w:pPr>
            <w:r>
              <w:rPr>
                <w:rFonts w:ascii="Arial" w:cs="Arial" w:eastAsia="Arial" w:hAnsi="Arial"/>
                <w:sz w:val="16"/>
                <w:szCs w:val="16"/>
                <w:color w:val="auto"/>
              </w:rPr>
              <w:t>Goodwill and other long-lived asset impairment charge</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1.03</w:t>
            </w: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700" w:type="dxa"/>
            <w:vAlign w:val="bottom"/>
          </w:tcPr>
          <w:p>
            <w:pPr>
              <w:ind w:left="280"/>
              <w:spacing w:after="0"/>
              <w:rPr>
                <w:sz w:val="20"/>
                <w:szCs w:val="20"/>
                <w:color w:val="auto"/>
              </w:rPr>
            </w:pPr>
            <w:r>
              <w:rPr>
                <w:rFonts w:ascii="Arial" w:cs="Arial" w:eastAsia="Arial" w:hAnsi="Arial"/>
                <w:sz w:val="16"/>
                <w:szCs w:val="16"/>
                <w:color w:val="auto"/>
              </w:rPr>
              <w:t>Foreign currency (gain) loss</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(0.74)</w:t>
            </w: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3.76</w:t>
            </w:r>
          </w:p>
        </w:tc>
        <w:tc>
          <w:tcPr>
            <w:tcW w:w="0" w:type="dxa"/>
            <w:vAlign w:val="bottom"/>
          </w:tcPr>
          <w:p>
            <w:pPr>
              <w:spacing w:after="0"/>
              <w:rPr>
                <w:sz w:val="1"/>
                <w:szCs w:val="1"/>
                <w:color w:val="auto"/>
              </w:rPr>
            </w:pPr>
          </w:p>
        </w:tc>
      </w:tr>
      <w:tr>
        <w:trPr>
          <w:trHeight w:val="270"/>
        </w:trPr>
        <w:tc>
          <w:tcPr>
            <w:tcW w:w="4700" w:type="dxa"/>
            <w:vAlign w:val="bottom"/>
          </w:tcPr>
          <w:p>
            <w:pPr>
              <w:ind w:left="280"/>
              <w:spacing w:after="0"/>
              <w:rPr>
                <w:sz w:val="20"/>
                <w:szCs w:val="20"/>
                <w:color w:val="auto"/>
              </w:rPr>
            </w:pPr>
            <w:r>
              <w:rPr>
                <w:rFonts w:ascii="Arial" w:cs="Arial" w:eastAsia="Arial" w:hAnsi="Arial"/>
                <w:sz w:val="16"/>
                <w:szCs w:val="16"/>
                <w:color w:val="auto"/>
              </w:rPr>
              <w:t>Gain from the sales of land and marketable equity securities</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(4.42)</w:t>
            </w:r>
          </w:p>
        </w:tc>
        <w:tc>
          <w:tcPr>
            <w:tcW w:w="0" w:type="dxa"/>
            <w:vAlign w:val="bottom"/>
          </w:tcPr>
          <w:p>
            <w:pPr>
              <w:spacing w:after="0"/>
              <w:rPr>
                <w:sz w:val="1"/>
                <w:szCs w:val="1"/>
                <w:color w:val="auto"/>
              </w:rPr>
            </w:pPr>
          </w:p>
        </w:tc>
      </w:tr>
      <w:tr>
        <w:trPr>
          <w:trHeight w:val="238"/>
        </w:trPr>
        <w:tc>
          <w:tcPr>
            <w:tcW w:w="4700" w:type="dxa"/>
            <w:vAlign w:val="bottom"/>
          </w:tcPr>
          <w:p>
            <w:pPr>
              <w:ind w:left="280"/>
              <w:spacing w:after="0"/>
              <w:rPr>
                <w:sz w:val="20"/>
                <w:szCs w:val="20"/>
                <w:color w:val="auto"/>
              </w:rPr>
            </w:pPr>
            <w:r>
              <w:rPr>
                <w:rFonts w:ascii="Arial" w:cs="Arial" w:eastAsia="Arial" w:hAnsi="Arial"/>
                <w:sz w:val="16"/>
                <w:szCs w:val="16"/>
                <w:color w:val="auto"/>
              </w:rPr>
              <w:t>Gain from the sale of a business and formation of a joint</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700" w:type="dxa"/>
            <w:vAlign w:val="bottom"/>
          </w:tcPr>
          <w:p>
            <w:pPr>
              <w:ind w:left="440"/>
              <w:spacing w:after="0"/>
              <w:rPr>
                <w:sz w:val="20"/>
                <w:szCs w:val="20"/>
                <w:color w:val="auto"/>
              </w:rPr>
            </w:pPr>
            <w:r>
              <w:rPr>
                <w:rFonts w:ascii="Arial" w:cs="Arial" w:eastAsia="Arial" w:hAnsi="Arial"/>
                <w:sz w:val="16"/>
                <w:szCs w:val="16"/>
                <w:color w:val="auto"/>
              </w:rPr>
              <w:t>venture</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70"/>
        </w:trPr>
        <w:tc>
          <w:tcPr>
            <w:tcW w:w="4700" w:type="dxa"/>
            <w:vAlign w:val="bottom"/>
          </w:tcPr>
          <w:p>
            <w:pPr>
              <w:ind w:left="280"/>
              <w:spacing w:after="0"/>
              <w:rPr>
                <w:sz w:val="20"/>
                <w:szCs w:val="20"/>
                <w:color w:val="auto"/>
              </w:rPr>
            </w:pPr>
            <w:r>
              <w:rPr>
                <w:rFonts w:ascii="Arial" w:cs="Arial" w:eastAsia="Arial" w:hAnsi="Arial"/>
                <w:sz w:val="16"/>
                <w:szCs w:val="16"/>
                <w:color w:val="auto"/>
              </w:rPr>
              <w:t>Write-down of a cost method investment</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70"/>
        </w:trPr>
        <w:tc>
          <w:tcPr>
            <w:tcW w:w="4700" w:type="dxa"/>
            <w:vAlign w:val="bottom"/>
          </w:tcPr>
          <w:p>
            <w:pPr>
              <w:ind w:left="280"/>
              <w:spacing w:after="0"/>
              <w:rPr>
                <w:sz w:val="20"/>
                <w:szCs w:val="20"/>
                <w:color w:val="auto"/>
              </w:rPr>
            </w:pPr>
            <w:r>
              <w:rPr>
                <w:rFonts w:ascii="Arial" w:cs="Arial" w:eastAsia="Arial" w:hAnsi="Arial"/>
                <w:sz w:val="16"/>
                <w:szCs w:val="16"/>
                <w:color w:val="auto"/>
              </w:rPr>
              <w:t>Tax benefit related to stock compensation</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(1.06)</w:t>
            </w: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700" w:type="dxa"/>
            <w:vAlign w:val="bottom"/>
          </w:tcPr>
          <w:p>
            <w:pPr>
              <w:ind w:left="280"/>
              <w:spacing w:after="0"/>
              <w:rPr>
                <w:sz w:val="20"/>
                <w:szCs w:val="20"/>
                <w:color w:val="auto"/>
              </w:rPr>
            </w:pPr>
            <w:r>
              <w:rPr>
                <w:rFonts w:ascii="Arial" w:cs="Arial" w:eastAsia="Arial" w:hAnsi="Arial"/>
                <w:sz w:val="16"/>
                <w:szCs w:val="16"/>
                <w:color w:val="auto"/>
              </w:rPr>
              <w:t>Nonrecurring deferred tax benefit</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83"/>
        </w:trPr>
        <w:tc>
          <w:tcPr>
            <w:tcW w:w="4700" w:type="dxa"/>
            <w:vAlign w:val="bottom"/>
          </w:tcPr>
          <w:p>
            <w:pPr>
              <w:ind w:left="280"/>
              <w:spacing w:after="0"/>
              <w:rPr>
                <w:sz w:val="20"/>
                <w:szCs w:val="20"/>
                <w:color w:val="auto"/>
              </w:rPr>
            </w:pPr>
            <w:r>
              <w:rPr>
                <w:rFonts w:ascii="Arial" w:cs="Arial" w:eastAsia="Arial" w:hAnsi="Arial"/>
                <w:sz w:val="16"/>
                <w:szCs w:val="16"/>
                <w:color w:val="auto"/>
              </w:rPr>
              <w:t>Favorable out of period deferred tax adjustment</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50"/>
        </w:trPr>
        <w:tc>
          <w:tcPr>
            <w:tcW w:w="4700" w:type="dxa"/>
            <w:vAlign w:val="bottom"/>
          </w:tcPr>
          <w:p>
            <w:pPr>
              <w:ind w:left="40"/>
              <w:spacing w:after="0"/>
              <w:rPr>
                <w:sz w:val="20"/>
                <w:szCs w:val="20"/>
                <w:color w:val="auto"/>
              </w:rPr>
            </w:pPr>
            <w:r>
              <w:rPr>
                <w:rFonts w:ascii="Arial" w:cs="Arial" w:eastAsia="Arial" w:hAnsi="Arial"/>
                <w:sz w:val="16"/>
                <w:szCs w:val="16"/>
                <w:color w:val="auto"/>
              </w:rPr>
              <w:t>Diluted income per common share, adjusted (non-GAAP)</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14.87</w:t>
            </w: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19.41</w:t>
            </w:r>
          </w:p>
        </w:tc>
        <w:tc>
          <w:tcPr>
            <w:tcW w:w="0" w:type="dxa"/>
            <w:vAlign w:val="bottom"/>
          </w:tcPr>
          <w:p>
            <w:pPr>
              <w:spacing w:after="0"/>
              <w:rPr>
                <w:sz w:val="1"/>
                <w:szCs w:val="1"/>
                <w:color w:val="auto"/>
              </w:rPr>
            </w:pPr>
          </w:p>
        </w:tc>
      </w:tr>
    </w:tbl>
    <w:p>
      <w:pPr>
        <w:spacing w:after="0" w:line="272"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adjusted diluted per share amounts may not compute due to rounding.</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sectPr>
      <w:pgSz w:w="11900" w:h="16838" w:orient="portrait"/>
      <w:cols w:equalWidth="0" w:num="1">
        <w:col w:w="11420"/>
      </w:cols>
      <w:pgMar w:left="240" w:top="74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2019-12-29T03:44:28Z</dcterms:created>
  <dcterms:modified xsi:type="dcterms:W3CDTF">2019-12-29T03:44:28Z</dcterms:modified>
</cp:coreProperties>
</file>