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3"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-233680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0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-629920</wp:posOffset>
            </wp:positionV>
            <wp:extent cx="58420" cy="643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255"/>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-629920</wp:posOffset>
            </wp:positionV>
            <wp:extent cx="58420" cy="643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2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65976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659765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280" w:space="260"/>
            <w:col w:w="8540"/>
          </w:cols>
          <w:pgMar w:left="460" w:top="222" w:right="359" w:bottom="73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O'Shaughnessy Timothy J</w:t>
        </w:r>
      </w:hyperlink>
    </w:p>
    <w:p>
      <w:pPr>
        <w:spacing w:after="0" w:line="30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3" w:lineRule="exact"/>
        <w:rPr>
          <w:sz w:val="24"/>
          <w:szCs w:val="24"/>
          <w:color w:val="auto"/>
        </w:rPr>
      </w:pPr>
    </w:p>
    <w:p>
      <w:pPr>
        <w:ind w:left="120" w:right="80"/>
        <w:spacing w:after="0" w:line="375" w:lineRule="auto"/>
        <w:rPr>
          <w:sz w:val="20"/>
          <w:szCs w:val="20"/>
          <w:color w:val="auto"/>
        </w:rPr>
      </w:pPr>
      <w:r>
        <w:rPr>
          <w:rFonts w:ascii="Arial" w:cs="Arial" w:eastAsia="Arial" w:hAnsi="Arial"/>
          <w:sz w:val="15"/>
          <w:szCs w:val="15"/>
          <w:color w:val="0000FF"/>
        </w:rPr>
        <w:t>C/O GRAHAM HOLDINGS COMPANY 1300 NORTH 17TH STREET, SUITE 1700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Graham Holdings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GHC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03/07/2023</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6" w:right="620" w:hanging="6"/>
        <w:spacing w:after="0" w:line="239"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06"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926"/>
        <w:spacing w:after="0"/>
        <w:rPr>
          <w:sz w:val="20"/>
          <w:szCs w:val="20"/>
          <w:color w:val="auto"/>
        </w:rPr>
      </w:pPr>
      <w:r>
        <w:rPr>
          <w:rFonts w:ascii="Arial" w:cs="Arial" w:eastAsia="Arial" w:hAnsi="Arial"/>
          <w:sz w:val="17"/>
          <w:szCs w:val="17"/>
          <w:color w:val="0000FF"/>
        </w:rPr>
        <w:t>President and CEO</w:t>
      </w:r>
    </w:p>
    <w:p>
      <w:pPr>
        <w:spacing w:after="0" w:line="409" w:lineRule="exact"/>
        <w:rPr>
          <w:sz w:val="24"/>
          <w:szCs w:val="24"/>
          <w:color w:val="auto"/>
        </w:rPr>
      </w:pPr>
    </w:p>
    <w:p>
      <w:pPr>
        <w:sectPr>
          <w:pgSz w:w="11900" w:h="16838" w:orient="portrait"/>
          <w:cols w:equalWidth="0" w:num="3">
            <w:col w:w="3180" w:space="720"/>
            <w:col w:w="3114" w:space="720"/>
            <w:col w:w="3346"/>
          </w:cols>
          <w:pgMar w:left="460" w:top="222" w:right="359" w:bottom="736" w:gutter="0" w:footer="0" w:header="0"/>
          <w:type w:val="continuous"/>
        </w:sectPr>
      </w:pP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2"/>
        </w:trPr>
        <w:tc>
          <w:tcPr>
            <w:tcW w:w="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Arial" w:cs="Arial" w:eastAsia="Arial" w:hAnsi="Arial"/>
                <w:sz w:val="17"/>
                <w:szCs w:val="17"/>
                <w:color w:val="0000FF"/>
              </w:rPr>
              <w:t>ARLINGTON</w:t>
            </w:r>
          </w:p>
        </w:tc>
        <w:tc>
          <w:tcPr>
            <w:tcW w:w="920" w:type="dxa"/>
            <w:vAlign w:val="bottom"/>
          </w:tcPr>
          <w:p>
            <w:pPr>
              <w:ind w:left="120"/>
              <w:spacing w:after="0"/>
              <w:rPr>
                <w:sz w:val="20"/>
                <w:szCs w:val="20"/>
                <w:color w:val="auto"/>
              </w:rPr>
            </w:pPr>
            <w:r>
              <w:rPr>
                <w:rFonts w:ascii="Arial" w:cs="Arial" w:eastAsia="Arial" w:hAnsi="Arial"/>
                <w:sz w:val="17"/>
                <w:szCs w:val="17"/>
                <w:color w:val="0000FF"/>
              </w:rPr>
              <w:t>VA</w:t>
            </w:r>
          </w:p>
        </w:tc>
        <w:tc>
          <w:tcPr>
            <w:tcW w:w="1620" w:type="dxa"/>
            <w:vAlign w:val="bottom"/>
          </w:tcPr>
          <w:p>
            <w:pPr>
              <w:ind w:left="420"/>
              <w:spacing w:after="0"/>
              <w:rPr>
                <w:sz w:val="20"/>
                <w:szCs w:val="20"/>
                <w:color w:val="auto"/>
              </w:rPr>
            </w:pPr>
            <w:r>
              <w:rPr>
                <w:rFonts w:ascii="Arial" w:cs="Arial" w:eastAsia="Arial" w:hAnsi="Arial"/>
                <w:sz w:val="17"/>
                <w:szCs w:val="17"/>
                <w:color w:val="0000FF"/>
              </w:rPr>
              <w:t>22209</w:t>
            </w:r>
          </w:p>
        </w:tc>
      </w:tr>
      <w:tr>
        <w:trPr>
          <w:trHeight w:val="150"/>
        </w:trPr>
        <w:tc>
          <w:tcPr>
            <w:tcW w:w="2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7"/>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53" w:lineRule="exact"/>
        <w:rPr>
          <w:sz w:val="24"/>
          <w:szCs w:val="24"/>
          <w:color w:val="auto"/>
        </w:rPr>
      </w:pPr>
    </w:p>
    <w:p>
      <w:pPr>
        <w:sectPr>
          <w:pgSz w:w="11900" w:h="16838" w:orient="portrait"/>
          <w:cols w:equalWidth="0" w:num="2">
            <w:col w:w="3760" w:space="140"/>
            <w:col w:w="7180"/>
          </w:cols>
          <w:pgMar w:left="460" w:top="222" w:right="359" w:bottom="73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2A. Deemed</w:t>
            </w:r>
          </w:p>
        </w:tc>
        <w:tc>
          <w:tcPr>
            <w:tcW w:w="280" w:type="dxa"/>
            <w:vAlign w:val="bottom"/>
          </w:tcPr>
          <w:p>
            <w:pPr>
              <w:spacing w:after="0"/>
              <w:rPr>
                <w:sz w:val="13"/>
                <w:szCs w:val="13"/>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20"/>
              <w:spacing w:after="0" w:line="127"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980" w:type="dxa"/>
            <w:vAlign w:val="bottom"/>
            <w:gridSpan w:val="3"/>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6"/>
              </w:rPr>
              <w:t>Transaction</w:t>
            </w:r>
          </w:p>
        </w:tc>
        <w:tc>
          <w:tcPr>
            <w:tcW w:w="1960" w:type="dxa"/>
            <w:vAlign w:val="bottom"/>
            <w:gridSpan w:val="4"/>
          </w:tcPr>
          <w:p>
            <w:pPr>
              <w:ind w:left="100"/>
              <w:spacing w:after="0" w:line="127" w:lineRule="exact"/>
              <w:rPr>
                <w:sz w:val="20"/>
                <w:szCs w:val="20"/>
                <w:color w:val="auto"/>
              </w:rPr>
            </w:pPr>
            <w:r>
              <w:rPr>
                <w:rFonts w:ascii="Arial" w:cs="Arial" w:eastAsia="Arial" w:hAnsi="Arial"/>
                <w:sz w:val="12"/>
                <w:szCs w:val="12"/>
                <w:b w:val="1"/>
                <w:bCs w:val="1"/>
                <w:color w:val="auto"/>
                <w:w w:val="97"/>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92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ind w:left="2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00" w:type="dxa"/>
            <w:vAlign w:val="bottom"/>
            <w:gridSpan w:val="2"/>
          </w:tcPr>
          <w:p>
            <w:pPr>
              <w:ind w:left="62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Arial" w:cs="Arial" w:eastAsia="Arial" w:hAnsi="Arial"/>
                <w:sz w:val="17"/>
                <w:szCs w:val="17"/>
                <w:color w:val="0000FF"/>
              </w:rPr>
              <w:t>Class B Common Stock</w:t>
            </w:r>
          </w:p>
        </w:tc>
        <w:tc>
          <w:tcPr>
            <w:tcW w:w="1700" w:type="dxa"/>
            <w:vAlign w:val="bottom"/>
            <w:gridSpan w:val="2"/>
          </w:tcPr>
          <w:p>
            <w:pPr>
              <w:ind w:left="720"/>
              <w:spacing w:after="0"/>
              <w:rPr>
                <w:sz w:val="20"/>
                <w:szCs w:val="20"/>
                <w:color w:val="auto"/>
              </w:rPr>
            </w:pPr>
            <w:r>
              <w:rPr>
                <w:rFonts w:ascii="Arial" w:cs="Arial" w:eastAsia="Arial" w:hAnsi="Arial"/>
                <w:sz w:val="17"/>
                <w:szCs w:val="17"/>
                <w:color w:val="0000FF"/>
              </w:rPr>
              <w:t>03/07/2023</w:t>
            </w: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240"/>
              <w:spacing w:after="0"/>
              <w:rPr>
                <w:sz w:val="20"/>
                <w:szCs w:val="20"/>
                <w:color w:val="auto"/>
              </w:rPr>
            </w:pPr>
            <w:r>
              <w:rPr>
                <w:rFonts w:ascii="Arial" w:cs="Arial" w:eastAsia="Arial" w:hAnsi="Arial"/>
                <w:sz w:val="13"/>
                <w:szCs w:val="13"/>
                <w:color w:val="0000FF"/>
              </w:rPr>
              <w:t>M</w:t>
            </w:r>
          </w:p>
        </w:tc>
        <w:tc>
          <w:tcPr>
            <w:tcW w:w="680" w:type="dxa"/>
            <w:vAlign w:val="bottom"/>
          </w:tcPr>
          <w:p>
            <w:pPr>
              <w:ind w:left="260"/>
              <w:spacing w:after="0"/>
              <w:rPr>
                <w:sz w:val="20"/>
                <w:szCs w:val="20"/>
                <w:color w:val="auto"/>
              </w:rPr>
            </w:pPr>
            <w:r>
              <w:rPr>
                <w:rFonts w:ascii="Arial" w:cs="Arial" w:eastAsia="Arial" w:hAnsi="Arial"/>
                <w:sz w:val="17"/>
                <w:szCs w:val="17"/>
                <w:color w:val="0000FF"/>
                <w:w w:val="93"/>
              </w:rPr>
              <w:t>1,000</w:t>
            </w:r>
          </w:p>
        </w:tc>
        <w:tc>
          <w:tcPr>
            <w:tcW w:w="680" w:type="dxa"/>
            <w:vAlign w:val="bottom"/>
          </w:tcPr>
          <w:p>
            <w:pPr>
              <w:ind w:left="34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ind w:left="40"/>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426.86</w:t>
            </w:r>
          </w:p>
        </w:tc>
        <w:tc>
          <w:tcPr>
            <w:tcW w:w="1260" w:type="dxa"/>
            <w:vAlign w:val="bottom"/>
            <w:gridSpan w:val="3"/>
          </w:tcPr>
          <w:p>
            <w:pPr>
              <w:jc w:val="center"/>
              <w:spacing w:after="0"/>
              <w:rPr>
                <w:sz w:val="20"/>
                <w:szCs w:val="20"/>
                <w:color w:val="auto"/>
              </w:rPr>
            </w:pPr>
            <w:r>
              <w:rPr>
                <w:rFonts w:ascii="Arial" w:cs="Arial" w:eastAsia="Arial" w:hAnsi="Arial"/>
                <w:sz w:val="17"/>
                <w:szCs w:val="17"/>
                <w:color w:val="0000FF"/>
                <w:w w:val="88"/>
              </w:rPr>
              <w:t>16,795</w:t>
            </w:r>
          </w:p>
        </w:tc>
        <w:tc>
          <w:tcPr>
            <w:tcW w:w="300" w:type="dxa"/>
            <w:vAlign w:val="bottom"/>
          </w:tcPr>
          <w:p>
            <w:pPr>
              <w:spacing w:after="0"/>
              <w:rPr>
                <w:sz w:val="22"/>
                <w:szCs w:val="22"/>
                <w:color w:val="auto"/>
              </w:rPr>
            </w:pPr>
          </w:p>
        </w:tc>
        <w:tc>
          <w:tcPr>
            <w:tcW w:w="620" w:type="dxa"/>
            <w:vAlign w:val="bottom"/>
          </w:tcPr>
          <w:p>
            <w:pPr>
              <w:ind w:left="40"/>
              <w:spacing w:after="0"/>
              <w:rPr>
                <w:sz w:val="20"/>
                <w:szCs w:val="20"/>
                <w:color w:val="auto"/>
              </w:rPr>
            </w:pPr>
            <w:r>
              <w:rPr>
                <w:rFonts w:ascii="Arial" w:cs="Arial" w:eastAsia="Arial" w:hAnsi="Arial"/>
                <w:sz w:val="17"/>
                <w:szCs w:val="17"/>
                <w:color w:val="0000FF"/>
              </w:rPr>
              <w:t>D</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Arial" w:cs="Arial" w:eastAsia="Arial" w:hAnsi="Arial"/>
                <w:sz w:val="17"/>
                <w:szCs w:val="17"/>
                <w:color w:val="0000FF"/>
              </w:rPr>
              <w:t>Class B Common Stock</w:t>
            </w: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tcPr>
          <w:p>
            <w:pPr>
              <w:jc w:val="center"/>
              <w:spacing w:after="0"/>
              <w:rPr>
                <w:sz w:val="20"/>
                <w:szCs w:val="20"/>
                <w:color w:val="auto"/>
              </w:rPr>
            </w:pPr>
            <w:r>
              <w:rPr>
                <w:rFonts w:ascii="Arial" w:cs="Arial" w:eastAsia="Arial" w:hAnsi="Arial"/>
                <w:sz w:val="17"/>
                <w:szCs w:val="17"/>
                <w:color w:val="0000FF"/>
                <w:w w:val="89"/>
              </w:rPr>
              <w:t>4,099.025</w:t>
            </w:r>
          </w:p>
        </w:tc>
        <w:tc>
          <w:tcPr>
            <w:tcW w:w="300" w:type="dxa"/>
            <w:vAlign w:val="bottom"/>
          </w:tcPr>
          <w:p>
            <w:pPr>
              <w:spacing w:after="0"/>
              <w:rPr>
                <w:sz w:val="22"/>
                <w:szCs w:val="22"/>
                <w:color w:val="auto"/>
              </w:rPr>
            </w:pPr>
          </w:p>
        </w:tc>
        <w:tc>
          <w:tcPr>
            <w:tcW w:w="620" w:type="dxa"/>
            <w:vAlign w:val="bottom"/>
          </w:tcPr>
          <w:p>
            <w:pPr>
              <w:ind w:left="8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ind w:left="20"/>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gridSpan w:val="4"/>
          </w:tcPr>
          <w:p>
            <w:pPr>
              <w:ind w:left="20"/>
              <w:spacing w:after="0"/>
              <w:rPr>
                <w:sz w:val="20"/>
                <w:szCs w:val="20"/>
                <w:color w:val="auto"/>
              </w:rPr>
            </w:pPr>
            <w:r>
              <w:rPr>
                <w:rFonts w:ascii="Arial" w:cs="Arial" w:eastAsia="Arial" w:hAnsi="Arial"/>
                <w:sz w:val="17"/>
                <w:szCs w:val="17"/>
                <w:color w:val="0000FF"/>
              </w:rPr>
              <w:t>Trust for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B Common Stock</w:t>
            </w: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9"/>
              </w:rPr>
              <w:t>5,600</w:t>
            </w:r>
          </w:p>
        </w:tc>
        <w:tc>
          <w:tcPr>
            <w:tcW w:w="300" w:type="dxa"/>
            <w:vAlign w:val="bottom"/>
          </w:tcPr>
          <w:p>
            <w:pPr>
              <w:spacing w:after="0"/>
              <w:rPr>
                <w:sz w:val="18"/>
                <w:szCs w:val="18"/>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ind w:left="20"/>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6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7"/>
                <w:szCs w:val="17"/>
                <w:color w:val="0000FF"/>
              </w:rPr>
              <w:t>and</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14"/>
        </w:trPr>
        <w:tc>
          <w:tcPr>
            <w:tcW w:w="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0000FF"/>
              </w:rPr>
              <w:t>children</w:t>
            </w:r>
            <w:r>
              <w:rPr>
                <w:rFonts w:ascii="Arial" w:cs="Arial" w:eastAsia="Arial" w:hAnsi="Arial"/>
                <w:sz w:val="21"/>
                <w:szCs w:val="21"/>
                <w:color w:val="008000"/>
                <w:vertAlign w:val="superscript"/>
              </w:rPr>
              <w:t>(1)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20" w:type="dxa"/>
            <w:vAlign w:val="bottom"/>
            <w:gridSpan w:val="14"/>
          </w:tcPr>
          <w:p>
            <w:pPr>
              <w:jc w:val="center"/>
              <w:ind w:left="79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4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Direct (D)</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vMerge w:val="restart"/>
          </w:tcPr>
          <w:p>
            <w:pPr>
              <w:jc w:val="center"/>
              <w:ind w:right="17"/>
              <w:spacing w:after="0"/>
              <w:rPr>
                <w:sz w:val="20"/>
                <w:szCs w:val="20"/>
                <w:color w:val="auto"/>
              </w:rPr>
            </w:pPr>
            <w:r>
              <w:rPr>
                <w:rFonts w:ascii="Arial" w:cs="Arial" w:eastAsia="Arial" w:hAnsi="Arial"/>
                <w:sz w:val="13"/>
                <w:szCs w:val="13"/>
                <w:color w:val="0000FF"/>
                <w:w w:val="89"/>
              </w:rPr>
              <w:t>Class B</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1,000</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jc w:val="center"/>
              <w:ind w:right="2"/>
              <w:spacing w:after="0" w:line="208" w:lineRule="exact"/>
              <w:rPr>
                <w:sz w:val="20"/>
                <w:szCs w:val="20"/>
                <w:color w:val="auto"/>
              </w:rPr>
            </w:pPr>
            <w:r>
              <w:rPr>
                <w:rFonts w:ascii="Arial" w:cs="Arial" w:eastAsia="Arial" w:hAnsi="Arial"/>
                <w:sz w:val="13"/>
                <w:szCs w:val="13"/>
                <w:color w:val="0000FF"/>
                <w:w w:val="84"/>
              </w:rPr>
              <w:t>73,105</w:t>
            </w:r>
            <w:r>
              <w:rPr>
                <w:rFonts w:ascii="Arial" w:cs="Arial" w:eastAsia="Arial" w:hAnsi="Arial"/>
                <w:sz w:val="21"/>
                <w:szCs w:val="21"/>
                <w:color w:val="008000"/>
                <w:w w:val="84"/>
                <w:vertAlign w:val="superscript"/>
              </w:rPr>
              <w:t>(3)</w:t>
            </w: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6"/>
              </w:rPr>
              <w:t>$</w:t>
            </w:r>
            <w:r>
              <w:rPr>
                <w:rFonts w:ascii="Arial" w:cs="Arial" w:eastAsia="Arial" w:hAnsi="Arial"/>
                <w:sz w:val="12"/>
                <w:szCs w:val="12"/>
                <w:color w:val="0000FF"/>
                <w:w w:val="96"/>
              </w:rPr>
              <w:t>426.86</w:t>
            </w:r>
          </w:p>
        </w:tc>
        <w:tc>
          <w:tcPr>
            <w:tcW w:w="1080" w:type="dxa"/>
            <w:vAlign w:val="bottom"/>
            <w:vMerge w:val="restart"/>
          </w:tcPr>
          <w:p>
            <w:pPr>
              <w:jc w:val="right"/>
              <w:ind w:right="175"/>
              <w:spacing w:after="0" w:line="143" w:lineRule="exact"/>
              <w:rPr>
                <w:sz w:val="20"/>
                <w:szCs w:val="20"/>
                <w:color w:val="auto"/>
              </w:rPr>
            </w:pPr>
            <w:r>
              <w:rPr>
                <w:rFonts w:ascii="Arial" w:cs="Arial" w:eastAsia="Arial" w:hAnsi="Arial"/>
                <w:sz w:val="13"/>
                <w:szCs w:val="13"/>
                <w:color w:val="0000FF"/>
              </w:rPr>
              <w:t>03/07/2023</w:t>
            </w:r>
          </w:p>
        </w:tc>
        <w:tc>
          <w:tcPr>
            <w:tcW w:w="1100" w:type="dxa"/>
            <w:vAlign w:val="bottom"/>
          </w:tcPr>
          <w:p>
            <w:pPr>
              <w:spacing w:after="0"/>
              <w:rPr>
                <w:sz w:val="6"/>
                <w:szCs w:val="6"/>
                <w:color w:val="auto"/>
              </w:rPr>
            </w:pPr>
          </w:p>
        </w:tc>
        <w:tc>
          <w:tcPr>
            <w:tcW w:w="60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6"/>
                <w:szCs w:val="6"/>
                <w:color w:val="auto"/>
              </w:rPr>
            </w:pPr>
          </w:p>
        </w:tc>
        <w:tc>
          <w:tcPr>
            <w:tcW w:w="50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rPr>
              <w:t>1,000</w:t>
            </w:r>
          </w:p>
        </w:tc>
        <w:tc>
          <w:tcPr>
            <w:tcW w:w="2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80" w:type="dxa"/>
            <w:vAlign w:val="bottom"/>
            <w:vMerge w:val="restart"/>
          </w:tcPr>
          <w:p>
            <w:pPr>
              <w:ind w:left="20"/>
              <w:spacing w:after="0" w:line="143" w:lineRule="exact"/>
              <w:rPr>
                <w:sz w:val="20"/>
                <w:szCs w:val="20"/>
                <w:color w:val="auto"/>
              </w:rPr>
            </w:pPr>
            <w:r>
              <w:rPr>
                <w:rFonts w:ascii="Arial" w:cs="Arial" w:eastAsia="Arial" w:hAnsi="Arial"/>
                <w:sz w:val="13"/>
                <w:szCs w:val="13"/>
                <w:color w:val="0000FF"/>
                <w:w w:val="98"/>
              </w:rPr>
              <w:t>09/10/2030</w:t>
            </w:r>
          </w:p>
        </w:tc>
        <w:tc>
          <w:tcPr>
            <w:tcW w:w="680" w:type="dxa"/>
            <w:vAlign w:val="bottom"/>
            <w:vMerge w:val="restart"/>
          </w:tcPr>
          <w:p>
            <w:pPr>
              <w:jc w:val="center"/>
              <w:ind w:right="17"/>
              <w:spacing w:after="0" w:line="143" w:lineRule="exact"/>
              <w:rPr>
                <w:sz w:val="20"/>
                <w:szCs w:val="20"/>
                <w:color w:val="auto"/>
              </w:rPr>
            </w:pPr>
            <w:r>
              <w:rPr>
                <w:rFonts w:ascii="Arial" w:cs="Arial" w:eastAsia="Arial" w:hAnsi="Arial"/>
                <w:sz w:val="13"/>
                <w:szCs w:val="13"/>
                <w:color w:val="0000FF"/>
                <w:w w:val="90"/>
              </w:rPr>
              <w:t>Common</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426.86</w:t>
            </w:r>
          </w:p>
        </w:tc>
        <w:tc>
          <w:tcPr>
            <w:tcW w:w="860" w:type="dxa"/>
            <w:vAlign w:val="bottom"/>
            <w:gridSpan w:val="2"/>
            <w:vMerge w:val="continue"/>
          </w:tcPr>
          <w:p>
            <w:pPr>
              <w:spacing w:after="0"/>
              <w:rPr>
                <w:sz w:val="6"/>
                <w:szCs w:val="6"/>
                <w:color w:val="auto"/>
              </w:rPr>
            </w:pPr>
          </w:p>
        </w:tc>
        <w:tc>
          <w:tcPr>
            <w:tcW w:w="62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A</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ind w:left="240"/>
              <w:spacing w:after="0"/>
              <w:rPr>
                <w:sz w:val="20"/>
                <w:szCs w:val="20"/>
                <w:color w:val="auto"/>
              </w:rPr>
            </w:pPr>
            <w:r>
              <w:rPr>
                <w:rFonts w:ascii="Arial" w:cs="Arial" w:eastAsia="Arial" w:hAnsi="Arial"/>
                <w:sz w:val="11"/>
                <w:szCs w:val="11"/>
                <w:color w:val="008000"/>
              </w:rPr>
              <w:t>(4)</w:t>
            </w:r>
          </w:p>
        </w:tc>
        <w:tc>
          <w:tcPr>
            <w:tcW w:w="680" w:type="dxa"/>
            <w:vAlign w:val="bottom"/>
          </w:tcPr>
          <w:p>
            <w:pPr>
              <w:jc w:val="center"/>
              <w:ind w:right="17"/>
              <w:spacing w:after="0"/>
              <w:rPr>
                <w:sz w:val="20"/>
                <w:szCs w:val="20"/>
                <w:color w:val="auto"/>
              </w:rPr>
            </w:pPr>
            <w:r>
              <w:rPr>
                <w:rFonts w:ascii="Arial" w:cs="Arial" w:eastAsia="Arial" w:hAnsi="Arial"/>
                <w:sz w:val="13"/>
                <w:szCs w:val="13"/>
                <w:color w:val="0000FF"/>
                <w:w w:val="89"/>
              </w:rPr>
              <w:t>Class B</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48,626</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right w:val="single" w:sz="8" w:color="2C2C2C"/>
            </w:tcBorders>
            <w:gridSpan w:val="3"/>
            <w:vMerge w:val="restart"/>
          </w:tcPr>
          <w:p>
            <w:pPr>
              <w:ind w:left="80"/>
              <w:spacing w:after="0"/>
              <w:rPr>
                <w:sz w:val="20"/>
                <w:szCs w:val="20"/>
                <w:color w:val="auto"/>
              </w:rPr>
            </w:pPr>
            <w:r>
              <w:rPr>
                <w:rFonts w:ascii="Arial" w:cs="Arial" w:eastAsia="Arial" w:hAnsi="Arial"/>
                <w:sz w:val="13"/>
                <w:szCs w:val="13"/>
                <w:color w:val="0000FF"/>
              </w:rPr>
              <w:t>Trust for</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80" w:type="dxa"/>
            <w:vAlign w:val="bottom"/>
            <w:vMerge w:val="restart"/>
          </w:tcPr>
          <w:p>
            <w:pPr>
              <w:jc w:val="center"/>
              <w:ind w:right="17"/>
              <w:spacing w:after="0"/>
              <w:rPr>
                <w:sz w:val="20"/>
                <w:szCs w:val="20"/>
                <w:color w:val="auto"/>
              </w:rPr>
            </w:pPr>
            <w:r>
              <w:rPr>
                <w:rFonts w:ascii="Arial" w:cs="Arial" w:eastAsia="Arial" w:hAnsi="Arial"/>
                <w:sz w:val="13"/>
                <w:szCs w:val="13"/>
                <w:color w:val="0000FF"/>
                <w:w w:val="90"/>
              </w:rPr>
              <w:t>Common</w:t>
            </w:r>
          </w:p>
        </w:tc>
        <w:tc>
          <w:tcPr>
            <w:tcW w:w="5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gridSpan w:val="2"/>
            <w:vMerge w:val="restart"/>
          </w:tcPr>
          <w:p>
            <w:pPr>
              <w:jc w:val="center"/>
              <w:ind w:right="2"/>
              <w:spacing w:after="0"/>
              <w:rPr>
                <w:sz w:val="20"/>
                <w:szCs w:val="20"/>
                <w:color w:val="auto"/>
              </w:rPr>
            </w:pPr>
            <w:r>
              <w:rPr>
                <w:rFonts w:ascii="Arial" w:cs="Arial" w:eastAsia="Arial" w:hAnsi="Arial"/>
                <w:sz w:val="13"/>
                <w:szCs w:val="13"/>
                <w:color w:val="0000FF"/>
                <w:w w:val="90"/>
              </w:rPr>
              <w:t>48,626</w:t>
            </w:r>
          </w:p>
        </w:tc>
        <w:tc>
          <w:tcPr>
            <w:tcW w:w="620" w:type="dxa"/>
            <w:vAlign w:val="bottom"/>
            <w:vMerge w:val="restart"/>
          </w:tcPr>
          <w:p>
            <w:pPr>
              <w:ind w:left="360"/>
              <w:spacing w:after="0"/>
              <w:rPr>
                <w:sz w:val="20"/>
                <w:szCs w:val="20"/>
                <w:color w:val="auto"/>
              </w:rPr>
            </w:pPr>
            <w:r>
              <w:rPr>
                <w:rFonts w:ascii="Arial" w:cs="Arial" w:eastAsia="Arial" w:hAnsi="Arial"/>
                <w:sz w:val="13"/>
                <w:szCs w:val="13"/>
                <w:color w:val="0000FF"/>
              </w:rPr>
              <w:t>I</w:t>
            </w:r>
          </w:p>
        </w:tc>
        <w:tc>
          <w:tcPr>
            <w:tcW w:w="120" w:type="dxa"/>
            <w:vAlign w:val="bottom"/>
          </w:tcPr>
          <w:p>
            <w:pPr>
              <w:spacing w:after="0"/>
              <w:rPr>
                <w:sz w:val="4"/>
                <w:szCs w:val="4"/>
                <w:color w:val="auto"/>
              </w:rPr>
            </w:pPr>
          </w:p>
        </w:tc>
        <w:tc>
          <w:tcPr>
            <w:tcW w:w="76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right w:val="single" w:sz="8" w:color="2C2C2C"/>
            </w:tcBorders>
            <w:gridSpan w:val="3"/>
            <w:vMerge w:val="restart"/>
          </w:tcPr>
          <w:p>
            <w:pPr>
              <w:ind w:left="80"/>
              <w:spacing w:after="0" w:line="157" w:lineRule="exact"/>
              <w:rPr>
                <w:sz w:val="20"/>
                <w:szCs w:val="20"/>
                <w:color w:val="auto"/>
              </w:rPr>
            </w:pPr>
            <w:r>
              <w:rPr>
                <w:rFonts w:ascii="Arial" w:cs="Arial" w:eastAsia="Arial" w:hAnsi="Arial"/>
                <w:sz w:val="11"/>
                <w:szCs w:val="11"/>
                <w:color w:val="0000FF"/>
              </w:rPr>
              <w:t>spouse</w:t>
            </w:r>
            <w:r>
              <w:rPr>
                <w:rFonts w:ascii="Arial" w:cs="Arial" w:eastAsia="Arial" w:hAnsi="Arial"/>
                <w:sz w:val="18"/>
                <w:szCs w:val="18"/>
                <w:color w:val="008000"/>
                <w:vertAlign w:val="superscript"/>
              </w:rPr>
              <w:t>(5)</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Borders>
              <w:bottom w:val="single" w:sz="8" w:color="2C2C2C"/>
            </w:tcBorders>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jc w:val="center"/>
              <w:spacing w:after="0" w:line="143" w:lineRule="exact"/>
              <w:rPr>
                <w:sz w:val="20"/>
                <w:szCs w:val="20"/>
                <w:color w:val="auto"/>
              </w:rPr>
            </w:pPr>
            <w:r>
              <w:rPr>
                <w:rFonts w:ascii="Arial" w:cs="Arial" w:eastAsia="Arial" w:hAnsi="Arial"/>
                <w:sz w:val="13"/>
                <w:szCs w:val="13"/>
                <w:color w:val="0000FF"/>
                <w:w w:val="92"/>
              </w:rPr>
              <w:t>Stock</w:t>
            </w:r>
          </w:p>
        </w:tc>
        <w:tc>
          <w:tcPr>
            <w:tcW w:w="5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A</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ind w:left="240"/>
              <w:spacing w:after="0"/>
              <w:rPr>
                <w:sz w:val="20"/>
                <w:szCs w:val="20"/>
                <w:color w:val="auto"/>
              </w:rPr>
            </w:pPr>
            <w:r>
              <w:rPr>
                <w:rFonts w:ascii="Arial" w:cs="Arial" w:eastAsia="Arial" w:hAnsi="Arial"/>
                <w:sz w:val="11"/>
                <w:szCs w:val="11"/>
                <w:color w:val="008000"/>
              </w:rPr>
              <w:t>(4)</w:t>
            </w:r>
          </w:p>
        </w:tc>
        <w:tc>
          <w:tcPr>
            <w:tcW w:w="680" w:type="dxa"/>
            <w:vAlign w:val="bottom"/>
          </w:tcPr>
          <w:p>
            <w:pPr>
              <w:jc w:val="center"/>
              <w:ind w:right="17"/>
              <w:spacing w:after="0"/>
              <w:rPr>
                <w:sz w:val="20"/>
                <w:szCs w:val="20"/>
                <w:color w:val="auto"/>
              </w:rPr>
            </w:pPr>
            <w:r>
              <w:rPr>
                <w:rFonts w:ascii="Arial" w:cs="Arial" w:eastAsia="Arial" w:hAnsi="Arial"/>
                <w:sz w:val="13"/>
                <w:szCs w:val="13"/>
                <w:color w:val="0000FF"/>
                <w:w w:val="89"/>
              </w:rPr>
              <w:t>Class B</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2,700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jc w:val="center"/>
              <w:ind w:right="17"/>
              <w:spacing w:after="0" w:line="143" w:lineRule="exact"/>
              <w:rPr>
                <w:sz w:val="20"/>
                <w:szCs w:val="20"/>
                <w:color w:val="auto"/>
              </w:rPr>
            </w:pPr>
            <w:r>
              <w:rPr>
                <w:rFonts w:ascii="Arial" w:cs="Arial" w:eastAsia="Arial" w:hAnsi="Arial"/>
                <w:sz w:val="13"/>
                <w:szCs w:val="13"/>
                <w:color w:val="0000FF"/>
                <w:w w:val="90"/>
              </w:rPr>
              <w:t>Common</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jc w:val="center"/>
              <w:ind w:left="180"/>
              <w:spacing w:after="0" w:line="143" w:lineRule="exact"/>
              <w:rPr>
                <w:sz w:val="20"/>
                <w:szCs w:val="20"/>
                <w:color w:val="auto"/>
              </w:rPr>
            </w:pPr>
            <w:r>
              <w:rPr>
                <w:rFonts w:ascii="Arial" w:cs="Arial" w:eastAsia="Arial" w:hAnsi="Arial"/>
                <w:sz w:val="13"/>
                <w:szCs w:val="13"/>
                <w:color w:val="0000FF"/>
                <w:w w:val="85"/>
              </w:rPr>
              <w:t>2,700</w:t>
            </w:r>
          </w:p>
        </w:tc>
        <w:tc>
          <w:tcPr>
            <w:tcW w:w="300" w:type="dxa"/>
            <w:vAlign w:val="bottom"/>
          </w:tcPr>
          <w:p>
            <w:pPr>
              <w:spacing w:after="0"/>
              <w:rPr>
                <w:sz w:val="12"/>
                <w:szCs w:val="12"/>
                <w:color w:val="auto"/>
              </w:rPr>
            </w:pPr>
          </w:p>
        </w:tc>
        <w:tc>
          <w:tcPr>
            <w:tcW w:w="620" w:type="dxa"/>
            <w:vAlign w:val="bottom"/>
          </w:tcPr>
          <w:p>
            <w:pPr>
              <w:ind w:left="360"/>
              <w:spacing w:after="0" w:line="143" w:lineRule="exact"/>
              <w:rPr>
                <w:sz w:val="20"/>
                <w:szCs w:val="20"/>
                <w:color w:val="auto"/>
              </w:rPr>
            </w:pPr>
            <w:r>
              <w:rPr>
                <w:rFonts w:ascii="Arial" w:cs="Arial" w:eastAsia="Arial" w:hAnsi="Arial"/>
                <w:sz w:val="13"/>
                <w:szCs w:val="13"/>
                <w:color w:val="0000FF"/>
              </w:rPr>
              <w:t>I</w:t>
            </w:r>
          </w:p>
        </w:tc>
        <w:tc>
          <w:tcPr>
            <w:tcW w:w="120" w:type="dxa"/>
            <w:vAlign w:val="bottom"/>
          </w:tcPr>
          <w:p>
            <w:pPr>
              <w:spacing w:after="0"/>
              <w:rPr>
                <w:sz w:val="12"/>
                <w:szCs w:val="12"/>
                <w:color w:val="auto"/>
              </w:rPr>
            </w:pPr>
          </w:p>
        </w:tc>
        <w:tc>
          <w:tcPr>
            <w:tcW w:w="760" w:type="dxa"/>
            <w:vAlign w:val="bottom"/>
            <w:tcBorders>
              <w:right w:val="single" w:sz="8" w:color="2C2C2C"/>
            </w:tcBorders>
            <w:gridSpan w:val="3"/>
          </w:tcPr>
          <w:p>
            <w:pPr>
              <w:ind w:left="80"/>
              <w:spacing w:after="0" w:line="143" w:lineRule="exact"/>
              <w:rPr>
                <w:sz w:val="20"/>
                <w:szCs w:val="20"/>
                <w:color w:val="auto"/>
              </w:rPr>
            </w:pPr>
            <w:r>
              <w:rPr>
                <w:rFonts w:ascii="Arial" w:cs="Arial" w:eastAsia="Arial" w:hAnsi="Arial"/>
                <w:sz w:val="13"/>
                <w:szCs w:val="13"/>
                <w:color w:val="0000FF"/>
              </w:rPr>
              <w:t>Spouse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-2902585</wp:posOffset>
            </wp:positionV>
            <wp:extent cx="29210" cy="29076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90766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is a trustee of the trust that owns the reported securities, but he is not a beneficiary of such trust. The reporting person disclaims beneficial ownership of the reported securities.</w:t>
      </w:r>
    </w:p>
    <w:p>
      <w:pPr>
        <w:spacing w:after="0" w:line="56" w:lineRule="exact"/>
        <w:rPr>
          <w:rFonts w:ascii="Arial" w:cs="Arial" w:eastAsia="Arial" w:hAnsi="Arial"/>
          <w:sz w:val="12"/>
          <w:szCs w:val="12"/>
          <w:color w:val="008000"/>
        </w:rPr>
      </w:pPr>
    </w:p>
    <w:p>
      <w:pPr>
        <w:ind w:left="40" w:right="180" w:firstLine="3"/>
        <w:spacing w:after="0" w:line="292"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As previously reported on a Form 4/A filed on March 8, 2021 by the reporting person, the reporting person acquired stock options to purchase 77,258 shares of common stock, with 12,876 vesting on each of September 10, 2021, September 10, 2022, September 10, 2023 and September 10, 2024 and 12,877 vesting on each of September 10, 2025 and September 10, 2026.</w:t>
      </w:r>
    </w:p>
    <w:p>
      <w:pPr>
        <w:spacing w:after="0" w:line="1" w:lineRule="exact"/>
        <w:rPr>
          <w:rFonts w:ascii="Arial" w:cs="Arial" w:eastAsia="Arial" w:hAnsi="Arial"/>
          <w:sz w:val="12"/>
          <w:szCs w:val="12"/>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After this exercise of 1,000 options, the reporting person has remaining 21,599 vested and exercisable and 51,506 unvested options.</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of Class A Common Stock are convertible into shares of Class B Common Stock at any time on a one-for-one basis and have no expiration date.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not a beneficiary of such trust. The reporting person disclaims beneficial ownership of the reported securities.</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Nicole Maddrey on behalf</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03/08/2023</w:t>
            </w:r>
          </w:p>
        </w:tc>
        <w:tc>
          <w:tcPr>
            <w:tcW w:w="0" w:type="dxa"/>
            <w:vAlign w:val="bottom"/>
          </w:tcPr>
          <w:p>
            <w:pPr>
              <w:spacing w:after="0"/>
              <w:rPr>
                <w:sz w:val="1"/>
                <w:szCs w:val="1"/>
                <w:color w:val="auto"/>
              </w:rPr>
            </w:pPr>
          </w:p>
        </w:tc>
      </w:tr>
      <w:tr>
        <w:trPr>
          <w:trHeight w:val="20"/>
        </w:trPr>
        <w:tc>
          <w:tcPr>
            <w:tcW w:w="1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980" w:type="dxa"/>
            <w:vAlign w:val="bottom"/>
            <w:gridSpan w:val="2"/>
            <w:vMerge w:val="restart"/>
          </w:tcPr>
          <w:p>
            <w:pPr>
              <w:spacing w:after="0" w:line="188" w:lineRule="exact"/>
              <w:rPr>
                <w:sz w:val="20"/>
                <w:szCs w:val="20"/>
                <w:color w:val="auto"/>
              </w:rPr>
            </w:pPr>
            <w:r>
              <w:rPr>
                <w:rFonts w:ascii="Arial" w:cs="Arial" w:eastAsia="Arial" w:hAnsi="Arial"/>
                <w:sz w:val="17"/>
                <w:szCs w:val="17"/>
                <w:color w:val="0000FF"/>
                <w:w w:val="88"/>
              </w:rPr>
              <w:t>of Timothy J. O'Shaughnessy</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980" w:type="dxa"/>
            <w:vAlign w:val="bottom"/>
            <w:tcBorders>
              <w:bottom w:val="single" w:sz="8" w:color="auto"/>
            </w:tcBorders>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3"/>
        <w:spacing w:after="0" w:line="336"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73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21362" TargetMode="External"/><Relationship Id="rId13" Type="http://schemas.openxmlformats.org/officeDocument/2006/relationships/hyperlink" Target="http://www.sec.gov/cgi-bin/browse-edgar?action=getcompany&amp;CIK=00001048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2023-03-08T15:51:31Z</dcterms:created>
  <dcterms:modified xsi:type="dcterms:W3CDTF">2023-03-08T15:51:31Z</dcterms:modified>
</cp:coreProperties>
</file>