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|5/18/9|J*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|551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|213,374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*Transfer shares to Revocab|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le Trust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 w:right="4720" w:hanging="92"/>
        <w:spacing w:after="0" w:line="250" w:lineRule="auto"/>
        <w:tabs>
          <w:tab w:leader="none" w:pos="2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 In addition to the direct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indirect ownership of Class B shares herein, I am one of five trustees of a charitable trust which owns 113,270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680" w:firstLine="8"/>
        <w:spacing w:after="0" w:line="250" w:lineRule="auto"/>
        <w:tabs>
          <w:tab w:leader="none" w:pos="344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in these securities. Revocable trust established with</w:t>
      </w:r>
    </w:p>
    <w:p>
      <w:pPr>
        <w:ind w:right="74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from another trust by child of reporting person.</w:t>
      </w:r>
    </w:p>
    <w:p>
      <w:pPr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Donald E. Graham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8, 1999</w:t>
      </w:r>
    </w:p>
    <w:sectPr>
      <w:pgSz w:w="11900" w:h="16838" w:orient="portrait"/>
      <w:cols w:equalWidth="0" w:num="1">
        <w:col w:w="11540"/>
      </w:cols>
      <w:pgMar w:left="220" w:top="230" w:right="139" w:bottom="81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2020-02-22T13:29:07Z</dcterms:created>
  <dcterms:modified xsi:type="dcterms:W3CDTF">2020-02-22T13:29:07Z</dcterms:modified>
</cp:coreProperties>
</file>