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205740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13, 2025</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3" w:lineRule="exact"/>
        <w:rPr>
          <w:sz w:val="24"/>
          <w:szCs w:val="24"/>
          <w:color w:val="auto"/>
        </w:rPr>
      </w:pPr>
    </w:p>
    <w:tbl>
      <w:tblPr>
        <w:tblLayout w:type="fixed"/>
        <w:tblInd w:w="840" w:type="dxa"/>
        <w:tblCellMar>
          <w:top w:w="0" w:type="dxa"/>
          <w:left w:w="0" w:type="dxa"/>
          <w:bottom w:w="0" w:type="dxa"/>
          <w:right w:w="0" w:type="dxa"/>
        </w:tblCellMar>
      </w:tblPr>
      <w:tr>
        <w:trPr>
          <w:trHeight w:val="24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jc w:val="center"/>
              <w:ind w:right="30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0"/>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(State or other jurisdiction of</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incorporation)</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31"/>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240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(Address of principal executive offices)</w:t>
            </w:r>
          </w:p>
        </w:tc>
        <w:tc>
          <w:tcPr>
            <w:tcW w:w="240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135255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18"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2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775335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8.01</w:t>
      </w:r>
      <w:r>
        <w:rPr>
          <w:sz w:val="20"/>
          <w:szCs w:val="20"/>
          <w:color w:val="auto"/>
        </w:rPr>
        <w:tab/>
      </w:r>
      <w:r>
        <w:rPr>
          <w:rFonts w:ascii="Arial" w:cs="Arial" w:eastAsia="Arial" w:hAnsi="Arial"/>
          <w:sz w:val="17"/>
          <w:szCs w:val="17"/>
          <w:b w:val="1"/>
          <w:bCs w:val="1"/>
          <w:color w:val="auto"/>
        </w:rPr>
        <w:t>Other Events.</w:t>
      </w:r>
    </w:p>
    <w:p>
      <w:pPr>
        <w:spacing w:after="0" w:line="225"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On November 13, 2025, Graham Holdings Company (the Company) priced the previously announced private offering pursuant to Rule 144A and Regulation S under the Securities Act of 1933, as amended (the Securities Act), of $500 million aggregate principal amount of senior</w:t>
      </w:r>
    </w:p>
    <w:p>
      <w:pPr>
        <w:ind w:right="60"/>
        <w:spacing w:after="0"/>
        <w:rPr>
          <w:sz w:val="20"/>
          <w:szCs w:val="20"/>
          <w:color w:val="auto"/>
        </w:rPr>
      </w:pPr>
      <w:r>
        <w:rPr>
          <w:rFonts w:ascii="Arial" w:cs="Arial" w:eastAsia="Arial" w:hAnsi="Arial"/>
          <w:sz w:val="17"/>
          <w:szCs w:val="17"/>
          <w:color w:val="auto"/>
        </w:rPr>
        <w:t>unsecured notes due 2033 at 100% of principal amount and a 5.625% interest rate per annum (the Notes). The Notes will be guaranteed, jointly and severally, on a senior unsecured basis, by certain of the Company’s existing and future domestic subsidiaries. A copy of the press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release is attached hereto as Exhibit 99.1 and is incorporated herein by reference.</w:t>
      </w:r>
    </w:p>
    <w:p>
      <w:pPr>
        <w:spacing w:after="0" w:line="140"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The private offering of the Notes is expected to close on November 24, 2025, subject to the satisfaction of customary closing conditions. Substantially concurrently with the offering of Notes, the Company intends to amend and restate its revolving credit facility, increasing the</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total commitments by lenders under such facility to $400 million. The offering of Notes is not conditioned on the closing of the amended revolving credit facility, though the closing of such amendment is conditioned on the closing of the offering of Notes.</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If the offering of Notes is consummated, the Company intends to use the net proceeds from the offering of Notes, together with the borrowings under the amended revolving credit facility, to (i) redeem all of the outstanding 5.750% notes due 2026, (ii) refinance outstanding</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revolving loans under the existing revolving credit facility, (iii) repay all amounts outstanding under the Company’s existing $150 million term loan facility and (iv) pay related fees and expenses.</w:t>
      </w:r>
    </w:p>
    <w:p>
      <w:pPr>
        <w:spacing w:after="0" w:line="12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Notes and the related guarantees will not be registered under the Securities Act or any state securities laws, and, unless so registered, may not be offered or sold in the United States absent registration or an applicable exemption from registration requirements.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this Form 8-K does not constitute an offer to sell or a solicitation of an offer to buy the securities described herein, nor shall</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there be any sale of these securities in any state or other jurisdiction in which such an offer, solicitation or sale would be unlawful prior to registration or qualification under the securities laws of any such jurisdiction.</w:t>
      </w:r>
    </w:p>
    <w:p>
      <w:pPr>
        <w:spacing w:after="0" w:line="38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Press release dated November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488950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66"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Press Release dated November 13, 2025.</w:t>
      </w:r>
    </w:p>
    <w:p>
      <w:pPr>
        <w:spacing w:after="0" w:line="239"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566420</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Cautionary Statement Concerning Forward-Looking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This communication and the documents incorporated by reference herein may contain certain “forward-looking statements” within the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meaning of the Private Securities Litigation Reform Act of 1995. Forward-looking statements are based on expectations, forecasts, and assumptions by the Company’s management and involve a number of risks, uncertainties, and other factors that could cause actual results to</w:t>
      </w:r>
    </w:p>
    <w:p>
      <w:pPr>
        <w:spacing w:after="0" w:line="236" w:lineRule="auto"/>
        <w:rPr>
          <w:sz w:val="20"/>
          <w:szCs w:val="20"/>
          <w:color w:val="auto"/>
        </w:rPr>
      </w:pPr>
      <w:r>
        <w:rPr>
          <w:rFonts w:ascii="Arial" w:cs="Arial" w:eastAsia="Arial" w:hAnsi="Arial"/>
          <w:sz w:val="18"/>
          <w:szCs w:val="18"/>
          <w:color w:val="auto"/>
        </w:rPr>
        <w:t>differ from those stated, including, without limitation, the risks and uncertainties described in Item 1A of the Company’s Form 10-Q for the</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quarter ended September 30, 2025 and the Annual Report on Form 10-K for the fiscal year ended December 31, 2024. Accordingly, undue reliance should not be placed on any forward-looking statement made by or on behalf of the Company. The Company assumes no obligation</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to update any forward-looking statement after the date on which such statement is made, even if new information subsequently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258445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November 13, 2025</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093"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 Announces Pricing of $500 Million Private Offering of Senior Notes</w:t>
      </w:r>
    </w:p>
    <w:p>
      <w:pPr>
        <w:spacing w:after="0" w:line="2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ARLINGTON, VA – November 13, 2025 – Graham Holdings Company (NYSE: GHC) (the Company) today announced the pricing of $500 million in aggregate principal amount of its senior unsecured notes due 2033 (the Notes). The Notes will be guaranteed, jointly and severally, on a senior unsecured basis, by certain of the Company’s existing and future domestic subsidiaries.</w:t>
      </w:r>
    </w:p>
    <w:p>
      <w:pPr>
        <w:spacing w:after="0" w:line="10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Notes will have a coupon of 5.625% per annum, payable semi-annually on June 1 and December 1, beginning on June 1, 2026. The Notes, which mature on December 1, 2033, were priced at 100% of principal amount. Closing is scheduled for November 24, 2025, subject to the satisfaction of customary closing conditions.</w:t>
      </w:r>
    </w:p>
    <w:p>
      <w:pPr>
        <w:spacing w:after="0" w:line="10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Substantially concurrently with the offering of Notes, the Company intends to amend and restate its revolving credit facility, increasing the total commitments by lenders under such facility to $400 million. The offering of Notes is not conditioned on the closing of the amended revolving credit facility, though the closing of such amendment is conditioned on the closing of the offering of Notes.</w:t>
      </w:r>
    </w:p>
    <w:p>
      <w:pPr>
        <w:spacing w:after="0" w:line="10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If the offering of Notes is consummated, the Company intends to use the net proceeds from the offering of Notes, together with the borrowings under the amended revolving credit facility, to (i) redeem all of the outstanding 5.750% notes due 2026, (ii) refinance outstanding</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revolving loans under the existing revolving credit facility, (iii) repay all amounts outstanding under the Company’s existing $150 million term loan facility and (iv) pay related fees and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Notes and related guarantees have not been and will not be registered under the Securities Act of 1933, as amended (the Securities</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Act), or any state securities laws, and may not be offered or sold in the United States absent registration or an applicable exemption from the registration requirements of the Securities Act and the rules promulgated thereunder. The Notes and related guarantees will be offered only</w:t>
      </w:r>
    </w:p>
    <w:p>
      <w:pPr>
        <w:spacing w:after="0" w:line="235" w:lineRule="auto"/>
        <w:rPr>
          <w:sz w:val="20"/>
          <w:szCs w:val="20"/>
          <w:color w:val="auto"/>
        </w:rPr>
      </w:pPr>
      <w:r>
        <w:rPr>
          <w:rFonts w:ascii="Arial" w:cs="Arial" w:eastAsia="Arial" w:hAnsi="Arial"/>
          <w:sz w:val="18"/>
          <w:szCs w:val="18"/>
          <w:color w:val="auto"/>
        </w:rPr>
        <w:t>to qualified institutional buyers in the United States pursuant to Rule 144A of the Securities Act and outside the United States to non-U.S.</w:t>
      </w:r>
    </w:p>
    <w:p>
      <w:pPr>
        <w:spacing w:after="0"/>
        <w:rPr>
          <w:sz w:val="20"/>
          <w:szCs w:val="20"/>
          <w:color w:val="auto"/>
        </w:rPr>
      </w:pPr>
      <w:r>
        <w:rPr>
          <w:rFonts w:ascii="Arial" w:cs="Arial" w:eastAsia="Arial" w:hAnsi="Arial"/>
          <w:sz w:val="18"/>
          <w:szCs w:val="18"/>
          <w:color w:val="auto"/>
        </w:rPr>
        <w:t>persons in reliance on Regulation S under the Securities Act.</w:t>
      </w:r>
    </w:p>
    <w:p>
      <w:pPr>
        <w:spacing w:after="0" w:line="12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This announcement does not constitute an offer to sell or a solicitation of an offer to buy any of the foregoing securities, nor shall there be any offer, solicitation or sale in any state or jurisdiction in which such an offer, solicitation or sale would be unlawful.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Certain statements in this announcement, including statements regarding the offering of the Notes, the anticipated amendment and</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restatement of the Company’s existing revolving credit facility and the Company’s intended use for the proceeds therefrom, may contain certain forward-looking statements that are based largely on the Company’s current expectations. Forward-looking statements are subject to</w:t>
      </w:r>
    </w:p>
    <w:p>
      <w:pPr>
        <w:spacing w:after="0" w:line="236" w:lineRule="auto"/>
        <w:rPr>
          <w:sz w:val="20"/>
          <w:szCs w:val="20"/>
          <w:color w:val="auto"/>
        </w:rPr>
      </w:pPr>
      <w:r>
        <w:rPr>
          <w:rFonts w:ascii="Arial" w:cs="Arial" w:eastAsia="Arial" w:hAnsi="Arial"/>
          <w:sz w:val="18"/>
          <w:szCs w:val="18"/>
          <w:color w:val="auto"/>
        </w:rPr>
        <w:t>certain risks and uncertainties that could cause actual results and achievements to differ materially from those expressed in the forward-</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looking statements. Such forward-looking statements only speak as of the date of this announcement, and the Company disclaims any obligation to update information contained in these forward-looking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Wallace R. Cooney</w:t>
      </w:r>
    </w:p>
    <w:p>
      <w:pPr>
        <w:spacing w:after="0" w:line="50" w:lineRule="exact"/>
        <w:rPr>
          <w:sz w:val="20"/>
          <w:szCs w:val="20"/>
          <w:color w:val="auto"/>
        </w:rPr>
      </w:pPr>
    </w:p>
    <w:p>
      <w:pPr>
        <w:ind w:left="1480" w:right="7580" w:hanging="10"/>
        <w:spacing w:after="0" w:line="368" w:lineRule="auto"/>
        <w:tabs>
          <w:tab w:leader="none" w:pos="1950" w:val="left"/>
        </w:tabs>
        <w:numPr>
          <w:ilvl w:val="0"/>
          <w:numId w:val="2"/>
        </w:numPr>
        <w:rPr>
          <w:rFonts w:ascii="Arial" w:cs="Arial" w:eastAsia="Arial" w:hAnsi="Arial"/>
          <w:sz w:val="17"/>
          <w:szCs w:val="17"/>
          <w:color w:val="auto"/>
        </w:rPr>
      </w:pPr>
      <w:r>
        <w:rPr>
          <w:rFonts w:ascii="Arial" w:cs="Arial" w:eastAsia="Arial" w:hAnsi="Arial"/>
          <w:sz w:val="17"/>
          <w:szCs w:val="17"/>
          <w:color w:val="auto"/>
        </w:rPr>
        <w:t>345-6470 wallace.cooney@ghco.com</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2025-11-13T17:04:43Z</dcterms:created>
  <dcterms:modified xsi:type="dcterms:W3CDTF">2025-11-13T17:04:43Z</dcterms:modified>
</cp:coreProperties>
</file>