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14" w:lineRule="exact"/>
        <w:rPr>
          <w:rFonts w:ascii="MS PGothic" w:cs="MS PGothic" w:eastAsia="MS PGothic" w:hAnsi="MS PGothic"/>
          <w:sz w:val="18"/>
          <w:szCs w:val="18"/>
          <w:color w:val="auto"/>
        </w:rPr>
      </w:pPr>
    </w:p>
    <w:p>
      <w:pPr>
        <w:ind w:left="37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2016</w:t>
      </w: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31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14"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35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40"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552"/>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231"/>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02" w:lineRule="exact"/>
        <w:rPr>
          <w:sz w:val="24"/>
          <w:szCs w:val="24"/>
          <w:color w:val="auto"/>
        </w:rPr>
      </w:pPr>
    </w:p>
    <w:p>
      <w:pPr>
        <w:ind w:right="2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78" w:lineRule="exact"/>
        <w:rPr>
          <w:sz w:val="24"/>
          <w:szCs w:val="24"/>
          <w:color w:val="auto"/>
        </w:rPr>
      </w:pPr>
    </w:p>
    <w:p>
      <w:pPr>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92" w:lineRule="exact"/>
        <w:rPr>
          <w:sz w:val="24"/>
          <w:szCs w:val="24"/>
          <w:color w:val="auto"/>
        </w:rPr>
      </w:pPr>
    </w:p>
    <w:p>
      <w:pPr>
        <w:ind w:right="340"/>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 reporting company” in Rule 12b-2 of the Exchange Act.</w:t>
      </w:r>
    </w:p>
    <w:p>
      <w:pPr>
        <w:spacing w:after="0" w:line="74" w:lineRule="exact"/>
        <w:rPr>
          <w:sz w:val="24"/>
          <w:szCs w:val="24"/>
          <w:color w:val="auto"/>
        </w:rPr>
      </w:pPr>
    </w:p>
    <w:p>
      <w:pPr>
        <w:ind w:left="40"/>
        <w:spacing w:after="0" w:line="189" w:lineRule="exact"/>
        <w:tabs>
          <w:tab w:leader="none" w:pos="2440" w:val="left"/>
          <w:tab w:leader="none" w:pos="4940" w:val="left"/>
          <w:tab w:leader="none" w:pos="5400" w:val="left"/>
          <w:tab w:leader="none" w:pos="7940" w:val="left"/>
          <w:tab w:leader="none" w:pos="1098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03"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July 29, 2016:</w:t>
      </w:r>
    </w:p>
    <w:p>
      <w:pPr>
        <w:spacing w:after="0" w:line="266"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4,652,319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1"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and Six Months Ended June 30, 2016 and 2015</w:t>
            </w:r>
          </w:p>
        </w:tc>
        <w:tc>
          <w:tcPr>
            <w:tcW w:w="180" w:type="dxa"/>
            <w:vAlign w:val="bottom"/>
            <w:gridSpan w:val="2"/>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95"/>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Income (Unaudited) for the Three and Six Months Ended June 30, 2016 and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2015</w:t>
            </w:r>
          </w:p>
        </w:tc>
        <w:tc>
          <w:tcPr>
            <w:tcW w:w="80" w:type="dxa"/>
            <w:vAlign w:val="bottom"/>
          </w:tcPr>
          <w:p>
            <w:pPr>
              <w:spacing w:after="0"/>
              <w:rPr>
                <w:sz w:val="13"/>
                <w:szCs w:val="13"/>
                <w:color w:val="auto"/>
              </w:rPr>
            </w:pPr>
          </w:p>
        </w:tc>
        <w:tc>
          <w:tcPr>
            <w:tcW w:w="100" w:type="dxa"/>
            <w:vAlign w:val="bottom"/>
            <w:tcBorders>
              <w:bottom w:val="single" w:sz="8" w:color="0000EE"/>
            </w:tcBorders>
          </w:tcPr>
          <w:p>
            <w:pPr>
              <w:jc w:val="right"/>
              <w:spacing w:after="0" w:line="160" w:lineRule="exact"/>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June 30, 2016 (Unaudited) and December 31, 2015</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Six Months Ended June 30, 2016 and 2015</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21</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29</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29</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840" w:type="dxa"/>
            <w:vAlign w:val="bottom"/>
          </w:tcPr>
          <w:p>
            <w:pPr>
              <w:spacing w:after="0"/>
              <w:rPr>
                <w:sz w:val="20"/>
                <w:szCs w:val="20"/>
                <w:color w:val="auto"/>
              </w:rPr>
            </w:pPr>
            <w:r>
              <w:rPr>
                <w:rFonts w:ascii="Arial" w:cs="Arial" w:eastAsia="Arial" w:hAnsi="Arial"/>
                <w:sz w:val="16"/>
                <w:szCs w:val="16"/>
                <w:color w:val="auto"/>
              </w:rPr>
              <w:t>Item 1A.</w:t>
            </w:r>
          </w:p>
        </w:tc>
        <w:tc>
          <w:tcPr>
            <w:tcW w:w="10340" w:type="dxa"/>
            <w:vAlign w:val="bottom"/>
          </w:tcPr>
          <w:p>
            <w:pPr>
              <w:ind w:left="80"/>
              <w:spacing w:after="0"/>
              <w:rPr>
                <w:sz w:val="20"/>
                <w:szCs w:val="20"/>
                <w:color w:val="auto"/>
              </w:rPr>
            </w:pPr>
            <w:r>
              <w:rPr>
                <w:rFonts w:ascii="Arial" w:cs="Arial" w:eastAsia="Arial" w:hAnsi="Arial"/>
                <w:sz w:val="16"/>
                <w:szCs w:val="16"/>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30</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30</w:t>
              </w:r>
            </w:hyperlink>
          </w:p>
        </w:tc>
      </w:tr>
      <w:tr>
        <w:trPr>
          <w:trHeight w:val="520"/>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31</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5">
              <w:r>
                <w:rPr>
                  <w:rFonts w:ascii="Arial" w:cs="Arial" w:eastAsia="Arial" w:hAnsi="Arial"/>
                  <w:sz w:val="16"/>
                  <w:szCs w:val="16"/>
                  <w:color w:val="0000EE"/>
                  <w:w w:val="89"/>
                </w:rPr>
                <w:t>32</w:t>
              </w:r>
            </w:hyperlink>
          </w:p>
        </w:tc>
      </w:tr>
    </w:tbl>
    <w:p>
      <w:pPr>
        <w:sectPr>
          <w:pgSz w:w="11900" w:h="16838" w:orient="portrait"/>
          <w:cols w:equalWidth="0" w:num="1">
            <w:col w:w="11360"/>
          </w:cols>
          <w:pgMar w:left="280" w:top="71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419,144</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523,625</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820,150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1,024,227</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70,901</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70,137</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139,059</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136,591</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138,888</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87,128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271,464</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167,497</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628,933</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680,890</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1,230,673</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1,328,315</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296,033</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311,121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587,665</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620,344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236,437</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276,412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471,650</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578,817</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16,045</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25,609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32,806</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47,806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6,278</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4,647</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12,540</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9,385</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6,876</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6,876</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554,793</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624,665</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1,104,661</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1,263,228</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74,140</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56,225</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126,012</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65,087</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(891)</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113</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721</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323</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1,312</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(7,971)</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(8,348)</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(15,919)</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(16,849)</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19,000</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11,678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34,096</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10,573</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84,999</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59,525</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145,614</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58,936</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23,800</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19,600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46,200</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20,500</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61,199</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39,925</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99,414</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38,436</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18,502</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41,791</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61,199</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58,427</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99,414</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80,227</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(433)</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(434)</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(868)</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60,766</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57,993</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98,546</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79,019</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18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60,766</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98,546</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57,782</w:t>
            </w: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78,388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60,766</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39,280</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98,546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36,597</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18,502</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41,791</w:t>
            </w:r>
          </w:p>
        </w:tc>
        <w:tc>
          <w:tcPr>
            <w:tcW w:w="0" w:type="dxa"/>
            <w:vAlign w:val="bottom"/>
          </w:tcPr>
          <w:p>
            <w:pPr>
              <w:spacing w:after="0"/>
              <w:rPr>
                <w:sz w:val="1"/>
                <w:szCs w:val="1"/>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60,766</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57,782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98,546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78,388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10.82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6.74</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17.42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10.82</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17.42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5,544</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5,720</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5,584</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10.76</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6.71</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17.33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3.16</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10.76</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17.33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5,574</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5,805</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5,613</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5,798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697" w:right="239" w:bottom="1043"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97" w:right="239" w:bottom="1043"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2220" w:type="dxa"/>
            <w:vAlign w:val="bottom"/>
            <w:gridSpan w:val="2"/>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June 30</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2016</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11"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280" w:right="1940"/>
        <w:spacing w:after="0" w:line="366" w:lineRule="auto"/>
        <w:rPr>
          <w:sz w:val="20"/>
          <w:szCs w:val="20"/>
          <w:color w:val="auto"/>
        </w:rPr>
      </w:pPr>
      <w:r>
        <w:rPr>
          <w:rFonts w:ascii="Arial" w:cs="Arial" w:eastAsia="Arial" w:hAnsi="Arial"/>
          <w:sz w:val="16"/>
          <w:szCs w:val="16"/>
          <w:color w:val="auto"/>
        </w:rPr>
        <w:t>Translation adjustments arising during the period Adjustment for sales of businesses with foreign operations</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losses on available-for-sale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losses for the period, net</w:t>
      </w:r>
    </w:p>
    <w:p>
      <w:pPr>
        <w:spacing w:after="0" w:line="59" w:lineRule="exact"/>
        <w:rPr>
          <w:sz w:val="20"/>
          <w:szCs w:val="20"/>
          <w:color w:val="auto"/>
        </w:rPr>
      </w:pPr>
    </w:p>
    <w:p>
      <w:pPr>
        <w:ind w:left="440" w:hanging="161"/>
        <w:spacing w:after="0" w:line="260" w:lineRule="auto"/>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right="1840"/>
        <w:spacing w:after="0" w:line="366" w:lineRule="auto"/>
        <w:rPr>
          <w:sz w:val="20"/>
          <w:szCs w:val="20"/>
          <w:color w:val="auto"/>
        </w:rPr>
      </w:pPr>
      <w:r>
        <w:rPr>
          <w:rFonts w:ascii="Arial" w:cs="Arial" w:eastAsia="Arial" w:hAnsi="Arial"/>
          <w:sz w:val="16"/>
          <w:szCs w:val="16"/>
          <w:color w:val="auto"/>
        </w:rPr>
        <w:t>Amortization of net prior service cost included in net income Amortization of net actuarial loss included in net income</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benefit related to items of other comprehensive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61,199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58,427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99,414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80,227</w:t>
            </w:r>
          </w:p>
        </w:tc>
      </w:tr>
      <w:tr>
        <w:trPr>
          <w:trHeight w:val="810"/>
        </w:trPr>
        <w:tc>
          <w:tcPr>
            <w:tcW w:w="24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(5,121)</w:t>
            </w:r>
          </w:p>
        </w:tc>
        <w:tc>
          <w:tcPr>
            <w:tcW w:w="30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5,249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(1,276)</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(6,839)</w:t>
            </w:r>
          </w:p>
        </w:tc>
      </w:tr>
      <w:tr>
        <w:trPr>
          <w:trHeight w:val="28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r>
      <w:tr>
        <w:trPr>
          <w:trHeight w:val="264"/>
        </w:trPr>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(5,121)</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4,765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(1,276)</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(7,364)</w:t>
            </w:r>
          </w:p>
        </w:tc>
      </w:tr>
      <w:tr>
        <w:trPr>
          <w:trHeight w:val="521"/>
        </w:trPr>
        <w:tc>
          <w:tcPr>
            <w:tcW w:w="24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(5,307)</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(11,455)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(4,964)</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(20,333)</w:t>
            </w:r>
          </w:p>
        </w:tc>
      </w:tr>
      <w:tr>
        <w:trPr>
          <w:trHeight w:val="445"/>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(4,502)</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(6,256)</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24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(9,809)</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(11,220)</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(20,333)</w:t>
            </w:r>
          </w:p>
        </w:tc>
      </w:tr>
      <w:tr>
        <w:trPr>
          <w:trHeight w:val="540"/>
        </w:trPr>
        <w:tc>
          <w:tcPr>
            <w:tcW w:w="24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105</w:t>
            </w:r>
          </w:p>
        </w:tc>
        <w:tc>
          <w:tcPr>
            <w:tcW w:w="30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209</w:t>
            </w:r>
          </w:p>
        </w:tc>
        <w:tc>
          <w:tcPr>
            <w:tcW w:w="3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28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579</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1,257</w:t>
            </w:r>
          </w:p>
        </w:tc>
      </w:tr>
      <w:tr>
        <w:trPr>
          <w:trHeight w:val="251"/>
        </w:trPr>
        <w:tc>
          <w:tcPr>
            <w:tcW w:w="2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394</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788</w:t>
            </w: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1,396</w:t>
            </w:r>
          </w:p>
        </w:tc>
      </w:tr>
      <w:tr>
        <w:trPr>
          <w:trHeight w:val="28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r>
      <w:tr>
        <w:trPr>
          <w:trHeight w:val="251"/>
        </w:trPr>
        <w:tc>
          <w:tcPr>
            <w:tcW w:w="24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(14,536)</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(11,708)</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(26,122)</w:t>
            </w:r>
          </w:p>
        </w:tc>
      </w:tr>
      <w:tr>
        <w:trPr>
          <w:trHeight w:val="28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3,766</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4,303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4,173</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7,505</w:t>
            </w:r>
          </w:p>
        </w:tc>
      </w:tr>
      <w:tr>
        <w:trPr>
          <w:trHeight w:val="264"/>
        </w:trPr>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(10,770)</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(7,535)</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(18,617)</w:t>
            </w:r>
          </w:p>
        </w:tc>
      </w:tr>
      <w:tr>
        <w:trPr>
          <w:trHeight w:val="251"/>
        </w:trPr>
        <w:tc>
          <w:tcPr>
            <w:tcW w:w="2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50,429</w:t>
            </w:r>
          </w:p>
        </w:tc>
        <w:tc>
          <w:tcPr>
            <w:tcW w:w="3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56,738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91,879</w:t>
            </w: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61,610</w:t>
            </w:r>
          </w:p>
        </w:tc>
      </w:tr>
      <w:tr>
        <w:trPr>
          <w:trHeight w:val="28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(433)</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w:t>
            </w:r>
          </w:p>
        </w:tc>
      </w:tr>
      <w:tr>
        <w:trPr>
          <w:trHeight w:val="264"/>
        </w:trPr>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49,996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56,304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91,011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60,402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400" w:space="580"/>
            <w:col w:w="4440"/>
          </w:cols>
          <w:pgMar w:left="240" w:top="711"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600,340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754,207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31,878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20,745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367,584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379,445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522,759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572,435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8,429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48,383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32,281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32,068</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64,142</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53,439</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1,627,413</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1,860,722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222,408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231,123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63,834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59,229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1,153,975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1,017,513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70,189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21,885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100,658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107,191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1,004,445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979,970</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85,717</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75,192</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4,328,639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4,352,825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451,044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428,014</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286,502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297,135</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6,797</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744,343</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725,149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Benefits Other Than Pensions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34,831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33,947</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191,660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203,280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71,510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70,678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403,890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403,316</w:t>
            </w:r>
          </w:p>
        </w:tc>
        <w:tc>
          <w:tcPr>
            <w:tcW w:w="0" w:type="dxa"/>
            <w:vAlign w:val="bottom"/>
          </w:tcPr>
          <w:p>
            <w:pPr>
              <w:spacing w:after="0"/>
              <w:rPr>
                <w:sz w:val="1"/>
                <w:szCs w:val="1"/>
                <w:color w:val="auto"/>
              </w:rPr>
            </w:pPr>
          </w:p>
        </w:tc>
      </w:tr>
      <w:tr>
        <w:trPr>
          <w:trHeight w:val="27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40" w:type="dxa"/>
            <w:vAlign w:val="bottom"/>
          </w:tcPr>
          <w:p>
            <w:pPr>
              <w:spacing w:after="0"/>
              <w:rPr>
                <w:sz w:val="24"/>
                <w:szCs w:val="24"/>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9,897</w:t>
            </w:r>
          </w:p>
        </w:tc>
        <w:tc>
          <w:tcPr>
            <w:tcW w:w="28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400,028</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399,800</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1,856,159</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1,836,170</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25,957</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357,178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356,887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5,525,689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5,447,677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 net of tax</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(6,125)</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available-for-sale securities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51,768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58,500</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261,502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261,029</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(3,737,532)</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(3,648,546)</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2,472,480</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2,490,698</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4,328,639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4,352,825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00"/>
          </w:cols>
          <w:pgMar w:left="240" w:top="697" w:right="259" w:bottom="449"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697" w:right="259" w:bottom="449"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99,414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80,227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amortization and long-lived asset impairment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45,346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135,881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(24,325)</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(22,872)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7,152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13,843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on disposition of businesses, property, plant and equipment, investments and other assets,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(62,273)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(7,040)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loss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29,527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3,219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on sale of equity affiliate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(4,827)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 of distributions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(113)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Benefit for deferred income taxes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(6,806)</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(11,133)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(1,635)</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49,786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26,950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4,612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47,530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(19,751)</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(45,219)</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38,989</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(120,480)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(15,459)</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(28,256)</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502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879</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135,468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77,290</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(200,336)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from disposition of businesses, property, plant and equipment, investments and other assets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36,771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3,019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22,837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(22,202)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(100,240)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(18,274)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equity affiliates and cost method investments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(2,387)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(16,834)</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(183,591)</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(114,055)</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(89,062)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 of noncontrolling interest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(21,000)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(13,736)</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(31,316)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550,000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(39,343)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Payments of financing costs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(9,865)</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19,896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16,534</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(103,902)</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486,010</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(1,842)</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(3,897)</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(153,867)</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445,348</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754,207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773,986</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600,340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1,219,334</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711"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11" w:right="239" w:bottom="1440" w:gutter="0" w:footer="0" w:header="0"/>
          <w:type w:val="continuous"/>
        </w:sectPr>
      </w:pPr>
    </w:p>
    <w:bookmarkStart w:id="6" w:name="page7"/>
    <w:bookmarkEnd w:id="6"/>
    <w:p>
      <w:pPr>
        <w:ind w:left="43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five television broadcasting stations. The Company's other business operations include home health and hospice services and manufacturing.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six months ended June 30, 2016 and 2015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2015.</w:t>
      </w:r>
    </w:p>
    <w:p>
      <w:pPr>
        <w:spacing w:after="0" w:line="138"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113" w:lineRule="exact"/>
        <w:rPr>
          <w:sz w:val="20"/>
          <w:szCs w:val="20"/>
          <w:color w:val="auto"/>
        </w:rPr>
      </w:pPr>
    </w:p>
    <w:p>
      <w:pPr>
        <w:jc w:val="both"/>
        <w:ind w:right="160"/>
        <w:spacing w:after="0" w:line="233" w:lineRule="auto"/>
        <w:rPr>
          <w:sz w:val="20"/>
          <w:szCs w:val="20"/>
          <w:color w:val="auto"/>
        </w:rPr>
      </w:pPr>
      <w:r>
        <w:rPr>
          <w:rFonts w:ascii="Arial" w:cs="Arial" w:eastAsia="Arial" w:hAnsi="Arial"/>
          <w:sz w:val="18"/>
          <w:szCs w:val="18"/>
          <w:b w:val="1"/>
          <w:bCs w:val="1"/>
          <w:color w:val="auto"/>
        </w:rPr>
        <w:t xml:space="preserve">Out of Period Adjustment </w:t>
      </w:r>
      <w:r>
        <w:rPr>
          <w:rFonts w:ascii="Arial" w:cs="Arial" w:eastAsia="Arial" w:hAnsi="Arial"/>
          <w:sz w:val="18"/>
          <w:szCs w:val="18"/>
          <w:color w:val="auto"/>
        </w:rPr>
        <w:t>– In the second quarter of 2016, the Company benefited from a favorable $5.6 million out of period adjustment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 for deferred income taxes related to the $ 248.6 million goodwill impairment at the KHE reporting unit in the third quarter of 2015. With respect to this error, the Company has concluded that it was not material to the Company’s financial position or results of operations for 2016 and 2015 and the related interim periods, based on its consideration of quantitative and qualitative factors.</w:t>
      </w:r>
    </w:p>
    <w:p>
      <w:pPr>
        <w:spacing w:after="0" w:line="115"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Early adoption is permitted only as of annual reporting periods beginning after December 15, 2016. The standard permits two implementation approaches, one requiring retrospective application of the new guidance with a restatement of prior years and one requiring prospective application of the new guidance with disclosure of results under the old guidance. The Company is in the process of evaluating the impact of this new guidance on its Condensed Consolidated Financial Statements and believes such evaluation will extend over several future periods because of the significance of the changes to the Company’s policies and business processes.</w:t>
      </w:r>
    </w:p>
    <w:p>
      <w:pPr>
        <w:spacing w:after="0" w:line="13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August 2014, the FASB issued new guidance that requires management to assess the Company’s ability to continue as a going concern and to provide related disclosures in certain circumstances. This guidance is effective for interim and fiscal years ending after December 15, 2016, with early adoption permitted. The Company does not expect this guidance to have an impact on its Condensed Consolidated Financial Statements.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7" w:right="239" w:bottom="1440" w:gutter="0" w:footer="0" w:header="0"/>
        </w:sectPr>
      </w:pPr>
    </w:p>
    <w:bookmarkStart w:id="7" w:name="page8"/>
    <w:bookmarkEnd w:id="7"/>
    <w:p>
      <w:pPr>
        <w:ind w:right="20"/>
        <w:spacing w:after="0" w:line="224" w:lineRule="auto"/>
        <w:rPr>
          <w:sz w:val="20"/>
          <w:szCs w:val="20"/>
          <w:color w:val="auto"/>
        </w:rPr>
      </w:pPr>
      <w:r>
        <w:rPr>
          <w:rFonts w:ascii="Arial" w:cs="Arial" w:eastAsia="Arial" w:hAnsi="Arial"/>
          <w:sz w:val="18"/>
          <w:szCs w:val="18"/>
          <w:color w:val="auto"/>
        </w:rPr>
        <w:t>In April 2015, the FASB issued new guidance that simplifies the presentation of debt issuance costs. The new guidance requires that debt issuance costs be reported in the balance sheet as a direct deduction from the gross amount of debt instead of classified as a deferred asset. The guidance is effective for interim and fiscal years beginning after December 15, 2015. The Company adopted the new guidance retrospectively as of January 1, 2016. Therefore, prior periods have been adjusted to reflect this guidance which resulted in the reclassification of $0.1 million of unamortized debt issuance costs related to the Company's 7.25% unsecured notes from deferred charges and other assets to long-term debt within its Condensed Consolidated Balance Sheet as of December 31, 2015.</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 Early adoption is not permitted. The Company is in the process of evaluating the impact of this new guidance on its Condensed Consolidated Financial Statements.</w:t>
      </w:r>
    </w:p>
    <w:p>
      <w:pPr>
        <w:spacing w:after="0" w:line="13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requires lessees and lessors to recognize and measure leases at the beginning of the earliest period presented using a modified retrospective approach. The Company is in the process of evaluating the impact of this new guidance on its Condensed Consolidated Financial Statements.</w:t>
      </w:r>
    </w:p>
    <w:p>
      <w:pPr>
        <w:spacing w:after="0" w:line="136"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In March 2016, the FASB issued new guidance that simplifies the accounting for stock-based compensation. The new guidance (i) requires all excess tax benefits and tax deficiencies to be recognized in the income statement with the tax effects of vested or exercised awards treated as discrete items. Additionally, excess tax benefits will be recognized regardless of whether the benefit reduces taxes payable in the current period, effectively eliminating the APIC pool, (ii) concludes excess tax benefits should be classified as an operating activity in the statement of cash flows, (iii) requires an entity to make an entity-wide accounting policy election to either estimate a forfeiture rate for awards or account for forfeitures as they occur, (iv) changes the threshold for equity classification for cash settlements of awards for withholding requirements to the maximum statutory tax rate in the applicable jurisdiction and (v) concludes cash paid by an employer when directly withholding shares for tax-withholding purposes should be classified as a financing activity in the statement of cash flows. The guidance is effective for interim and fiscal years beginning after December 15, 2016. Early adoption is permitted. The Company is in the process of evaluating the impact of this new guidance on its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44"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(the “Distribution Date”), the Company completed the spin-off of Cable One, Inc. (Cable ONE) as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publicly traded company. The transaction was structured as a tax-free spin-off of Cable ONE to the stockholders of the Company as one share of Cable ONE common stock was distributed for every share of Class A and Class B common stock of Graham</w:t>
      </w:r>
    </w:p>
    <w:p>
      <w:pPr>
        <w:spacing w:after="0" w:line="2"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Holdings outstanding on the June 15, 2015, record date. Cable ONE is now an independent public company trading on the New York Stock Exchange under the symbol “CABO”. After the spin, the Company does not beneficially own any shares of Cable ONE common stock.</w:t>
      </w:r>
    </w:p>
    <w:p>
      <w:pPr>
        <w:spacing w:after="0" w:line="120"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results of operations of Cable ONE are included in the Company’s Condensed Consolidated Statements of Operations as income from discontinued operations, net of tax, for 2015. The Company did not reclassify its Statements of Cash Flows to reflect the various discontinued operations.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19" w:right="259" w:bottom="1440" w:gutter="0" w:footer="0" w:header="0"/>
        </w:sectPr>
      </w:pPr>
    </w:p>
    <w:bookmarkStart w:id="8" w:name="page9"/>
    <w:bookmarkEnd w:id="8"/>
    <w:p>
      <w:pPr>
        <w:ind w:right="180"/>
        <w:spacing w:after="0" w:line="235" w:lineRule="auto"/>
        <w:rPr>
          <w:sz w:val="20"/>
          <w:szCs w:val="20"/>
          <w:color w:val="auto"/>
        </w:rPr>
      </w:pPr>
      <w:r>
        <w:rPr>
          <w:rFonts w:ascii="Arial" w:cs="Arial" w:eastAsia="Arial" w:hAnsi="Arial"/>
          <w:sz w:val="18"/>
          <w:szCs w:val="18"/>
          <w:color w:val="333333"/>
        </w:rPr>
        <w:t xml:space="preserve">Cash flows from Cable ONE for the </w:t>
      </w:r>
      <w:r>
        <w:rPr>
          <w:rFonts w:ascii="Arial" w:cs="Arial" w:eastAsia="Arial" w:hAnsi="Arial"/>
          <w:sz w:val="18"/>
          <w:szCs w:val="18"/>
          <w:color w:val="000000"/>
        </w:rPr>
        <w:t>three and six months ended June 30, 2015 are combined with the cash flows from operations within each</w:t>
      </w:r>
      <w:r>
        <w:rPr>
          <w:rFonts w:ascii="Arial" w:cs="Arial" w:eastAsia="Arial" w:hAnsi="Arial"/>
          <w:sz w:val="18"/>
          <w:szCs w:val="18"/>
          <w:color w:val="333333"/>
        </w:rPr>
        <w:t xml:space="preserve"> </w:t>
      </w:r>
      <w:r>
        <w:rPr>
          <w:rFonts w:ascii="Arial" w:cs="Arial" w:eastAsia="Arial" w:hAnsi="Arial"/>
          <w:sz w:val="18"/>
          <w:szCs w:val="18"/>
          <w:color w:val="000000"/>
        </w:rPr>
        <w:t>of the categories presented. Cash flows from Cable ONE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80" w:type="dxa"/>
            <w:vAlign w:val="bottom"/>
          </w:tcPr>
          <w:p>
            <w:pPr>
              <w:jc w:val="right"/>
              <w:ind w:right="263"/>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680" w:type="dxa"/>
            <w:vAlign w:val="bottom"/>
          </w:tcPr>
          <w:p>
            <w:pPr>
              <w:jc w:val="right"/>
              <w:ind w:right="303"/>
              <w:spacing w:after="0"/>
              <w:rPr>
                <w:sz w:val="20"/>
                <w:szCs w:val="20"/>
                <w:color w:val="auto"/>
              </w:rPr>
            </w:pPr>
            <w:r>
              <w:rPr>
                <w:rFonts w:ascii="Arial" w:cs="Arial" w:eastAsia="Arial" w:hAnsi="Arial"/>
                <w:sz w:val="14"/>
                <w:szCs w:val="14"/>
                <w:color w:val="auto"/>
              </w:rPr>
              <w:t>Six Months Ended</w:t>
            </w:r>
          </w:p>
        </w:tc>
      </w:tr>
      <w:tr>
        <w:trPr>
          <w:trHeight w:val="27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rPr>
              <w:t>June 30, 2015</w:t>
            </w: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June 30, 2015</w:t>
            </w:r>
          </w:p>
        </w:tc>
      </w:tr>
      <w:tr>
        <w:trPr>
          <w:trHeight w:val="250"/>
        </w:trPr>
        <w:tc>
          <w:tcPr>
            <w:tcW w:w="52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3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63"/>
              <w:spacing w:after="0"/>
              <w:rPr>
                <w:sz w:val="20"/>
                <w:szCs w:val="20"/>
                <w:color w:val="auto"/>
              </w:rPr>
            </w:pPr>
            <w:r>
              <w:rPr>
                <w:rFonts w:ascii="Arial" w:cs="Arial" w:eastAsia="Arial" w:hAnsi="Arial"/>
                <w:sz w:val="16"/>
                <w:szCs w:val="16"/>
                <w:color w:val="auto"/>
              </w:rPr>
              <w:t>76,917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3"/>
              <w:spacing w:after="0"/>
              <w:rPr>
                <w:sz w:val="20"/>
                <w:szCs w:val="20"/>
                <w:color w:val="auto"/>
              </w:rPr>
            </w:pPr>
            <w:r>
              <w:rPr>
                <w:rFonts w:ascii="Arial" w:cs="Arial" w:eastAsia="Arial" w:hAnsi="Arial"/>
                <w:sz w:val="16"/>
                <w:szCs w:val="16"/>
                <w:color w:val="auto"/>
              </w:rPr>
              <w:t>116,133</w:t>
            </w: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380" w:type="dxa"/>
            <w:vAlign w:val="bottom"/>
          </w:tcPr>
          <w:p>
            <w:pPr>
              <w:spacing w:after="0"/>
              <w:rPr>
                <w:sz w:val="23"/>
                <w:szCs w:val="23"/>
                <w:color w:val="auto"/>
              </w:rPr>
            </w:pPr>
          </w:p>
        </w:tc>
        <w:tc>
          <w:tcPr>
            <w:tcW w:w="1780" w:type="dxa"/>
            <w:vAlign w:val="bottom"/>
          </w:tcPr>
          <w:p>
            <w:pPr>
              <w:jc w:val="right"/>
              <w:ind w:right="23"/>
              <w:spacing w:after="0"/>
              <w:rPr>
                <w:sz w:val="20"/>
                <w:szCs w:val="20"/>
                <w:color w:val="auto"/>
              </w:rPr>
            </w:pPr>
            <w:r>
              <w:rPr>
                <w:rFonts w:ascii="Arial" w:cs="Arial" w:eastAsia="Arial" w:hAnsi="Arial"/>
                <w:sz w:val="16"/>
                <w:szCs w:val="16"/>
                <w:color w:val="auto"/>
              </w:rPr>
              <w:t>(37,007)</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(74,416)</w:t>
            </w:r>
          </w:p>
        </w:tc>
      </w:tr>
    </w:tbl>
    <w:p>
      <w:pPr>
        <w:spacing w:after="0" w:line="159"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b w:val="1"/>
          <w:bCs w:val="1"/>
          <w:color w:val="auto"/>
        </w:rPr>
        <w:t xml:space="preserve">Other Discontinued Operations. </w:t>
      </w:r>
      <w:r>
        <w:rPr>
          <w:rFonts w:ascii="Arial" w:cs="Arial" w:eastAsia="Arial" w:hAnsi="Arial"/>
          <w:sz w:val="18"/>
          <w:szCs w:val="18"/>
          <w:color w:val="auto"/>
        </w:rPr>
        <w:t>In the third quarter of 2014, Kaplan completed the sale of three of its schools in China that were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as part of Kaplan International. An additional school in China was sold by Kaplan in January of 2015 that resulted in a pre-tax loss of $0.7 million. The results of operations of the schools in China are included in the Company’s Condensed Consolidated Statements of Operations as income from discontinued operations, net of tax, for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from discontinued operations, net of tax,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20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600" w:type="dxa"/>
            <w:vAlign w:val="bottom"/>
          </w:tcPr>
          <w:p>
            <w:pPr>
              <w:jc w:val="right"/>
              <w:ind w:right="240"/>
              <w:spacing w:after="0"/>
              <w:rPr>
                <w:sz w:val="20"/>
                <w:szCs w:val="20"/>
                <w:color w:val="auto"/>
              </w:rPr>
            </w:pPr>
            <w:r>
              <w:rPr>
                <w:rFonts w:ascii="Arial" w:cs="Arial" w:eastAsia="Arial" w:hAnsi="Arial"/>
                <w:sz w:val="14"/>
                <w:szCs w:val="14"/>
                <w:color w:val="auto"/>
              </w:rPr>
              <w:t>Six Months Ended</w:t>
            </w:r>
          </w:p>
        </w:tc>
      </w:tr>
      <w:tr>
        <w:trPr>
          <w:trHeight w:val="276"/>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June 30, 2015</w:t>
            </w: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June 30, 2015</w:t>
            </w:r>
          </w:p>
        </w:tc>
      </w:tr>
      <w:tr>
        <w:trPr>
          <w:trHeight w:val="250"/>
        </w:trPr>
        <w:tc>
          <w:tcPr>
            <w:tcW w:w="754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0"/>
              <w:spacing w:after="0"/>
              <w:rPr>
                <w:sz w:val="20"/>
                <w:szCs w:val="20"/>
                <w:color w:val="auto"/>
              </w:rPr>
            </w:pPr>
            <w:r>
              <w:rPr>
                <w:rFonts w:ascii="Arial" w:cs="Arial" w:eastAsia="Arial" w:hAnsi="Arial"/>
                <w:sz w:val="16"/>
                <w:szCs w:val="16"/>
                <w:color w:val="auto"/>
              </w:rPr>
              <w:t>198,681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397,404</w:t>
            </w:r>
          </w:p>
        </w:tc>
      </w:tr>
      <w:tr>
        <w:trPr>
          <w:trHeight w:val="283"/>
        </w:trPr>
        <w:tc>
          <w:tcPr>
            <w:tcW w:w="754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(166,010)</w:t>
            </w: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(327,041)</w:t>
            </w:r>
          </w:p>
        </w:tc>
      </w:tr>
      <w:tr>
        <w:trPr>
          <w:trHeight w:val="251"/>
        </w:trPr>
        <w:tc>
          <w:tcPr>
            <w:tcW w:w="75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00" w:type="dxa"/>
            <w:vAlign w:val="bottom"/>
          </w:tcPr>
          <w:p>
            <w:pPr>
              <w:spacing w:after="0"/>
              <w:rPr>
                <w:sz w:val="21"/>
                <w:szCs w:val="21"/>
                <w:color w:val="auto"/>
              </w:rPr>
            </w:pPr>
          </w:p>
        </w:tc>
        <w:tc>
          <w:tcPr>
            <w:tcW w:w="1680" w:type="dxa"/>
            <w:vAlign w:val="bottom"/>
          </w:tcPr>
          <w:p>
            <w:pPr>
              <w:jc w:val="right"/>
              <w:ind w:right="60"/>
              <w:spacing w:after="0"/>
              <w:rPr>
                <w:sz w:val="20"/>
                <w:szCs w:val="20"/>
                <w:color w:val="auto"/>
              </w:rPr>
            </w:pPr>
            <w:r>
              <w:rPr>
                <w:rFonts w:ascii="Arial" w:cs="Arial" w:eastAsia="Arial" w:hAnsi="Arial"/>
                <w:sz w:val="16"/>
                <w:szCs w:val="16"/>
                <w:color w:val="auto"/>
              </w:rPr>
              <w:t>32,671</w:t>
            </w:r>
          </w:p>
        </w:tc>
        <w:tc>
          <w:tcPr>
            <w:tcW w:w="300" w:type="dxa"/>
            <w:vAlign w:val="bottom"/>
          </w:tcPr>
          <w:p>
            <w:pPr>
              <w:spacing w:after="0"/>
              <w:rPr>
                <w:sz w:val="21"/>
                <w:szCs w:val="21"/>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70,363</w:t>
            </w:r>
          </w:p>
        </w:tc>
      </w:tr>
      <w:tr>
        <w:trPr>
          <w:trHeight w:val="283"/>
        </w:trPr>
        <w:tc>
          <w:tcPr>
            <w:tcW w:w="7540" w:type="dxa"/>
            <w:vAlign w:val="bottom"/>
          </w:tcPr>
          <w:p>
            <w:pPr>
              <w:ind w:left="40"/>
              <w:spacing w:after="0"/>
              <w:rPr>
                <w:sz w:val="20"/>
                <w:szCs w:val="20"/>
                <w:color w:val="auto"/>
              </w:rPr>
            </w:pPr>
            <w:r>
              <w:rPr>
                <w:rFonts w:ascii="Arial" w:cs="Arial" w:eastAsia="Arial" w:hAnsi="Arial"/>
                <w:sz w:val="16"/>
                <w:szCs w:val="16"/>
                <w:color w:val="auto"/>
              </w:rPr>
              <w:t>Non-operating expense</w:t>
            </w: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r>
      <w:tr>
        <w:trPr>
          <w:trHeight w:val="251"/>
        </w:trPr>
        <w:tc>
          <w:tcPr>
            <w:tcW w:w="7540" w:type="dxa"/>
            <w:vAlign w:val="bottom"/>
          </w:tcPr>
          <w:p>
            <w:pPr>
              <w:ind w:left="4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Pr>
          <w:p>
            <w:pPr>
              <w:spacing w:after="0"/>
              <w:rPr>
                <w:sz w:val="21"/>
                <w:szCs w:val="21"/>
                <w:color w:val="auto"/>
              </w:rPr>
            </w:pPr>
          </w:p>
        </w:tc>
        <w:tc>
          <w:tcPr>
            <w:tcW w:w="1680" w:type="dxa"/>
            <w:vAlign w:val="bottom"/>
          </w:tcPr>
          <w:p>
            <w:pPr>
              <w:jc w:val="right"/>
              <w:ind w:right="60"/>
              <w:spacing w:after="0"/>
              <w:rPr>
                <w:sz w:val="20"/>
                <w:szCs w:val="20"/>
                <w:color w:val="auto"/>
              </w:rPr>
            </w:pPr>
            <w:r>
              <w:rPr>
                <w:rFonts w:ascii="Arial" w:cs="Arial" w:eastAsia="Arial" w:hAnsi="Arial"/>
                <w:sz w:val="16"/>
                <w:szCs w:val="16"/>
                <w:color w:val="auto"/>
              </w:rPr>
              <w:t>31,402</w:t>
            </w:r>
          </w:p>
        </w:tc>
        <w:tc>
          <w:tcPr>
            <w:tcW w:w="300" w:type="dxa"/>
            <w:vAlign w:val="bottom"/>
          </w:tcPr>
          <w:p>
            <w:pPr>
              <w:spacing w:after="0"/>
              <w:rPr>
                <w:sz w:val="21"/>
                <w:szCs w:val="21"/>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69,075</w:t>
            </w:r>
          </w:p>
        </w:tc>
      </w:tr>
      <w:tr>
        <w:trPr>
          <w:trHeight w:val="283"/>
        </w:trPr>
        <w:tc>
          <w:tcPr>
            <w:tcW w:w="75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12,900</w:t>
            </w: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26,500</w:t>
            </w:r>
          </w:p>
        </w:tc>
      </w:tr>
      <w:tr>
        <w:trPr>
          <w:trHeight w:val="251"/>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Net Income from Discontinued Operations</w:t>
            </w:r>
          </w:p>
        </w:tc>
        <w:tc>
          <w:tcPr>
            <w:tcW w:w="300" w:type="dxa"/>
            <w:vAlign w:val="bottom"/>
          </w:tcPr>
          <w:p>
            <w:pPr>
              <w:spacing w:after="0"/>
              <w:rPr>
                <w:sz w:val="21"/>
                <w:szCs w:val="21"/>
                <w:color w:val="auto"/>
              </w:rPr>
            </w:pPr>
          </w:p>
        </w:tc>
        <w:tc>
          <w:tcPr>
            <w:tcW w:w="1680" w:type="dxa"/>
            <w:vAlign w:val="bottom"/>
          </w:tcPr>
          <w:p>
            <w:pPr>
              <w:jc w:val="right"/>
              <w:ind w:right="60"/>
              <w:spacing w:after="0"/>
              <w:rPr>
                <w:sz w:val="20"/>
                <w:szCs w:val="20"/>
                <w:color w:val="auto"/>
              </w:rPr>
            </w:pPr>
            <w:r>
              <w:rPr>
                <w:rFonts w:ascii="Arial" w:cs="Arial" w:eastAsia="Arial" w:hAnsi="Arial"/>
                <w:sz w:val="16"/>
                <w:szCs w:val="16"/>
                <w:color w:val="auto"/>
              </w:rPr>
              <w:t>18,502</w:t>
            </w:r>
          </w:p>
        </w:tc>
        <w:tc>
          <w:tcPr>
            <w:tcW w:w="300" w:type="dxa"/>
            <w:vAlign w:val="bottom"/>
          </w:tcPr>
          <w:p>
            <w:pPr>
              <w:spacing w:after="0"/>
              <w:rPr>
                <w:sz w:val="21"/>
                <w:szCs w:val="21"/>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42,575</w:t>
            </w:r>
          </w:p>
        </w:tc>
      </w:tr>
      <w:tr>
        <w:trPr>
          <w:trHeight w:val="270"/>
        </w:trPr>
        <w:tc>
          <w:tcPr>
            <w:tcW w:w="7540" w:type="dxa"/>
            <w:vAlign w:val="bottom"/>
          </w:tcPr>
          <w:p>
            <w:pPr>
              <w:ind w:left="40"/>
              <w:spacing w:after="0"/>
              <w:rPr>
                <w:sz w:val="20"/>
                <w:szCs w:val="20"/>
                <w:color w:val="auto"/>
              </w:rPr>
            </w:pPr>
            <w:r>
              <w:rPr>
                <w:rFonts w:ascii="Arial" w:cs="Arial" w:eastAsia="Arial" w:hAnsi="Arial"/>
                <w:sz w:val="16"/>
                <w:szCs w:val="16"/>
                <w:color w:val="auto"/>
              </w:rPr>
              <w:t>Loss on sale of discontinued operations</w:t>
            </w:r>
          </w:p>
        </w:tc>
        <w:tc>
          <w:tcPr>
            <w:tcW w:w="300" w:type="dxa"/>
            <w:vAlign w:val="bottom"/>
          </w:tcPr>
          <w:p>
            <w:pPr>
              <w:spacing w:after="0"/>
              <w:rPr>
                <w:sz w:val="23"/>
                <w:szCs w:val="23"/>
                <w:color w:val="auto"/>
              </w:rPr>
            </w:pPr>
          </w:p>
        </w:tc>
        <w:tc>
          <w:tcPr>
            <w:tcW w:w="1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83"/>
        </w:trPr>
        <w:tc>
          <w:tcPr>
            <w:tcW w:w="7540" w:type="dxa"/>
            <w:vAlign w:val="bottom"/>
          </w:tcPr>
          <w:p>
            <w:pPr>
              <w:ind w:left="40"/>
              <w:spacing w:after="0"/>
              <w:rPr>
                <w:sz w:val="20"/>
                <w:szCs w:val="20"/>
                <w:color w:val="auto"/>
              </w:rPr>
            </w:pPr>
            <w:r>
              <w:rPr>
                <w:rFonts w:ascii="Arial" w:cs="Arial" w:eastAsia="Arial" w:hAnsi="Arial"/>
                <w:sz w:val="16"/>
                <w:szCs w:val="16"/>
                <w:color w:val="auto"/>
              </w:rPr>
              <w:t>Provision for income taxes on disposition of discontinued operations</w:t>
            </w: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r>
      <w:tr>
        <w:trPr>
          <w:trHeight w:val="267"/>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18,502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41,791</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66" w:lineRule="exact"/>
        <w:rPr>
          <w:sz w:val="20"/>
          <w:szCs w:val="20"/>
          <w:color w:val="auto"/>
        </w:rPr>
      </w:pPr>
    </w:p>
    <w:p>
      <w:pPr>
        <w:jc w:val="both"/>
        <w:ind w:right="560"/>
        <w:spacing w:after="0" w:line="229" w:lineRule="auto"/>
        <w:rPr>
          <w:sz w:val="20"/>
          <w:szCs w:val="20"/>
          <w:color w:val="auto"/>
        </w:rPr>
      </w:pPr>
      <w:r>
        <w:rPr>
          <w:rFonts w:ascii="Arial" w:cs="Arial" w:eastAsia="Arial" w:hAnsi="Arial"/>
          <w:sz w:val="18"/>
          <w:szCs w:val="18"/>
          <w:color w:val="auto"/>
        </w:rPr>
        <w:t>As of June 30, 2016 and December 31, 2015, the Company had commercial paper and money market investments of $454.7 million and $433.0 million, respectively, that are classified as cash, cash equivalents and restricted cash in the Company's Condensed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83"/>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2015</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3"/>
              <w:spacing w:after="0"/>
              <w:rPr>
                <w:sz w:val="20"/>
                <w:szCs w:val="20"/>
                <w:color w:val="auto"/>
              </w:rPr>
            </w:pPr>
            <w:r>
              <w:rPr>
                <w:rFonts w:ascii="Arial" w:cs="Arial" w:eastAsia="Arial" w:hAnsi="Arial"/>
                <w:sz w:val="16"/>
                <w:szCs w:val="16"/>
                <w:b w:val="1"/>
                <w:bCs w:val="1"/>
                <w:color w:val="auto"/>
              </w:rPr>
              <w:t>254,352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253,062</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40" w:type="dxa"/>
            <w:vAlign w:val="bottom"/>
          </w:tcPr>
          <w:p>
            <w:pPr>
              <w:spacing w:after="0"/>
              <w:rPr>
                <w:sz w:val="23"/>
                <w:szCs w:val="23"/>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b w:val="1"/>
                <w:bCs w:val="1"/>
                <w:color w:val="auto"/>
              </w:rPr>
              <w:t>95,490</w:t>
            </w:r>
          </w:p>
        </w:tc>
        <w:tc>
          <w:tcPr>
            <w:tcW w:w="24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97,741</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losses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(9,209)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340,633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350,563</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settled on $18.3 million of marketable equity securities purchases during the first six months of 2016, of which $ 17.9 million was purchased in the first six months. There were no new investments in marketable equity securities during the first six months of 2015.</w:t>
      </w:r>
    </w:p>
    <w:p>
      <w:pPr>
        <w:spacing w:after="0" w:line="13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total proceeds from the sales of marketable equity securities for the first six months of 2016 were $22.8 million, with realized gains of $6.3 million. There were no sales of marketable equity securities in the first six months of 2015.</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As of June 30, 2016, the Company held an approximate 20% interest in HomeHero and interests in several other affiliates; Residential Healthcare (Residential) held a 40% interest in Residential Home Health Illinois, a 42.5% interest in Residential Hospice Illinois and a 40% interest in the joint venture formed between Residential and a Michigan hospital; and Celtic Healthcare (Celtic) held a 40% interest in the joint venture formed between Celtic Healthcare and Allegheny Health Network (AHN) (see Note 4).</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1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ACQUISITIONS AND DISPOSITIONS OF BUSINESSES</w:t>
      </w:r>
    </w:p>
    <w:p>
      <w:pPr>
        <w:spacing w:after="0" w:line="14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May 2016, Graham Media Group entered into an agreement to acquire two television stations for $60 million in cash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 of certain pension obligations. The acquisition is subject to approval by the Federal Communications Commission, other regulatory approvals and the satisfaction of closing conditions.</w:t>
      </w:r>
    </w:p>
    <w:p>
      <w:pPr>
        <w:spacing w:after="0" w:line="13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the first six months of 2016, the Company acquired three businesses included in its education division totaling $208.7 million. In January and February 2016, Kaplan acquired a 100% interest in Mander Portman Woodward, a leading provider of high-quality, bespoke education to UK and international students in London, Cambridge and Birmingham; and a 100% interest in Osborne Books, an educational publisher of learning resources for accounting qualifications in the UK. These acquisitions are included in Kaplan International. In the first six months of 2015, the Company did not make any acquisitions.</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Acquisition-related costs were expensed as incurred and were not significant. The aggregate purchase price of these 2016 acquisitions was allocated as follows on a preliminary basis: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4500" w:type="dxa"/>
            <w:vAlign w:val="bottom"/>
            <w:gridSpan w:val="2"/>
          </w:tcPr>
          <w:p>
            <w:pPr>
              <w:jc w:val="center"/>
              <w:ind w:left="2482"/>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tcPr>
          <w:p>
            <w:pPr>
              <w:jc w:val="right"/>
              <w:ind w:right="140"/>
              <w:spacing w:after="0"/>
              <w:rPr>
                <w:sz w:val="20"/>
                <w:szCs w:val="20"/>
                <w:color w:val="auto"/>
              </w:rPr>
            </w:pPr>
            <w:r>
              <w:rPr>
                <w:rFonts w:ascii="Arial" w:cs="Arial" w:eastAsia="Arial" w:hAnsi="Arial"/>
                <w:sz w:val="14"/>
                <w:szCs w:val="14"/>
                <w:b w:val="1"/>
                <w:bCs w:val="1"/>
                <w:color w:val="auto"/>
              </w:rPr>
              <w:t>Purchase Price</w:t>
            </w: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500" w:type="dxa"/>
            <w:vAlign w:val="bottom"/>
            <w:tcBorders>
              <w:bottom w:val="single" w:sz="8" w:color="auto"/>
            </w:tcBorders>
            <w:gridSpan w:val="2"/>
          </w:tcPr>
          <w:p>
            <w:pPr>
              <w:jc w:val="center"/>
              <w:ind w:left="2482"/>
              <w:spacing w:after="0"/>
              <w:rPr>
                <w:sz w:val="20"/>
                <w:szCs w:val="20"/>
                <w:color w:val="auto"/>
              </w:rPr>
            </w:pPr>
            <w:r>
              <w:rPr>
                <w:rFonts w:ascii="Arial" w:cs="Arial" w:eastAsia="Arial" w:hAnsi="Arial"/>
                <w:sz w:val="14"/>
                <w:szCs w:val="14"/>
                <w:b w:val="1"/>
                <w:bCs w:val="1"/>
                <w:color w:val="auto"/>
              </w:rPr>
              <w:t>Life</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Allocation</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4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8,370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6,065</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748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1,940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Goodwill</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161,399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53,110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4500" w:type="dxa"/>
            <w:vAlign w:val="bottom"/>
            <w:gridSpan w:val="2"/>
          </w:tcPr>
          <w:p>
            <w:pPr>
              <w:ind w:left="3660"/>
              <w:spacing w:after="0"/>
              <w:rPr>
                <w:sz w:val="20"/>
                <w:szCs w:val="20"/>
                <w:color w:val="auto"/>
              </w:rPr>
            </w:pPr>
            <w:r>
              <w:rPr>
                <w:rFonts w:ascii="Arial" w:cs="Arial" w:eastAsia="Arial" w:hAnsi="Arial"/>
                <w:sz w:val="16"/>
                <w:szCs w:val="16"/>
                <w:color w:val="auto"/>
              </w:rPr>
              <w:t>3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5,174</w:t>
            </w:r>
          </w:p>
        </w:tc>
      </w:tr>
      <w:tr>
        <w:trPr>
          <w:trHeight w:val="283"/>
        </w:trPr>
        <w:tc>
          <w:tcPr>
            <w:tcW w:w="562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4320" w:type="dxa"/>
            <w:vAlign w:val="bottom"/>
          </w:tcPr>
          <w:p>
            <w:pPr>
              <w:ind w:left="3660"/>
              <w:spacing w:after="0"/>
              <w:rPr>
                <w:sz w:val="20"/>
                <w:szCs w:val="20"/>
                <w:color w:val="auto"/>
              </w:rPr>
            </w:pPr>
            <w:r>
              <w:rPr>
                <w:rFonts w:ascii="Arial" w:cs="Arial" w:eastAsia="Arial" w:hAnsi="Arial"/>
                <w:sz w:val="16"/>
                <w:szCs w:val="16"/>
                <w:color w:val="auto"/>
              </w:rPr>
              <w:t>5 years</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1,347</w:t>
            </w:r>
          </w:p>
        </w:tc>
      </w:tr>
      <w:tr>
        <w:trPr>
          <w:trHeight w:val="237"/>
        </w:trPr>
        <w:tc>
          <w:tcPr>
            <w:tcW w:w="5620" w:type="dxa"/>
            <w:vAlign w:val="bottom"/>
          </w:tcPr>
          <w:p>
            <w:pPr>
              <w:spacing w:after="0"/>
              <w:rPr>
                <w:sz w:val="20"/>
                <w:szCs w:val="20"/>
                <w:color w:val="auto"/>
              </w:rPr>
            </w:pPr>
          </w:p>
        </w:tc>
        <w:tc>
          <w:tcPr>
            <w:tcW w:w="4500" w:type="dxa"/>
            <w:vAlign w:val="bottom"/>
            <w:gridSpan w:val="2"/>
          </w:tcPr>
          <w:p>
            <w:pPr>
              <w:ind w:left="3660"/>
              <w:spacing w:after="0"/>
              <w:rPr>
                <w:sz w:val="20"/>
                <w:szCs w:val="20"/>
                <w:color w:val="auto"/>
              </w:rPr>
            </w:pPr>
            <w:r>
              <w:rPr>
                <w:rFonts w:ascii="Arial" w:cs="Arial" w:eastAsia="Arial" w:hAnsi="Arial"/>
                <w:sz w:val="16"/>
                <w:szCs w:val="16"/>
                <w:color w:val="auto"/>
              </w:rPr>
              <w:t>3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6,521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(18,353)</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4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(11,094)</w:t>
            </w:r>
          </w:p>
        </w:tc>
      </w:tr>
      <w:tr>
        <w:trPr>
          <w:trHeight w:val="237"/>
        </w:trPr>
        <w:tc>
          <w:tcPr>
            <w:tcW w:w="5620" w:type="dxa"/>
            <w:vAlign w:val="bottom"/>
          </w:tcPr>
          <w:p>
            <w:pPr>
              <w:spacing w:after="0"/>
              <w:rPr>
                <w:sz w:val="20"/>
                <w:szCs w:val="20"/>
                <w:color w:val="auto"/>
              </w:rPr>
            </w:pPr>
          </w:p>
        </w:tc>
        <w:tc>
          <w:tcPr>
            <w:tcW w:w="4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208,706</w:t>
            </w:r>
          </w:p>
        </w:tc>
      </w:tr>
      <w:tr>
        <w:trPr>
          <w:trHeight w:val="20"/>
        </w:trPr>
        <w:tc>
          <w:tcPr>
            <w:tcW w:w="56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fair values recorded were based upon preliminary valuations and the estimates and assumptions used in such valuations are subject to change, which could be significant, within the measurement period (up to one year from the acquisition date). The recording of deferred tax assets or liabilities, and the final amount of residual goodwill are not yet finalized. The Company expects no tax basis of goodwill for income tax purposes from these three acquisitions.</w:t>
      </w:r>
    </w:p>
    <w:p>
      <w:pPr>
        <w:spacing w:after="0" w:line="13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include aggregate revenues and operating income for the companies acquired in 2016 of $13.9 million and $5.1 million, respectively, for the second quarter of 2016 and $25.3 million and $8.9 million, respectively, for the first six months of 2016. The following unaudited pro forma financial information presents the Company’s results as if the acquisitions had occurred at the beginning of 2015. The unaudited pro forma information also includes the 2015 acquisitions as if they occurred at the beginning of 2014: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Three Months Ended</w:t>
            </w:r>
          </w:p>
        </w:tc>
        <w:tc>
          <w:tcPr>
            <w:tcW w:w="248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2015</w:t>
            </w:r>
          </w:p>
        </w:tc>
        <w:tc>
          <w:tcPr>
            <w:tcW w:w="12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b w:val="1"/>
                <w:bCs w:val="1"/>
                <w:color w:val="auto"/>
              </w:rPr>
              <w:t>628,933</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740,593</w:t>
            </w:r>
          </w:p>
        </w:tc>
        <w:tc>
          <w:tcPr>
            <w:tcW w:w="1260" w:type="dxa"/>
            <w:vAlign w:val="bottom"/>
          </w:tcPr>
          <w:p>
            <w:pPr>
              <w:jc w:val="right"/>
              <w:ind w:right="64"/>
              <w:spacing w:after="0"/>
              <w:rPr>
                <w:sz w:val="20"/>
                <w:szCs w:val="20"/>
                <w:color w:val="auto"/>
              </w:rPr>
            </w:pPr>
            <w:r>
              <w:rPr>
                <w:rFonts w:ascii="Arial" w:cs="Arial" w:eastAsia="Arial" w:hAnsi="Arial"/>
                <w:sz w:val="16"/>
                <w:szCs w:val="16"/>
                <w:b w:val="1"/>
                <w:bCs w:val="1"/>
                <w:color w:val="auto"/>
              </w:rPr>
              <w:t>$  1,230,852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1,440,903</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3"/>
                <w:szCs w:val="23"/>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b w:val="1"/>
                <w:bCs w:val="1"/>
                <w:color w:val="auto"/>
              </w:rPr>
              <w:t>62,133</w:t>
            </w:r>
          </w:p>
        </w:tc>
        <w:tc>
          <w:tcPr>
            <w:tcW w:w="420" w:type="dxa"/>
            <w:vAlign w:val="bottom"/>
          </w:tcPr>
          <w:p>
            <w:pPr>
              <w:spacing w:after="0"/>
              <w:rPr>
                <w:sz w:val="23"/>
                <w:szCs w:val="23"/>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65,341</w:t>
            </w:r>
          </w:p>
        </w:tc>
        <w:tc>
          <w:tcPr>
            <w:tcW w:w="1260" w:type="dxa"/>
            <w:vAlign w:val="bottom"/>
          </w:tcPr>
          <w:p>
            <w:pPr>
              <w:jc w:val="right"/>
              <w:ind w:right="64"/>
              <w:spacing w:after="0"/>
              <w:rPr>
                <w:sz w:val="20"/>
                <w:szCs w:val="20"/>
                <w:color w:val="auto"/>
              </w:rPr>
            </w:pPr>
            <w:r>
              <w:rPr>
                <w:rFonts w:ascii="Arial" w:cs="Arial" w:eastAsia="Arial" w:hAnsi="Arial"/>
                <w:sz w:val="16"/>
                <w:szCs w:val="16"/>
                <w:b w:val="1"/>
                <w:bCs w:val="1"/>
                <w:color w:val="auto"/>
              </w:rPr>
              <w:t>102,225</w:t>
            </w:r>
          </w:p>
        </w:tc>
        <w:tc>
          <w:tcPr>
            <w:tcW w:w="3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90,915</w:t>
            </w:r>
          </w:p>
        </w:tc>
      </w:tr>
    </w:tbl>
    <w:p>
      <w:pPr>
        <w:spacing w:after="0" w:line="16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They are not the results that would have been realized had these entities been part of the Company during the periods presented and are not necessarily indicative of the Company’s consolidated results of operations in future periods.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November 13, 2015, the Company acquired a 100% interest in Group Dekko, a Garrett, IN-based manufacturer of electrical solutions for applications across three business lines: workspace power solutions, architectural lighting, and electrical components and assemblies, which is included in other businesses. On December 22, 2015, Kaplan acquired a 100% interest in SmartPros, a provider of accredited professional education and training, primarily in accountancy, which is included in Higher Education.</w:t>
      </w:r>
    </w:p>
    <w:p>
      <w:pPr>
        <w:sectPr>
          <w:pgSz w:w="11900" w:h="16838" w:orient="portrait"/>
          <w:cols w:equalWidth="0" w:num="1">
            <w:col w:w="11420"/>
          </w:cols>
          <w:pgMar w:left="240" w:top="697"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97" w:right="239" w:bottom="1440" w:gutter="0" w:footer="0" w:header="0"/>
          <w:type w:val="continuous"/>
        </w:sectPr>
      </w:pPr>
    </w:p>
    <w:bookmarkStart w:id="10" w:name="page11"/>
    <w:bookmarkEnd w:id="10"/>
    <w:p>
      <w:pPr>
        <w:ind w:right="4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 (see Note 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January 2016, Kaplan completed the sale of Colloquy, which was included in Kaplan Corporate and Other.</w:t>
      </w:r>
    </w:p>
    <w:p>
      <w:pPr>
        <w:spacing w:after="0" w:line="166"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 equity interest in Education Corporation of America (ECA). KHE Campuses schools that were closed or were in the process of closing were not included in the sale transaction. In connection with the sale agreement, if required by the U.S. Department of Education (ED) in connection with its post-closing review of the transaction, Kaplan</w:t>
      </w:r>
    </w:p>
    <w:p>
      <w:pPr>
        <w:spacing w:after="0" w:line="1"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will provide a letter of credit or other credit support with the ED of up to approximately $45 million; any such letter of credit or other credit support could be drawn by the ED in the event that ECA defaults on its obligations to students. If issued, such letter of credit or other credit support would have a term of two years, after which Kaplan would have no further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losses related to schools that were sold as part of the ECA transaction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80" w:type="dxa"/>
            <w:vAlign w:val="bottom"/>
          </w:tcPr>
          <w:p>
            <w:pPr>
              <w:jc w:val="right"/>
              <w:ind w:right="283"/>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700" w:type="dxa"/>
            <w:vAlign w:val="bottom"/>
          </w:tcPr>
          <w:p>
            <w:pPr>
              <w:jc w:val="right"/>
              <w:ind w:right="323"/>
              <w:spacing w:after="0"/>
              <w:rPr>
                <w:sz w:val="20"/>
                <w:szCs w:val="20"/>
                <w:color w:val="auto"/>
              </w:rPr>
            </w:pPr>
            <w:r>
              <w:rPr>
                <w:rFonts w:ascii="Arial" w:cs="Arial" w:eastAsia="Arial" w:hAnsi="Arial"/>
                <w:sz w:val="14"/>
                <w:szCs w:val="14"/>
                <w:color w:val="auto"/>
              </w:rPr>
              <w:t>Six Months Ended</w:t>
            </w:r>
          </w:p>
        </w:tc>
      </w:tr>
      <w:tr>
        <w:trPr>
          <w:trHeight w:val="178"/>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June 30, 2015</w:t>
            </w: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June 30, 2015</w:t>
            </w:r>
          </w:p>
        </w:tc>
      </w:tr>
      <w:tr>
        <w:trPr>
          <w:trHeight w:val="250"/>
        </w:trPr>
        <w:tc>
          <w:tcPr>
            <w:tcW w:w="4280" w:type="dxa"/>
            <w:vAlign w:val="bottom"/>
          </w:tcPr>
          <w:p>
            <w:pPr>
              <w:ind w:left="40"/>
              <w:spacing w:after="0"/>
              <w:rPr>
                <w:sz w:val="20"/>
                <w:szCs w:val="20"/>
                <w:color w:val="auto"/>
              </w:rPr>
            </w:pPr>
            <w:r>
              <w:rPr>
                <w:rFonts w:ascii="Arial" w:cs="Arial" w:eastAsia="Arial" w:hAnsi="Arial"/>
                <w:sz w:val="16"/>
                <w:szCs w:val="16"/>
                <w:color w:val="auto"/>
              </w:rPr>
              <w:t>Revenue</w:t>
            </w:r>
          </w:p>
        </w:tc>
        <w:tc>
          <w:tcPr>
            <w:tcW w:w="33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63"/>
              <w:spacing w:after="0"/>
              <w:rPr>
                <w:sz w:val="20"/>
                <w:szCs w:val="20"/>
                <w:color w:val="auto"/>
              </w:rPr>
            </w:pPr>
            <w:r>
              <w:rPr>
                <w:rFonts w:ascii="Arial" w:cs="Arial" w:eastAsia="Arial" w:hAnsi="Arial"/>
                <w:sz w:val="16"/>
                <w:szCs w:val="16"/>
                <w:color w:val="auto"/>
              </w:rPr>
              <w:t>63,036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124,123</w:t>
            </w:r>
          </w:p>
        </w:tc>
      </w:tr>
      <w:tr>
        <w:trPr>
          <w:trHeight w:val="270"/>
        </w:trPr>
        <w:tc>
          <w:tcPr>
            <w:tcW w:w="428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3360" w:type="dxa"/>
            <w:vAlign w:val="bottom"/>
          </w:tcPr>
          <w:p>
            <w:pPr>
              <w:spacing w:after="0"/>
              <w:rPr>
                <w:sz w:val="23"/>
                <w:szCs w:val="23"/>
                <w:color w:val="auto"/>
              </w:rPr>
            </w:pPr>
          </w:p>
        </w:tc>
        <w:tc>
          <w:tcPr>
            <w:tcW w:w="1780" w:type="dxa"/>
            <w:vAlign w:val="bottom"/>
          </w:tcPr>
          <w:p>
            <w:pPr>
              <w:jc w:val="right"/>
              <w:ind w:right="23"/>
              <w:spacing w:after="0"/>
              <w:rPr>
                <w:sz w:val="20"/>
                <w:szCs w:val="20"/>
                <w:color w:val="auto"/>
              </w:rPr>
            </w:pPr>
            <w:r>
              <w:rPr>
                <w:rFonts w:ascii="Arial" w:cs="Arial" w:eastAsia="Arial" w:hAnsi="Arial"/>
                <w:sz w:val="16"/>
                <w:szCs w:val="16"/>
                <w:color w:val="auto"/>
              </w:rPr>
              <w:t>(4,287)</w:t>
            </w:r>
          </w:p>
        </w:tc>
        <w:tc>
          <w:tcPr>
            <w:tcW w:w="3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(7,301)</w:t>
            </w:r>
          </w:p>
        </w:tc>
      </w:tr>
    </w:tbl>
    <w:p>
      <w:pPr>
        <w:spacing w:after="0" w:line="16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the second quarter of 2015, Kaplan also recorded a $6.9 million long-lived assets impairment charge in connection with the KHE Campuses business, of which $4.7 million was an unfavorable out of period expense adjustment related to the first quarter of 2015 (this amount is included in the above table). With respect to this error, the Company has concluded that it was not material to the Company’s financial position or results of operations for the first or second quarter of 2015, based on its consideration of quantitative and qualitative factors.</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gains in other non-operating income (see Note 10). In the third quarter of 2014, Kaplan completed the sale of three of its schools in China that were previously included as part of Kaplan International. In January 2015, Kaplan completed the sale of an additional school in China.</w:t>
      </w:r>
    </w:p>
    <w:p>
      <w:pPr>
        <w:spacing w:after="0" w:line="115"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8"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$3.4 million, with a corresponding decrease to capital in excess of par value, to reflect the redemption value of the redeemable noncontrolling interest at $24.0 million. Following this transaction, Celtic and Residential combined their business operations to form Graham Healthcare Group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June 30, 2016.</w:t>
      </w:r>
    </w:p>
    <w:p>
      <w:pPr>
        <w:spacing w:after="0" w:line="13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January 2015, Celtic and AHN closed on the formation of a joint venture to combine each other’s home health 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Company’s income from continuing operations excludes Cable ONE and the sold Kaplan China school, which have been reclassified to discontinued operations, net of tax (see Note 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66" w:lineRule="exact"/>
        <w:rPr>
          <w:sz w:val="20"/>
          <w:szCs w:val="20"/>
          <w:color w:val="auto"/>
        </w:rPr>
      </w:pPr>
    </w:p>
    <w:p>
      <w:pPr>
        <w:ind w:right="460"/>
        <w:spacing w:after="0" w:line="227" w:lineRule="auto"/>
        <w:rPr>
          <w:sz w:val="20"/>
          <w:szCs w:val="20"/>
          <w:color w:val="auto"/>
        </w:rPr>
      </w:pPr>
      <w:r>
        <w:rPr>
          <w:rFonts w:ascii="Arial" w:cs="Arial" w:eastAsia="Arial" w:hAnsi="Arial"/>
          <w:sz w:val="18"/>
          <w:szCs w:val="18"/>
          <w:color w:val="auto"/>
        </w:rPr>
        <w:t>Amortization of intangible assets for the three months ended June 30, 2016 and 2015 was $6.3 million and $4.6 million, respectively. Amortization of intangible assets for the six months ended June 30, 2016 and 2015 was $12.5 million and $9.4 million, respectively. Amortization of intangible assets is estimated to be approximately $12 million for the remainder of 2016, $21 million in 2017, $19 million in 2018, $17 million in 2019, $15 million in 2020 and $17 million thereafter.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61"/>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200" w:type="dxa"/>
            <w:vAlign w:val="bottom"/>
          </w:tcPr>
          <w:p>
            <w:pPr>
              <w:jc w:val="right"/>
              <w:ind w:right="441"/>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2015</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1,006,096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168,345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202,814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1,377,255</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(8,892)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(359,742)</w:t>
            </w:r>
          </w:p>
        </w:tc>
      </w:tr>
      <w:tr>
        <w:trPr>
          <w:trHeight w:val="251"/>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655,246</w:t>
            </w:r>
          </w:p>
        </w:tc>
        <w:tc>
          <w:tcPr>
            <w:tcW w:w="24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168,345</w:t>
            </w:r>
          </w:p>
        </w:tc>
        <w:tc>
          <w:tcPr>
            <w:tcW w:w="30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193,922</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1,017,513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160,894</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505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161,399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(2,800)</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(2,800)</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(22,137)</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(22,137)</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1,144,853</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168,345</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197,709</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1,510,907</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(6,082)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(356,932)</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794,003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168,345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191,627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1,153,975</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421"/>
              <w:spacing w:after="0"/>
              <w:rPr>
                <w:sz w:val="20"/>
                <w:szCs w:val="20"/>
                <w:color w:val="auto"/>
              </w:rPr>
            </w:pPr>
            <w:r>
              <w:rPr>
                <w:rFonts w:ascii="Arial" w:cs="Arial" w:eastAsia="Arial" w:hAnsi="Arial"/>
                <w:sz w:val="14"/>
                <w:szCs w:val="14"/>
                <w:b w:val="1"/>
                <w:bCs w:val="1"/>
                <w:color w:val="auto"/>
              </w:rPr>
              <w:t>Higher</w:t>
            </w:r>
          </w:p>
        </w:tc>
        <w:tc>
          <w:tcPr>
            <w:tcW w:w="280" w:type="dxa"/>
            <w:vAlign w:val="bottom"/>
          </w:tcPr>
          <w:p>
            <w:pPr>
              <w:spacing w:after="0"/>
              <w:rPr>
                <w:sz w:val="14"/>
                <w:szCs w:val="14"/>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Test</w:t>
            </w:r>
          </w:p>
        </w:tc>
        <w:tc>
          <w:tcPr>
            <w:tcW w:w="240" w:type="dxa"/>
            <w:vAlign w:val="bottom"/>
          </w:tcPr>
          <w:p>
            <w:pPr>
              <w:spacing w:after="0"/>
              <w:rPr>
                <w:sz w:val="14"/>
                <w:szCs w:val="14"/>
                <w:color w:val="auto"/>
              </w:rPr>
            </w:pPr>
          </w:p>
        </w:tc>
        <w:tc>
          <w:tcPr>
            <w:tcW w:w="122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Education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2015</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392,457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166,098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447,541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1,006,096</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51"/>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143,866</w:t>
            </w:r>
          </w:p>
        </w:tc>
        <w:tc>
          <w:tcPr>
            <w:tcW w:w="280" w:type="dxa"/>
            <w:vAlign w:val="bottom"/>
          </w:tcPr>
          <w:p>
            <w:pPr>
              <w:spacing w:after="0"/>
              <w:rPr>
                <w:sz w:val="21"/>
                <w:szCs w:val="21"/>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63,839</w:t>
            </w:r>
          </w:p>
        </w:tc>
        <w:tc>
          <w:tcPr>
            <w:tcW w:w="240" w:type="dxa"/>
            <w:vAlign w:val="bottom"/>
          </w:tcPr>
          <w:p>
            <w:pPr>
              <w:spacing w:after="0"/>
              <w:rPr>
                <w:sz w:val="21"/>
                <w:szCs w:val="21"/>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447,541</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655,246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b w:val="1"/>
                <w:bCs w:val="1"/>
                <w:color w:val="auto"/>
              </w:rPr>
              <w:t>160,894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160,894</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116</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(22,253)</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(22,137)</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392,573</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166,098</w:t>
            </w:r>
          </w:p>
        </w:tc>
        <w:tc>
          <w:tcPr>
            <w:tcW w:w="240" w:type="dxa"/>
            <w:vAlign w:val="bottom"/>
          </w:tcPr>
          <w:p>
            <w:pPr>
              <w:spacing w:after="0"/>
              <w:rPr>
                <w:sz w:val="23"/>
                <w:szCs w:val="23"/>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b w:val="1"/>
                <w:bCs w:val="1"/>
                <w:color w:val="auto"/>
              </w:rPr>
              <w:t>586,182</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1,144,853</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(350,850)</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143,982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63,839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586,182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794,003</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2016</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2015</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61"/>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20" w:type="dxa"/>
            <w:vAlign w:val="bottom"/>
          </w:tcPr>
          <w:p>
            <w:pPr>
              <w:jc w:val="center"/>
              <w:ind w:left="142"/>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200" w:type="dxa"/>
            <w:vAlign w:val="bottom"/>
          </w:tcPr>
          <w:p>
            <w:pPr>
              <w:jc w:val="center"/>
              <w:ind w:right="141"/>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4"/>
                <w:szCs w:val="14"/>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2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620" w:type="dxa"/>
            <w:vAlign w:val="bottom"/>
          </w:tcPr>
          <w:p>
            <w:pPr>
              <w:jc w:val="center"/>
              <w:ind w:left="14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113,339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01"/>
              <w:spacing w:after="0"/>
              <w:rPr>
                <w:sz w:val="20"/>
                <w:szCs w:val="20"/>
                <w:color w:val="auto"/>
              </w:rPr>
            </w:pPr>
            <w:r>
              <w:rPr>
                <w:rFonts w:ascii="Arial" w:cs="Arial" w:eastAsia="Arial" w:hAnsi="Arial"/>
                <w:sz w:val="16"/>
                <w:szCs w:val="16"/>
                <w:b w:val="1"/>
                <w:bCs w:val="1"/>
                <w:color w:val="auto"/>
              </w:rPr>
              <w:t>47,858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65,481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108,806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40,280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68,526</w:t>
            </w: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620" w:type="dxa"/>
            <w:vAlign w:val="bottom"/>
          </w:tcPr>
          <w:p>
            <w:pPr>
              <w:jc w:val="center"/>
              <w:ind w:left="14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23"/>
                <w:szCs w:val="23"/>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54,714</w:t>
            </w:r>
          </w:p>
        </w:tc>
        <w:tc>
          <w:tcPr>
            <w:tcW w:w="260" w:type="dxa"/>
            <w:vAlign w:val="bottom"/>
          </w:tcPr>
          <w:p>
            <w:pPr>
              <w:spacing w:after="0"/>
              <w:rPr>
                <w:sz w:val="23"/>
                <w:szCs w:val="23"/>
                <w:color w:val="auto"/>
              </w:rPr>
            </w:pPr>
          </w:p>
        </w:tc>
        <w:tc>
          <w:tcPr>
            <w:tcW w:w="1200" w:type="dxa"/>
            <w:vAlign w:val="bottom"/>
          </w:tcPr>
          <w:p>
            <w:pPr>
              <w:jc w:val="right"/>
              <w:ind w:right="101"/>
              <w:spacing w:after="0"/>
              <w:rPr>
                <w:sz w:val="20"/>
                <w:szCs w:val="20"/>
                <w:color w:val="auto"/>
              </w:rPr>
            </w:pPr>
            <w:r>
              <w:rPr>
                <w:rFonts w:ascii="Arial" w:cs="Arial" w:eastAsia="Arial" w:hAnsi="Arial"/>
                <w:sz w:val="16"/>
                <w:szCs w:val="16"/>
                <w:b w:val="1"/>
                <w:bCs w:val="1"/>
                <w:color w:val="auto"/>
              </w:rPr>
              <w:t>26,463</w:t>
            </w:r>
          </w:p>
        </w:tc>
        <w:tc>
          <w:tcPr>
            <w:tcW w:w="16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28,251</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53,848</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23,941</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29,907</w:t>
            </w: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620" w:type="dxa"/>
            <w:vAlign w:val="bottom"/>
          </w:tcPr>
          <w:p>
            <w:pPr>
              <w:jc w:val="center"/>
              <w:ind w:left="142"/>
              <w:spacing w:after="0"/>
              <w:rPr>
                <w:sz w:val="20"/>
                <w:szCs w:val="20"/>
                <w:color w:val="auto"/>
              </w:rPr>
            </w:pPr>
            <w:r>
              <w:rPr>
                <w:rFonts w:ascii="Arial" w:cs="Arial" w:eastAsia="Arial" w:hAnsi="Arial"/>
                <w:sz w:val="16"/>
                <w:szCs w:val="16"/>
                <w:b w:val="1"/>
                <w:bCs w:val="1"/>
                <w:color w:val="auto"/>
                <w:w w:val="98"/>
              </w:rPr>
              <w:t>3–5 years</w:t>
            </w:r>
          </w:p>
        </w:tc>
        <w:tc>
          <w:tcPr>
            <w:tcW w:w="140" w:type="dxa"/>
            <w:vAlign w:val="bottom"/>
          </w:tcPr>
          <w:p>
            <w:pPr>
              <w:spacing w:after="0"/>
              <w:rPr>
                <w:sz w:val="23"/>
                <w:szCs w:val="23"/>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4,617</w:t>
            </w:r>
          </w:p>
        </w:tc>
        <w:tc>
          <w:tcPr>
            <w:tcW w:w="260" w:type="dxa"/>
            <w:vAlign w:val="bottom"/>
          </w:tcPr>
          <w:p>
            <w:pPr>
              <w:spacing w:after="0"/>
              <w:rPr>
                <w:sz w:val="23"/>
                <w:szCs w:val="23"/>
                <w:color w:val="auto"/>
              </w:rPr>
            </w:pPr>
          </w:p>
        </w:tc>
        <w:tc>
          <w:tcPr>
            <w:tcW w:w="1200" w:type="dxa"/>
            <w:vAlign w:val="bottom"/>
          </w:tcPr>
          <w:p>
            <w:pPr>
              <w:jc w:val="right"/>
              <w:ind w:right="101"/>
              <w:spacing w:after="0"/>
              <w:rPr>
                <w:sz w:val="20"/>
                <w:szCs w:val="20"/>
                <w:color w:val="auto"/>
              </w:rPr>
            </w:pPr>
            <w:r>
              <w:rPr>
                <w:rFonts w:ascii="Arial" w:cs="Arial" w:eastAsia="Arial" w:hAnsi="Arial"/>
                <w:sz w:val="16"/>
                <w:szCs w:val="16"/>
                <w:b w:val="1"/>
                <w:bCs w:val="1"/>
                <w:color w:val="auto"/>
              </w:rPr>
              <w:t>4,241</w:t>
            </w:r>
          </w:p>
        </w:tc>
        <w:tc>
          <w:tcPr>
            <w:tcW w:w="16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376</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4,617</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4,114</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620" w:type="dxa"/>
            <w:vAlign w:val="bottom"/>
          </w:tcPr>
          <w:p>
            <w:pPr>
              <w:jc w:val="center"/>
              <w:ind w:left="142"/>
              <w:spacing w:after="0"/>
              <w:rPr>
                <w:sz w:val="20"/>
                <w:szCs w:val="20"/>
                <w:color w:val="auto"/>
              </w:rPr>
            </w:pPr>
            <w:r>
              <w:rPr>
                <w:rFonts w:ascii="Arial" w:cs="Arial" w:eastAsia="Arial" w:hAnsi="Arial"/>
                <w:sz w:val="16"/>
                <w:szCs w:val="16"/>
                <w:b w:val="1"/>
                <w:bCs w:val="1"/>
                <w:color w:val="auto"/>
                <w:w w:val="98"/>
              </w:rPr>
              <w:t>2–5 years</w:t>
            </w:r>
          </w:p>
        </w:tc>
        <w:tc>
          <w:tcPr>
            <w:tcW w:w="140" w:type="dxa"/>
            <w:vAlign w:val="bottom"/>
          </w:tcPr>
          <w:p>
            <w:pPr>
              <w:spacing w:after="0"/>
              <w:rPr>
                <w:sz w:val="23"/>
                <w:szCs w:val="23"/>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1,381</w:t>
            </w:r>
          </w:p>
        </w:tc>
        <w:tc>
          <w:tcPr>
            <w:tcW w:w="260" w:type="dxa"/>
            <w:vAlign w:val="bottom"/>
          </w:tcPr>
          <w:p>
            <w:pPr>
              <w:spacing w:after="0"/>
              <w:rPr>
                <w:sz w:val="23"/>
                <w:szCs w:val="23"/>
                <w:color w:val="auto"/>
              </w:rPr>
            </w:pPr>
          </w:p>
        </w:tc>
        <w:tc>
          <w:tcPr>
            <w:tcW w:w="1200" w:type="dxa"/>
            <w:vAlign w:val="bottom"/>
          </w:tcPr>
          <w:p>
            <w:pPr>
              <w:jc w:val="right"/>
              <w:ind w:right="101"/>
              <w:spacing w:after="0"/>
              <w:rPr>
                <w:sz w:val="20"/>
                <w:szCs w:val="20"/>
                <w:color w:val="auto"/>
              </w:rPr>
            </w:pPr>
            <w:r>
              <w:rPr>
                <w:rFonts w:ascii="Arial" w:cs="Arial" w:eastAsia="Arial" w:hAnsi="Arial"/>
                <w:sz w:val="16"/>
                <w:szCs w:val="16"/>
                <w:b w:val="1"/>
                <w:bCs w:val="1"/>
                <w:color w:val="auto"/>
              </w:rPr>
              <w:t>1,174</w:t>
            </w:r>
          </w:p>
        </w:tc>
        <w:tc>
          <w:tcPr>
            <w:tcW w:w="16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207</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1,381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1,012</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83"/>
        </w:trPr>
        <w:tc>
          <w:tcPr>
            <w:tcW w:w="3200" w:type="dxa"/>
            <w:vAlign w:val="bottom"/>
          </w:tcPr>
          <w:p>
            <w:pPr>
              <w:ind w:left="180"/>
              <w:spacing w:after="0"/>
              <w:rPr>
                <w:sz w:val="20"/>
                <w:szCs w:val="20"/>
                <w:color w:val="auto"/>
              </w:rPr>
            </w:pPr>
            <w:r>
              <w:rPr>
                <w:rFonts w:ascii="Arial" w:cs="Arial" w:eastAsia="Arial" w:hAnsi="Arial"/>
                <w:sz w:val="16"/>
                <w:szCs w:val="16"/>
                <w:color w:val="auto"/>
              </w:rPr>
              <w:t>Other</w:t>
            </w:r>
          </w:p>
        </w:tc>
        <w:tc>
          <w:tcPr>
            <w:tcW w:w="1620" w:type="dxa"/>
            <w:vAlign w:val="bottom"/>
          </w:tcPr>
          <w:p>
            <w:pPr>
              <w:jc w:val="center"/>
              <w:ind w:left="142"/>
              <w:spacing w:after="0"/>
              <w:rPr>
                <w:sz w:val="20"/>
                <w:szCs w:val="20"/>
                <w:color w:val="auto"/>
              </w:rPr>
            </w:pPr>
            <w:r>
              <w:rPr>
                <w:rFonts w:ascii="Arial" w:cs="Arial" w:eastAsia="Arial" w:hAnsi="Arial"/>
                <w:sz w:val="16"/>
                <w:szCs w:val="16"/>
                <w:b w:val="1"/>
                <w:bCs w:val="1"/>
                <w:color w:val="auto"/>
                <w:w w:val="98"/>
              </w:rPr>
              <w:t>1–7 years</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10,101</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3,758</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6,343</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10,095</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2,209</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7,886</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184,152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83,494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100,658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178,747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71,556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107,191</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20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6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69,355</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21,051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0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834</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834</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70,189</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21,885</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7" w:right="2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697"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6"/>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7.25% unsecured notes due February 1, 2019 </w:t>
            </w:r>
            <w:r>
              <w:rPr>
                <w:rFonts w:ascii="Arial" w:cs="Arial" w:eastAsia="Arial" w:hAnsi="Arial"/>
                <w:sz w:val="21"/>
                <w:szCs w:val="21"/>
                <w:color w:val="auto"/>
                <w:vertAlign w:val="superscript"/>
              </w:rPr>
              <w:t>(1)</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398,824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398,596</w:t>
            </w:r>
          </w:p>
        </w:tc>
        <w:tc>
          <w:tcPr>
            <w:tcW w:w="0" w:type="dxa"/>
            <w:vAlign w:val="bottom"/>
          </w:tcPr>
          <w:p>
            <w:pPr>
              <w:spacing w:after="0"/>
              <w:rPr>
                <w:sz w:val="1"/>
                <w:szCs w:val="1"/>
                <w:color w:val="auto"/>
              </w:rPr>
            </w:pPr>
          </w:p>
        </w:tc>
      </w:tr>
      <w:tr>
        <w:trPr>
          <w:trHeight w:val="228"/>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1,204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400,028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399,800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June 30, 2016 and December 31, 2015,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June 30, 2016 is at an interest rate of 6% and matures in 2019.</w:t>
      </w:r>
    </w:p>
    <w:p>
      <w:pPr>
        <w:spacing w:after="0" w:line="144"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$ 200 million five-year revolving credit facility (the Facility). The Company may draw on the Facility for general corporate purposes. The Facility will expire on July 1, 2020, unless the Company and the banks agree to extend the term. The Credit Agreement contains terms and conditions, including remedies in the event of a default by the Company, typical of facilities of this type. As of June 30, 2016, the Company is in compliance with all financial covenants.</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On July 14, 2016, Kaplan entered into a Facility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will bear interest at a rate per annum of LIBOR plus an applicable interest rate margin between 1.25% and 1.75%, in each case determined on a quarterly basis by reference to a pricing grid based upon the Company's total leverage ratio. The credit facility requires that 6.66% of the outstanding aggregate amount of the loan be repaid on the first three anniversaries of funding, with the remaining balance due on July 1, 2020.</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any changes in the fair value of the interest rate swap will be recorded in other comprehensive income on the accompanying Condensed Consolidated Balance Sheets until earnings are affected by the variability of cash flows.</w:t>
      </w:r>
    </w:p>
    <w:p>
      <w:pPr>
        <w:spacing w:after="0" w:line="14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the three months ended June 30, 2016 and 2015, the Company had average borrowings outstanding of approximately $400.0 million and $454.4 million, respectively, at average annual interest rates of approximately 7.2% and 6.8%, respectively. During the three months ended June 30, 2016 and 2015, the Company incurred net interest expense of $7.3 million and $8.0 million, respectively.</w:t>
      </w:r>
    </w:p>
    <w:p>
      <w:pPr>
        <w:spacing w:after="0" w:line="13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During the six months ended June 30, 2016 and 2015, the Company had average borrowings outstanding of approximately $399.9 million and $450.2 million, respectively, at average annual interest rates of approximately 7.2% and 7.0%, respectively. During the six months ended June 30, 2016 and 2015, the Company incurred net interest expense of $14.6 million and $16.0 million, respectively.</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At June 30, 2016, the fair value of the Company’s 7.25% unsecured notes, based on quoted market prices, totaled $437.5 million, compared with the carrying amount of $398.8 million. At December 31, 2015, the fair value of the Company’s 7.25% unsecured notes, based on quoted market prices, totaled $436.6 million, compared with the carrying amount of $398.6 million. The carrying value of the Company’s other unsecured debt at June 30, 2016 approximates fair value.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June 30, 2016</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354,846</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354,846</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Commercial paper </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99,842</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99,842</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340,633</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340,633</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12,795</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14,156</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26,951</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453,270</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369,002</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822,272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46,245</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46,245</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9,897</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9,897</w:t>
            </w:r>
          </w:p>
        </w:tc>
        <w:tc>
          <w:tcPr>
            <w:tcW w:w="0" w:type="dxa"/>
            <w:vAlign w:val="bottom"/>
          </w:tcPr>
          <w:p>
            <w:pPr>
              <w:spacing w:after="0"/>
              <w:rPr>
                <w:sz w:val="1"/>
                <w:szCs w:val="1"/>
                <w:color w:val="auto"/>
              </w:rPr>
            </w:pPr>
          </w:p>
        </w:tc>
      </w:tr>
      <w:tr>
        <w:trPr>
          <w:trHeight w:val="261"/>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46,245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9,897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56,142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As of December 31, 2015</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433,040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433,040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350,563</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350,563</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(4)</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12,822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16,060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28,882</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363,385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449,100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812,485</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48,055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48,055</w:t>
            </w:r>
          </w:p>
        </w:tc>
        <w:tc>
          <w:tcPr>
            <w:tcW w:w="0" w:type="dxa"/>
            <w:vAlign w:val="bottom"/>
          </w:tcPr>
          <w:p>
            <w:pPr>
              <w:spacing w:after="0"/>
              <w:rPr>
                <w:sz w:val="1"/>
                <w:szCs w:val="1"/>
                <w:color w:val="auto"/>
              </w:rPr>
            </w:pPr>
          </w:p>
        </w:tc>
      </w:tr>
      <w:tr>
        <w:trPr>
          <w:trHeight w:val="172"/>
        </w:trPr>
        <w:tc>
          <w:tcPr>
            <w:tcW w:w="6520" w:type="dxa"/>
            <w:vAlign w:val="bottom"/>
          </w:tcPr>
          <w:p>
            <w:pPr>
              <w:spacing w:after="0"/>
              <w:rPr>
                <w:sz w:val="20"/>
                <w:szCs w:val="20"/>
                <w:color w:val="auto"/>
              </w:rPr>
            </w:pPr>
            <w:r>
              <w:rPr>
                <w:rFonts w:ascii="Arial" w:cs="Arial" w:eastAsia="Arial" w:hAnsi="Arial"/>
                <w:sz w:val="14"/>
                <w:szCs w:val="14"/>
                <w:color w:val="auto"/>
              </w:rPr>
              <w:t>____________</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90 days or less are included in cash and cash equivalents.</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41" w:lineRule="exact"/>
        <w:rPr>
          <w:rFonts w:ascii="Arial" w:cs="Arial" w:eastAsia="Arial" w:hAnsi="Arial"/>
          <w:sz w:val="14"/>
          <w:szCs w:val="14"/>
          <w:color w:val="auto"/>
        </w:rPr>
      </w:pPr>
    </w:p>
    <w:p>
      <w:pPr>
        <w:ind w:left="420" w:right="420" w:hanging="412"/>
        <w:spacing w:after="0" w:line="239"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30" w:lineRule="exact"/>
        <w:rPr>
          <w:rFonts w:ascii="Arial" w:cs="Arial" w:eastAsia="Arial" w:hAnsi="Arial"/>
          <w:sz w:val="14"/>
          <w:szCs w:val="14"/>
          <w:color w:val="auto"/>
        </w:rPr>
      </w:pPr>
    </w:p>
    <w:p>
      <w:pPr>
        <w:ind w:left="420" w:right="4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52" w:lineRule="exact"/>
        <w:rPr>
          <w:rFonts w:ascii="Arial" w:cs="Arial" w:eastAsia="Arial" w:hAnsi="Arial"/>
          <w:sz w:val="14"/>
          <w:szCs w:val="14"/>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an EBITDA multiple, adjusted for working capital and other items, computed annually.</w:t>
      </w:r>
    </w:p>
    <w:p>
      <w:pPr>
        <w:spacing w:after="0" w:line="198"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the second quarter of 2015, the Company recorded a long-lived asset impairment charge of $6.9 million. The remeasurement of the long-lived asset is classified as a Level 3 fair value assessment due to the significance of unobservable inputs developed in the determination of the fair values.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EARNINGS PER SHARE</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per share computations using the two-class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632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320" w:type="dxa"/>
            <w:vAlign w:val="bottom"/>
          </w:tcPr>
          <w:p>
            <w:pPr>
              <w:ind w:left="280"/>
              <w:spacing w:after="0"/>
              <w:rPr>
                <w:sz w:val="20"/>
                <w:szCs w:val="20"/>
                <w:color w:val="auto"/>
              </w:rPr>
            </w:pPr>
            <w:r>
              <w:rPr>
                <w:rFonts w:ascii="Arial" w:cs="Arial" w:eastAsia="Arial" w:hAnsi="Arial"/>
                <w:sz w:val="16"/>
                <w:szCs w:val="16"/>
                <w:color w:val="auto"/>
              </w:rPr>
              <w:t>Income from continuing operations attributable to Graham Holdings Company</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60,766</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98,546</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320" w:type="dxa"/>
            <w:vAlign w:val="bottom"/>
          </w:tcPr>
          <w:p>
            <w:pPr>
              <w:ind w:left="440"/>
              <w:spacing w:after="0"/>
              <w:rPr>
                <w:sz w:val="20"/>
                <w:szCs w:val="20"/>
                <w:color w:val="auto"/>
              </w:rPr>
            </w:pPr>
            <w:r>
              <w:rPr>
                <w:rFonts w:ascii="Arial" w:cs="Arial" w:eastAsia="Arial" w:hAnsi="Arial"/>
                <w:sz w:val="16"/>
                <w:szCs w:val="16"/>
                <w:color w:val="auto"/>
              </w:rPr>
              <w:t>common stockholder</w:t>
            </w: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39,280</w:t>
            </w:r>
          </w:p>
        </w:tc>
        <w:tc>
          <w:tcPr>
            <w:tcW w:w="3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36,597</w:t>
            </w:r>
          </w:p>
        </w:tc>
        <w:tc>
          <w:tcPr>
            <w:tcW w:w="0" w:type="dxa"/>
            <w:vAlign w:val="bottom"/>
          </w:tcPr>
          <w:p>
            <w:pPr>
              <w:spacing w:after="0"/>
              <w:rPr>
                <w:sz w:val="1"/>
                <w:szCs w:val="1"/>
                <w:color w:val="auto"/>
              </w:rPr>
            </w:pPr>
          </w:p>
        </w:tc>
      </w:tr>
      <w:tr>
        <w:trPr>
          <w:trHeight w:val="283"/>
        </w:trPr>
        <w:tc>
          <w:tcPr>
            <w:tcW w:w="632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(6,775)</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(15,484)</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(20,533)</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(46,354)</w:t>
            </w:r>
          </w:p>
        </w:tc>
        <w:tc>
          <w:tcPr>
            <w:tcW w:w="0" w:type="dxa"/>
            <w:vAlign w:val="bottom"/>
          </w:tcPr>
          <w:p>
            <w:pPr>
              <w:spacing w:after="0"/>
              <w:rPr>
                <w:sz w:val="1"/>
                <w:szCs w:val="1"/>
                <w:color w:val="auto"/>
              </w:rPr>
            </w:pPr>
          </w:p>
        </w:tc>
      </w:tr>
      <w:tr>
        <w:trPr>
          <w:trHeight w:val="251"/>
        </w:trPr>
        <w:tc>
          <w:tcPr>
            <w:tcW w:w="6320" w:type="dxa"/>
            <w:vAlign w:val="bottom"/>
          </w:tcPr>
          <w:p>
            <w:pPr>
              <w:ind w:left="280"/>
              <w:spacing w:after="0"/>
              <w:rPr>
                <w:sz w:val="20"/>
                <w:szCs w:val="20"/>
                <w:color w:val="auto"/>
              </w:rPr>
            </w:pPr>
            <w:r>
              <w:rPr>
                <w:rFonts w:ascii="Arial" w:cs="Arial" w:eastAsia="Arial" w:hAnsi="Arial"/>
                <w:sz w:val="16"/>
                <w:szCs w:val="16"/>
                <w:color w:val="auto"/>
              </w:rPr>
              <w:t>Undistributed earnings (loss)</w:t>
            </w:r>
          </w:p>
        </w:tc>
        <w:tc>
          <w:tcPr>
            <w:tcW w:w="280" w:type="dxa"/>
            <w:vAlign w:val="bottom"/>
          </w:tcPr>
          <w:p>
            <w:pPr>
              <w:spacing w:after="0"/>
              <w:rPr>
                <w:sz w:val="21"/>
                <w:szCs w:val="21"/>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53,991</w:t>
            </w:r>
          </w:p>
        </w:tc>
        <w:tc>
          <w:tcPr>
            <w:tcW w:w="400" w:type="dxa"/>
            <w:vAlign w:val="bottom"/>
          </w:tcPr>
          <w:p>
            <w:pPr>
              <w:spacing w:after="0"/>
              <w:rPr>
                <w:sz w:val="21"/>
                <w:szCs w:val="21"/>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23,796</w:t>
            </w:r>
          </w:p>
        </w:tc>
        <w:tc>
          <w:tcPr>
            <w:tcW w:w="340" w:type="dxa"/>
            <w:vAlign w:val="bottom"/>
          </w:tcPr>
          <w:p>
            <w:pPr>
              <w:spacing w:after="0"/>
              <w:rPr>
                <w:sz w:val="21"/>
                <w:szCs w:val="21"/>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78,013</w:t>
            </w:r>
          </w:p>
        </w:tc>
        <w:tc>
          <w:tcPr>
            <w:tcW w:w="40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(9,757)</w:t>
            </w:r>
          </w:p>
        </w:tc>
        <w:tc>
          <w:tcPr>
            <w:tcW w:w="0" w:type="dxa"/>
            <w:vAlign w:val="bottom"/>
          </w:tcPr>
          <w:p>
            <w:pPr>
              <w:spacing w:after="0"/>
              <w:rPr>
                <w:sz w:val="1"/>
                <w:szCs w:val="1"/>
                <w:color w:val="auto"/>
              </w:rPr>
            </w:pPr>
          </w:p>
        </w:tc>
      </w:tr>
      <w:tr>
        <w:trPr>
          <w:trHeight w:val="290"/>
        </w:trPr>
        <w:tc>
          <w:tcPr>
            <w:tcW w:w="632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98.68%</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98.18%</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98.68%</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44"/>
        </w:trPr>
        <w:tc>
          <w:tcPr>
            <w:tcW w:w="6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53,277</w:t>
            </w:r>
          </w:p>
        </w:tc>
        <w:tc>
          <w:tcPr>
            <w:tcW w:w="400" w:type="dxa"/>
            <w:vAlign w:val="bottom"/>
          </w:tcPr>
          <w:p>
            <w:pPr>
              <w:spacing w:after="0"/>
              <w:rPr>
                <w:sz w:val="21"/>
                <w:szCs w:val="21"/>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23,363</w:t>
            </w:r>
          </w:p>
        </w:tc>
        <w:tc>
          <w:tcPr>
            <w:tcW w:w="340" w:type="dxa"/>
            <w:vAlign w:val="bottom"/>
          </w:tcPr>
          <w:p>
            <w:pPr>
              <w:spacing w:after="0"/>
              <w:rPr>
                <w:sz w:val="21"/>
                <w:szCs w:val="21"/>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76,981</w:t>
            </w:r>
          </w:p>
        </w:tc>
        <w:tc>
          <w:tcPr>
            <w:tcW w:w="40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(9,757)</w:t>
            </w: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1">
            <w:col w:w="11420"/>
          </w:cols>
          <w:pgMar w:left="240" w:top="697" w:right="239" w:bottom="1440" w:gutter="0" w:footer="0" w:header="0"/>
        </w:sectPr>
      </w:pPr>
    </w:p>
    <w:p>
      <w:pPr>
        <w:spacing w:after="0" w:line="20" w:lineRule="exact"/>
        <w:rPr>
          <w:sz w:val="20"/>
          <w:szCs w:val="20"/>
          <w:color w:val="auto"/>
        </w:rPr>
      </w:pPr>
    </w:p>
    <w:p>
      <w:pPr>
        <w:ind w:left="280" w:right="1900"/>
        <w:spacing w:after="0" w:line="387" w:lineRule="auto"/>
        <w:rPr>
          <w:sz w:val="20"/>
          <w:szCs w:val="20"/>
          <w:color w:val="auto"/>
        </w:rPr>
      </w:pPr>
      <w:r>
        <w:rPr>
          <w:rFonts w:ascii="Arial" w:cs="Arial" w:eastAsia="Arial" w:hAnsi="Arial"/>
          <w:sz w:val="16"/>
          <w:szCs w:val="16"/>
          <w:color w:val="auto"/>
        </w:rPr>
        <w:t>Add: Dividends paid-common stock outstanding Numerator for basic earnings per share</w:t>
      </w:r>
    </w:p>
    <w:p>
      <w:pPr>
        <w:spacing w:after="0" w:line="1" w:lineRule="exact"/>
        <w:rPr>
          <w:sz w:val="20"/>
          <w:szCs w:val="20"/>
          <w:color w:val="auto"/>
        </w:rPr>
      </w:pPr>
    </w:p>
    <w:p>
      <w:pPr>
        <w:ind w:left="180" w:right="560" w:firstLine="108"/>
        <w:spacing w:after="0" w:line="387" w:lineRule="auto"/>
        <w:rPr>
          <w:sz w:val="20"/>
          <w:szCs w:val="20"/>
          <w:color w:val="auto"/>
        </w:rPr>
      </w:pPr>
      <w:r>
        <w:rPr>
          <w:rFonts w:ascii="Arial" w:cs="Arial" w:eastAsia="Arial" w:hAnsi="Arial"/>
          <w:sz w:val="16"/>
          <w:szCs w:val="16"/>
          <w:color w:val="auto"/>
        </w:rPr>
        <w:t>Add: Additional undistributed earnings due to dilutive stock options Numerator for diluted earnings per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Denominator: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basic earnings per share: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Weighted average shares outstanding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Effect of dilutive stock options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diluted earnings per share</w:t>
      </w:r>
    </w:p>
    <w:p>
      <w:pPr>
        <w:spacing w:after="0" w:line="93" w:lineRule="exact"/>
        <w:rPr>
          <w:sz w:val="20"/>
          <w:szCs w:val="20"/>
          <w:color w:val="auto"/>
        </w:rPr>
      </w:pPr>
    </w:p>
    <w:p>
      <w:pPr>
        <w:ind w:left="180" w:right="1240" w:hanging="134"/>
        <w:spacing w:after="0" w:line="379" w:lineRule="auto"/>
        <w:rPr>
          <w:sz w:val="20"/>
          <w:szCs w:val="20"/>
          <w:color w:val="auto"/>
        </w:rPr>
      </w:pPr>
      <w:r>
        <w:rPr>
          <w:rFonts w:ascii="Arial" w:cs="Arial" w:eastAsia="Arial" w:hAnsi="Arial"/>
          <w:sz w:val="16"/>
          <w:szCs w:val="16"/>
          <w:b w:val="1"/>
          <w:bCs w:val="1"/>
          <w:color w:val="auto"/>
        </w:rPr>
        <w:t>Graham Holdings Company Common Stockholders: Basic earnings per share from continuing operations Diluted earnings per share from continuing operations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6,685</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15,201</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20,264</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45,506</w:t>
            </w:r>
          </w:p>
        </w:tc>
      </w:tr>
      <w:tr>
        <w:trPr>
          <w:trHeight w:val="264"/>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59,962</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38,564</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97,245</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35,749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59,966</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38,566</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97,250</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35,749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78"/>
        </w:trPr>
        <w:tc>
          <w:tcPr>
            <w:tcW w:w="32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5,544</w:t>
            </w:r>
          </w:p>
        </w:tc>
        <w:tc>
          <w:tcPr>
            <w:tcW w:w="44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5,720</w:t>
            </w:r>
          </w:p>
        </w:tc>
        <w:tc>
          <w:tcPr>
            <w:tcW w:w="44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5,584</w:t>
            </w:r>
          </w:p>
        </w:tc>
        <w:tc>
          <w:tcPr>
            <w:tcW w:w="460" w:type="dxa"/>
            <w:vAlign w:val="bottom"/>
          </w:tcPr>
          <w:p>
            <w:pPr>
              <w:spacing w:after="0"/>
              <w:rPr>
                <w:sz w:val="24"/>
                <w:szCs w:val="24"/>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5,712</w:t>
            </w:r>
          </w:p>
        </w:tc>
      </w:tr>
      <w:tr>
        <w:trPr>
          <w:trHeight w:val="283"/>
        </w:trPr>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29</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w:t>
            </w:r>
          </w:p>
        </w:tc>
      </w:tr>
      <w:tr>
        <w:trPr>
          <w:trHeight w:val="264"/>
        </w:trPr>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5,574</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5,750</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5,613</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5,744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21"/>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10.82</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6.74</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17.42</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10.76</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6.71</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17.33</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ectPr>
          <w:pgSz w:w="11900" w:h="16838" w:orient="portrait"/>
          <w:cols w:equalWidth="0" w:num="2">
            <w:col w:w="5600" w:space="720"/>
            <w:col w:w="5100"/>
          </w:cols>
          <w:pgMar w:left="240" w:top="697" w:right="239" w:bottom="1440" w:gutter="0" w:footer="0" w:header="0"/>
          <w:type w:val="continuous"/>
        </w:sectPr>
      </w:pPr>
    </w:p>
    <w:p>
      <w:pPr>
        <w:ind w:left="420" w:right="40" w:hanging="412"/>
        <w:spacing w:after="0" w:line="239"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Percent of undistributed losses allocated to common stockholders is 100% in the first six months of 2015 as participating securities are not contractually obligated to share in losses.</w:t>
      </w:r>
    </w:p>
    <w:p>
      <w:pPr>
        <w:spacing w:after="0" w:line="13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200" w:type="dxa"/>
            <w:vAlign w:val="bottom"/>
            <w:gridSpan w:val="2"/>
          </w:tcPr>
          <w:p>
            <w:pPr>
              <w:jc w:val="right"/>
              <w:ind w:right="44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8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26"/>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2015</w:t>
            </w:r>
          </w:p>
        </w:tc>
      </w:tr>
      <w:tr>
        <w:trPr>
          <w:trHeight w:val="250"/>
        </w:trPr>
        <w:tc>
          <w:tcPr>
            <w:tcW w:w="68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720" w:type="dxa"/>
            <w:vAlign w:val="bottom"/>
          </w:tcPr>
          <w:p>
            <w:pPr>
              <w:spacing w:after="0"/>
              <w:rPr>
                <w:sz w:val="21"/>
                <w:szCs w:val="21"/>
                <w:color w:val="auto"/>
              </w:rPr>
            </w:pPr>
          </w:p>
        </w:tc>
        <w:tc>
          <w:tcPr>
            <w:tcW w:w="1160" w:type="dxa"/>
            <w:vAlign w:val="bottom"/>
          </w:tcPr>
          <w:p>
            <w:pPr>
              <w:jc w:val="right"/>
              <w:ind w:right="885"/>
              <w:spacing w:after="0"/>
              <w:rPr>
                <w:sz w:val="20"/>
                <w:szCs w:val="20"/>
                <w:color w:val="auto"/>
              </w:rPr>
            </w:pPr>
            <w:r>
              <w:rPr>
                <w:rFonts w:ascii="Arial" w:cs="Arial" w:eastAsia="Arial" w:hAnsi="Arial"/>
                <w:sz w:val="16"/>
                <w:szCs w:val="16"/>
                <w:b w:val="1"/>
                <w:bCs w:val="1"/>
                <w:color w:val="auto"/>
              </w:rPr>
              <w:t>41</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55</w:t>
            </w:r>
          </w:p>
        </w:tc>
        <w:tc>
          <w:tcPr>
            <w:tcW w:w="1420" w:type="dxa"/>
            <w:vAlign w:val="bottom"/>
          </w:tcPr>
          <w:p>
            <w:pPr>
              <w:jc w:val="right"/>
              <w:ind w:right="506"/>
              <w:spacing w:after="0"/>
              <w:rPr>
                <w:sz w:val="20"/>
                <w:szCs w:val="20"/>
                <w:color w:val="auto"/>
              </w:rPr>
            </w:pPr>
            <w:r>
              <w:rPr>
                <w:rFonts w:ascii="Arial" w:cs="Arial" w:eastAsia="Arial" w:hAnsi="Arial"/>
                <w:sz w:val="16"/>
                <w:szCs w:val="16"/>
                <w:b w:val="1"/>
                <w:bCs w:val="1"/>
                <w:color w:val="auto"/>
              </w:rPr>
              <w:t>39</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54</w:t>
            </w:r>
          </w:p>
        </w:tc>
      </w:tr>
    </w:tbl>
    <w:p>
      <w:pPr>
        <w:spacing w:after="0" w:line="16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diluted earnings per share amounts for the three and six months ended June 30, 2016 exclude the effects of 102,000 stock options outstanding as their inclusion would have been antidilutive due to a market condition. The diluted earnings per share amounts for the three and six months ended June 30, 2015 exclude the effects of 50,000 stock options outstanding as their inclusion would have been antidilutive due to a market condition. The diluted earnings per share amounts for the three and six months ended June 30, 2016 exclude the effects of 6,100 restricted stock awards as their inclusion would have been antidilutive due to a performance condition. The diluted earnings per share amounts for the three and six months ended June 30, 2015 exclude the effects of 5,850 restricted stock awards, as their inclusion would have been antidilutive due to a performance condition.</w:t>
      </w:r>
    </w:p>
    <w:p>
      <w:pPr>
        <w:spacing w:after="0" w:line="13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the three and six months ended June 30, 2016, the Company declared dividends totaling $1.21 and $3.63, respectively. In the three and six months ended June 30, 2015, the Company declared regular dividends totaling $2.65 and $7.95, respectively.</w:t>
      </w:r>
    </w:p>
    <w:p>
      <w:pPr>
        <w:sectPr>
          <w:pgSz w:w="11900" w:h="16838" w:orient="portrait"/>
          <w:cols w:equalWidth="0" w:num="1">
            <w:col w:w="11420"/>
          </w:cols>
          <w:pgMar w:left="240" w:top="697" w:right="239" w:bottom="1440"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697"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including a portion included in discontinued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consists of the following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6"/>
                <w:szCs w:val="16"/>
                <w:b w:val="1"/>
                <w:bCs w:val="1"/>
                <w:color w:val="auto"/>
              </w:rPr>
              <w:t>5,040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7,251</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10,382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14,503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b w:val="1"/>
                <w:bCs w:val="1"/>
                <w:color w:val="auto"/>
              </w:rPr>
              <w:t>12,845</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12,781</w:t>
            </w:r>
          </w:p>
        </w:tc>
        <w:tc>
          <w:tcPr>
            <w:tcW w:w="380" w:type="dxa"/>
            <w:vAlign w:val="bottom"/>
          </w:tcPr>
          <w:p>
            <w:pPr>
              <w:spacing w:after="0"/>
              <w:rPr>
                <w:sz w:val="23"/>
                <w:szCs w:val="23"/>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25,918</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25,561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8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(30,226)</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(31,553)</w:t>
            </w:r>
          </w:p>
        </w:tc>
        <w:tc>
          <w:tcPr>
            <w:tcW w:w="380" w:type="dxa"/>
            <w:vAlign w:val="bottom"/>
          </w:tcPr>
          <w:p>
            <w:pPr>
              <w:spacing w:after="0"/>
              <w:rPr>
                <w:sz w:val="23"/>
                <w:szCs w:val="23"/>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(60,774)</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(63,098)</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75</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81</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149</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162</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(12,266)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(11,440)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(24,325)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(22,872)</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For the three and six months ended June 30, 2015, the net periodic benefit for the Company's pension plans, as reported above, includes costs of $1.0 million and $2.0 million, respectively, reported in discontinued operations.</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The total cost arising from the Company’s Supplemental Executive Retirement Plan (SERP), including a portion included in discontinued operations, consists of the following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246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509</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492</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1,018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1,096</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1,135</w:t>
            </w:r>
          </w:p>
        </w:tc>
        <w:tc>
          <w:tcPr>
            <w:tcW w:w="4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2,192</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2,270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114</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4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228</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228</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665</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877</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1,330</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1,755</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2,121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2,635</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4,242</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5,271</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For the three and six months ended June 30, 2015, the net periodic cost for the Company's SERP, as reported above, includes costs of $0.1 million and $0.2 million, respectively, reported in discontinued operations.</w:t>
      </w:r>
    </w:p>
    <w:p>
      <w:pPr>
        <w:spacing w:after="0" w:line="113"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663"/>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2016</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2015</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74%</w:t>
            </w:r>
          </w:p>
        </w:tc>
        <w:tc>
          <w:tcPr>
            <w:tcW w:w="12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20%</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spacing w:after="0" w:line="219" w:lineRule="auto"/>
        <w:rPr>
          <w:sz w:val="20"/>
          <w:szCs w:val="20"/>
          <w:color w:val="auto"/>
        </w:rPr>
      </w:pPr>
      <w:r>
        <w:rPr>
          <w:rFonts w:ascii="Arial" w:cs="Arial" w:eastAsia="Arial" w:hAnsi="Arial"/>
          <w:sz w:val="18"/>
          <w:szCs w:val="18"/>
          <w:color w:val="auto"/>
        </w:rPr>
        <w:t>Beginning in the second quarter of 2016, the Company started managing approximately 44% of the pension assets internally, of which the majority is invested in a U.S. stock index fund with the remaining investments in Berkshire Hathaway stock and short-term fixed income securities. The remaining 56% of plan assets are still managed by two investment companies. The goal for the investments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w:t>
      </w:r>
    </w:p>
    <w:p>
      <w:pPr>
        <w:spacing w:after="0" w:line="1" w:lineRule="exact"/>
        <w:rPr>
          <w:sz w:val="20"/>
          <w:szCs w:val="20"/>
          <w:color w:val="auto"/>
        </w:rPr>
      </w:pPr>
    </w:p>
    <w:p>
      <w:pPr>
        <w:jc w:val="both"/>
        <w:ind w:right="260"/>
        <w:spacing w:after="0" w:line="229" w:lineRule="auto"/>
        <w:rPr>
          <w:sz w:val="20"/>
          <w:szCs w:val="20"/>
          <w:color w:val="auto"/>
        </w:rPr>
      </w:pPr>
      <w:r>
        <w:rPr>
          <w:rFonts w:ascii="Arial" w:cs="Arial" w:eastAsia="Arial" w:hAnsi="Arial"/>
          <w:sz w:val="18"/>
          <w:szCs w:val="18"/>
          <w:color w:val="auto"/>
        </w:rPr>
        <w:t>U.S. Government, without receiving prior approval from the Plan administrator. As of June 30, 2016, the investment managers can invest no more than 23% of the assets they manage in specified international exchanges, at the time the investment is made, and no less than 10% of the assets could be invested in fixed-income securities.</w:t>
      </w:r>
    </w:p>
    <w:p>
      <w:pPr>
        <w:spacing w:after="0" w:line="137"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June 30, 2016. Types of concentrations that were evaluated include, but are not limited to, investment concentrations in a single entity, type of industry, foreign country and individual fund. At June 30, 2016, the pension plan held investments in one common stock and one U.S. stock index fund that exceeded 10% of total plan assets, valued at $894.0 million, or 45% of total plan assets. At December 31, 2015, the pension plan held common stock in two investments that exceeded</w:t>
      </w:r>
    </w:p>
    <w:p>
      <w:pPr>
        <w:sectPr>
          <w:pgSz w:w="11900" w:h="16838" w:orient="portrait"/>
          <w:cols w:equalWidth="0" w:num="1">
            <w:col w:w="11420"/>
          </w:cols>
          <w:pgMar w:left="240" w:top="697"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697" w:right="239" w:bottom="1440" w:gutter="0" w:footer="0" w:header="0"/>
          <w:type w:val="continuous"/>
        </w:sectPr>
      </w:pPr>
    </w:p>
    <w:bookmarkStart w:id="16" w:name="page17"/>
    <w:bookmarkEnd w:id="16"/>
    <w:p>
      <w:pPr>
        <w:ind w:right="20"/>
        <w:spacing w:after="0" w:line="235" w:lineRule="auto"/>
        <w:rPr>
          <w:sz w:val="20"/>
          <w:szCs w:val="20"/>
          <w:color w:val="auto"/>
        </w:rPr>
      </w:pPr>
      <w:r>
        <w:rPr>
          <w:rFonts w:ascii="Arial" w:cs="Arial" w:eastAsia="Arial" w:hAnsi="Arial"/>
          <w:sz w:val="18"/>
          <w:szCs w:val="18"/>
          <w:color w:val="auto"/>
        </w:rPr>
        <w:t>10% of total plan assets, valued at $562.6 million, or 25% of total plan assets. At December 31, 2015, the pension plan held investments in one foreign country that exceeded 10% of total plan assets, valued at $332.4 million, or 15% of total plan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6"/>
                <w:szCs w:val="16"/>
                <w:b w:val="1"/>
                <w:bCs w:val="1"/>
                <w:color w:val="auto"/>
              </w:rPr>
              <w:t>347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333</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693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666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b w:val="1"/>
                <w:bCs w:val="1"/>
                <w:color w:val="auto"/>
              </w:rPr>
              <w:t>307</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324</w:t>
            </w:r>
          </w:p>
        </w:tc>
        <w:tc>
          <w:tcPr>
            <w:tcW w:w="380" w:type="dxa"/>
            <w:vAlign w:val="bottom"/>
          </w:tcPr>
          <w:p>
            <w:pPr>
              <w:spacing w:after="0"/>
              <w:rPr>
                <w:sz w:val="23"/>
                <w:szCs w:val="23"/>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615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649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(84)</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380" w:type="dxa"/>
            <w:vAlign w:val="bottom"/>
          </w:tcPr>
          <w:p>
            <w:pPr>
              <w:spacing w:after="0"/>
              <w:rPr>
                <w:sz w:val="23"/>
                <w:szCs w:val="23"/>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(168)</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(376)</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(249)</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(751)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194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389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566</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12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2016</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2015</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land</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34,072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34,072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Foreign currency (loss) gain, net</w:t>
            </w:r>
          </w:p>
        </w:tc>
        <w:tc>
          <w:tcPr>
            <w:tcW w:w="30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(24,084)</w:t>
            </w:r>
          </w:p>
        </w:tc>
        <w:tc>
          <w:tcPr>
            <w:tcW w:w="4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3,608</w:t>
            </w:r>
          </w:p>
        </w:tc>
        <w:tc>
          <w:tcPr>
            <w:tcW w:w="36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(29,527)</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(3,219)</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sales of businesses</w:t>
            </w:r>
          </w:p>
        </w:tc>
        <w:tc>
          <w:tcPr>
            <w:tcW w:w="3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2,918</w:t>
            </w:r>
          </w:p>
        </w:tc>
        <w:tc>
          <w:tcPr>
            <w:tcW w:w="36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18,931</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2,918</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sales of marketable equity securities (see Note 3)</w:t>
            </w:r>
          </w:p>
        </w:tc>
        <w:tc>
          <w:tcPr>
            <w:tcW w:w="3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4,502</w:t>
            </w:r>
          </w:p>
        </w:tc>
        <w:tc>
          <w:tcPr>
            <w:tcW w:w="4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6,256</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formation of joint ventures</w:t>
            </w:r>
          </w:p>
        </w:tc>
        <w:tc>
          <w:tcPr>
            <w:tcW w:w="3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3,232</w:t>
            </w:r>
          </w:p>
        </w:tc>
        <w:tc>
          <w:tcPr>
            <w:tcW w:w="4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3,232</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5,972</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Additional gain on sale of Classified Ventures</w:t>
            </w:r>
          </w:p>
        </w:tc>
        <w:tc>
          <w:tcPr>
            <w:tcW w:w="3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4,827</w:t>
            </w:r>
          </w:p>
        </w:tc>
        <w:tc>
          <w:tcPr>
            <w:tcW w:w="36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4,827</w:t>
            </w: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1,278</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1,132</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w:t>
            </w:r>
          </w:p>
        </w:tc>
      </w:tr>
      <w:tr>
        <w:trPr>
          <w:trHeight w:val="26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19,000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11,678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34,096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10,573</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In the second quarter of 2016, the Company sold the remaining portion of the Robinson Terminal real estate retained from the sale of the Publishing Subsidiaries, for a gain of $34.1 million.</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June 2016, Residential contributed assets to a joint venture entered into with a Michigan hospital in exchange for a 40% equity interest and other assets, resulting in a $3.2 million gain (see Note 4).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2015, the Company sold The Root and Kaplan sold two small businesses for a total gain of $2.9 million.</w:t>
      </w:r>
    </w:p>
    <w:p>
      <w:pPr>
        <w:spacing w:after="0" w:line="14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the second quarter of 2015, the Company benefited from a $4.8 million favorable out of period adjustment to the gain on the sale of Classified Ventures related to the fourth quarter of 2014. With respect to this error, the Company has concluded that it was not material to the Company's financial position or results of operations for 2015 and the related interim periods, based on its consideration of quantitative and qualitative factors.</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January 2015, Celtic contributed assets to a joint venture entered into with AHN in exchange for a 40% equity interest, resulting in the Company recording a $6.0 million gain (see Note 4).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1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00" w:type="dxa"/>
            <w:vAlign w:val="bottom"/>
            <w:gridSpan w:val="2"/>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2015</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Before-Tax</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After-Tax</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w w:val="98"/>
              </w:rPr>
              <w:t>Before-Tax</w:t>
            </w:r>
          </w:p>
        </w:tc>
        <w:tc>
          <w:tcPr>
            <w:tcW w:w="900" w:type="dxa"/>
            <w:vAlign w:val="bottom"/>
          </w:tcPr>
          <w:p>
            <w:pPr>
              <w:jc w:val="center"/>
              <w:ind w:right="48"/>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900" w:type="dxa"/>
            <w:vAlign w:val="bottom"/>
          </w:tcPr>
          <w:p>
            <w:pPr>
              <w:jc w:val="center"/>
              <w:ind w:right="48"/>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1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697" w:right="239" w:bottom="624"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losses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losses for the period, net</w:t>
      </w:r>
    </w:p>
    <w:p>
      <w:pPr>
        <w:spacing w:after="0" w:line="59" w:lineRule="exact"/>
        <w:rPr>
          <w:sz w:val="20"/>
          <w:szCs w:val="20"/>
          <w:color w:val="auto"/>
        </w:rPr>
      </w:pPr>
    </w:p>
    <w:p>
      <w:pPr>
        <w:ind w:left="340" w:hanging="161"/>
        <w:spacing w:after="0" w:line="260" w:lineRule="auto"/>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right="20"/>
        <w:spacing w:after="0" w:line="366" w:lineRule="auto"/>
        <w:rPr>
          <w:sz w:val="20"/>
          <w:szCs w:val="20"/>
          <w:color w:val="auto"/>
        </w:rPr>
      </w:pPr>
      <w:r>
        <w:rPr>
          <w:rFonts w:ascii="Arial" w:cs="Arial" w:eastAsia="Arial" w:hAnsi="Arial"/>
          <w:sz w:val="16"/>
          <w:szCs w:val="16"/>
          <w:color w:val="auto"/>
        </w:rPr>
        <w:t>Amortization of net prior service cost included in net income Amortization of net actuarial loss included in net income</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(5,121)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(5,121)</w:t>
            </w:r>
          </w:p>
        </w:tc>
        <w:tc>
          <w:tcPr>
            <w:tcW w:w="3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5,249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5,249</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(484)</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(5,121)</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(5,121)</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4,765</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4,765</w:t>
            </w:r>
          </w:p>
        </w:tc>
      </w:tr>
      <w:tr>
        <w:trPr>
          <w:trHeight w:val="521"/>
        </w:trPr>
        <w:tc>
          <w:tcPr>
            <w:tcW w:w="2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(5,307)</w:t>
            </w:r>
          </w:p>
        </w:tc>
        <w:tc>
          <w:tcPr>
            <w:tcW w:w="260" w:type="dxa"/>
            <w:vAlign w:val="bottom"/>
          </w:tcPr>
          <w:p>
            <w:pPr>
              <w:spacing w:after="0"/>
              <w:rPr>
                <w:sz w:val="24"/>
                <w:szCs w:val="24"/>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2,123</w:t>
            </w:r>
          </w:p>
        </w:tc>
        <w:tc>
          <w:tcPr>
            <w:tcW w:w="20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(3,184)</w:t>
            </w:r>
          </w:p>
        </w:tc>
        <w:tc>
          <w:tcPr>
            <w:tcW w:w="3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(11,455)</w:t>
            </w:r>
          </w:p>
        </w:tc>
        <w:tc>
          <w:tcPr>
            <w:tcW w:w="320" w:type="dxa"/>
            <w:vAlign w:val="bottom"/>
          </w:tcPr>
          <w:p>
            <w:pPr>
              <w:spacing w:after="0"/>
              <w:rPr>
                <w:sz w:val="24"/>
                <w:szCs w:val="24"/>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4,582</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(6,873)</w:t>
            </w:r>
          </w:p>
        </w:tc>
      </w:tr>
      <w:tr>
        <w:trPr>
          <w:trHeight w:val="445"/>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(4,502)</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1,801</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(2,701)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(9,809)</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3,924</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(5,885)</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(11,455)</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4,582</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(6,873)</w:t>
            </w:r>
          </w:p>
        </w:tc>
      </w:tr>
      <w:tr>
        <w:trPr>
          <w:trHeight w:val="764"/>
        </w:trPr>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105</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20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62</w:t>
            </w:r>
          </w:p>
        </w:tc>
        <w:tc>
          <w:tcPr>
            <w:tcW w:w="30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w:t>
            </w:r>
          </w:p>
        </w:tc>
        <w:tc>
          <w:tcPr>
            <w:tcW w:w="3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289</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174</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628</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377</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394</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236</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698</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(14,536)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3,766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(10,770)</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(5,992)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4,303</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32"/>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2015</w:t>
            </w:r>
          </w:p>
        </w:tc>
        <w:tc>
          <w:tcPr>
            <w:tcW w:w="1080" w:type="dxa"/>
            <w:vAlign w:val="bottom"/>
            <w:tcBorders>
              <w:bottom w:val="single" w:sz="8" w:color="auto"/>
            </w:tcBorders>
          </w:tcPr>
          <w:p>
            <w:pPr>
              <w:spacing w:after="0"/>
              <w:rPr>
                <w:sz w:val="17"/>
                <w:szCs w:val="17"/>
                <w:color w:val="auto"/>
              </w:rPr>
            </w:pPr>
          </w:p>
        </w:tc>
      </w:tr>
      <w:tr>
        <w:trPr>
          <w:trHeight w:val="258"/>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Before-Tax</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After-Tax</w:t>
            </w:r>
          </w:p>
        </w:tc>
        <w:tc>
          <w:tcPr>
            <w:tcW w:w="1160" w:type="dxa"/>
            <w:vAlign w:val="bottom"/>
          </w:tcPr>
          <w:p>
            <w:pPr>
              <w:jc w:val="center"/>
              <w:spacing w:after="0"/>
              <w:rPr>
                <w:sz w:val="20"/>
                <w:szCs w:val="20"/>
                <w:color w:val="auto"/>
              </w:rPr>
            </w:pPr>
            <w:r>
              <w:rPr>
                <w:rFonts w:ascii="Arial" w:cs="Arial" w:eastAsia="Arial" w:hAnsi="Arial"/>
                <w:sz w:val="14"/>
                <w:szCs w:val="14"/>
                <w:color w:val="auto"/>
                <w:w w:val="98"/>
              </w:rPr>
              <w:t>Before-Tax</w:t>
            </w:r>
          </w:p>
        </w:tc>
        <w:tc>
          <w:tcPr>
            <w:tcW w:w="980" w:type="dxa"/>
            <w:vAlign w:val="bottom"/>
          </w:tcPr>
          <w:p>
            <w:pPr>
              <w:jc w:val="center"/>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spacing w:after="0"/>
              <w:rPr>
                <w:sz w:val="20"/>
                <w:szCs w:val="20"/>
                <w:color w:val="auto"/>
              </w:rPr>
            </w:pPr>
            <w:r>
              <w:rPr>
                <w:rFonts w:ascii="Arial" w:cs="Arial" w:eastAsia="Arial" w:hAnsi="Arial"/>
                <w:sz w:val="14"/>
                <w:szCs w:val="14"/>
                <w:color w:val="auto"/>
              </w:rPr>
              <w:t>After-Tax</w:t>
            </w:r>
          </w:p>
        </w:tc>
      </w:tr>
      <w:tr>
        <w:trPr>
          <w:trHeight w:val="216"/>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Amount</w:t>
            </w: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spacing w:after="0"/>
              <w:rPr>
                <w:sz w:val="20"/>
                <w:szCs w:val="20"/>
                <w:color w:val="auto"/>
              </w:rPr>
            </w:pPr>
            <w:r>
              <w:rPr>
                <w:rFonts w:ascii="Arial" w:cs="Arial" w:eastAsia="Arial" w:hAnsi="Arial"/>
                <w:sz w:val="14"/>
                <w:szCs w:val="14"/>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41910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4460" w:space="700"/>
            <w:col w:w="6260"/>
          </w:cols>
          <w:pgMar w:left="240" w:top="697" w:right="239" w:bottom="624" w:gutter="0" w:footer="0" w:header="0"/>
          <w:type w:val="continuous"/>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losses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losses for the period, net</w:t>
      </w:r>
    </w:p>
    <w:p>
      <w:pPr>
        <w:spacing w:after="0" w:line="59" w:lineRule="exact"/>
        <w:rPr>
          <w:sz w:val="20"/>
          <w:szCs w:val="20"/>
          <w:color w:val="auto"/>
        </w:rPr>
      </w:pPr>
    </w:p>
    <w:p>
      <w:pPr>
        <w:ind w:left="340" w:hanging="161"/>
        <w:spacing w:after="0" w:line="260" w:lineRule="auto"/>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right="20"/>
        <w:spacing w:after="0" w:line="366" w:lineRule="auto"/>
        <w:rPr>
          <w:sz w:val="20"/>
          <w:szCs w:val="20"/>
          <w:color w:val="auto"/>
        </w:rPr>
      </w:pPr>
      <w:r>
        <w:rPr>
          <w:rFonts w:ascii="Arial" w:cs="Arial" w:eastAsia="Arial" w:hAnsi="Arial"/>
          <w:sz w:val="16"/>
          <w:szCs w:val="16"/>
          <w:color w:val="auto"/>
        </w:rPr>
        <w:t>Amortization of net prior service cost included in net income Amortization of net actuarial loss included in net income</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(1,276)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(1,276)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(6,839)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(6,839)</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(525)</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(1,276)</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(1,276)</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(7,364)</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(7,364)</w:t>
            </w:r>
          </w:p>
        </w:tc>
      </w:tr>
      <w:tr>
        <w:trPr>
          <w:trHeight w:val="521"/>
        </w:trPr>
        <w:tc>
          <w:tcPr>
            <w:tcW w:w="2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(4,964)</w:t>
            </w:r>
          </w:p>
        </w:tc>
        <w:tc>
          <w:tcPr>
            <w:tcW w:w="260" w:type="dxa"/>
            <w:vAlign w:val="bottom"/>
          </w:tcPr>
          <w:p>
            <w:pPr>
              <w:spacing w:after="0"/>
              <w:rPr>
                <w:sz w:val="24"/>
                <w:szCs w:val="24"/>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1,986</w:t>
            </w: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(2,978)</w:t>
            </w:r>
          </w:p>
        </w:tc>
        <w:tc>
          <w:tcPr>
            <w:tcW w:w="3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(20,333)</w:t>
            </w:r>
          </w:p>
        </w:tc>
        <w:tc>
          <w:tcPr>
            <w:tcW w:w="320" w:type="dxa"/>
            <w:vAlign w:val="bottom"/>
          </w:tcPr>
          <w:p>
            <w:pPr>
              <w:spacing w:after="0"/>
              <w:rPr>
                <w:sz w:val="24"/>
                <w:szCs w:val="24"/>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8,134</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(12,199)</w:t>
            </w:r>
          </w:p>
        </w:tc>
      </w:tr>
      <w:tr>
        <w:trPr>
          <w:trHeight w:val="445"/>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(6,256)</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2,502</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(3,754)</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(11,220)</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4,488</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(6,732)</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(20,333)</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8,134</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(12,199)</w:t>
            </w:r>
          </w:p>
        </w:tc>
      </w:tr>
      <w:tr>
        <w:trPr>
          <w:trHeight w:val="521"/>
        </w:trPr>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209</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30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125</w:t>
            </w:r>
          </w:p>
        </w:tc>
        <w:tc>
          <w:tcPr>
            <w:tcW w:w="30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139</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579</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348</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1,257</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754</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788</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473</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1,396</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838</w:t>
            </w:r>
          </w:p>
        </w:tc>
      </w:tr>
      <w:tr>
        <w:trPr>
          <w:trHeight w:val="534"/>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(11,708)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4,173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(7,535)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(26,122)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7,505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4460" w:space="700"/>
            <w:col w:w="6260"/>
          </w:cols>
          <w:pgMar w:left="240" w:top="697" w:right="239" w:bottom="624"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60" w:type="dxa"/>
            <w:vAlign w:val="bottom"/>
          </w:tcPr>
          <w:p>
            <w:pPr>
              <w:jc w:val="center"/>
              <w:ind w:right="122"/>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60" w:type="dxa"/>
            <w:vAlign w:val="bottom"/>
          </w:tcPr>
          <w:p>
            <w:pPr>
              <w:jc w:val="center"/>
              <w:ind w:right="122"/>
              <w:spacing w:after="0"/>
              <w:rPr>
                <w:sz w:val="20"/>
                <w:szCs w:val="20"/>
                <w:color w:val="auto"/>
              </w:rPr>
            </w:pPr>
            <w:r>
              <w:rPr>
                <w:rFonts w:ascii="Arial" w:cs="Arial" w:eastAsia="Arial" w:hAnsi="Arial"/>
                <w:sz w:val="14"/>
                <w:szCs w:val="14"/>
                <w:b w:val="1"/>
                <w:bCs w:val="1"/>
                <w:color w:val="auto"/>
              </w:rPr>
              <w:t>on Available-for-</w:t>
            </w: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Sale Securities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50"/>
        </w:trPr>
        <w:tc>
          <w:tcPr>
            <w:tcW w:w="5380" w:type="dxa"/>
            <w:vAlign w:val="bottom"/>
          </w:tcPr>
          <w:p>
            <w:pPr>
              <w:ind w:left="40"/>
              <w:spacing w:after="0"/>
              <w:rPr>
                <w:sz w:val="20"/>
                <w:szCs w:val="20"/>
                <w:color w:val="auto"/>
              </w:rPr>
            </w:pPr>
            <w:r>
              <w:rPr>
                <w:rFonts w:ascii="Arial" w:cs="Arial" w:eastAsia="Arial" w:hAnsi="Arial"/>
                <w:sz w:val="16"/>
                <w:szCs w:val="16"/>
                <w:color w:val="auto"/>
              </w:rPr>
              <w:t>Balance as of December 31, 2015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(4,849)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58,500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261,029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314,680</w:t>
            </w:r>
          </w:p>
        </w:tc>
      </w:tr>
      <w:tr>
        <w:trPr>
          <w:trHeight w:val="270"/>
        </w:trPr>
        <w:tc>
          <w:tcPr>
            <w:tcW w:w="538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before reclassifications</w:t>
            </w: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b w:val="1"/>
                <w:bCs w:val="1"/>
                <w:color w:val="auto"/>
              </w:rPr>
              <w:t>(1,276)</w:t>
            </w:r>
          </w:p>
        </w:tc>
        <w:tc>
          <w:tcPr>
            <w:tcW w:w="220" w:type="dxa"/>
            <w:vAlign w:val="bottom"/>
          </w:tcPr>
          <w:p>
            <w:pPr>
              <w:spacing w:after="0"/>
              <w:rPr>
                <w:sz w:val="23"/>
                <w:szCs w:val="23"/>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b w:val="1"/>
                <w:bCs w:val="1"/>
                <w:color w:val="auto"/>
              </w:rPr>
              <w:t>(2,978)</w:t>
            </w:r>
          </w:p>
        </w:tc>
        <w:tc>
          <w:tcPr>
            <w:tcW w:w="22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(4,254)</w:t>
            </w:r>
          </w:p>
        </w:tc>
      </w:tr>
      <w:tr>
        <w:trPr>
          <w:trHeight w:val="218"/>
        </w:trPr>
        <w:tc>
          <w:tcPr>
            <w:tcW w:w="538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 comprehensive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5380" w:type="dxa"/>
            <w:vAlign w:val="bottom"/>
          </w:tcPr>
          <w:p>
            <w:pPr>
              <w:ind w:left="260"/>
              <w:spacing w:after="0"/>
              <w:rPr>
                <w:sz w:val="20"/>
                <w:szCs w:val="20"/>
                <w:color w:val="auto"/>
              </w:rPr>
            </w:pPr>
            <w:r>
              <w:rPr>
                <w:rFonts w:ascii="Arial" w:cs="Arial" w:eastAsia="Arial" w:hAnsi="Arial"/>
                <w:sz w:val="16"/>
                <w:szCs w:val="16"/>
                <w:b w:val="1"/>
                <w:bCs w:val="1"/>
                <w:color w:val="auto"/>
              </w:rPr>
              <w:t>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(3,754)</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473</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(3,281)</w:t>
            </w:r>
          </w:p>
        </w:tc>
      </w:tr>
      <w:tr>
        <w:trPr>
          <w:trHeight w:val="264"/>
        </w:trPr>
        <w:tc>
          <w:tcPr>
            <w:tcW w:w="538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net of tax</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(1,276)</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(6,732)</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473</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(7,535)</w:t>
            </w:r>
          </w:p>
        </w:tc>
      </w:tr>
      <w:tr>
        <w:trPr>
          <w:trHeight w:val="26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(6,125)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51,768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261,502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307,145</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7" w:right="239" w:bottom="624"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697" w:right="239" w:bottom="624"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240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0" w:type="dxa"/>
            <w:vAlign w:val="bottom"/>
            <w:vMerge w:val="restart"/>
          </w:tcPr>
          <w:p>
            <w:pPr>
              <w:jc w:val="center"/>
              <w:ind w:left="48"/>
              <w:spacing w:after="0" w:line="13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61"/>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2015</w:t>
            </w:r>
          </w:p>
        </w:tc>
        <w:tc>
          <w:tcPr>
            <w:tcW w:w="24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Foreign Currency Translation Adjustments:</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(484)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(525)</w:t>
            </w:r>
          </w:p>
        </w:tc>
        <w:tc>
          <w:tcPr>
            <w:tcW w:w="2400" w:type="dxa"/>
            <w:vAlign w:val="bottom"/>
          </w:tcPr>
          <w:p>
            <w:pPr>
              <w:ind w:left="14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63"/>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Realized gain for the period</w:t>
            </w:r>
          </w:p>
        </w:tc>
        <w:tc>
          <w:tcPr>
            <w:tcW w:w="18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(4,502)</w:t>
            </w:r>
          </w:p>
        </w:tc>
        <w:tc>
          <w:tcPr>
            <w:tcW w:w="340" w:type="dxa"/>
            <w:vAlign w:val="bottom"/>
          </w:tcPr>
          <w:p>
            <w:pPr>
              <w:spacing w:after="0"/>
              <w:rPr>
                <w:sz w:val="24"/>
                <w:szCs w:val="24"/>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(6,256)</w:t>
            </w:r>
          </w:p>
        </w:tc>
        <w:tc>
          <w:tcPr>
            <w:tcW w:w="340" w:type="dxa"/>
            <w:vAlign w:val="bottom"/>
          </w:tcPr>
          <w:p>
            <w:pPr>
              <w:spacing w:after="0"/>
              <w:rPr>
                <w:sz w:val="24"/>
                <w:szCs w:val="24"/>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0" w:type="dxa"/>
            <w:vAlign w:val="bottom"/>
          </w:tcPr>
          <w:p>
            <w:pPr>
              <w:ind w:left="14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1,801</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2,502</w:t>
            </w: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40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(2,701)</w:t>
            </w: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(3,754)</w:t>
            </w: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4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cost</w:t>
            </w:r>
          </w:p>
        </w:tc>
        <w:tc>
          <w:tcPr>
            <w:tcW w:w="180" w:type="dxa"/>
            <w:vAlign w:val="bottom"/>
          </w:tcPr>
          <w:p>
            <w:pPr>
              <w:spacing w:after="0"/>
              <w:rPr>
                <w:sz w:val="23"/>
                <w:szCs w:val="23"/>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105</w:t>
            </w:r>
          </w:p>
        </w:tc>
        <w:tc>
          <w:tcPr>
            <w:tcW w:w="340" w:type="dxa"/>
            <w:vAlign w:val="bottom"/>
          </w:tcPr>
          <w:p>
            <w:pPr>
              <w:spacing w:after="0"/>
              <w:rPr>
                <w:sz w:val="23"/>
                <w:szCs w:val="23"/>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23"/>
                <w:szCs w:val="23"/>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rPr>
              <w:t>209</w:t>
            </w:r>
          </w:p>
        </w:tc>
        <w:tc>
          <w:tcPr>
            <w:tcW w:w="340" w:type="dxa"/>
            <w:vAlign w:val="bottom"/>
          </w:tcPr>
          <w:p>
            <w:pPr>
              <w:spacing w:after="0"/>
              <w:rPr>
                <w:sz w:val="23"/>
                <w:szCs w:val="23"/>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139</w:t>
            </w:r>
          </w:p>
        </w:tc>
        <w:tc>
          <w:tcPr>
            <w:tcW w:w="240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loss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289</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628</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579</w:t>
            </w: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1,257</w:t>
            </w:r>
          </w:p>
        </w:tc>
        <w:tc>
          <w:tcPr>
            <w:tcW w:w="240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8"/>
        </w:trPr>
        <w:tc>
          <w:tcPr>
            <w:tcW w:w="5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394</w:t>
            </w:r>
          </w:p>
        </w:tc>
        <w:tc>
          <w:tcPr>
            <w:tcW w:w="340" w:type="dxa"/>
            <w:vAlign w:val="bottom"/>
          </w:tcPr>
          <w:p>
            <w:pPr>
              <w:spacing w:after="0"/>
              <w:rPr>
                <w:sz w:val="22"/>
                <w:szCs w:val="22"/>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698</w:t>
            </w:r>
          </w:p>
        </w:tc>
        <w:tc>
          <w:tcPr>
            <w:tcW w:w="280" w:type="dxa"/>
            <w:vAlign w:val="bottom"/>
          </w:tcPr>
          <w:p>
            <w:pPr>
              <w:spacing w:after="0"/>
              <w:rPr>
                <w:sz w:val="22"/>
                <w:szCs w:val="22"/>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rPr>
              <w:t>788</w:t>
            </w:r>
          </w:p>
        </w:tc>
        <w:tc>
          <w:tcPr>
            <w:tcW w:w="34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1,396</w:t>
            </w:r>
          </w:p>
        </w:tc>
        <w:tc>
          <w:tcPr>
            <w:tcW w:w="240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(158)</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(279)</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(315)</w:t>
            </w: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240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236</w:t>
            </w: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419</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473</w:t>
            </w: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838</w:t>
            </w:r>
          </w:p>
        </w:tc>
        <w:tc>
          <w:tcPr>
            <w:tcW w:w="24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4"/>
                <w:szCs w:val="24"/>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4"/>
                <w:szCs w:val="24"/>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132</w:t>
            </w:r>
          </w:p>
        </w:tc>
        <w:tc>
          <w:tcPr>
            <w:tcW w:w="240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40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c>
          <w:tcPr>
            <w:tcW w:w="24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(2,465)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(3,281)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392</w:t>
            </w:r>
          </w:p>
        </w:tc>
        <w:tc>
          <w:tcPr>
            <w:tcW w:w="24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44"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Litigation and Legal Matters. </w:t>
      </w:r>
      <w:r>
        <w:rPr>
          <w:rFonts w:ascii="Arial" w:cs="Arial" w:eastAsia="Arial" w:hAnsi="Arial"/>
          <w:sz w:val="18"/>
          <w:szCs w:val="18"/>
          <w:color w:val="auto"/>
        </w:rPr>
        <w:t>The Company and its subsidiaries are involved in various legal proceedings that arise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39"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 xml:space="preserve">Certain Kaplan subsidiaries are subject to two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Carlos Urquilla-Diaz </w:t>
      </w:r>
      <w:r>
        <w:rPr>
          <w:rFonts w:ascii="Arial" w:cs="Arial" w:eastAsia="Arial" w:hAnsi="Arial"/>
          <w:sz w:val="18"/>
          <w:szCs w:val="18"/>
          <w:color w:val="auto"/>
        </w:rPr>
        <w:t>et al</w:t>
      </w:r>
      <w:r>
        <w:rPr>
          <w:rFonts w:ascii="Arial" w:cs="Arial" w:eastAsia="Arial" w:hAnsi="Arial"/>
          <w:sz w:val="18"/>
          <w:szCs w:val="18"/>
          <w:i w:val="1"/>
          <w:iCs w:val="1"/>
          <w:color w:val="auto"/>
        </w:rPr>
        <w:t xml:space="preserve">.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University </w:t>
      </w:r>
      <w:r>
        <w:rPr>
          <w:rFonts w:ascii="Arial" w:cs="Arial" w:eastAsia="Arial" w:hAnsi="Arial"/>
          <w:sz w:val="18"/>
          <w:szCs w:val="18"/>
          <w:color w:val="auto"/>
        </w:rPr>
        <w:t>et al. (unsealed March 25, 2008) and</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 xml:space="preserve">ex rel. </w:t>
      </w:r>
      <w:r>
        <w:rPr>
          <w:rFonts w:ascii="Arial" w:cs="Arial" w:eastAsia="Arial" w:hAnsi="Arial"/>
          <w:sz w:val="18"/>
          <w:szCs w:val="18"/>
          <w:i w:val="1"/>
          <w:iCs w:val="1"/>
          <w:color w:val="auto"/>
        </w:rPr>
        <w:t>Charles Jajdelski</w:t>
      </w:r>
      <w:r>
        <w:rPr>
          <w:rFonts w:ascii="Arial" w:cs="Arial" w:eastAsia="Arial" w:hAnsi="Arial"/>
          <w:sz w:val="18"/>
          <w:szCs w:val="18"/>
          <w:color w:val="auto"/>
        </w:rPr>
        <w:t xml:space="preserve"> v</w:t>
      </w:r>
      <w:r>
        <w:rPr>
          <w:rFonts w:ascii="Arial" w:cs="Arial" w:eastAsia="Arial" w:hAnsi="Arial"/>
          <w:sz w:val="18"/>
          <w:szCs w:val="18"/>
          <w:i w:val="1"/>
          <w:iCs w:val="1"/>
          <w:color w:val="auto"/>
        </w:rPr>
        <w:t>. Kaplan Higher Education Corp</w:t>
      </w:r>
      <w:r>
        <w:rPr>
          <w:rFonts w:ascii="Arial" w:cs="Arial" w:eastAsia="Arial" w:hAnsi="Arial"/>
          <w:sz w:val="18"/>
          <w:szCs w:val="18"/>
          <w:color w:val="auto"/>
        </w:rPr>
        <w:t>. et al. (unsealed January 6, 2009).</w:t>
      </w:r>
    </w:p>
    <w:p>
      <w:pPr>
        <w:spacing w:after="0" w:line="137"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In August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In October 2012, the court entered summary judgment in favor of the Company as to the sole remaining employment claim in the Diaz complaint. In July 2013, the court likewise entered summary judgment in favor of the Company on all remaining claims in the Gillespie complaint. Diaz and Gillespie each appealed to the U.S. Court of Appeals for the Eleventh Judicial Court. Arguments on both appeals were heard in February 2015. In March 2015, the court issued a decision affirming the lower court's dismissal of all of Gillespie's claims and three of the four Diaz claims but reversing and remanding on one remaining claim alleging that incentive compensation for admissions representatives was improperly based on enrollment counts. Kaplan filed an answer to Diaz's amended complaint in September 2015 and a renewed motion to dismiss, and a hearing was held in December 2015. In March 2016, the Court denied the motion to dismiss and discovery is proceeding in the case. In February 2016, Gillespie filed a new motion with the District Court alleging that the Court improperly refused to consider a motion to vacate while the case was on appeal; Kaplan filed an opposition to this motion that was denied by the Court.</w:t>
      </w:r>
    </w:p>
    <w:p>
      <w:pPr>
        <w:spacing w:after="0" w:line="142"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In February 2016, Acquire Learning (Acquire) filed a statement of claim against Kaplan Australia and Kaplan Inc. in the Victorian Supreme Court, alleging breaches of warranty in connection with Acquire's September 2015 purchase of Franklyn Scholar from Kaplan Australia, and seeking payment under the indemnity provisions of the sale</w:t>
      </w:r>
    </w:p>
    <w:p>
      <w:pPr>
        <w:sectPr>
          <w:pgSz w:w="11900" w:h="16838" w:orient="portrait"/>
          <w:cols w:equalWidth="0" w:num="1">
            <w:col w:w="11420"/>
          </w:cols>
          <w:pgMar w:left="240" w:top="719"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719" w:right="239" w:bottom="1440" w:gutter="0" w:footer="0" w:header="0"/>
          <w:type w:val="continuous"/>
        </w:sectPr>
      </w:pPr>
    </w:p>
    <w:bookmarkStart w:id="19" w:name="page20"/>
    <w:bookmarkEnd w:id="19"/>
    <w:p>
      <w:pPr>
        <w:ind w:right="560"/>
        <w:spacing w:after="0" w:line="229" w:lineRule="auto"/>
        <w:rPr>
          <w:sz w:val="20"/>
          <w:szCs w:val="20"/>
          <w:color w:val="auto"/>
        </w:rPr>
      </w:pPr>
      <w:r>
        <w:rPr>
          <w:rFonts w:ascii="Arial" w:cs="Arial" w:eastAsia="Arial" w:hAnsi="Arial"/>
          <w:sz w:val="18"/>
          <w:szCs w:val="18"/>
          <w:color w:val="auto"/>
        </w:rPr>
        <w:t>agreement. The alleged breaches of warranty relate to certain courses which were the subject of Victorian Government Department of Education and Training audits and subsequent repayment demands. Kaplan Australia filed its "Defence and Counterclaim" in April 2016, denying the allegations and bringing claims against Acquire. In June 2016, the claim was settled.</w:t>
      </w:r>
    </w:p>
    <w:p>
      <w:pPr>
        <w:spacing w:after="0" w:line="115"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ED has undertaken program reviews at various KHE locations. Currently, there are five open program reviews, four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at campuses that were formerly a part of the KHE Campuses business, including the ED’s final reports on the program reviews at KHE’s Broomall, PA, and Pittsburgh, PA, locations. Kaplan retains responsibility for any financial obligation resulting from the ED program reviews at the KHE Campuses business.</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February 23, 2015, the ED began a review of Kaplan University. The review will assess Kaplan’s administration of its Title IV, HEA programs and will initially focus on the 2013 to 2014 and 2014 to 2015 award years. On December 17, 2015, Kaplan University received a notice from the ED that it had been placed on provisional certification status until September 30, 2018, in connection with the open and ongoing ED program review. The ED has not notified Kaplan University of any negative findings. However, at this time, Kaplan cannot predict the outcome of this review, when it will be completed or any liability or other limitations that the ED may place on Kaplan University as a result of this review. During the period of provisional certification, Kaplan University must obtain prior ED approval to open a new location, add an educational program, acquire another school or make any other significant change.</w:t>
      </w:r>
    </w:p>
    <w:p>
      <w:pPr>
        <w:spacing w:after="0" w:line="153"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March and April 2015, the ED conducted a program review of the nationally accredited San Antonio (Ingram) and Hammond (Indiana) KHE campuses. These campuses were subsequently a part of the sale of the nationally accredited campuses to ECA. Kaplan retains liability for any deficiency findings relating to pre-sale conduct. On July 20, 2016, ECA received the Preliminary Program Review Report for the two reviews from the ED. The Report highlighted a number of required policy changes and requires ECA to conduct a full review of student files over a two year period to help the Department determine if the school properly reported enrollment status for certain students to the National Student Loan Data System. Failure to properly report status could result in students receiving funds for which they were not entitled. Kaplan will work with ECA on these reviews; however, until they are completed, Kaplan cannot predict the final outcome or potential liability associated with these reviews.</w:t>
      </w:r>
    </w:p>
    <w:p>
      <w:pPr>
        <w:spacing w:after="0" w:line="13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11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b w:val="1"/>
          <w:bCs w:val="1"/>
          <w:color w:val="auto"/>
        </w:rPr>
        <w:t xml:space="preserve">Accreditation Review. </w:t>
      </w:r>
      <w:r>
        <w:rPr>
          <w:rFonts w:ascii="Arial" w:cs="Arial" w:eastAsia="Arial" w:hAnsi="Arial"/>
          <w:sz w:val="18"/>
          <w:szCs w:val="18"/>
          <w:color w:val="auto"/>
        </w:rPr>
        <w:t>In the second quarter of 2016, the Higher Learning Commission (HLC), Kaplan University's accreditor, conducted an</w:t>
      </w:r>
      <w:r>
        <w:rPr>
          <w:rFonts w:ascii="Arial" w:cs="Arial" w:eastAsia="Arial" w:hAnsi="Arial"/>
          <w:sz w:val="18"/>
          <w:szCs w:val="18"/>
          <w:b w:val="1"/>
          <w:bCs w:val="1"/>
          <w:color w:val="auto"/>
        </w:rPr>
        <w:t xml:space="preserve"> </w:t>
      </w:r>
      <w:r>
        <w:rPr>
          <w:rFonts w:ascii="Arial" w:cs="Arial" w:eastAsia="Arial" w:hAnsi="Arial"/>
          <w:sz w:val="18"/>
          <w:szCs w:val="18"/>
          <w:color w:val="auto"/>
        </w:rPr>
        <w:t>on-site review as part of Kaplan University's regularly scheduled reaffirmation of accreditation. HLC is expected to issue its final report in September 2016.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19"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13. BUSINESS SEGMENTS</w:t>
      </w:r>
    </w:p>
    <w:p>
      <w:pPr>
        <w:spacing w:after="0" w:line="166" w:lineRule="exact"/>
        <w:rPr>
          <w:sz w:val="20"/>
          <w:szCs w:val="20"/>
          <w:color w:val="auto"/>
        </w:rPr>
      </w:pPr>
    </w:p>
    <w:p>
      <w:pPr>
        <w:ind w:right="920"/>
        <w:spacing w:after="0" w:line="235" w:lineRule="auto"/>
        <w:rPr>
          <w:sz w:val="20"/>
          <w:szCs w:val="20"/>
          <w:color w:val="auto"/>
        </w:rPr>
      </w:pPr>
      <w:r>
        <w:rPr>
          <w:rFonts w:ascii="Arial" w:cs="Arial" w:eastAsia="Arial" w:hAnsi="Arial"/>
          <w:sz w:val="18"/>
          <w:szCs w:val="18"/>
          <w:color w:val="auto"/>
        </w:rPr>
        <w:t>The Company has four reportable segments: Kaplan Higher Education, Kaplan Test Preparation, Kaplan International and television broadcasting.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419,213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523,625</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820,289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1,024,227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96,520</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90,753</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188,538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174,317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113,269</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66,512</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221,985</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129,771</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(69)</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628,933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680,890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1,230,673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1,328,315</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32,892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15,848</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47,380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(7,001)</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44,215</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42,014</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85,435</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80,576</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(5,062)</w:t>
            </w:r>
          </w:p>
        </w:tc>
        <w:tc>
          <w:tcPr>
            <w:tcW w:w="3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(2,161)</w:t>
            </w: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(10,792)</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(7,323)</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2,095</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524</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3,989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74,140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56,225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126,012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65,087</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Equity in (Losses) Earnings of Affiliates, Net</w:t>
            </w:r>
          </w:p>
        </w:tc>
        <w:tc>
          <w:tcPr>
            <w:tcW w:w="22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(891)</w:t>
            </w:r>
          </w:p>
        </w:tc>
        <w:tc>
          <w:tcPr>
            <w:tcW w:w="3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360" w:type="dxa"/>
            <w:vAlign w:val="bottom"/>
          </w:tcPr>
          <w:p>
            <w:pPr>
              <w:spacing w:after="0"/>
              <w:rPr>
                <w:sz w:val="21"/>
                <w:szCs w:val="21"/>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113</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(7,250)</w:t>
            </w:r>
          </w:p>
        </w:tc>
        <w:tc>
          <w:tcPr>
            <w:tcW w:w="3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(8,025)</w:t>
            </w: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(14,607)</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(15,967)</w:t>
            </w:r>
          </w:p>
        </w:tc>
        <w:tc>
          <w:tcPr>
            <w:tcW w:w="0" w:type="dxa"/>
            <w:vAlign w:val="bottom"/>
          </w:tcPr>
          <w:p>
            <w:pPr>
              <w:spacing w:after="0"/>
              <w:rPr>
                <w:sz w:val="1"/>
                <w:szCs w:val="1"/>
                <w:color w:val="auto"/>
              </w:rPr>
            </w:pPr>
          </w:p>
        </w:tc>
      </w:tr>
      <w:tr>
        <w:trPr>
          <w:trHeight w:val="28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19,000</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11,678</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34,096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10,573</w:t>
            </w: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84,999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59,525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145,614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58,936</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10,242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21,980</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21,345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40,508</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2,450</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2,125</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4,827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4,234</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3,073</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1,254</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6,100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2,556</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280</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534</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16,045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25,609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32,806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47,806</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1,704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8,343</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3,385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9,850</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63</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126</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4,511</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3,117</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9,029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6,285</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6,278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11,523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12,540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16,261</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3,018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3,947</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6,127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7,894</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418</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391</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857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306</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186</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560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(16,008)</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(16,939)</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(31,869)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(33,877)</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(12,266)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(12,415)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(24,325)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(24,822)</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421"/>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2015</w:t>
            </w:r>
          </w:p>
        </w:tc>
      </w:tr>
      <w:tr>
        <w:trPr>
          <w:trHeight w:val="22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1,372,743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1,454,520</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318,173</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312,243</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701,594</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712,161</w:t>
            </w: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527,217</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484,139</w:t>
            </w:r>
          </w:p>
        </w:tc>
      </w:tr>
      <w:tr>
        <w:trPr>
          <w:trHeight w:val="264"/>
        </w:trPr>
        <w:tc>
          <w:tcPr>
            <w:tcW w:w="834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2,919,727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2,963,063</w:t>
            </w: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8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340,633</w:t>
            </w:r>
          </w:p>
        </w:tc>
        <w:tc>
          <w:tcPr>
            <w:tcW w:w="2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350,563</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63,834</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59,229</w:t>
            </w:r>
          </w:p>
        </w:tc>
      </w:tr>
      <w:tr>
        <w:trPr>
          <w:trHeight w:val="28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1,004,445</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979,970</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4,328,639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4,352,825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97" w:right="239" w:bottom="0" w:gutter="0" w:footer="0" w:header="0"/>
        </w:sectPr>
      </w:pPr>
    </w:p>
    <w:bookmarkStart w:id="21" w:name="page22"/>
    <w:bookmarkEnd w:id="21"/>
    <w:p>
      <w:pPr>
        <w:jc w:val="center"/>
        <w:ind w:right="-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019"/>
          </w:cols>
          <w:pgMar w:left="1440" w:top="368"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1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157,980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240,717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323,529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478,285</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79,349</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80,381</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145,811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149,607</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182,325</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200,703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351,612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392,784</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18</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1,959</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143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3,818</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(459)</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(806)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419,213</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523,625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820,289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1,024,227</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17,237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24,764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38,543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25,357</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7,036</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7,079</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4,726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2,745</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16,479</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17,573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21,376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25,290</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(7,811)</w:t>
            </w:r>
          </w:p>
        </w:tc>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(33,594)</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(17,216)</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(60,451)</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(49)</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32,892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15,848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47,380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(7,001)</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3,993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4,794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8,168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9,622</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1,615</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2,263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3,396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5,153</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4,319</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5,073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9,379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9,727</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315</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9,850</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16,006</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10,242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21,980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21,345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40,508</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1,704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1,467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3,385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2,974</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Impairment of Long-lived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6,876</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6,876</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1,905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2,532</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3,810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5,064</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768</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775</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1,536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1,550</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67</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134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212</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278</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647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1,068</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3,018</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3,947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6,127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7,894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3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422"/>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280" w:type="dxa"/>
            <w:vAlign w:val="bottom"/>
          </w:tcPr>
          <w:p>
            <w:pPr>
              <w:jc w:val="right"/>
              <w:ind w:right="222"/>
              <w:spacing w:after="0"/>
              <w:rPr>
                <w:sz w:val="20"/>
                <w:szCs w:val="20"/>
                <w:color w:val="auto"/>
              </w:rPr>
            </w:pPr>
            <w:r>
              <w:rPr>
                <w:rFonts w:ascii="Arial" w:cs="Arial" w:eastAsia="Arial" w:hAnsi="Arial"/>
                <w:sz w:val="14"/>
                <w:szCs w:val="14"/>
                <w:color w:val="auto"/>
              </w:rPr>
              <w:t>December 31,</w:t>
            </w:r>
          </w:p>
        </w:tc>
      </w:tr>
      <w:tr>
        <w:trPr>
          <w:trHeight w:val="196"/>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2015</w:t>
            </w:r>
          </w:p>
        </w:tc>
      </w:tr>
      <w:tr>
        <w:trPr>
          <w:trHeight w:val="250"/>
        </w:trPr>
        <w:tc>
          <w:tcPr>
            <w:tcW w:w="398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4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4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237,366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447,282</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4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139,878</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134,535</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4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946,898</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826,475</w:t>
            </w:r>
          </w:p>
        </w:tc>
      </w:tr>
      <w:tr>
        <w:trPr>
          <w:trHeight w:val="283"/>
        </w:trPr>
        <w:tc>
          <w:tcPr>
            <w:tcW w:w="398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4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48,601</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46,228</w:t>
            </w:r>
          </w:p>
        </w:tc>
      </w:tr>
      <w:tr>
        <w:trPr>
          <w:trHeight w:val="264"/>
        </w:trPr>
        <w:tc>
          <w:tcPr>
            <w:tcW w:w="3980" w:type="dxa"/>
            <w:vAlign w:val="bottom"/>
          </w:tcPr>
          <w:p>
            <w:pPr>
              <w:spacing w:after="0"/>
              <w:rPr>
                <w:sz w:val="22"/>
                <w:szCs w:val="22"/>
                <w:color w:val="auto"/>
              </w:rPr>
            </w:pPr>
          </w:p>
        </w:tc>
        <w:tc>
          <w:tcPr>
            <w:tcW w:w="4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1,372,743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1,454,520</w:t>
            </w:r>
          </w:p>
        </w:tc>
      </w:tr>
      <w:tr>
        <w:trPr>
          <w:trHeight w:val="608"/>
        </w:trPr>
        <w:tc>
          <w:tcPr>
            <w:tcW w:w="3980" w:type="dxa"/>
            <w:vAlign w:val="bottom"/>
          </w:tcPr>
          <w:p>
            <w:pPr>
              <w:spacing w:after="0"/>
              <w:rPr>
                <w:sz w:val="24"/>
                <w:szCs w:val="24"/>
                <w:color w:val="auto"/>
              </w:rPr>
            </w:pPr>
          </w:p>
        </w:tc>
        <w:tc>
          <w:tcPr>
            <w:tcW w:w="4360" w:type="dxa"/>
            <w:vAlign w:val="bottom"/>
          </w:tcPr>
          <w:p>
            <w:pPr>
              <w:jc w:val="right"/>
              <w:ind w:right="2436"/>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66"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The Company reported income from continuing operations attributable to common shares of $60.8 million ($10.76 per share) for the second quarter of 2016, compared to $ 39.3 million ($6.71 per share) for the second quarter of 2015. Net income attributable to common shares was $57.8 million ($9.87 per share) for the second quarter of 2015, including $18.5 million ($3.16 per share) in income from discontinued operations. (Refer to “Discontinued Operations” discussion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2016:</w:t>
      </w:r>
    </w:p>
    <w:p>
      <w:pPr>
        <w:spacing w:after="0" w:line="144" w:lineRule="exact"/>
        <w:rPr>
          <w:sz w:val="20"/>
          <w:szCs w:val="20"/>
          <w:color w:val="auto"/>
        </w:rPr>
      </w:pPr>
    </w:p>
    <w:p>
      <w:pPr>
        <w:ind w:left="180" w:right="440" w:hanging="172"/>
        <w:spacing w:after="0" w:line="235"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$38.6 million non-operating gain from the sales of land and marketable equity securities (after-tax impact of $23.9 million, or $4.23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$3.2 million non-operating gain arising from the formation of a joint venture (after-tax impact of $1.7 million, or $0.29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$24.1 million in non-operating unrealized foreign currency losses (after-tax impact of $15.4 million, or $2.73 per share); and</w:t>
      </w:r>
    </w:p>
    <w:p>
      <w:pPr>
        <w:spacing w:after="0" w:line="144" w:lineRule="exact"/>
        <w:rPr>
          <w:rFonts w:ascii="Arial" w:cs="Arial" w:eastAsia="Arial" w:hAnsi="Arial"/>
          <w:sz w:val="18"/>
          <w:szCs w:val="18"/>
          <w:color w:val="auto"/>
        </w:rPr>
      </w:pPr>
    </w:p>
    <w:p>
      <w:pPr>
        <w:ind w:left="180" w:right="120" w:hanging="172"/>
        <w:spacing w:after="0" w:line="235"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Kaplan Higher Education (KHE) goodwill impairment recorded in the third quarter of 2015 ($1.00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from continuing operations for the second quarter of 2015:</w:t>
      </w:r>
    </w:p>
    <w:p>
      <w:pPr>
        <w:spacing w:after="0" w:line="144" w:lineRule="exact"/>
        <w:rPr>
          <w:sz w:val="20"/>
          <w:szCs w:val="20"/>
          <w:color w:val="auto"/>
        </w:rPr>
      </w:pPr>
    </w:p>
    <w:p>
      <w:pPr>
        <w:ind w:left="180" w:right="260" w:hanging="172"/>
        <w:spacing w:after="0" w:line="235"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$16.6 million in restructuring charges and accelerated depreciation at the education division (after-tax impact of $10.7 million, or $1.82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$6.9 million long-lived asset impairment charge at the education division (after-tax impact of $4.4 million, or $0.75 per share);</w:t>
      </w:r>
    </w:p>
    <w:p>
      <w:pPr>
        <w:spacing w:after="0" w:line="144" w:lineRule="exact"/>
        <w:rPr>
          <w:rFonts w:ascii="Arial" w:cs="Arial" w:eastAsia="Arial" w:hAnsi="Arial"/>
          <w:sz w:val="18"/>
          <w:szCs w:val="18"/>
          <w:color w:val="auto"/>
        </w:rPr>
      </w:pPr>
    </w:p>
    <w:p>
      <w:pPr>
        <w:ind w:left="180" w:right="340" w:hanging="172"/>
        <w:spacing w:after="0" w:line="235"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$7.7 million in non-operating gains arising from the sales of three businesses and an investment (after tax impact of $5.0 million, or $0.85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$3.6 million in non-operating unrealized foreign currency gains (after-tax impact of $2.3 million, or $0.39 per share).</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for the second quarter of 2016 was $ 628.9 million, down 8% from $680.9 million in the second quarter of 2015. Revenues declined at the education division, offset by an increase at the television broadcasting division and in other businesses. The Company reported operating income of $74.1 million for the second quarter of 2016, compared to $56.2 million for the second quarter of 2015. Operating results improved at the education and television broadcasting divisions, offset by a decline in other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2016, the company reported income from continuing operations attributable to common shares of $98.5 million</w:t>
      </w:r>
    </w:p>
    <w:p>
      <w:pPr>
        <w:spacing w:after="0" w:line="229" w:lineRule="auto"/>
        <w:rPr>
          <w:sz w:val="20"/>
          <w:szCs w:val="20"/>
          <w:color w:val="auto"/>
        </w:rPr>
      </w:pPr>
      <w:r>
        <w:rPr>
          <w:rFonts w:ascii="Arial" w:cs="Arial" w:eastAsia="Arial" w:hAnsi="Arial"/>
          <w:sz w:val="18"/>
          <w:szCs w:val="18"/>
          <w:color w:val="auto"/>
        </w:rPr>
        <w:t>($17.33 per share), compared to $36.6 million ($6.22 per share) for the first six months of 2015. Net income attributable to common shares was $78.4 million ($13.40 per share) for the first six months of 2015, including $41.8 million ($7.18 per share) in income from discontinued operations. (Refer to “Discontinued Operations” discussion below.)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2016:</w:t>
      </w:r>
    </w:p>
    <w:p>
      <w:pPr>
        <w:spacing w:after="0" w:line="144" w:lineRule="exact"/>
        <w:rPr>
          <w:sz w:val="20"/>
          <w:szCs w:val="20"/>
          <w:color w:val="auto"/>
        </w:rPr>
      </w:pPr>
    </w:p>
    <w:p>
      <w:pPr>
        <w:ind w:left="180" w:right="440" w:hanging="172"/>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$40.3 million non-operating gain from the sales of land and marketable equity securities (after-tax impact of $25.0 million, or $4.42 per share);</w:t>
      </w:r>
    </w:p>
    <w:p>
      <w:pPr>
        <w:spacing w:after="0" w:line="134" w:lineRule="exact"/>
        <w:rPr>
          <w:rFonts w:ascii="Arial" w:cs="Arial" w:eastAsia="Arial" w:hAnsi="Arial"/>
          <w:sz w:val="18"/>
          <w:szCs w:val="18"/>
          <w:color w:val="auto"/>
        </w:rPr>
      </w:pPr>
    </w:p>
    <w:p>
      <w:pPr>
        <w:ind w:left="180" w:right="40" w:hanging="172"/>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$22.2 million non-operating gain arising from the sale of a business and the formation of a joint venture (after-tax impact of $13.6 million, or $2.37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$29.5 million in non-operating unrealized foreign currency losses (after-tax impact of $18.9 million, or $3.33 per share); and</w:t>
      </w:r>
    </w:p>
    <w:p>
      <w:pPr>
        <w:spacing w:after="0" w:line="144" w:lineRule="exact"/>
        <w:rPr>
          <w:rFonts w:ascii="Arial" w:cs="Arial" w:eastAsia="Arial" w:hAnsi="Arial"/>
          <w:sz w:val="18"/>
          <w:szCs w:val="18"/>
          <w:color w:val="auto"/>
        </w:rPr>
      </w:pPr>
    </w:p>
    <w:p>
      <w:pPr>
        <w:ind w:left="180" w:right="300" w:hanging="172"/>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KHE goodwill impairment recorded in the third quarter of 2015 ($1.00 per share).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9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2015:</w:t>
      </w:r>
    </w:p>
    <w:p>
      <w:pPr>
        <w:spacing w:after="0" w:line="144" w:lineRule="exact"/>
        <w:rPr>
          <w:sz w:val="20"/>
          <w:szCs w:val="20"/>
          <w:color w:val="auto"/>
        </w:rPr>
      </w:pPr>
    </w:p>
    <w:p>
      <w:pPr>
        <w:ind w:left="180" w:right="28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$27.3 million in restructuring charges and accelerated depreciation at the education division (after-tax impact of $17.5 million, or $2.99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$6.9 million long-lived asset impairment charge at the education division (after-tax impact of $4.4 million, or $0.75 per share);</w:t>
      </w:r>
    </w:p>
    <w:p>
      <w:pPr>
        <w:spacing w:after="0" w:line="144" w:lineRule="exact"/>
        <w:rPr>
          <w:rFonts w:ascii="Arial" w:cs="Arial" w:eastAsia="Arial" w:hAnsi="Arial"/>
          <w:sz w:val="18"/>
          <w:szCs w:val="18"/>
          <w:color w:val="auto"/>
        </w:rPr>
      </w:pPr>
    </w:p>
    <w:p>
      <w:pPr>
        <w:ind w:left="180" w:right="38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$13.7 million in non-operating gains arising from the sales of three businesses and an investment, and on the formation of a joint venture (after tax impact of $8.4 million, or $1.35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$3.2 million in non-operating unrealized foreign currency losses (after-tax impact of $2.1 million, or $0.36 per share).</w:t>
      </w:r>
    </w:p>
    <w:p>
      <w:pPr>
        <w:spacing w:after="0" w:line="144"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Revenue for the first six months of 2016 was $ 1,230.7 million, down 7% from $1,328.3 million in the first six months of 2015. Revenues declined at the education division, offset by an increase at the television broadcasting division and in other businesses. The Company reported operating income of $126.0 million for the first six months of 2016, compared to $65.1 million for the first six months of 2015. Operating results improved at the education and television broadcasting divisions, offset by a decline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Education division revenue totaled $419.2 million for the second quarter of 2016, down 20% from revenue of $ 523.6 million for the same period of 2015. Kaplan reported operating income of $32.9 million for the second quarter of 2016, compared to $15.8 million for the second quarter of 2015. Operating results for the second quarter of 2015 included restructuring costs of $16.6 million and a $6.9 million long-lived asset impairment charge.</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For the first six months of 2016, education division revenue totaled $820.3 million, down 20% from revenue of $1,024.2 million for the same period of 2015. Kaplan reported operating income of $47.4 million for the first six months of 2016, compared to an operating loss of $7.0 million for the first six months of 2015. Operating results for the first six months of 2015 included restructuring costs of $27.3 million and a $6.9 million long-lived asset impairment charge.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second quarter of 2016 compared to 2015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2015</w:t>
            </w:r>
          </w:p>
        </w:tc>
        <w:tc>
          <w:tcPr>
            <w:tcW w:w="14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 Change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2015</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157,980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240,717</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(34)</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323,529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478,285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79,349</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80,381</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145,811</w:t>
            </w:r>
          </w:p>
        </w:tc>
        <w:tc>
          <w:tcPr>
            <w:tcW w:w="3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149,607</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182,325</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200,703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351,612</w:t>
            </w:r>
          </w:p>
        </w:tc>
        <w:tc>
          <w:tcPr>
            <w:tcW w:w="3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392,784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18</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1,959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143</w:t>
            </w:r>
          </w:p>
        </w:tc>
        <w:tc>
          <w:tcPr>
            <w:tcW w:w="3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3,818</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83"/>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(459)</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(806)</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419,213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523,625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820,289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1,024,227</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17,237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24,764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(30)</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38,543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25,357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7,036</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7,079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4,726</w:t>
            </w:r>
          </w:p>
        </w:tc>
        <w:tc>
          <w:tcPr>
            <w:tcW w:w="3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2,745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16,479</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17,573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21,376</w:t>
            </w:r>
          </w:p>
        </w:tc>
        <w:tc>
          <w:tcPr>
            <w:tcW w:w="3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25,290</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(6,107)</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(25,251)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76</w:t>
            </w:r>
          </w:p>
        </w:tc>
        <w:tc>
          <w:tcPr>
            <w:tcW w:w="28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(13,831)</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(50,601)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(1,704)</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(1,467)</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(3,385)</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(6,876)</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(6,876)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(49)</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(49)</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26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32,892</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15,848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47,380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Since 2012, KHE has closed campuses, consolidated facilities and reduced its workforce. On September 3, 2015, Kaplan completed the sale of substantially all of the remaining assets of its KHE Campuses business. In connection with these and other plans, KHE incurred $2.5 million and $ 5.4 million in restructuring costs in the second quarter and first six months of 2015, respectively. For the second quarter of 2015, these costs included severance ($1.0 million), lease obligation losses ($0.9 million) and accelerated depreciation ($0.6 million). For the six months of</w:t>
      </w:r>
    </w:p>
    <w:p>
      <w:pPr>
        <w:sectPr>
          <w:pgSz w:w="11900" w:h="16838" w:orient="portrait"/>
          <w:cols w:equalWidth="0" w:num="1">
            <w:col w:w="11420"/>
          </w:cols>
          <w:pgMar w:left="240" w:top="719"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719" w:right="239" w:bottom="1440" w:gutter="0" w:footer="0" w:header="0"/>
          <w:type w:val="continuous"/>
        </w:sectPr>
      </w:pPr>
    </w:p>
    <w:bookmarkStart w:id="25" w:name="page26"/>
    <w:bookmarkEnd w:id="25"/>
    <w:p>
      <w:pPr>
        <w:ind w:right="380"/>
        <w:spacing w:after="0" w:line="235" w:lineRule="auto"/>
        <w:rPr>
          <w:sz w:val="20"/>
          <w:szCs w:val="20"/>
          <w:color w:val="auto"/>
        </w:rPr>
      </w:pPr>
      <w:r>
        <w:rPr>
          <w:rFonts w:ascii="Arial" w:cs="Arial" w:eastAsia="Arial" w:hAnsi="Arial"/>
          <w:sz w:val="18"/>
          <w:szCs w:val="18"/>
          <w:color w:val="auto"/>
        </w:rPr>
        <w:t>2015, these costs included severance ($2.2 million), lease obligation losses ($1.8 million), accelerated depreciation ($1.3 million) and other items ($0.1 million).</w:t>
      </w:r>
    </w:p>
    <w:p>
      <w:pPr>
        <w:spacing w:after="0" w:line="135"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In the second quarter of 2015, Kaplan recorded a $6.9 million long-lived asset impairment charge in connection with the KHE Campuses business. KHE results, excluding the impairment charge, include revenue and operating losses (including restructuring charges) related to all KHE Campuses, those sold or closed, including Mount Washington College and Bauder College,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12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65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4"/>
              <w:spacing w:after="0"/>
              <w:rPr>
                <w:sz w:val="20"/>
                <w:szCs w:val="20"/>
                <w:color w:val="auto"/>
              </w:rPr>
            </w:pPr>
            <w:r>
              <w:rPr>
                <w:rFonts w:ascii="Arial" w:cs="Arial" w:eastAsia="Arial" w:hAnsi="Arial"/>
                <w:sz w:val="16"/>
                <w:szCs w:val="16"/>
                <w:b w:val="1"/>
                <w:bCs w:val="1"/>
                <w:color w:val="auto"/>
              </w:rPr>
              <w:t>266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66,152</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1,064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131,459</w:t>
            </w:r>
          </w:p>
        </w:tc>
      </w:tr>
      <w:tr>
        <w:trPr>
          <w:trHeight w:val="270"/>
        </w:trPr>
        <w:tc>
          <w:tcPr>
            <w:tcW w:w="65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(907)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(6,776)</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(2,099)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(19,063)</w:t>
            </w:r>
          </w:p>
        </w:tc>
      </w:tr>
    </w:tbl>
    <w:p>
      <w:pPr>
        <w:spacing w:after="0" w:line="16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the second quarter and first six months of 2016, KHE revenue declined 34% and 32%, respectively, due to campus sales and closings, and declines in average enrollments at Kaplan University. KHE operating results declined in the second quarter of 2016 due primarily to lower enrollment at Kaplan University, offset by reduced losses at the KHE Campuses business. KHE operating results improved in the first six months of 2016 due to reduced losses at the KHE Campuses business and lower marketing expenditures at Kaplan University.</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New higher education student enrollments at Kaplan University declined 25% in the second quarter of 2016 and 31% for the first six months of 2016 due to lower demand across Kaplan University programs. Total students at Kaplan University were 33,367 at June 30, 2016, down 19% from June 30,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at June 30, 2016 and 2015, by degree and certificate programs,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June 30</w:t>
            </w:r>
          </w:p>
        </w:tc>
        <w:tc>
          <w:tcPr>
            <w:tcW w:w="760" w:type="dxa"/>
            <w:vAlign w:val="bottom"/>
            <w:tcBorders>
              <w:bottom w:val="single" w:sz="8" w:color="auto"/>
            </w:tcBorders>
          </w:tcPr>
          <w:p>
            <w:pPr>
              <w:spacing w:after="0"/>
              <w:rPr>
                <w:sz w:val="17"/>
                <w:szCs w:val="17"/>
                <w:color w:val="auto"/>
              </w:rPr>
            </w:pPr>
          </w:p>
        </w:tc>
      </w:tr>
      <w:tr>
        <w:trPr>
          <w:trHeight w:val="264"/>
        </w:trPr>
        <w:tc>
          <w:tcPr>
            <w:tcW w:w="89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w w:val="96"/>
              </w:rPr>
              <w:t>2015</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760" w:type="dxa"/>
            <w:vAlign w:val="bottom"/>
          </w:tcPr>
          <w:p>
            <w:pPr>
              <w:jc w:val="right"/>
              <w:ind w:right="502"/>
              <w:spacing w:after="0"/>
              <w:rPr>
                <w:sz w:val="20"/>
                <w:szCs w:val="20"/>
                <w:color w:val="auto"/>
              </w:rPr>
            </w:pPr>
            <w:r>
              <w:rPr>
                <w:rFonts w:ascii="Arial" w:cs="Arial" w:eastAsia="Arial" w:hAnsi="Arial"/>
                <w:sz w:val="16"/>
                <w:szCs w:val="16"/>
                <w:b w:val="1"/>
                <w:bCs w:val="1"/>
                <w:color w:val="auto"/>
              </w:rPr>
              <w:t>6.6%</w:t>
            </w: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760" w:type="dxa"/>
            <w:vAlign w:val="bottom"/>
          </w:tcPr>
          <w:p>
            <w:pPr>
              <w:jc w:val="right"/>
              <w:ind w:right="502"/>
              <w:spacing w:after="0"/>
              <w:rPr>
                <w:sz w:val="20"/>
                <w:szCs w:val="20"/>
                <w:color w:val="auto"/>
              </w:rPr>
            </w:pPr>
            <w:r>
              <w:rPr>
                <w:rFonts w:ascii="Arial" w:cs="Arial" w:eastAsia="Arial" w:hAnsi="Arial"/>
                <w:sz w:val="16"/>
                <w:szCs w:val="16"/>
                <w:b w:val="1"/>
                <w:bCs w:val="1"/>
                <w:color w:val="auto"/>
              </w:rPr>
              <w:t>20.4%</w:t>
            </w:r>
          </w:p>
        </w:tc>
        <w:tc>
          <w:tcPr>
            <w:tcW w:w="76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760" w:type="dxa"/>
            <w:vAlign w:val="bottom"/>
          </w:tcPr>
          <w:p>
            <w:pPr>
              <w:jc w:val="right"/>
              <w:ind w:right="502"/>
              <w:spacing w:after="0"/>
              <w:rPr>
                <w:sz w:val="20"/>
                <w:szCs w:val="20"/>
                <w:color w:val="auto"/>
              </w:rPr>
            </w:pPr>
            <w:r>
              <w:rPr>
                <w:rFonts w:ascii="Arial" w:cs="Arial" w:eastAsia="Arial" w:hAnsi="Arial"/>
                <w:sz w:val="16"/>
                <w:szCs w:val="16"/>
                <w:b w:val="1"/>
                <w:bCs w:val="1"/>
                <w:color w:val="auto"/>
              </w:rPr>
              <w:t>50.4%</w:t>
            </w:r>
          </w:p>
        </w:tc>
        <w:tc>
          <w:tcPr>
            <w:tcW w:w="76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83"/>
        </w:trPr>
        <w:tc>
          <w:tcPr>
            <w:tcW w:w="8900" w:type="dxa"/>
            <w:vAlign w:val="bottom"/>
          </w:tcPr>
          <w:p>
            <w:pPr>
              <w:ind w:left="40"/>
              <w:spacing w:after="0"/>
              <w:rPr>
                <w:sz w:val="20"/>
                <w:szCs w:val="20"/>
                <w:color w:val="auto"/>
              </w:rPr>
            </w:pPr>
            <w:r>
              <w:rPr>
                <w:rFonts w:ascii="Arial" w:cs="Arial" w:eastAsia="Arial" w:hAnsi="Arial"/>
                <w:sz w:val="16"/>
                <w:szCs w:val="16"/>
                <w:color w:val="auto"/>
              </w:rPr>
              <w:t>Master’s</w:t>
            </w:r>
          </w:p>
        </w:tc>
        <w:tc>
          <w:tcPr>
            <w:tcW w:w="17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22.6%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r>
      <w:tr>
        <w:trPr>
          <w:trHeight w:val="264"/>
        </w:trPr>
        <w:tc>
          <w:tcPr>
            <w:tcW w:w="8900" w:type="dxa"/>
            <w:vAlign w:val="bottom"/>
          </w:tcPr>
          <w:p>
            <w:pPr>
              <w:spacing w:after="0"/>
              <w:rPr>
                <w:sz w:val="22"/>
                <w:szCs w:val="22"/>
                <w:color w:val="auto"/>
              </w:rPr>
            </w:pPr>
          </w:p>
        </w:tc>
        <w:tc>
          <w:tcPr>
            <w:tcW w:w="17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100.0%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1% and 3% for the second quarter and first six months of 2016, respectively. Enrollments, excluding the new economy skills training offerings, were down 10% for the first six months of 2016 due primarily to declines in pre-college programs; however, unit prices were generally higher. In comparison to 2015, KTP operating results were down 1% in the second quarter of 2016, but improved for the first six months of 2016. KTP's results reflect a reduction in operating expenses, despite increased investment in new economy skills training programs.</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January and February 2016, Kaplan acquired Mander Portman Woodward, a leading provider of high-quality, bespoke education to UK and international students in London, Cambridge and Birmingham; and Osborne Books, an education publisher of learning resources for accounting qualifications in the UK.</w:t>
      </w:r>
    </w:p>
    <w:p>
      <w:pPr>
        <w:spacing w:after="0" w:line="135" w:lineRule="exact"/>
        <w:rPr>
          <w:sz w:val="20"/>
          <w:szCs w:val="20"/>
          <w:color w:val="auto"/>
        </w:rPr>
      </w:pPr>
    </w:p>
    <w:p>
      <w:pPr>
        <w:ind w:right="280"/>
        <w:spacing w:after="0" w:line="225" w:lineRule="auto"/>
        <w:rPr>
          <w:sz w:val="20"/>
          <w:szCs w:val="20"/>
          <w:color w:val="auto"/>
        </w:rPr>
      </w:pPr>
      <w:r>
        <w:rPr>
          <w:rFonts w:ascii="Arial" w:cs="Arial" w:eastAsia="Arial" w:hAnsi="Arial"/>
          <w:sz w:val="18"/>
          <w:szCs w:val="18"/>
          <w:color w:val="auto"/>
        </w:rPr>
        <w:t>Kaplan International revenue declined 9% and 10% for the second quarter and first six months of 2016, of which 3% was due to currency fluctuations. The remaining decrease is due to enrollment declines in English-language and UK Pathways programs, partially offset by enrollment growth in Singapore and Australia higher education programs. Revenue growth from the 2016 acquisitions was largely offset by revenue declines due to prior year dispositions. Operating income declined in the second quarter and first six months of 2016, due largely to the declines in English-language and Pathways results, partially offset by operating income from newly acquired businesses.</w:t>
      </w:r>
    </w:p>
    <w:p>
      <w:pPr>
        <w:spacing w:after="0" w:line="1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second quarter of 2015, Kaplan corporate recorded $13.6 million in restructuring charges, including accelerated depreciation ($9.7 million) and lease obligation losses ($3.8 million), related to office space managed by Kaplan corporate. In the first six months of 2015, Kaplan corporate recorded $21.2 million in restructuring charges, including accelerated depreciation ($16.2 million) and lease obligation losses ($4.9 million) related to office space managed by Kaplan corporate. In 2016, Kaplan corporate expenses also declined due to the benefits from restructuring activities. Also, 2015 spending for the replacement of its human resources system was not repeated in 2016.</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 that is included in other non-operating income. In the second quarter of 2015, Kaplan sold two small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9" w:right="239" w:bottom="1440" w:gutter="0" w:footer="0" w:header="0"/>
        </w:sectPr>
      </w:pPr>
    </w:p>
    <w:bookmarkStart w:id="26" w:name="page27"/>
    <w:bookmarkEnd w:id="26"/>
    <w:p>
      <w:pPr>
        <w:ind w:right="360"/>
        <w:spacing w:after="0" w:line="235" w:lineRule="auto"/>
        <w:rPr>
          <w:sz w:val="20"/>
          <w:szCs w:val="20"/>
          <w:color w:val="auto"/>
        </w:rPr>
      </w:pPr>
      <w:r>
        <w:rPr>
          <w:rFonts w:ascii="Arial" w:cs="Arial" w:eastAsia="Arial" w:hAnsi="Arial"/>
          <w:sz w:val="18"/>
          <w:szCs w:val="18"/>
          <w:color w:val="auto"/>
        </w:rPr>
        <w:t>businesses; one was part of KHE and the other was part of Kaplan International. The gains on these dispositions are included in other non-operating income in the second quarter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Revenue at the television broadcasting division increased 6% to $96.5 million in the second quarter of 2016, from $90.8 million in the same period of 2015; operating income for the second quarter of 2016 increased 5% to $44.2 million, from $42.0 million in the same period of 2015. The revenue increase is due primarily to $5.3 million more in retransmission revenues. The increase in operating income is due to the revenue increase, offset by higher spending on digital initiatives and increased network fees.</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at the television broadcasting division increased 8% to $188.5 million in the first six months of 2016, from $174.3 million in the same period of 2015; operating income for the first six months of 2016 increased 6% to $85.4 million, from $80.6 million in the same period of 2015. The revenue increase is due primarily to $10.1 million more in retransmission revenues and a $2.7 million increase in political advertising revenue. The increase in operating income is due to the revenue increase, offset by higher spending on digital initiatives and increased network fees.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May 2016, the Company announced that it had reached an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will continue to operate both stations under their current network affiliations. The acquisition is subject to approval by the FCC, other regulatory approvals, and the satisfaction of closing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Other businesses is comprised of three manufacturing businesses, including Dekko, a manufacturer of electrical workspace solutions, architectural lighting, and electrical components and assemblies acquired in November 2015; and providers of home health and hospice services. Other businesses also include SocialCode, a provider of marketing solutions on social-media platforms; Slate and Foreign Policy, which publish online and print magazines and websites; and certain other new ventures.</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increase in revenues for the second quarter and first six months of 2016 is mostly due to the Dekko acquisition. In the second quarter and first six months of 2016, positive operating results from the manufacturing and healthcare businesses were offset by intangibles amortization and losses from publishing, SocialCode and new ventures.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Supplementary information regarding manufacturing results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right"/>
              <w:ind w:right="20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980" w:type="dxa"/>
            <w:vAlign w:val="bottom"/>
          </w:tcPr>
          <w:p>
            <w:pPr>
              <w:jc w:val="right"/>
              <w:ind w:right="46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June 30, 2016</w:t>
            </w: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June 30, 2016</w:t>
            </w:r>
          </w:p>
        </w:tc>
      </w:tr>
      <w:tr>
        <w:trPr>
          <w:trHeight w:val="250"/>
        </w:trPr>
        <w:tc>
          <w:tcPr>
            <w:tcW w:w="710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42"/>
              <w:spacing w:after="0"/>
              <w:rPr>
                <w:sz w:val="20"/>
                <w:szCs w:val="20"/>
                <w:color w:val="auto"/>
              </w:rPr>
            </w:pPr>
            <w:r>
              <w:rPr>
                <w:rFonts w:ascii="Arial" w:cs="Arial" w:eastAsia="Arial" w:hAnsi="Arial"/>
                <w:sz w:val="16"/>
                <w:szCs w:val="16"/>
                <w:b w:val="1"/>
                <w:bCs w:val="1"/>
                <w:color w:val="auto"/>
              </w:rPr>
              <w:t>58,026</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980" w:type="dxa"/>
            <w:vAlign w:val="bottom"/>
          </w:tcPr>
          <w:p>
            <w:pPr>
              <w:jc w:val="right"/>
              <w:ind w:right="22"/>
              <w:spacing w:after="0"/>
              <w:rPr>
                <w:sz w:val="20"/>
                <w:szCs w:val="20"/>
                <w:color w:val="auto"/>
              </w:rPr>
            </w:pPr>
            <w:r>
              <w:rPr>
                <w:rFonts w:ascii="Arial" w:cs="Arial" w:eastAsia="Arial" w:hAnsi="Arial"/>
                <w:sz w:val="16"/>
                <w:szCs w:val="16"/>
                <w:b w:val="1"/>
                <w:bCs w:val="1"/>
                <w:color w:val="auto"/>
              </w:rPr>
              <w:t>114,701</w:t>
            </w:r>
          </w:p>
        </w:tc>
      </w:tr>
      <w:tr>
        <w:trPr>
          <w:trHeight w:val="270"/>
        </w:trPr>
        <w:tc>
          <w:tcPr>
            <w:tcW w:w="71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3"/>
                <w:szCs w:val="23"/>
                <w:color w:val="auto"/>
              </w:rPr>
            </w:pPr>
          </w:p>
        </w:tc>
        <w:tc>
          <w:tcPr>
            <w:tcW w:w="1760" w:type="dxa"/>
            <w:vAlign w:val="bottom"/>
          </w:tcPr>
          <w:p>
            <w:pPr>
              <w:jc w:val="right"/>
              <w:ind w:right="42"/>
              <w:spacing w:after="0"/>
              <w:rPr>
                <w:sz w:val="20"/>
                <w:szCs w:val="20"/>
                <w:color w:val="auto"/>
              </w:rPr>
            </w:pPr>
            <w:r>
              <w:rPr>
                <w:rFonts w:ascii="Arial" w:cs="Arial" w:eastAsia="Arial" w:hAnsi="Arial"/>
                <w:sz w:val="16"/>
                <w:szCs w:val="16"/>
                <w:b w:val="1"/>
                <w:bCs w:val="1"/>
                <w:color w:val="auto"/>
              </w:rPr>
              <w:t>50,455</w:t>
            </w:r>
          </w:p>
        </w:tc>
        <w:tc>
          <w:tcPr>
            <w:tcW w:w="400" w:type="dxa"/>
            <w:vAlign w:val="bottom"/>
          </w:tcPr>
          <w:p>
            <w:pPr>
              <w:spacing w:after="0"/>
              <w:rPr>
                <w:sz w:val="23"/>
                <w:szCs w:val="23"/>
                <w:color w:val="auto"/>
              </w:rPr>
            </w:pPr>
          </w:p>
        </w:tc>
        <w:tc>
          <w:tcPr>
            <w:tcW w:w="1980" w:type="dxa"/>
            <w:vAlign w:val="bottom"/>
          </w:tcPr>
          <w:p>
            <w:pPr>
              <w:jc w:val="right"/>
              <w:ind w:right="22"/>
              <w:spacing w:after="0"/>
              <w:rPr>
                <w:sz w:val="20"/>
                <w:szCs w:val="20"/>
                <w:color w:val="auto"/>
              </w:rPr>
            </w:pPr>
            <w:r>
              <w:rPr>
                <w:rFonts w:ascii="Arial" w:cs="Arial" w:eastAsia="Arial" w:hAnsi="Arial"/>
                <w:sz w:val="16"/>
                <w:szCs w:val="16"/>
                <w:b w:val="1"/>
                <w:bCs w:val="1"/>
                <w:color w:val="auto"/>
              </w:rPr>
              <w:t>101,303</w:t>
            </w:r>
          </w:p>
        </w:tc>
      </w:tr>
      <w:tr>
        <w:trPr>
          <w:trHeight w:val="270"/>
        </w:trPr>
        <w:tc>
          <w:tcPr>
            <w:tcW w:w="710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23"/>
                <w:szCs w:val="23"/>
                <w:color w:val="auto"/>
              </w:rPr>
            </w:pPr>
          </w:p>
        </w:tc>
        <w:tc>
          <w:tcPr>
            <w:tcW w:w="1760" w:type="dxa"/>
            <w:vAlign w:val="bottom"/>
          </w:tcPr>
          <w:p>
            <w:pPr>
              <w:jc w:val="right"/>
              <w:ind w:right="42"/>
              <w:spacing w:after="0"/>
              <w:rPr>
                <w:sz w:val="20"/>
                <w:szCs w:val="20"/>
                <w:color w:val="auto"/>
              </w:rPr>
            </w:pPr>
            <w:r>
              <w:rPr>
                <w:rFonts w:ascii="Arial" w:cs="Arial" w:eastAsia="Arial" w:hAnsi="Arial"/>
                <w:sz w:val="16"/>
                <w:szCs w:val="16"/>
                <w:b w:val="1"/>
                <w:bCs w:val="1"/>
                <w:color w:val="auto"/>
              </w:rPr>
              <w:t>1,906</w:t>
            </w:r>
          </w:p>
        </w:tc>
        <w:tc>
          <w:tcPr>
            <w:tcW w:w="400" w:type="dxa"/>
            <w:vAlign w:val="bottom"/>
          </w:tcPr>
          <w:p>
            <w:pPr>
              <w:spacing w:after="0"/>
              <w:rPr>
                <w:sz w:val="23"/>
                <w:szCs w:val="23"/>
                <w:color w:val="auto"/>
              </w:rPr>
            </w:pPr>
          </w:p>
        </w:tc>
        <w:tc>
          <w:tcPr>
            <w:tcW w:w="1980" w:type="dxa"/>
            <w:vAlign w:val="bottom"/>
          </w:tcPr>
          <w:p>
            <w:pPr>
              <w:jc w:val="right"/>
              <w:ind w:right="22"/>
              <w:spacing w:after="0"/>
              <w:rPr>
                <w:sz w:val="20"/>
                <w:szCs w:val="20"/>
                <w:color w:val="auto"/>
              </w:rPr>
            </w:pPr>
            <w:r>
              <w:rPr>
                <w:rFonts w:ascii="Arial" w:cs="Arial" w:eastAsia="Arial" w:hAnsi="Arial"/>
                <w:sz w:val="16"/>
                <w:szCs w:val="16"/>
                <w:b w:val="1"/>
                <w:bCs w:val="1"/>
                <w:color w:val="auto"/>
              </w:rPr>
              <w:t>3,779</w:t>
            </w:r>
          </w:p>
        </w:tc>
      </w:tr>
      <w:tr>
        <w:trPr>
          <w:trHeight w:val="283"/>
        </w:trPr>
        <w:tc>
          <w:tcPr>
            <w:tcW w:w="710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2,816</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5,633</w:t>
            </w:r>
          </w:p>
        </w:tc>
      </w:tr>
      <w:tr>
        <w:trPr>
          <w:trHeight w:val="267"/>
        </w:trPr>
        <w:tc>
          <w:tcPr>
            <w:tcW w:w="71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2,849</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3,986</w:t>
            </w: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In June 2016, the Company acquired the outstanding 20% redeemable noncontrolling interest in Residential Healthcare (Residential). Also in June 2016, Celtic Healthcare (Celtic) and Residential combined their business operations and the Company now owns 90% of the combined entity. The Company incurred approximately $2.0 million in expenses in conjunction with these transactions in the second quarter of 2016.</w:t>
      </w:r>
    </w:p>
    <w:p>
      <w:pPr>
        <w:spacing w:after="0" w:line="137" w:lineRule="exact"/>
        <w:rPr>
          <w:sz w:val="20"/>
          <w:szCs w:val="20"/>
          <w:color w:val="auto"/>
        </w:rPr>
      </w:pPr>
    </w:p>
    <w:p>
      <w:pPr>
        <w:ind w:right="46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 operating results of the joint venture are included in the Company's equity in earnings of affiliates. In connection with this transaction, the Company recorded a pre-tax gain of $3.2 million in the second quarter of 2016 that is included in other non-operating income.</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January 2015, Celtic Healthcare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35"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income.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1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The total pension credit for the Company’s traditional defined benefit plan was $32.1 million and $34.1 million in the first six months of 2016 and 2015, respectively.</w:t>
      </w:r>
    </w:p>
    <w:p>
      <w:pPr>
        <w:spacing w:after="0" w:line="137" w:lineRule="exact"/>
        <w:rPr>
          <w:sz w:val="20"/>
          <w:szCs w:val="20"/>
          <w:color w:val="auto"/>
        </w:rPr>
      </w:pPr>
    </w:p>
    <w:p>
      <w:pPr>
        <w:ind w:right="580"/>
        <w:spacing w:after="0" w:line="407" w:lineRule="auto"/>
        <w:rPr>
          <w:sz w:val="20"/>
          <w:szCs w:val="20"/>
          <w:color w:val="auto"/>
        </w:rPr>
      </w:pPr>
      <w:r>
        <w:rPr>
          <w:rFonts w:ascii="Arial" w:cs="Arial" w:eastAsia="Arial" w:hAnsi="Arial"/>
          <w:sz w:val="18"/>
          <w:szCs w:val="18"/>
          <w:color w:val="auto"/>
        </w:rPr>
        <w:t xml:space="preserve">Without the pension credit, corporate office expenses declined in the first six months of 2016 due primarily to lower compensation costs. </w:t>
      </w:r>
      <w:r>
        <w:rPr>
          <w:rFonts w:ascii="Arial" w:cs="Arial" w:eastAsia="Arial" w:hAnsi="Arial"/>
          <w:sz w:val="18"/>
          <w:szCs w:val="18"/>
          <w:b w:val="1"/>
          <w:bCs w:val="1"/>
          <w:u w:val="single" w:color="auto"/>
          <w:color w:val="auto"/>
        </w:rPr>
        <w:t>Equity in Earnings (Losses) of Affiliates</w:t>
      </w:r>
    </w:p>
    <w:p>
      <w:pPr>
        <w:ind w:right="180"/>
        <w:spacing w:after="0" w:line="227" w:lineRule="auto"/>
        <w:rPr>
          <w:sz w:val="20"/>
          <w:szCs w:val="20"/>
          <w:color w:val="auto"/>
        </w:rPr>
      </w:pPr>
      <w:r>
        <w:rPr>
          <w:rFonts w:ascii="Arial" w:cs="Arial" w:eastAsia="Arial" w:hAnsi="Arial"/>
          <w:sz w:val="18"/>
          <w:szCs w:val="18"/>
          <w:color w:val="auto"/>
        </w:rPr>
        <w:t>At June 30, 2016, the Company held interests in a number of home health and hospice joint ventures, and interests in several other affiliates. The Company recorded equity in losses of affiliates of $0.9 million for the second quarter of 2016, compared to losses of $0.4 million for the second quarter of 2015. The Company recorded equity in earnings of affiliates of $0.1 million for the first six months of 2016, compared to losses of $0.8 million for the first six months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recorded total other non-operating income, net, of $19.0 million for the second quarter of 2016, compared to $11.7 million for the second quarter of 2015. The 2016 amounts included a $34.1 million gain on the sale of land; a $ 4.5 million gain on the sale of marketable equity securities; a $3.2 million gain on the Residential joint venture transaction and other items, offset by $24.1 million in unrealized foreign currency losses. The 2015 amounts included $7.7 million in gains from the sales of businesses and an investment, $3.6 million in unrealized foreign currency gains and other items.</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recorded total other non-operating income, net, of $34.1 million for the first six months of 2016, compared to $10.6 million for the first six months of 2015. The 2016 amounts included a $34.1 million gain on the sale of land; an $18.9 million gain on the sale of a business; a $6.3 million gain on the sale of marketable equity securities; a $3.2 million gain on the Residential joint venture transaction and other items, offset by $29.5 million in unrealized foreign currency losses. The 2015 amounts included a $6.0 million gain on the Celtic joint venture transaction, $7.7 million in gains from the sales of businesses and an investment, and other items, offset by $3.2 million in unrealized foreign currency losses.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Company incurred net interest expense of $7.3 million and $14.6 million for the second quarter and first six months of 2016, respectively, compared to $8.0 million and $16.0 million for the second quarter and first six months of 2015. At June 30, 2016, the Company had $ 400.0 million in borrowings outstanding at an average interest rate of 7.2% and cash, marketable equity securities and other investments of $999.8 million.</w:t>
      </w:r>
    </w:p>
    <w:p>
      <w:pPr>
        <w:spacing w:after="0" w:line="135"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In July 2016, a Kaplan UK company entered into a 4-year loan agreement for a £75 million borrowing. The overall effective interest rate is 2.01%, taking into account an interest rate swap agreement the Company entered into on the same date as the borrowing.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Company's effective tax rate for the first six months of 2016 was 31.7%, compared with 34.8% for the first six months of 2015. In the second quarter of 2016, the Company benefited from a favorable $5.6 million out of period deferred tax adjustment related to the KHE goodwill impairment recorded in the third quarter of 2015. Excluding this adjustment, the Company's effective tax rate for the first six months of 2016 was 35.6%.</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Company continues to record a valuation allowance with respect to Kaplan education division’s operations in Australia. As of June 30, 2016, a full valuation allowance is recorded on Australian net deferred tax assets of approximately $18 million, related to net operating tax loss carryforwards and other net temporary differences (excluding Australian capital loss carryovers). Realization of these deferred tax assets is dependent upon generating sufficient future operating income. Based primarily on a history of prior year losses, the company determined it is not more likely than not that the benefit of the net deferred tax assets would be realized, and accordingly, maintains a full valuation allowance. However, Kaplan's Australian operations recently began to generate positive ordinary income, and should operating results continue to improve in the future, management believes it is possible that it may become more likely than not that all of the Australian deferred tax assets will be realized, and accordingly, a release of the Australian valuation allowance would be recorded at that time. The Company will continue to closely monitor actual and projected education division operating results in Australia.</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9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4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2015, the Company completed the spin-off of Cable ONE as an independent, publicly traded company and the sale of a school in China that was previously part of Kaplan International.</w:t>
      </w:r>
    </w:p>
    <w:p>
      <w:pPr>
        <w:spacing w:after="0" w:line="21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if any, on dispositions of these businesses, which have been reclassified to discontinued operations, net of tax,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calculation of diluted earnings per share for the second quarter and first six months of 2016 was based on 5,574,336 and 5,612,959 weighted average shares outstanding, respectively, compared to 5,804,511 and 5,797,756 for the second quarter and first six months of 2015. At June 30, 2016, there were 5,617,444 shares outstanding. On May 14, 2015, the Board of Directors authorized the Company to acquire up to 500,000 shares of its Class B common stock; the Company has remaining authorization for 267,528 shares as of June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Higher Education (KHE) Regulatory Matters</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January 12, 2016, the ED commenced a negotiated rulemaking session to determine rules defining when a student may discharge certain federal financial aid debt based on improper actions by the student’s institution and when the ED may seek reimbursement from the institution for any discharged debt. On June 16, 2016, the ED issued proposed rules on borrower defenses to repayment and the ED’s comment deadline was August 1, 2016. The ED's goal is to issue a final rule by November 1, 2016; if the final rule is published by that date, it is expected to be effective July 1, 2017. If finalized, such rules could add significant risk to institutional participation in Title IV programs by greatly expanding loan discharges and mandating reimbursement from the student’s institution. The proposed rules for loan discharges include situations where mere allegations of misrepresentation by an institution may allow for discharge; in some cases, by classes of students as well as individual students. In addition, the proposed rules impose new requirements related to the financial responsibility rules; for schools to continue participation in the Title IV program, they would need to prove each year that they are financially sound. The ED is proposing use of a financial responsibility ratio calculation to make this determination. Under the rules, schools will be deemed “not financially responsible” if certain events happen, such as initiation of a lawsuit by a governmental agency or significant defense to repayment claims by students. Such “triggering events” would require schools to post a letter of credit equal to at least 10% of their total yearly Title IV draw. If the rule goes into effect as written, it is possible that Kaplan University will be subject to such letter of credit requirements in the future. The proposed rules would also require schools not meeting a loan “repayment rate” threshold calculation to post public warnings in all marketing materials stating that the school may be financially risky to students. Finally, the draft rules include prohibitions on class action waivers in enrollment contracts and mandatory arbitration provisions. Kaplan University currently uses both mandatory arbitration and class action waivers to limit exposure to class action cases, and to more quickly and efficiently resolve student complaints. The Company cannot predict the ultimate scope and content of the final regulations, which may have a material adverse effect on KHE’s business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May 2016, Graham Media Group entered into an agreement to acquire two television stations for $60 million in cash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 of certain pension obligations. The acquisition is subject to approval by the Federal Communications Commission, other regulatory approvals and the satisfaction of closing conditions.</w:t>
      </w:r>
    </w:p>
    <w:p>
      <w:pPr>
        <w:spacing w:after="0" w:line="13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the first six months of 2016, the Company acquired three businesses included in its education division totaling $208.7 million. In January and February 2016, Kaplan acquired a 100% interest in Mander Portman Woodward, a leading provider of high-quality, bespoke education to UK and international students in London, Cambridge and Birmingham; and a 100% interest in Osborne Books, an educational publisher of learning resources for accounting qualifications in the UK. These acquisitions are included in Kaplan International. In the first six months of 2015, the Company did not make any acquisitions.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November 13, 2015, the Company acquired a 100% interest in Group Dekko, a Garrett, IN-based manufacturer of electrical solutions for applications across three business lines: workspace power solutions, architectural lighting, and electrical components and assemblies, which is included in other businesses. On December 22, 2015, Kaplan acquired a 100% interest in SmartPros, a provider of accredited professional education and training, primarily in accountancy, which is included in Higher Education.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7" w:right="239" w:bottom="1440" w:gutter="0" w:footer="0" w:header="0"/>
        </w:sectPr>
      </w:pPr>
    </w:p>
    <w:bookmarkStart w:id="29" w:name="page30"/>
    <w:bookmarkEnd w:id="29"/>
    <w:p>
      <w:pPr>
        <w:ind w:right="2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January 2016, Kaplan completed the sale of Colloquy, which was included in Kaplan Corporate and Other.</w:t>
      </w:r>
    </w:p>
    <w:p>
      <w:pPr>
        <w:spacing w:after="0" w:line="166"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 equity interest in Education Corporation of America (ECA). KHE Campuses schools that were closed or were in the process of closing were not included in the sale transaction. In connection with the sale agreement, if required by the U.S. Department of Education (ED) in connection with its post-closing review of the transaction, Kaplan</w:t>
      </w:r>
    </w:p>
    <w:p>
      <w:pPr>
        <w:spacing w:after="0" w:line="1"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will provide a letter of credit or other credit support with the ED of up to approximately $45 million; any such letter of credit or other credit support could be drawn by the ED in the event that ECA defaults on its obligations to students. If issued, such letter of credit or other credit support would have a term of two years, after which Kaplan would have no further obligations.</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the second quarter of 2015, Kaplan also recorded a $6.9 million long-lived assets impairment charge in connection with the KHE Campuses business.</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gains in other non-operating income. In the third quarter of 2014, Kaplan completed the sale of three of its schools in China that were previously included as part of Kaplan International. In January 2015, Kaplan completed the sale of an additional school in China.</w:t>
      </w:r>
    </w:p>
    <w:p>
      <w:pPr>
        <w:spacing w:after="0" w:line="115"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$3.4 million, with a corresponding decrease to capital in excess of par value, to reflect the redemption value of the redeemable noncontrolling interest at $24.0 million. Following this transaction, Celtic and Residential combined their business operations to form Graham Healthcare Group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June 30, 2016.</w:t>
      </w:r>
    </w:p>
    <w:p>
      <w:pPr>
        <w:spacing w:after="0" w:line="13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 January 2015, Celtic and AHN closed on the formation of a joint venture to combine each other’s home health 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During the first six months of 2016, the Company’s capital expenditures totaled $25.0 million. This amount includes assets acquired during the year, whereas the amounts reflected in the Company's Condensed Statements of Cash Flows are based on cash payments made during the relevant periods. The Company estimates that its capital expenditures will be in the range of $70 million to $80 million in 2016.</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97"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were $400.0 million and $399.8 million, at June 30, 2016 and December 31, 2015, respectively.</w:t>
      </w:r>
    </w:p>
    <w:p>
      <w:pPr>
        <w:spacing w:after="0" w:line="14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At June 30, 2016, the Company had cash and cash equivalents, restricted cash and investments in marketable securities and other investments totaling $999.8 million, compared with $1,154.4 million at December 31, 2015. The decrease is largely due to acquisitions and common share repurchases. The Company’s net cash provided by operating activities, as reported in the Company’s Condensed Consolidated Statements of Cash Flows, was $135.5 million for the first six months of 2016, compared to $77.3 million for the first six months of 2015. The increase is largely due to significant income tax payments made in the first quarter of 2015, offset by the absence of the cable division operating results for the six months of 2016.</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$ 200 million five-year revolving credit facility (the Facility). The Company may draw on the Facility for general corporate purposes. The Facility will expire on July 1, 2020, unless the Company and the banks agree to extend the term. The Credit Agreement contains terms and conditions, including remedies in the event of a default by the Company, typical of facilities of this type.</w:t>
      </w:r>
    </w:p>
    <w:p>
      <w:pPr>
        <w:spacing w:after="0" w:line="13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On July 14, 2016, Kaplan entered into a Facility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will bear interest at a rate per annum of LIBOR plus an applicable interest rate margin between 1.25% and 1.75%, in each case determined on a quarterly basis by reference to a pricing grid based upon the Company's total leverage ratio. The credit facility requires that 6.66% of the outstanding aggregate amount of the loan be repaid on the first three anniversaries of funding, with the remaining balance due on July 1, 2020.</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any changes in the fair value of the interest rate swap will be recorded in other comprehensive income on the accompanying Condensed Consolidated Balance Sheets until earnings are affected by the variability of cash flows.</w:t>
      </w:r>
    </w:p>
    <w:p>
      <w:pPr>
        <w:spacing w:after="0" w:line="141"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In the first six months of 2016, the Company acquired an additional 186,246 shares of its Class B common stock at a cost of approximately $89.1 million.</w:t>
      </w:r>
    </w:p>
    <w:p>
      <w:pPr>
        <w:spacing w:after="0" w:line="13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On June 24, 2015, due to the pending Cable spin-off, Moody’s downgraded the Company’s long-term credit ratings from “Baa3” to “Ba1” and the short-term rating from “Prime-3” to “NP”. On July 1, 2015, due to the Cable ONE spin-off, S&amp;P lowered its corporate credit rating from “BBB” to “BB+” and its short-term rating from “A-2” to “B”. In addition, S&amp;P removed the ratings from Credit Watch. In the third quarter of 2015, the Company decided to no longer have the rating agencies provide a short-term rating on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9440" w:type="dxa"/>
            <w:vAlign w:val="bottom"/>
            <w:tcBorders>
              <w:bottom w:val="single" w:sz="8" w:color="auto"/>
            </w:tcBorders>
          </w:tcPr>
          <w:p>
            <w:pPr>
              <w:ind w:left="8800"/>
              <w:spacing w:after="0"/>
              <w:rPr>
                <w:sz w:val="20"/>
                <w:szCs w:val="20"/>
                <w:color w:val="auto"/>
              </w:rPr>
            </w:pPr>
            <w:r>
              <w:rPr>
                <w:rFonts w:ascii="Arial" w:cs="Arial" w:eastAsia="Arial" w:hAnsi="Arial"/>
                <w:sz w:val="14"/>
                <w:szCs w:val="14"/>
                <w:b w:val="1"/>
                <w:bCs w:val="1"/>
                <w:color w:val="auto"/>
              </w:rPr>
              <w:t>Moody’s</w:t>
            </w:r>
          </w:p>
        </w:tc>
        <w:tc>
          <w:tcPr>
            <w:tcW w:w="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9440" w:type="dxa"/>
            <w:vAlign w:val="bottom"/>
          </w:tcPr>
          <w:p>
            <w:pPr>
              <w:ind w:left="40"/>
              <w:spacing w:after="0"/>
              <w:rPr>
                <w:sz w:val="20"/>
                <w:szCs w:val="20"/>
                <w:color w:val="auto"/>
              </w:rPr>
            </w:pPr>
            <w:r>
              <w:rPr>
                <w:rFonts w:ascii="Arial" w:cs="Arial" w:eastAsia="Arial" w:hAnsi="Arial"/>
                <w:sz w:val="16"/>
                <w:szCs w:val="16"/>
                <w:color w:val="auto"/>
              </w:rPr>
              <w:t>Long-term</w:t>
            </w:r>
          </w:p>
        </w:tc>
        <w:tc>
          <w:tcPr>
            <w:tcW w:w="640" w:type="dxa"/>
            <w:vAlign w:val="bottom"/>
          </w:tcPr>
          <w:p>
            <w:pPr>
              <w:ind w:left="80"/>
              <w:spacing w:after="0"/>
              <w:rPr>
                <w:sz w:val="20"/>
                <w:szCs w:val="20"/>
                <w:color w:val="auto"/>
              </w:rPr>
            </w:pPr>
            <w:r>
              <w:rPr>
                <w:rFonts w:ascii="Arial" w:cs="Arial" w:eastAsia="Arial" w:hAnsi="Arial"/>
                <w:sz w:val="16"/>
                <w:szCs w:val="16"/>
                <w:color w:val="auto"/>
              </w:rPr>
              <w:t>Ba1</w:t>
            </w:r>
          </w:p>
        </w:tc>
        <w:tc>
          <w:tcPr>
            <w:tcW w:w="1340" w:type="dxa"/>
            <w:vAlign w:val="bottom"/>
          </w:tcPr>
          <w:p>
            <w:pPr>
              <w:ind w:left="1000"/>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At June 30, 2016 and December 31, 2015, the Company had working capital of $883.1 million and $1,135.6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throughout 2016.</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July 2016, Kaplan International Holdings Limited (KIHL) entered into an agreement with University of York International Pathway College LLP (York International College) to loan the LLP approximately $35 million over the next eighteen months, to construct an academic building in the UK to be used by the College. York International College is a limited liability partnership joint venture between Kaplan York Limited (a subsidiary of Kaplan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7" w:right="239" w:bottom="1440" w:gutter="0" w:footer="0" w:header="0"/>
        </w:sectPr>
      </w:pPr>
    </w:p>
    <w:bookmarkStart w:id="31" w:name="page32"/>
    <w:bookmarkEnd w:id="31"/>
    <w:p>
      <w:pPr>
        <w:jc w:val="both"/>
        <w:ind w:right="60"/>
        <w:spacing w:after="0" w:line="227" w:lineRule="auto"/>
        <w:rPr>
          <w:sz w:val="20"/>
          <w:szCs w:val="20"/>
          <w:color w:val="auto"/>
        </w:rPr>
      </w:pPr>
      <w:r>
        <w:rPr>
          <w:rFonts w:ascii="Arial" w:cs="Arial" w:eastAsia="Arial" w:hAnsi="Arial"/>
          <w:sz w:val="18"/>
          <w:szCs w:val="18"/>
          <w:color w:val="auto"/>
        </w:rPr>
        <w:t>International Colleges UK Limited) and a subsidiary of the University of York, for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Kaplan is terminated.</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w:t>
      </w:r>
    </w:p>
    <w:p>
      <w:pPr>
        <w:spacing w:after="0" w:line="1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is exposed to foreign exchange rate risk primarily at its Kaplan international operations, and the primary exposure relates to the exchange rate between the U.S. dollar and the British pound and the Australian dollar. This exposure includes British pound and Australian dollar denominated intercompany loans on U.S.-based Kaplan entities with a functional currency in U.S. dollars. In the first six months of 2016, the Company reported unrealized foreign currency losses of $29.5 million as a result of the decline in the British pound currency in the first six months of 2016; this includes an $11.5 million loss related to a British pound intercompany advance made in the first quarter of 2016 related to Kaplan's UK acquisitions.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market risk disclosures set forth in its 2015 Annual Report filed on Form 10-K have not otherwise changed significantly.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6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June 30, 2016.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June 30, 2016 that has materially affected, or is reasonably likely to materially affect, the Company’s internal control over financial reporting.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19"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If any of the events or developments described below occurs, it could have a material adverse effect on the Company’s business, financial condition or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Other than as subsequently discussed, there have been no material changes to the Risk Factors disclosed in our 2015 Form 10-K.</w:t>
      </w:r>
    </w:p>
    <w:p>
      <w:pPr>
        <w:spacing w:after="0" w:line="12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International Regulatory and Physical Environments Could Negatively Affect International Student Enrollments</w:t>
      </w:r>
    </w:p>
    <w:p>
      <w:pPr>
        <w:spacing w:after="0" w:line="99"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A substantial portion of Kaplan International’s revenue comes from programs that prepare international students to study and travel in English-speaking countries, principally the U.S., the UK, Australia and Singapore. Kaplan International’s ability to enroll students in these programs is directly dependent on its ability to comply with complex regulatory environments. For example, on June 23, 2016 the UK held a referendum in which voters approved exit from the European Union (“EU”), commonly referred to as “Brexit”. As a result of the referendum, there has been a sharp decline in the value of the British pound sterling as compared to the U.S. dollar and other currencies. In the longer term, any impact from Brexit will depend, in part, on the outcome of future negotiations regarding the terms of the UK’s withdrawal from the EU. Although the results of such negotiations are unknown, the outcome may disrupt the free movement of people, including students and employees, and goods and services between the UK, and the EU, undermine bilateral cooperation in key policy areas and create global economic and legal uncertainty. Any significant changes to the regulatory environment, or a natural disaster or pandemic in either the students’ countries of origin or the countries to which they desire to travel or study, could negatively affect Kaplan’s ability to attract and retain students, which could negatively impact Kaplan’s operating results.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Purchases of Equity Securities by the Issuer and Affiliated Purchasers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June 30, 2016, the Company purchased shares of its Class B Common Stock as set forth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260" w:type="dxa"/>
            <w:vAlign w:val="bottom"/>
          </w:tcPr>
          <w:p>
            <w:pPr>
              <w:jc w:val="right"/>
              <w:ind w:right="44"/>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8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4"/>
                <w:szCs w:val="14"/>
                <w:b w:val="1"/>
                <w:bCs w:val="1"/>
                <w:color w:val="auto"/>
              </w:rPr>
              <w:t>Paid per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2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Plan*</w:t>
            </w: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April</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16,480</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468.22</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16,480</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267,528</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May</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267,528</w:t>
            </w: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color w:val="auto"/>
              </w:rPr>
              <w:t>June</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267,528</w:t>
            </w:r>
          </w:p>
        </w:tc>
      </w:tr>
      <w:tr>
        <w:trPr>
          <w:trHeight w:val="237"/>
        </w:trPr>
        <w:tc>
          <w:tcPr>
            <w:tcW w:w="48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16,480</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468.22</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16,480</w:t>
            </w:r>
          </w:p>
        </w:tc>
        <w:tc>
          <w:tcPr>
            <w:tcW w:w="2260" w:type="dxa"/>
            <w:vAlign w:val="bottom"/>
          </w:tcPr>
          <w:p>
            <w:pPr>
              <w:spacing w:after="0"/>
              <w:rPr>
                <w:sz w:val="20"/>
                <w:szCs w:val="20"/>
                <w:color w:val="auto"/>
              </w:rPr>
            </w:pPr>
          </w:p>
        </w:tc>
      </w:tr>
    </w:tbl>
    <w:p>
      <w:pPr>
        <w:spacing w:after="0" w:line="170" w:lineRule="exact"/>
        <w:rPr>
          <w:sz w:val="20"/>
          <w:szCs w:val="20"/>
          <w:color w:val="auto"/>
        </w:rPr>
      </w:pPr>
    </w:p>
    <w:p>
      <w:pPr>
        <w:ind w:firstLine="8"/>
        <w:spacing w:after="0"/>
        <w:tabs>
          <w:tab w:leader="none" w:pos="1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May 14, 2015 the Company’s Board of Directors authorized the Company to purchase, on the open market or otherwise, up to 500,000 shares of its Class B Common Stock. There is no expiration date for that authorization. All purchases made during the quarter ended June 30, 2016 were open market transactions.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97"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920" w:type="dxa"/>
            <w:vAlign w:val="bottom"/>
          </w:tcPr>
          <w:p>
            <w:pPr>
              <w:ind w:left="180"/>
              <w:spacing w:after="0"/>
              <w:rPr>
                <w:sz w:val="20"/>
                <w:szCs w:val="20"/>
                <w:color w:val="auto"/>
              </w:rPr>
            </w:pPr>
            <w:r>
              <w:rPr>
                <w:rFonts w:ascii="Arial" w:cs="Arial" w:eastAsia="Arial" w:hAnsi="Arial"/>
                <w:sz w:val="16"/>
                <w:szCs w:val="16"/>
                <w:color w:val="auto"/>
              </w:rPr>
              <w:t>3.1</w:t>
            </w:r>
          </w:p>
        </w:tc>
        <w:tc>
          <w:tcPr>
            <w:tcW w:w="10500" w:type="dxa"/>
            <w:vAlign w:val="bottom"/>
          </w:tcPr>
          <w:p>
            <w:pPr>
              <w:ind w:left="16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Amendment, effective November 29, 2013, to the Restated Certificate of Incorporation of the Company (incorporated by reference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to Exhibit 3.1 to the Company’s 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3.3</w:t>
            </w:r>
          </w:p>
        </w:tc>
        <w:tc>
          <w:tcPr>
            <w:tcW w:w="10500" w:type="dxa"/>
            <w:vAlign w:val="bottom"/>
          </w:tcPr>
          <w:p>
            <w:pPr>
              <w:ind w:left="160"/>
              <w:spacing w:after="0"/>
              <w:rPr>
                <w:sz w:val="20"/>
                <w:szCs w:val="20"/>
                <w:color w:val="auto"/>
              </w:rPr>
            </w:pPr>
            <w:r>
              <w:rPr>
                <w:rFonts w:ascii="Arial" w:cs="Arial" w:eastAsia="Arial" w:hAnsi="Arial"/>
                <w:sz w:val="16"/>
                <w:szCs w:val="16"/>
                <w:color w:val="auto"/>
              </w:rPr>
              <w:t>By-Laws of the Company as amended and restated through November 29, 2013 (incorporated by reference to Exhibit 3.2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4.1</w:t>
            </w:r>
          </w:p>
        </w:tc>
        <w:tc>
          <w:tcPr>
            <w:tcW w:w="10500" w:type="dxa"/>
            <w:vAlign w:val="bottom"/>
          </w:tcPr>
          <w:p>
            <w:pPr>
              <w:ind w:left="16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4.2</w:t>
            </w:r>
          </w:p>
        </w:tc>
        <w:tc>
          <w:tcPr>
            <w:tcW w:w="10500" w:type="dxa"/>
            <w:vAlign w:val="bottom"/>
          </w:tcPr>
          <w:p>
            <w:pPr>
              <w:ind w:left="160"/>
              <w:spacing w:after="0"/>
              <w:rPr>
                <w:sz w:val="20"/>
                <w:szCs w:val="20"/>
                <w:color w:val="auto"/>
              </w:rPr>
            </w:pPr>
            <w:r>
              <w:rPr>
                <w:rFonts w:ascii="Arial" w:cs="Arial" w:eastAsia="Arial" w:hAnsi="Arial"/>
                <w:sz w:val="16"/>
                <w:szCs w:val="16"/>
                <w:color w:val="auto"/>
              </w:rPr>
              <w:t>Five Year Credit Agreement, dated as of June 29, 2015, among the Company, and certain of its domestic subsidiaries as guarantors, the</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several lenders from time to time party thereto, Wells Fargo Bank, National Association, as Administrative Agent and JPMorgan Chase Bank,</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N.A., as Syndication Agent. (incorporated by reference to Exhibit 10.1 to the Company’s Current Report on Form 8-K dated June 29, 2015).</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31.1</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31.2</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Section 1350 Certification of the Chief Executive Officer and the Chief Financial Officer.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80" w:right="220" w:hanging="910"/>
        <w:spacing w:after="0" w:line="248"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June 30, 2016, formatted in Extensible Business Reporting Language (XBRL): (i) Condensed Consolidated Statements of Operations for the Three and Six Months Ended June 30, 2016 and 2015, (ii) Condensed Consolidated Statements of Comprehensive Income for the Three and Six Months Ended June 30, 2016 and 2015, (iii) Condensed Consolidated Balance Sheets as of June 30, 2016 and December 31, 2015, (iv) Condensed Consolidated Statements of Cash Flows for the Six Months Ended June 30, 2016 and 2015,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7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Furnished herewith.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SIGNATURES</w:t>
      </w:r>
    </w:p>
    <w:p>
      <w:pPr>
        <w:spacing w:after="0" w:line="31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61"/>
        </w:trPr>
        <w:tc>
          <w:tcPr>
            <w:tcW w:w="3640" w:type="dxa"/>
            <w:vAlign w:val="bottom"/>
          </w:tcPr>
          <w:p>
            <w:pPr>
              <w:spacing w:after="0"/>
              <w:rPr>
                <w:sz w:val="20"/>
                <w:szCs w:val="20"/>
                <w:color w:val="auto"/>
              </w:rPr>
            </w:pPr>
            <w:r>
              <w:rPr>
                <w:rFonts w:ascii="Arial" w:cs="Arial" w:eastAsia="Arial" w:hAnsi="Arial"/>
                <w:sz w:val="18"/>
                <w:szCs w:val="18"/>
                <w:color w:val="auto"/>
              </w:rPr>
              <w:t>Date: August 3, 2016</w:t>
            </w:r>
          </w:p>
        </w:tc>
        <w:tc>
          <w:tcPr>
            <w:tcW w:w="364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6"/>
        </w:trPr>
        <w:tc>
          <w:tcPr>
            <w:tcW w:w="36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6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9"/>
        </w:trPr>
        <w:tc>
          <w:tcPr>
            <w:tcW w:w="3640" w:type="dxa"/>
            <w:vAlign w:val="bottom"/>
          </w:tcPr>
          <w:p>
            <w:pPr>
              <w:spacing w:after="0"/>
              <w:rPr>
                <w:sz w:val="20"/>
                <w:szCs w:val="20"/>
                <w:color w:val="auto"/>
              </w:rPr>
            </w:pPr>
            <w:r>
              <w:rPr>
                <w:rFonts w:ascii="Arial" w:cs="Arial" w:eastAsia="Arial" w:hAnsi="Arial"/>
                <w:sz w:val="18"/>
                <w:szCs w:val="18"/>
                <w:color w:val="auto"/>
              </w:rPr>
              <w:t>Date: August 3, 2016</w:t>
            </w:r>
          </w:p>
        </w:tc>
        <w:tc>
          <w:tcPr>
            <w:tcW w:w="364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Hal S. Jones</w:t>
            </w:r>
          </w:p>
        </w:tc>
      </w:tr>
      <w:tr>
        <w:trPr>
          <w:trHeight w:val="176"/>
        </w:trPr>
        <w:tc>
          <w:tcPr>
            <w:tcW w:w="36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Hal S. Jones,</w:t>
            </w:r>
          </w:p>
        </w:tc>
      </w:tr>
      <w:tr>
        <w:trPr>
          <w:trHeight w:val="162"/>
        </w:trPr>
        <w:tc>
          <w:tcPr>
            <w:tcW w:w="3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Senior Vice President-Finance</w:t>
            </w:r>
          </w:p>
        </w:tc>
      </w:tr>
      <w:tr>
        <w:trPr>
          <w:trHeight w:val="190"/>
        </w:trPr>
        <w:tc>
          <w:tcPr>
            <w:tcW w:w="36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20"/>
        </w:trPr>
        <w:tc>
          <w:tcPr>
            <w:tcW w:w="3640" w:type="dxa"/>
            <w:vAlign w:val="bottom"/>
          </w:tcPr>
          <w:p>
            <w:pPr>
              <w:spacing w:after="0"/>
              <w:rPr>
                <w:sz w:val="24"/>
                <w:szCs w:val="24"/>
                <w:color w:val="auto"/>
              </w:rPr>
            </w:pPr>
          </w:p>
        </w:tc>
        <w:tc>
          <w:tcPr>
            <w:tcW w:w="3640" w:type="dxa"/>
            <w:vAlign w:val="bottom"/>
          </w:tcPr>
          <w:p>
            <w:pPr>
              <w:jc w:val="right"/>
              <w:ind w:right="1410"/>
              <w:spacing w:after="0"/>
              <w:rPr>
                <w:sz w:val="20"/>
                <w:szCs w:val="20"/>
                <w:color w:val="auto"/>
              </w:rPr>
            </w:pPr>
            <w:r>
              <w:rPr>
                <w:rFonts w:ascii="Arial" w:cs="Arial" w:eastAsia="Arial" w:hAnsi="Arial"/>
                <w:sz w:val="18"/>
                <w:szCs w:val="18"/>
                <w:color w:val="auto"/>
              </w:rPr>
              <w:t>32</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63"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2016</w:t>
      </w:r>
    </w:p>
    <w:p>
      <w:pPr>
        <w:sectPr>
          <w:pgSz w:w="11900" w:h="16838" w:orient="portrait"/>
          <w:cols w:equalWidth="0" w:num="1">
            <w:col w:w="11420"/>
          </w:cols>
          <w:pgMar w:left="240" w:top="382"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2016</w:t>
      </w:r>
    </w:p>
    <w:p>
      <w:pPr>
        <w:sectPr>
          <w:pgSz w:w="11900" w:h="16838" w:orient="portrait"/>
          <w:cols w:equalWidth="0" w:num="1">
            <w:col w:w="11420"/>
          </w:cols>
          <w:pgMar w:left="240" w:top="382"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June 30, 2016 (the “Report”), Timothy J. O'Shaughnessy, Chief Executive Officer of the Company and Hal S. Jones, Senior Vice President-Finance of the Company, each hereby certifies, pursuant to 18 U.S.C. Section 1350, as adopted pursuant to Section 906 of the Sarbanes-Oxley Act of 2002, that:</w:t>
      </w:r>
    </w:p>
    <w:p>
      <w:pPr>
        <w:spacing w:after="0" w:line="15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2016</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2016</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lvl w:ilvl="1">
      <w:lvlJc w:val="left"/>
      <w:lvlText w:val="%2"/>
      <w:numFmt w:val="decimal"/>
      <w:start w:val="10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2019-12-29T10:58:27Z</dcterms:created>
  <dcterms:modified xsi:type="dcterms:W3CDTF">2019-12-29T10:58:27Z</dcterms:modified>
</cp:coreProperties>
</file>