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212090</wp:posOffset>
            </wp:positionV>
            <wp:extent cx="4939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243840</wp:posOffset>
            </wp:positionV>
            <wp:extent cx="4939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25, 2019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center"/>
              <w:ind w:right="116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116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6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6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86360</wp:posOffset>
            </wp:positionV>
            <wp:extent cx="4939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158"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537210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25, 2019, Graham Holdings Company issued a press release announcing the Company’s earnings for the fourth quarter and year ended December 31, 2018.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rPr>
          <w:sz w:val="20"/>
          <w:szCs w:val="20"/>
          <w:color w:val="auto"/>
        </w:rPr>
      </w:pPr>
      <w:r>
        <w:rPr>
          <w:rFonts w:ascii="Arial" w:cs="Arial" w:eastAsia="Arial" w:hAnsi="Arial"/>
          <w:sz w:val="18"/>
          <w:szCs w:val="18"/>
          <w:color w:val="auto"/>
        </w:rPr>
        <w:t>Senior Vice President–Finance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469265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83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February 25,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500" w:type="dxa"/>
            <w:vAlign w:val="bottom"/>
            <w:gridSpan w:val="2"/>
          </w:tcPr>
          <w:p>
            <w:pPr>
              <w:ind w:left="150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3220" w:type="dxa"/>
            <w:vAlign w:val="bottom"/>
          </w:tcPr>
          <w:p>
            <w:pPr>
              <w:jc w:val="right"/>
              <w:ind w:right="592"/>
              <w:spacing w:after="0"/>
              <w:rPr>
                <w:sz w:val="20"/>
                <w:szCs w:val="20"/>
                <w:color w:val="auto"/>
              </w:rPr>
            </w:pPr>
            <w:r>
              <w:rPr>
                <w:rFonts w:ascii="Arial" w:cs="Arial" w:eastAsia="Arial" w:hAnsi="Arial"/>
                <w:sz w:val="18"/>
                <w:szCs w:val="18"/>
                <w:color w:val="auto"/>
                <w:w w:val="98"/>
              </w:rPr>
              <w:t>Contact:Wallace R. Cooney</w:t>
            </w:r>
          </w:p>
        </w:tc>
        <w:tc>
          <w:tcPr>
            <w:tcW w:w="566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For Immediate Release</w:t>
            </w:r>
          </w:p>
        </w:tc>
        <w:tc>
          <w:tcPr>
            <w:tcW w:w="620" w:type="dxa"/>
            <w:vAlign w:val="bottom"/>
          </w:tcPr>
          <w:p>
            <w:pPr>
              <w:spacing w:after="0"/>
              <w:rPr>
                <w:sz w:val="24"/>
                <w:szCs w:val="24"/>
                <w:color w:val="auto"/>
              </w:rPr>
            </w:pPr>
          </w:p>
        </w:tc>
      </w:tr>
      <w:tr>
        <w:trPr>
          <w:trHeight w:val="291"/>
        </w:trPr>
        <w:tc>
          <w:tcPr>
            <w:tcW w:w="3220" w:type="dxa"/>
            <w:vAlign w:val="bottom"/>
          </w:tcPr>
          <w:p>
            <w:pPr>
              <w:jc w:val="right"/>
              <w:ind w:right="892"/>
              <w:spacing w:after="0"/>
              <w:rPr>
                <w:sz w:val="20"/>
                <w:szCs w:val="20"/>
                <w:color w:val="auto"/>
              </w:rPr>
            </w:pPr>
            <w:r>
              <w:rPr>
                <w:rFonts w:ascii="Arial" w:cs="Arial" w:eastAsia="Arial" w:hAnsi="Arial"/>
                <w:sz w:val="18"/>
                <w:szCs w:val="18"/>
                <w:color w:val="auto"/>
              </w:rPr>
              <w:t>(703) 345-6470</w:t>
            </w:r>
          </w:p>
        </w:tc>
        <w:tc>
          <w:tcPr>
            <w:tcW w:w="5660" w:type="dxa"/>
            <w:vAlign w:val="bottom"/>
          </w:tcPr>
          <w:p>
            <w:pPr>
              <w:spacing w:after="0"/>
              <w:rPr>
                <w:sz w:val="24"/>
                <w:szCs w:val="24"/>
                <w:color w:val="auto"/>
              </w:rPr>
            </w:pPr>
          </w:p>
        </w:tc>
        <w:tc>
          <w:tcPr>
            <w:tcW w:w="2500" w:type="dxa"/>
            <w:vAlign w:val="bottom"/>
            <w:gridSpan w:val="2"/>
          </w:tcPr>
          <w:p>
            <w:pPr>
              <w:jc w:val="center"/>
              <w:ind w:right="580"/>
              <w:spacing w:after="0"/>
              <w:rPr>
                <w:sz w:val="20"/>
                <w:szCs w:val="20"/>
                <w:color w:val="auto"/>
              </w:rPr>
            </w:pPr>
            <w:r>
              <w:rPr>
                <w:rFonts w:ascii="Arial" w:cs="Arial" w:eastAsia="Arial" w:hAnsi="Arial"/>
                <w:sz w:val="18"/>
                <w:szCs w:val="18"/>
                <w:color w:val="auto"/>
              </w:rPr>
              <w:t>February 25, 2019</w:t>
            </w:r>
          </w:p>
        </w:tc>
      </w:tr>
      <w:tr>
        <w:trPr>
          <w:trHeight w:val="513"/>
        </w:trPr>
        <w:tc>
          <w:tcPr>
            <w:tcW w:w="3220" w:type="dxa"/>
            <w:vAlign w:val="bottom"/>
          </w:tcPr>
          <w:p>
            <w:pPr>
              <w:spacing w:after="0"/>
              <w:rPr>
                <w:sz w:val="24"/>
                <w:szCs w:val="24"/>
                <w:color w:val="auto"/>
              </w:rPr>
            </w:pPr>
          </w:p>
        </w:tc>
        <w:tc>
          <w:tcPr>
            <w:tcW w:w="8160" w:type="dxa"/>
            <w:vAlign w:val="bottom"/>
            <w:gridSpan w:val="3"/>
          </w:tcPr>
          <w:p>
            <w:pPr>
              <w:jc w:val="center"/>
              <w:ind w:right="3240"/>
              <w:spacing w:after="0"/>
              <w:rPr>
                <w:sz w:val="20"/>
                <w:szCs w:val="20"/>
                <w:color w:val="auto"/>
              </w:rPr>
            </w:pPr>
            <w:r>
              <w:rPr>
                <w:rFonts w:ascii="Arial" w:cs="Arial" w:eastAsia="Arial" w:hAnsi="Arial"/>
                <w:sz w:val="18"/>
                <w:szCs w:val="18"/>
                <w:color w:val="auto"/>
                <w:w w:val="99"/>
              </w:rPr>
              <w:t>GRAHAM HOLDINGS COMPANY REPORTS</w:t>
            </w:r>
          </w:p>
        </w:tc>
      </w:tr>
      <w:tr>
        <w:trPr>
          <w:trHeight w:val="270"/>
        </w:trPr>
        <w:tc>
          <w:tcPr>
            <w:tcW w:w="3220" w:type="dxa"/>
            <w:vAlign w:val="bottom"/>
          </w:tcPr>
          <w:p>
            <w:pPr>
              <w:spacing w:after="0"/>
              <w:rPr>
                <w:sz w:val="23"/>
                <w:szCs w:val="23"/>
                <w:color w:val="auto"/>
              </w:rPr>
            </w:pPr>
          </w:p>
        </w:tc>
        <w:tc>
          <w:tcPr>
            <w:tcW w:w="8160" w:type="dxa"/>
            <w:vAlign w:val="bottom"/>
            <w:gridSpan w:val="3"/>
          </w:tcPr>
          <w:p>
            <w:pPr>
              <w:jc w:val="center"/>
              <w:ind w:right="3240"/>
              <w:spacing w:after="0"/>
              <w:rPr>
                <w:sz w:val="20"/>
                <w:szCs w:val="20"/>
                <w:color w:val="auto"/>
              </w:rPr>
            </w:pPr>
            <w:r>
              <w:rPr>
                <w:rFonts w:ascii="Arial" w:cs="Arial" w:eastAsia="Arial" w:hAnsi="Arial"/>
                <w:sz w:val="18"/>
                <w:szCs w:val="18"/>
                <w:color w:val="auto"/>
              </w:rPr>
              <w:t>2018 AND FOURTH QUARTER EARNINGS</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$271.2 million</w:t>
      </w:r>
    </w:p>
    <w:p>
      <w:pPr>
        <w:ind w:right="300"/>
        <w:spacing w:after="0" w:line="227" w:lineRule="auto"/>
        <w:rPr>
          <w:sz w:val="20"/>
          <w:szCs w:val="20"/>
          <w:color w:val="auto"/>
        </w:rPr>
      </w:pPr>
      <w:r>
        <w:rPr>
          <w:rFonts w:ascii="Arial" w:cs="Arial" w:eastAsia="Arial" w:hAnsi="Arial"/>
          <w:sz w:val="18"/>
          <w:szCs w:val="18"/>
          <w:color w:val="auto"/>
        </w:rPr>
        <w:t>($50.20 per share) for the year ended December 31, 2018, compared to $302.0 million ($53.89 per share) for the year ended December 31, 2017. For the fourth quarter of 2018, the Company reported net income attributable to common shares of $56.7 million ($10.61 per share), compared to $214.2 million ($38.52 per share) for the same period of 2017. The Company’s results for 2017 and the fourth quarter of 2017 include a significant net deferred income tax benefit related to the Tax Cuts and Jobs Act legislation enacted in December 2017.</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results for 2018 and 2017 were affected by a number of items as described in the following paragraphs. Excluding these items, net income attributable to common shares was $255.0 million ($47.23 per share) for 2018, compared to $128.6 million ($22.93 per share) for 2017. Excluding these items, net income attributable to common shares was $75.6 million ($14.18 per share) for the fourth quarter of 2018, compared to $43.2 million ($7.77 per share) for the fourth quarter of 2017. (Refer to the Non-GAAP Financial Information schedule attached to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2018 are listed below, and fourth quarter activity, if any, is highlighted for each item:</w:t>
      </w:r>
    </w:p>
    <w:p>
      <w:pPr>
        <w:spacing w:after="0" w:line="90"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90" w:lineRule="exact"/>
        <w:rPr>
          <w:rFonts w:ascii="Arial" w:cs="Arial" w:eastAsia="Arial" w:hAnsi="Arial"/>
          <w:sz w:val="18"/>
          <w:szCs w:val="18"/>
          <w:color w:val="auto"/>
        </w:rPr>
      </w:pPr>
    </w:p>
    <w:p>
      <w:pPr>
        <w:ind w:left="180" w:right="10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$3.9 million reduction to operating expenses from property, plant and equipment gains in connection with the spectrum repacking mandate of the FCC (after-tax impact of $3.0 million, or $0.55 per share); $1.8 million of these gains were recorded in the fourth quarter (after-tax impact of $1.4 million, or $0.26 per share);</w:t>
      </w:r>
    </w:p>
    <w:p>
      <w:pPr>
        <w:spacing w:after="0" w:line="82"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90" w:lineRule="exact"/>
        <w:rPr>
          <w:rFonts w:ascii="Arial" w:cs="Arial" w:eastAsia="Arial" w:hAnsi="Arial"/>
          <w:sz w:val="18"/>
          <w:szCs w:val="18"/>
          <w:color w:val="auto"/>
        </w:rPr>
      </w:pPr>
    </w:p>
    <w:p>
      <w:pPr>
        <w:ind w:left="180" w:right="52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$30.3 million fourth quarter settlement gain related to a bulk lump sum pension offering and curtailment gain related to changes in the Company’s postretirement healthcare benefit plan (after-tax amount of $22.2 million, or $4.11 per share);</w:t>
      </w:r>
    </w:p>
    <w:p>
      <w:pPr>
        <w:spacing w:after="0" w:line="80"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$15.8 million in net losses on marketable equity securities (after-tax impact of $12.6 million, or $2.33 per share); $44.1 million of these losses were recorded in the fourth quarter (after-tax impact of $33.6 million, or $6.28 per share);</w:t>
      </w:r>
    </w:p>
    <w:p>
      <w:pPr>
        <w:spacing w:after="0" w:line="80" w:lineRule="exact"/>
        <w:rPr>
          <w:rFonts w:ascii="Arial" w:cs="Arial" w:eastAsia="Arial" w:hAnsi="Arial"/>
          <w:sz w:val="18"/>
          <w:szCs w:val="18"/>
          <w:color w:val="auto"/>
        </w:rPr>
      </w:pPr>
    </w:p>
    <w:p>
      <w:pPr>
        <w:jc w:val="both"/>
        <w:ind w:left="180" w:right="12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 net, of $6.7 million from sales, write-ups and impairments of cost method and equity method investments, and related to sales of land and businesses, including guarantor lease obligations (after-tax impact of $5.7 million, or $1.03 per share); $10.3 million in net losses were recorded in the fourth quarter (after-tax impact of $7.7 million, or $1.43 per share);</w:t>
      </w:r>
    </w:p>
    <w:p>
      <w:pPr>
        <w:spacing w:after="0" w:line="82"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90" w:lineRule="exact"/>
        <w:rPr>
          <w:rFonts w:ascii="Arial" w:cs="Arial" w:eastAsia="Arial" w:hAnsi="Arial"/>
          <w:sz w:val="18"/>
          <w:szCs w:val="18"/>
          <w:color w:val="auto"/>
        </w:rPr>
      </w:pPr>
    </w:p>
    <w:p>
      <w:pPr>
        <w:ind w:left="180" w:right="7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$2.9 million, or $0.54 per share); $1.6 million in losses were recorded in the fourth quarter (after-tax impact of $1.2 million or $0.23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2017 are listed below, and fourth quarter activity, if any, is highlighted for each item:</w:t>
      </w:r>
    </w:p>
    <w:p>
      <w:pPr>
        <w:spacing w:after="0" w:line="144" w:lineRule="exact"/>
        <w:rPr>
          <w:sz w:val="20"/>
          <w:szCs w:val="20"/>
          <w:color w:val="auto"/>
        </w:rPr>
      </w:pPr>
    </w:p>
    <w:p>
      <w:pPr>
        <w:ind w:left="180" w:right="32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million in restructuring and non-operating Separation Incentive Program charges at the education division (after-tax impact of $6.3 million, or $1.12 per share); $7.2 million of these charges were recorded in the fourth quarter (after-tax impact of $4.5 million, or $0.81 per share);</w:t>
      </w:r>
    </w:p>
    <w:p>
      <w:pPr>
        <w:spacing w:after="0" w:line="69" w:lineRule="exact"/>
        <w:rPr>
          <w:rFonts w:ascii="Arial" w:cs="Arial" w:eastAsia="Arial" w:hAnsi="Arial"/>
          <w:sz w:val="18"/>
          <w:szCs w:val="18"/>
          <w:color w:val="auto"/>
        </w:rPr>
      </w:pPr>
    </w:p>
    <w:p>
      <w:pPr>
        <w:ind w:left="180" w:right="80" w:hanging="172"/>
        <w:spacing w:after="0" w:line="246"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at one of the manufacturing businesses (after-tax impact of $5.8 million, or $1.03 per share);</w:t>
      </w:r>
    </w:p>
    <w:p>
      <w:pPr>
        <w:spacing w:after="0" w:line="75" w:lineRule="exact"/>
        <w:rPr>
          <w:rFonts w:ascii="Arial" w:cs="Arial" w:eastAsia="Arial" w:hAnsi="Arial"/>
          <w:sz w:val="18"/>
          <w:szCs w:val="18"/>
          <w:color w:val="auto"/>
        </w:rPr>
      </w:pPr>
    </w:p>
    <w:p>
      <w:pPr>
        <w:ind w:left="180" w:right="12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 $3.3 million in losses were recorded in the fourth quarter (after-tax impact of $2.1 million or $0.37 per share);</w:t>
      </w:r>
    </w:p>
    <w:p>
      <w:pPr>
        <w:spacing w:after="0" w:line="134" w:lineRule="exact"/>
        <w:rPr>
          <w:rFonts w:ascii="Arial" w:cs="Arial" w:eastAsia="Arial" w:hAnsi="Arial"/>
          <w:sz w:val="18"/>
          <w:szCs w:val="18"/>
          <w:color w:val="auto"/>
        </w:rPr>
      </w:pPr>
    </w:p>
    <w:p>
      <w:pPr>
        <w:ind w:left="1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$177.5 million in fourth quarter net deferred tax benefits related to the enactment of the Tax Cuts and Jobs Act in December 2017 ($31.68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Revenue for 2018 was $ 2,696.0 million, up 4% from $2,591.8 million in 2017. Revenues increased at the television broadcasting and manufacturing divisions, offset by a decline at the education division. The Company reported operating income for 2018 of $246.2 million, an increase of 80%, from $136.4 million in 2017. Operating results improved at most of the Company’s divisions in 2018.</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For the fourth quarter of 2018, revenue was $689.1 million, up 2% from $675.8 million in 2017. Revenues increased at the television broadcasting division and other businesses, offset by a decline at the education division. The Company reported operating income of $75.6 million in the fourth quarter of 2018, compared to $49.5 million in 2017, largely due to improved results at the television broadcasting division.</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provides key non-academic operations support to the new university. The new university operates largely online as an Indiana public university affiliated with Purdue under the name Purdue University Global (Purdue Global).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Education division revenue in 2018 totaled $1,451.0 million, down 4% from $1,516.8 million in 2017. For the fourth quarter of 2018, education division revenue totaled $346.9 million, down 9% from $380.6 million for the same period of 2017.</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Kaplan reported operating income of $97.1 million for 2018, a 25% increase from $77.7 million in 2017; Kaplan reported operating income for the fourth quarter of 2018 of $14.6 million, a 31% decrease from $21.1 million in the fourth quarter of 2017. In 2018, operating results increased at Kaplan International, Kaplan Test Preparation and Kaplan Professional (U.S.), partially offset by decreased results at Higher Education.</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with the objective of establishing lower cost levels in future periods. There were no significant restructuring charges during 2018. Across all businesses, restructuring costs totaled $9.1 million in 2017 and $6.3 million in the fourth quarter of 2017.</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Three Months Ended</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2017</w:t>
            </w: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 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color w:val="auto"/>
              </w:rPr>
              <w:t>2017</w:t>
            </w:r>
          </w:p>
        </w:tc>
        <w:tc>
          <w:tcPr>
            <w:tcW w:w="140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184,429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190,431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719,982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697,999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67,005</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103,264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342,085</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431,425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60,598</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60,320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256,102</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273,298</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35,472</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27,027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134,187</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115,839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272</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1,142</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6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(866)</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(2,483)</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346,910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380,575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1,451,015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1,516,776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17,349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22,614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70,315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51,623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(3,399)</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15,217</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16,719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1,883</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19,096</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11,507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b w:val="1"/>
                <w:bCs w:val="1"/>
                <w:color w:val="auto"/>
              </w:rPr>
              <w:t>7,745</w:t>
            </w:r>
          </w:p>
        </w:tc>
        <w:tc>
          <w:tcPr>
            <w:tcW w:w="46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5,513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28,608</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27,558</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(5,086)</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(6,760)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(26,702)</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(24,701)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(3,868)</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(9,362)</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(5,162)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3"/>
        </w:trPr>
        <w:tc>
          <w:tcPr>
            <w:tcW w:w="36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66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14,620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21,122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97,136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77,687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3% in 2018, and on a constant currency basis, revenue increased 1%, primarily due to growth in Pathways enrollments. Revenue declined 3% in the fourth quarter of 2018; however, on a constant currency basis, revenue remained flat. Kaplan International operating income increased 36% in 2018, due largely to improved results at English-language, Pathways and UK Professional. Operating income decreased 23% in the fourth quarter of 2018 due to a decline in results in Singapore and increased incentive compensation costs, offset by improved English-language results. Restructuring costs at Kaplan International totaled $2.9 million in 2017.</w:t>
      </w:r>
    </w:p>
    <w:p>
      <w:pPr>
        <w:spacing w:after="0" w:line="13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2018 and the fourth quarter of 2018, Higher Education revenue declined 21% and 35%, respectively, due largely to the sale of KU on March 22, 2018 and fewer average enrollments at KU prior to the sale. The Company recorded $16.8 million of service fee with Purdue Global in its Higher Education operating results in 2018, based on an assessment of its collectability under the TOSA; no service fee with Purdue Global was recorded in the fourth quarter of 2018. Each quarter, the Company assesses the collectability of the service fee with Purdue Global to make a determination as to whether to record all or part of the service fee and whether to make adjustments to service fee amounts recognized in earlier periods. Additionally, Higher Education reported losses in the fourth quarter of 2018 related to costs incurred that are not reimbursable under the TOSA. Restructuring costs at Higher Education were $1.4 million and $0.8 million for 2017 and the fourth quarter of 2017, respectively.</w:t>
      </w:r>
    </w:p>
    <w:p>
      <w:pPr>
        <w:spacing w:after="0" w:line="136"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declined 6% in 2018 due to reduced demand for classroom-based offerings, and the disposition of Dev Bootcamp, which made up the majority of KTP’s new economy skills training programs, offset in part by growth in online-based programs. Revenues were flat for the fourth quarter of 2018. Excluding revenues from the Barron’s acquisition, revenues were down 5% for the fourth quarter of 2018, due to declines in demand for classroom-based offerings, offset in part by growth in online-based programs. KTP operating results improved in 2018 due primarily to decreased losses from the new economy skills training programs. Operating losses for the new economy skills training programs were $3.6 million and $16.7 million for 2018 and 2017, respectively, including restructuring costs incurred in connection with the closing of Dev Bootcamp that was completed in the second half of 2017. Operating losses from the new economy skills training programs were $0.8 million and $5.5 million for the fourth quarter of 2018 and 2017, respectively. Excluding losses from the new economy skills training programs, KTP operating results were down in 2018, due primarily to revenue declines for classroom-based offerings.</w:t>
      </w:r>
    </w:p>
    <w:p>
      <w:pPr>
        <w:spacing w:after="0" w:line="136" w:lineRule="exact"/>
        <w:rPr>
          <w:sz w:val="20"/>
          <w:szCs w:val="20"/>
          <w:color w:val="auto"/>
        </w:rPr>
      </w:pPr>
    </w:p>
    <w:p>
      <w:pPr>
        <w:ind w:right="340"/>
        <w:spacing w:after="0" w:line="225"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2018 and the fourth quarter of 2018, Kaplan Professional (U.S.) revenue was up 16% and 31%, respectively, due primarily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w:t>
      </w:r>
    </w:p>
    <w:p>
      <w:pPr>
        <w:sectPr>
          <w:pgSz w:w="11900" w:h="16838" w:orient="portrait"/>
          <w:cols w:equalWidth="0" w:num="1">
            <w:col w:w="11420"/>
          </w:cols>
          <w:pgMar w:left="240" w:top="368" w:right="2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8" w:right="239" w:bottom="1440" w:gutter="0" w:footer="0" w:header="0"/>
          <w:type w:val="continuous"/>
        </w:sectPr>
      </w:pPr>
    </w:p>
    <w:bookmarkStart w:id="7" w:name="page8"/>
    <w:bookmarkEnd w:id="7"/>
    <w:p>
      <w:pPr>
        <w:jc w:val="both"/>
        <w:ind w:right="340"/>
        <w:spacing w:after="0" w:line="229" w:lineRule="auto"/>
        <w:rPr>
          <w:sz w:val="20"/>
          <w:szCs w:val="20"/>
          <w:color w:val="auto"/>
        </w:rPr>
      </w:pPr>
      <w:r>
        <w:rPr>
          <w:rFonts w:ascii="Arial" w:cs="Arial" w:eastAsia="Arial" w:hAnsi="Arial"/>
          <w:sz w:val="18"/>
          <w:szCs w:val="18"/>
          <w:color w:val="auto"/>
        </w:rPr>
        <w:t>Financial Planning. Kaplan Professional (U.S.) operating results improved 4% in 2018, due mostly to income from PPI and CFFP, offset by increased spending on sales, marketing and technology. Kaplan Professional (U.S.) operating results improved 40% in the fourth quarter of 2018, due mostly to a delay in the CFA exam and registration dates in 2018.</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at the television broadcasting division increased 23% to $505.5 million in 2018, from $409.9 million in 2017. The revenue increase is due to a $64.9 million increase in political advertising revenue, $38.0 million in higher retransmission revenues, $8.6 million in 2018 incremental winter Olympics-related advertising revenue at the Company’s NBC stations, and the adverse impact from hurricanes Harvey and Irma in the third quarter of 2017. Operating income for 2018 was up 51% to $210.5 million, from $139.3 million in 2017, due to higher revenues.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For the fourth quarter of 2018, revenue increased 37% to $152.6 million, from $111.0 million in 2017. The revenue increase is due to a $38.0 million increase in political advertising revenue and $10.9 million in higher retransmission revenues. Operating income for the fourth quarter of 2018 was up 86% to $73.4 million, from $39.5 million in the same period of 2017, due to higher revenues.</w:t>
      </w:r>
    </w:p>
    <w:p>
      <w:pPr>
        <w:spacing w:after="0" w:line="137"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In 2018 and the fourth quarter of 2018, the television broadcasting division recorded $3.9 million and $1.8 million, respectively, in reductions to operating expenses related to non-cash property, plant and equipment gains due to new equipment received at no cost in connection with the spectrum repacking mandate of the FCC.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July 2018, Dekko acquired Furnlite, Inc., a Fallston, NC-based manufacturer of power and data solutions for the hospitality and residential furniture industries.</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Manufacturing revenues and operating income increased in 2018 due largely to the Hoover acquisition. Also, in the second quarter of 2017, the Company recorded a $ 9.2 million goodwill and other long-lived asset impairment charge at Forney, due to lower than expected revenues resulting from sluggish overall demand for its energy products. Manufacturing operating income declined in the fourth quarter of 2018 due largely to a decline at Hoover. While Hoover holds inventory for relatively short periods, wood prices declined on a consistent basis in the second half of 2018, resulting in losses on inventory sales.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Graham Healthcare Group (GHG) provides home health and hospice services in three states. At the end of June 2017, GHG acquired Hometown Home Health and Hospice, a Lapeer, MI-based healthcare services provider. Healthcare revenues declined 3% in 2018, primarily due to a new management services agreement (MSA) with one of GHG’s joint ventures that was effective in the third quarter of 2018. In the third quarter of 2018, GHG recorded a $7.9 million intangible asset impairment charge related to the Celtic trademark, which was phased out in the second half of 2018. The decline in GHG operating results in 2018 is due to the intangible asset impairment charge and a decline in results from the MSA with one of GHG’s joint ventures, offset by lower bad debt expense and overall cost reductions.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ind w:right="220"/>
        <w:spacing w:after="0" w:line="222"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a Cleveland-based Amazon sales acceleration agency. SocialCode revenue decreased 5% in 2018 and 16% in the fourth quarter of 2018, resulting from declines in digital advertising service revenues, partly due to a transition from agency-based clients to direct-relationship clients. SocialCode reported an operating loss of $1.1 million and $0.7 million in 2018 and the fourth quarter of 2018, respectively, compared to an operating loss of $3.7 million and operating income of $4.5 million in 2017 and the fourth quarter of 2017, respectively. SocialCode’s operating results included a credit of $7.1 million and expense of $0.1 million related to phantom equity plans in 2018 and the fourth quarter of 2018, respectively; whereas 2017 results included expense of $1.4 million and $0.2 million related to phantom equity plans in 2017 and the fourth quarter of 2017, respectively. Excluding the amounts related to phantom equity plans for the relevant periods, SocialCode results are down in 2018, largely due to revenue declines.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36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three investment stage businesses, Panoply, Pinna and CyberVista. Revenues increased 26% in 2018 and 80% for the fourth quarter of 2018, largely due to growth at Panoply. Losses from each of these businesses in 2018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At December 31, 2018, the Company held interests in a number of home health and hospice joint ventures, and interests in several other affiliates. During 2017, the Company acquired an approximate 11% interest in Intersection Holdings, LLC, a company that provides digital marketing and advertising services and products for cities, transit systems, airports, and other public and private spaces. In the third quarter of 2018, the Company recorded $7.9 million in gains in earnings of affiliates related to two of its investments. In total, the Company recorded equity in earnings of affiliates of $14.5 million for 2018, compared to losses of $3.2 million in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May 30, 2018, the Company issued $400 million of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incurred net interest expense of $32.5 million in 2018, compared to $27.3 million in 2017; net interest expense totaled $5.1 million and $4.9 million for the fourth quarters of 2018 and 2017, respectively. The Company incurred $6.2 million in interest expense related to the mandatorily redeemable noncontrolling interest at GHG settled in the second quarter of 2018.</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At December 31, 2018, the Company had $477.1 million in borrowings outstanding at an average interest rate of 5.1%, and cash, marketable securities and other investments of $778.7 million. At December 31, 2017, the Company had $493.3 million in borrowings outstanding at an average interest rate of 6.3%, and cash, marketable securities and other investments of $964.7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234"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retroactively,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fourth quarter of 2018, the Company recorded a $26.9 million gain related to a bulk lump sum pension program offering. Also in the fourth quarter of 2018, the Company made changes to its postretirement healthcare benefit plan, resulting in a $3.4 million curtailment gain. In total, the Company recorded net non-operating pension and postretirement benefit income of $120.5 million in 2018, compared to $72.7 million in 2017. The Company recorded $53.9 million for the fourth quarter of 2018, compared to $17.7 million for the fourth quarter of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Marketable Equity Securities, Net</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$15.8 million in net losses on marketable equity securities in 2018 and $44.1 million in net losses in the fourth quarter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The Company recorded total other non-operating income, net, of $2.1 million in 2018, compared to $4.2 million in 2017. The 2018 non-operating income, net, included $11.7 million in fair value increases on cost method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46" w:right="239" w:bottom="1440" w:gutter="0" w:footer="0" w:header="0"/>
        </w:sectPr>
      </w:pPr>
    </w:p>
    <w:bookmarkStart w:id="9" w:name="page10"/>
    <w:bookmarkEnd w:id="9"/>
    <w:p>
      <w:pPr>
        <w:ind w:right="160"/>
        <w:spacing w:after="0" w:line="246" w:lineRule="auto"/>
        <w:rPr>
          <w:sz w:val="20"/>
          <w:szCs w:val="20"/>
          <w:color w:val="auto"/>
        </w:rPr>
      </w:pPr>
      <w:r>
        <w:rPr>
          <w:rFonts w:ascii="Arial" w:cs="Arial" w:eastAsia="Arial" w:hAnsi="Arial"/>
          <w:sz w:val="17"/>
          <w:szCs w:val="17"/>
          <w:color w:val="auto"/>
        </w:rPr>
        <w:t>investments; $8.2 million in net gains related to sales of businesses and contingent consideration; a $2.8 million gain on sale of a cost method investment; a $2.5 million gain on sale of land and other items, partially offset by $17.5 million in losses on guarantor lease obligations in connection with the 2015 sale of the KHE Campuses businesses; $3.8 million in foreign currency losses; and $2.7 million in impairments on cost method investments. The 2017 non-operating income, net, included $3.3 million in foreign currency gains and other items.</w:t>
      </w:r>
    </w:p>
    <w:p>
      <w:pPr>
        <w:spacing w:after="0" w:line="13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For the fourth quarter of 2018, the Company recorded other non-operating expense, net, of $12.6 million, compared to $2.6 million for the fourth quarter of 2017. The 2018 non-operating expense, net, included $13.3 million in losses on guarantor lease obligations in connection with the 2015 sale of the KHE Campuses businesses and $1.6 million in foreign currency losses and other items; partially offset by a $3.2 million fair value increase on cost method investments. The fourth quarter of 2017 non-operating expense, net, included $3.3 million in foreign currency losses offset by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(Benefit From) Income Taxes</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Company’s effective tax rate for 2018 was 16.1%. In the third quarter of 2018, the Company recorded a $17.8 million deferred state tax benefit related to the release of valuation allowances. Excluding this $17.8 million benefit and a $1.8 million income tax benefit related to stock compensation, the overall income tax rate for 2018 was 22.2%. The Tax Cuts and Jobs Act was enacted in December 2017, which included lowering the federal corporate income tax rate from 35% to 21%.</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reported an income tax benefit of $119.7 million for 2017, which was significantly 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 $5.9 million income tax benefit related to the vesting of restricted stock awards in connection with the adoption of a new accounting standard that requires all excess income tax benefits and deficiencies from stock compensation to be recorded as discrete items in the provision for income taxes. Excluding the effect of these items, the effective tax rate for 2017 was 34.9%.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calculation of diluted earnings per share for 2018 and the fourth quarter of 2018 was based on 5,369,611 and 5,308,710 weighted average shares, respectively, compared to 5,552,163 and 5,508,530 weighted average shares, respectively, for 2017 and the fourth quarter of 2017. At December 31, 2018, there were 5,300,959 shares outstanding. On November 9, 2017, the Board of Directors authorized the Company to acquire up to 500,000 shares of Class B common stock; the Company has remaining authorization for 273,655 shares as of December 31,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In connection with the KU Transaction, Kaplan recognized $4.5 million in service fee revenue and operating income in the third quarter of 2018. Under the previous guidance, this would not have been recognized, as a determination would not have been made until the end of Purdue Global’s fiscal year (June 30, 2019). If the company applied the accounting policies under the previous guidance for all other revenue streams, revenue and operating expenses would have been $1.7 million and $0.6 million lower, respectively, for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5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689,087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675,817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585,330</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597,399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14,813</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15,984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13,362</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75,582</w:t>
            </w:r>
          </w:p>
        </w:tc>
        <w:tc>
          <w:tcPr>
            <w:tcW w:w="26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49,459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1,426</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1,469</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3,184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(6,531)</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53,900</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17,657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Loss on marketable equity securities, net</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(44,149)</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(12,559)</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69,138</w:t>
            </w:r>
          </w:p>
        </w:tc>
        <w:tc>
          <w:tcPr>
            <w:tcW w:w="26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54,860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12,400</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56,738</w:t>
            </w:r>
          </w:p>
        </w:tc>
        <w:tc>
          <w:tcPr>
            <w:tcW w:w="26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214,560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(53)</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56,685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214,178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10.69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38.76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5,270</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5,473</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10.61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38.52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5,309</w:t>
            </w:r>
          </w:p>
        </w:tc>
        <w:tc>
          <w:tcPr>
            <w:tcW w:w="2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5,509</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44" w:right="239" w:bottom="1440" w:gutter="0" w:footer="0" w:header="0"/>
        </w:sectPr>
      </w:pPr>
    </w:p>
    <w:bookmarkStart w:id="11" w:name="page12"/>
    <w:bookmarkEnd w:id="11"/>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2,695,966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2,591,846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2,337,560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2,342,133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56,722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62,509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47,414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41,187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8,109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9,614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246,161</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136,403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14,473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5,353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6,581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(37,902)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(11,378)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120,541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72,699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Loss on marketable equity securities,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(15,843)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2,103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323,508</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182,789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52,100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271,408</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302,489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271,206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302,044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50.55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54.24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5,333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5,516</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50.20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53.89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5,370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5,552</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44" w:right="239" w:bottom="1440" w:gutter="0" w:footer="0" w:header="0"/>
        </w:sectPr>
      </w:pPr>
    </w:p>
    <w:bookmarkStart w:id="12" w:name="page13"/>
    <w:bookmarkEnd w:id="12"/>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39"/>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346,910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380,575</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1,451,015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1,516,776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152,647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111,023</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505,549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409,916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117,723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116,029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487,619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414,193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37,960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38,610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149,275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154,202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16,878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20,151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58,728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62,077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17,024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9,480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43,880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34,733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689,087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675,817</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2,695,966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2,591,846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332,290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359,453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1,353,879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1,439,089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79,227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71,487</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295,016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270,658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111,311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107,285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458,768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399,246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37,032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41,557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157,676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156,771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17,560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15,673</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59,809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65,751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22,864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16,004</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71,896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65,269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13,276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14,950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52,861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58,710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613,505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626,358</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2,449,805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2,455,443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14,620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21,122</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97,136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77,687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73,420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39,536</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210,533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139,258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6,412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8,744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28,851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14,947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928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(8,401)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(682)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4,478</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(1,081)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(5,840)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(6,524)</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(28,016)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(30,536)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(13,276)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(52,861)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75,582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49,459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246,161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136,403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6,969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7,912</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28,099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32,906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3,961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3,476</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13,204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2,400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9,173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2,577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4,583</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14,813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15,984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56,722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62,509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3,868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1,408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3,406</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5,632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6,349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6,530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24,746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31,052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1,399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14,855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7,905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13,362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12,975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55,523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50,801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2,104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2,431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8,753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2,188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573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(14)</w:t>
            </w:r>
          </w:p>
        </w:tc>
      </w:tr>
    </w:tbl>
    <w:p>
      <w:pPr>
        <w:sectPr>
          <w:pgSz w:w="11900" w:h="16851" w:orient="portrait"/>
          <w:cols w:equalWidth="0" w:num="1">
            <w:col w:w="11420"/>
          </w:cols>
          <w:pgMar w:left="240" w:top="544"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181</w:t>
            </w:r>
          </w:p>
        </w:tc>
        <w:tc>
          <w:tcPr>
            <w:tcW w:w="4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148</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723</w:t>
            </w:r>
          </w:p>
        </w:tc>
        <w:tc>
          <w:tcPr>
            <w:tcW w:w="4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7"/>
        </w:trPr>
        <w:tc>
          <w:tcPr>
            <w:tcW w:w="476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161</w:t>
            </w:r>
          </w:p>
        </w:tc>
        <w:tc>
          <w:tcPr>
            <w:tcW w:w="400" w:type="dxa"/>
            <w:vAlign w:val="bottom"/>
          </w:tcPr>
          <w:p>
            <w:pPr>
              <w:spacing w:after="0"/>
              <w:rPr>
                <w:sz w:val="24"/>
                <w:szCs w:val="24"/>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578</w:t>
            </w:r>
          </w:p>
        </w:tc>
        <w:tc>
          <w:tcPr>
            <w:tcW w:w="4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3"/>
        </w:trPr>
        <w:tc>
          <w:tcPr>
            <w:tcW w:w="4440" w:type="dxa"/>
            <w:vAlign w:val="bottom"/>
          </w:tcPr>
          <w:p>
            <w:pPr>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1,334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1,226</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5,334</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5,235</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444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4,491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4,591</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18,221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18,687</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0"/>
          </w:cols>
          <w:pgMar w:left="420" w:top="121" w:right="5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3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39"/>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184,429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190,431</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719,982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697,999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67,005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103,264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342,085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431,425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60,598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60,320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256,102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273,298</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35,472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27,027</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134,187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115,839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272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1,142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346,910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380,575</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1,451,015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1,516,776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167,080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167,817</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649,667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646,376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70,404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103,624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326,868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414,706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58,715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59,020</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237,006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261,791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27,727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21,514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105,579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88,281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5,358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6,934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27,844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24,995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3,868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81</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(2,447)</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332,290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359,453</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1,353,879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1,439,089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17,349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22,614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(23)</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70,315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51,623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(3,399)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15,217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1,883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19,096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11,507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7,745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5,513</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28,608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(5,086)</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(6,760)</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(26,702)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(24,701)</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(3,868)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(1,364)</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(9,362)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(5,162)</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(81)</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14,620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21,122</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97,136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77,687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25</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3,821</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15,755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14,892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1,975</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4,826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9,117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957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1,206</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5,286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925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3,096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3,041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(16)</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7,912</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28,099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(15)</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1,050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4,310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5,269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2,611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2,755</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291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519</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(28)</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2,104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2,431</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9,720</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7"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5"/>
          <w:szCs w:val="15"/>
          <w:color w:val="auto"/>
        </w:rPr>
        <w:t>a better understanding of how management plans and measures the Company’s underlying business.</w:t>
      </w:r>
    </w:p>
    <w:p>
      <w:pPr>
        <w:spacing w:after="0" w:line="167" w:lineRule="exact"/>
        <w:rPr>
          <w:sz w:val="20"/>
          <w:szCs w:val="20"/>
          <w:color w:val="auto"/>
        </w:rPr>
      </w:pPr>
    </w:p>
    <w:p>
      <w:pPr>
        <w:ind w:right="260"/>
        <w:spacing w:after="0" w:line="279" w:lineRule="auto"/>
        <w:rPr>
          <w:sz w:val="20"/>
          <w:szCs w:val="20"/>
          <w:color w:val="auto"/>
        </w:rPr>
      </w:pPr>
      <w:r>
        <w:rPr>
          <w:rFonts w:ascii="Arial" w:cs="Arial" w:eastAsia="Arial" w:hAnsi="Arial"/>
          <w:sz w:val="15"/>
          <w:szCs w:val="15"/>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reconciles the non-GAAP financial measures to the most directly comparable GAAP measures:</w:t>
      </w:r>
    </w:p>
    <w:p>
      <w:pPr>
        <w:spacing w:after="0" w:line="299"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399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w w:val="99"/>
              </w:rPr>
              <w:t>Income before</w:t>
            </w:r>
          </w:p>
        </w:tc>
        <w:tc>
          <w:tcPr>
            <w:tcW w:w="220" w:type="dxa"/>
            <w:vAlign w:val="bottom"/>
          </w:tcPr>
          <w:p>
            <w:pPr>
              <w:spacing w:after="0"/>
              <w:rPr>
                <w:sz w:val="15"/>
                <w:szCs w:val="15"/>
                <w:color w:val="auto"/>
              </w:rPr>
            </w:pPr>
          </w:p>
        </w:tc>
        <w:tc>
          <w:tcPr>
            <w:tcW w:w="90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Income</w:t>
            </w:r>
          </w:p>
        </w:tc>
        <w:tc>
          <w:tcPr>
            <w:tcW w:w="1000" w:type="dxa"/>
            <w:vAlign w:val="bottom"/>
            <w:gridSpan w:val="2"/>
            <w:vMerge w:val="restart"/>
          </w:tcPr>
          <w:p>
            <w:pPr>
              <w:jc w:val="right"/>
              <w:ind w:right="3"/>
              <w:spacing w:after="0"/>
              <w:rPr>
                <w:sz w:val="20"/>
                <w:szCs w:val="20"/>
                <w:color w:val="auto"/>
              </w:rPr>
            </w:pPr>
            <w:r>
              <w:rPr>
                <w:rFonts w:ascii="Arial" w:cs="Arial" w:eastAsia="Arial" w:hAnsi="Arial"/>
                <w:sz w:val="15"/>
                <w:szCs w:val="15"/>
                <w:b w:val="1"/>
                <w:bCs w:val="1"/>
                <w:color w:val="auto"/>
              </w:rPr>
              <w:t>Net Income</w:t>
            </w:r>
          </w:p>
        </w:tc>
        <w:tc>
          <w:tcPr>
            <w:tcW w:w="300" w:type="dxa"/>
            <w:vAlign w:val="bottom"/>
          </w:tcPr>
          <w:p>
            <w:pPr>
              <w:spacing w:after="0"/>
              <w:rPr>
                <w:sz w:val="15"/>
                <w:szCs w:val="15"/>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color w:val="auto"/>
              </w:rPr>
              <w:t>Income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restart"/>
          </w:tcPr>
          <w:p>
            <w:pPr>
              <w:jc w:val="center"/>
              <w:ind w:right="143"/>
              <w:spacing w:after="0" w:line="162" w:lineRule="exact"/>
              <w:rPr>
                <w:sz w:val="20"/>
                <w:szCs w:val="20"/>
                <w:color w:val="auto"/>
              </w:rPr>
            </w:pPr>
            <w:r>
              <w:rPr>
                <w:rFonts w:ascii="Arial" w:cs="Arial" w:eastAsia="Arial" w:hAnsi="Arial"/>
                <w:sz w:val="15"/>
                <w:szCs w:val="15"/>
                <w:color w:val="auto"/>
              </w:rPr>
              <w:t>before</w:t>
            </w:r>
          </w:p>
        </w:tc>
        <w:tc>
          <w:tcPr>
            <w:tcW w:w="1200" w:type="dxa"/>
            <w:vAlign w:val="bottom"/>
            <w:gridSpan w:val="2"/>
            <w:vMerge w:val="restart"/>
          </w:tcPr>
          <w:p>
            <w:pPr>
              <w:ind w:left="120"/>
              <w:spacing w:after="0" w:line="162" w:lineRule="exact"/>
              <w:rPr>
                <w:sz w:val="20"/>
                <w:szCs w:val="20"/>
                <w:color w:val="auto"/>
              </w:rPr>
            </w:pPr>
            <w:r>
              <w:rPr>
                <w:rFonts w:ascii="Arial" w:cs="Arial" w:eastAsia="Arial" w:hAnsi="Arial"/>
                <w:sz w:val="15"/>
                <w:szCs w:val="15"/>
                <w:color w:val="auto"/>
              </w:rPr>
              <w:t>Income Taxes</w:t>
            </w:r>
          </w:p>
        </w:tc>
        <w:tc>
          <w:tcPr>
            <w:tcW w:w="140" w:type="dxa"/>
            <w:vAlign w:val="bottom"/>
          </w:tcPr>
          <w:p>
            <w:pPr>
              <w:spacing w:after="0"/>
              <w:rPr>
                <w:sz w:val="5"/>
                <w:szCs w:val="5"/>
                <w:color w:val="auto"/>
              </w:rPr>
            </w:pPr>
          </w:p>
        </w:tc>
        <w:tc>
          <w:tcPr>
            <w:tcW w:w="1000" w:type="dxa"/>
            <w:vAlign w:val="bottom"/>
            <w:vMerge w:val="restart"/>
          </w:tcPr>
          <w:p>
            <w:pPr>
              <w:jc w:val="right"/>
              <w:ind w:right="103"/>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income taxes</w:t>
            </w:r>
          </w:p>
        </w:tc>
        <w:tc>
          <w:tcPr>
            <w:tcW w:w="220" w:type="dxa"/>
            <w:vAlign w:val="bottom"/>
          </w:tcPr>
          <w:p>
            <w:pPr>
              <w:spacing w:after="0"/>
              <w:rPr>
                <w:sz w:val="8"/>
                <w:szCs w:val="8"/>
                <w:color w:val="auto"/>
              </w:rPr>
            </w:pPr>
          </w:p>
        </w:tc>
        <w:tc>
          <w:tcPr>
            <w:tcW w:w="9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Taxes</w:t>
            </w:r>
          </w:p>
        </w:tc>
        <w:tc>
          <w:tcPr>
            <w:tcW w:w="10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2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gridSpan w:val="2"/>
            <w:vMerge w:val="restart"/>
          </w:tcPr>
          <w:p>
            <w:pPr>
              <w:jc w:val="center"/>
              <w:ind w:left="23"/>
              <w:spacing w:after="0"/>
              <w:rPr>
                <w:sz w:val="20"/>
                <w:szCs w:val="20"/>
                <w:color w:val="auto"/>
              </w:rPr>
            </w:pPr>
            <w:r>
              <w:rPr>
                <w:rFonts w:ascii="Arial" w:cs="Arial" w:eastAsia="Arial" w:hAnsi="Arial"/>
                <w:sz w:val="15"/>
                <w:szCs w:val="15"/>
                <w:color w:val="auto"/>
              </w:rPr>
              <w:t>income taxes</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4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4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Amounts attributable to Graham Holdings Company</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5"/>
                <w:szCs w:val="15"/>
                <w:b w:val="1"/>
                <w:bCs w:val="1"/>
                <w:color w:val="auto"/>
              </w:rPr>
              <w:t>Common Stockholders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69,138</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43"/>
              <w:spacing w:after="0"/>
              <w:rPr>
                <w:sz w:val="20"/>
                <w:szCs w:val="20"/>
                <w:color w:val="auto"/>
              </w:rPr>
            </w:pPr>
            <w:r>
              <w:rPr>
                <w:rFonts w:ascii="Arial" w:cs="Arial" w:eastAsia="Arial" w:hAnsi="Arial"/>
                <w:sz w:val="15"/>
                <w:szCs w:val="15"/>
                <w:b w:val="1"/>
                <w:bCs w:val="1"/>
                <w:color w:val="auto"/>
              </w:rPr>
              <w:t>12,400</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b w:val="1"/>
                <w:bCs w:val="1"/>
                <w:color w:val="auto"/>
              </w:rPr>
              <w:t>56,738</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54,860</w:t>
            </w:r>
          </w:p>
        </w:tc>
        <w:tc>
          <w:tcPr>
            <w:tcW w:w="280" w:type="dxa"/>
            <w:vAlign w:val="bottom"/>
          </w:tcPr>
          <w:p>
            <w:pPr>
              <w:ind w:left="10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3"/>
              <w:spacing w:after="0"/>
              <w:rPr>
                <w:sz w:val="20"/>
                <w:szCs w:val="20"/>
                <w:color w:val="auto"/>
              </w:rPr>
            </w:pPr>
            <w:r>
              <w:rPr>
                <w:rFonts w:ascii="Arial" w:cs="Arial" w:eastAsia="Arial" w:hAnsi="Arial"/>
                <w:sz w:val="15"/>
                <w:szCs w:val="15"/>
                <w:color w:val="auto"/>
              </w:rPr>
              <w:t>(159,700)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214,560</w:t>
            </w:r>
          </w:p>
        </w:tc>
        <w:tc>
          <w:tcPr>
            <w:tcW w:w="0" w:type="dxa"/>
            <w:vAlign w:val="bottom"/>
          </w:tcPr>
          <w:p>
            <w:pPr>
              <w:spacing w:after="0"/>
              <w:rPr>
                <w:sz w:val="1"/>
                <w:szCs w:val="1"/>
                <w:color w:val="auto"/>
              </w:rPr>
            </w:pPr>
          </w:p>
        </w:tc>
      </w:tr>
      <w:tr>
        <w:trPr>
          <w:trHeight w:val="274"/>
        </w:trPr>
        <w:tc>
          <w:tcPr>
            <w:tcW w:w="442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46"/>
        </w:trPr>
        <w:tc>
          <w:tcPr>
            <w:tcW w:w="442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b w:val="1"/>
                <w:bCs w:val="1"/>
                <w:color w:val="auto"/>
              </w:rPr>
              <w:t>56,685</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214,178</w:t>
            </w:r>
          </w:p>
        </w:tc>
        <w:tc>
          <w:tcPr>
            <w:tcW w:w="0" w:type="dxa"/>
            <w:vAlign w:val="bottom"/>
          </w:tcPr>
          <w:p>
            <w:pPr>
              <w:spacing w:after="0"/>
              <w:rPr>
                <w:sz w:val="1"/>
                <w:szCs w:val="1"/>
                <w:color w:val="auto"/>
              </w:rPr>
            </w:pPr>
          </w:p>
        </w:tc>
      </w:tr>
      <w:tr>
        <w:trPr>
          <w:trHeight w:val="270"/>
        </w:trPr>
        <w:tc>
          <w:tcPr>
            <w:tcW w:w="442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Restructuring and non-operating separation incentive</w:t>
            </w:r>
          </w:p>
        </w:tc>
        <w:tc>
          <w:tcPr>
            <w:tcW w:w="120" w:type="dxa"/>
            <w:vAlign w:val="bottom"/>
          </w:tcPr>
          <w:p>
            <w:pPr>
              <w:spacing w:after="0"/>
              <w:rPr>
                <w:sz w:val="16"/>
                <w:szCs w:val="16"/>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program charges</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7,181</w:t>
            </w:r>
          </w:p>
        </w:tc>
        <w:tc>
          <w:tcPr>
            <w:tcW w:w="280" w:type="dxa"/>
            <w:vAlign w:val="bottom"/>
          </w:tcPr>
          <w:p>
            <w:pPr>
              <w:spacing w:after="0"/>
              <w:rPr>
                <w:sz w:val="16"/>
                <w:szCs w:val="16"/>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2,657</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4,524</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20" w:type="dxa"/>
            <w:vAlign w:val="bottom"/>
          </w:tcPr>
          <w:p>
            <w:pPr>
              <w:spacing w:after="0"/>
              <w:rPr>
                <w:sz w:val="16"/>
                <w:szCs w:val="16"/>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(1,814)</w:t>
            </w:r>
          </w:p>
        </w:tc>
        <w:tc>
          <w:tcPr>
            <w:tcW w:w="220" w:type="dxa"/>
            <w:vAlign w:val="bottom"/>
          </w:tcPr>
          <w:p>
            <w:pPr>
              <w:spacing w:after="0"/>
              <w:rPr>
                <w:sz w:val="16"/>
                <w:szCs w:val="16"/>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(399)</w:t>
            </w: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(1,415)</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420"/>
              <w:spacing w:after="0" w:line="162" w:lineRule="exact"/>
              <w:rPr>
                <w:sz w:val="20"/>
                <w:szCs w:val="20"/>
                <w:color w:val="auto"/>
              </w:rPr>
            </w:pPr>
            <w:r>
              <w:rPr>
                <w:rFonts w:ascii="Arial" w:cs="Arial" w:eastAsia="Arial" w:hAnsi="Arial"/>
                <w:sz w:val="15"/>
                <w:szCs w:val="15"/>
                <w:color w:val="auto"/>
              </w:rPr>
              <w:t>and curtailment gain related to postretirement healthcare</w:t>
            </w:r>
          </w:p>
        </w:tc>
        <w:tc>
          <w:tcPr>
            <w:tcW w:w="120" w:type="dxa"/>
            <w:vAlign w:val="bottom"/>
          </w:tcPr>
          <w:p>
            <w:pPr>
              <w:spacing w:after="0"/>
              <w:rPr>
                <w:sz w:val="14"/>
                <w:szCs w:val="14"/>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(30,298)</w:t>
            </w:r>
          </w:p>
        </w:tc>
        <w:tc>
          <w:tcPr>
            <w:tcW w:w="220" w:type="dxa"/>
            <w:vAlign w:val="bottom"/>
          </w:tcPr>
          <w:p>
            <w:pPr>
              <w:spacing w:after="0"/>
              <w:rPr>
                <w:sz w:val="14"/>
                <w:szCs w:val="14"/>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(8,120)</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(22,178)</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benefit plan</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Net losses on marketable equity securities</w:t>
            </w:r>
          </w:p>
        </w:tc>
        <w:tc>
          <w:tcPr>
            <w:tcW w:w="120" w:type="dxa"/>
            <w:vAlign w:val="bottom"/>
          </w:tcPr>
          <w:p>
            <w:pPr>
              <w:spacing w:after="0"/>
              <w:rPr>
                <w:sz w:val="23"/>
                <w:szCs w:val="23"/>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44,148</w:t>
            </w:r>
          </w:p>
        </w:tc>
        <w:tc>
          <w:tcPr>
            <w:tcW w:w="220" w:type="dxa"/>
            <w:vAlign w:val="bottom"/>
          </w:tcPr>
          <w:p>
            <w:pPr>
              <w:spacing w:after="0"/>
              <w:rPr>
                <w:sz w:val="23"/>
                <w:szCs w:val="23"/>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b w:val="1"/>
                <w:bCs w:val="1"/>
                <w:color w:val="auto"/>
              </w:rPr>
              <w:t>10,596</w:t>
            </w:r>
          </w:p>
        </w:tc>
        <w:tc>
          <w:tcPr>
            <w:tcW w:w="2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b w:val="1"/>
                <w:bCs w:val="1"/>
                <w:color w:val="auto"/>
              </w:rPr>
              <w:t>33,552</w:t>
            </w:r>
          </w:p>
        </w:tc>
        <w:tc>
          <w:tcPr>
            <w:tcW w:w="30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Non-operating loss, net, from cost method investments and</w:t>
            </w:r>
          </w:p>
        </w:tc>
        <w:tc>
          <w:tcPr>
            <w:tcW w:w="120" w:type="dxa"/>
            <w:vAlign w:val="bottom"/>
          </w:tcPr>
          <w:p>
            <w:pPr>
              <w:spacing w:after="0"/>
              <w:rPr>
                <w:sz w:val="16"/>
                <w:szCs w:val="16"/>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10,333</w:t>
            </w:r>
          </w:p>
        </w:tc>
        <w:tc>
          <w:tcPr>
            <w:tcW w:w="220" w:type="dxa"/>
            <w:vAlign w:val="bottom"/>
          </w:tcPr>
          <w:p>
            <w:pPr>
              <w:spacing w:after="0"/>
              <w:rPr>
                <w:sz w:val="16"/>
                <w:szCs w:val="16"/>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2,669</w:t>
            </w:r>
          </w:p>
        </w:tc>
        <w:tc>
          <w:tcPr>
            <w:tcW w:w="240" w:type="dxa"/>
            <w:vAlign w:val="bottom"/>
          </w:tcPr>
          <w:p>
            <w:pPr>
              <w:spacing w:after="0"/>
              <w:rPr>
                <w:sz w:val="16"/>
                <w:szCs w:val="16"/>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7,664</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guarantor lease obligations</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Foreign currency loss</w:t>
            </w:r>
          </w:p>
        </w:tc>
        <w:tc>
          <w:tcPr>
            <w:tcW w:w="120" w:type="dxa"/>
            <w:vAlign w:val="bottom"/>
          </w:tcPr>
          <w:p>
            <w:pPr>
              <w:spacing w:after="0"/>
              <w:rPr>
                <w:sz w:val="23"/>
                <w:szCs w:val="23"/>
                <w:color w:val="auto"/>
              </w:rPr>
            </w:pPr>
          </w:p>
        </w:tc>
        <w:tc>
          <w:tcPr>
            <w:tcW w:w="1200" w:type="dxa"/>
            <w:vAlign w:val="bottom"/>
          </w:tcPr>
          <w:p>
            <w:pPr>
              <w:jc w:val="right"/>
              <w:ind w:right="83"/>
              <w:spacing w:after="0"/>
              <w:rPr>
                <w:sz w:val="20"/>
                <w:szCs w:val="20"/>
                <w:color w:val="auto"/>
              </w:rPr>
            </w:pPr>
            <w:r>
              <w:rPr>
                <w:rFonts w:ascii="Arial" w:cs="Arial" w:eastAsia="Arial" w:hAnsi="Arial"/>
                <w:sz w:val="15"/>
                <w:szCs w:val="15"/>
                <w:b w:val="1"/>
                <w:bCs w:val="1"/>
                <w:color w:val="auto"/>
              </w:rPr>
              <w:t>1,639</w:t>
            </w:r>
          </w:p>
        </w:tc>
        <w:tc>
          <w:tcPr>
            <w:tcW w:w="220" w:type="dxa"/>
            <w:vAlign w:val="bottom"/>
          </w:tcPr>
          <w:p>
            <w:pPr>
              <w:spacing w:after="0"/>
              <w:rPr>
                <w:sz w:val="23"/>
                <w:szCs w:val="23"/>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b w:val="1"/>
                <w:bCs w:val="1"/>
                <w:color w:val="auto"/>
              </w:rPr>
              <w:t>393</w:t>
            </w:r>
          </w:p>
        </w:tc>
        <w:tc>
          <w:tcPr>
            <w:tcW w:w="2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b w:val="1"/>
                <w:bCs w:val="1"/>
                <w:color w:val="auto"/>
              </w:rPr>
              <w:t>1,246</w:t>
            </w:r>
          </w:p>
        </w:tc>
        <w:tc>
          <w:tcPr>
            <w:tcW w:w="30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3,298</w:t>
            </w:r>
          </w:p>
        </w:tc>
        <w:tc>
          <w:tcPr>
            <w:tcW w:w="280" w:type="dxa"/>
            <w:vAlign w:val="bottom"/>
          </w:tcPr>
          <w:p>
            <w:pPr>
              <w:spacing w:after="0"/>
              <w:rPr>
                <w:sz w:val="23"/>
                <w:szCs w:val="23"/>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1,220</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2,078</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Net deferred tax benefits related to the enactment of the Tax</w:t>
            </w:r>
          </w:p>
        </w:tc>
        <w:tc>
          <w:tcPr>
            <w:tcW w:w="120" w:type="dxa"/>
            <w:vAlign w:val="bottom"/>
          </w:tcPr>
          <w:p>
            <w:pPr>
              <w:spacing w:after="0"/>
              <w:rPr>
                <w:sz w:val="16"/>
                <w:szCs w:val="16"/>
                <w:color w:val="auto"/>
              </w:rPr>
            </w:pPr>
          </w:p>
        </w:tc>
        <w:tc>
          <w:tcPr>
            <w:tcW w:w="12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9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420"/>
              <w:spacing w:after="0"/>
              <w:rPr>
                <w:sz w:val="20"/>
                <w:szCs w:val="20"/>
                <w:color w:val="auto"/>
              </w:rPr>
            </w:pPr>
            <w:r>
              <w:rPr>
                <w:rFonts w:ascii="Arial" w:cs="Arial" w:eastAsia="Arial" w:hAnsi="Arial"/>
                <w:sz w:val="15"/>
                <w:szCs w:val="15"/>
                <w:color w:val="auto"/>
              </w:rPr>
              <w:t>Cuts and Jobs Act</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177,532</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(177,532)</w:t>
            </w:r>
          </w:p>
        </w:tc>
        <w:tc>
          <w:tcPr>
            <w:tcW w:w="0" w:type="dxa"/>
            <w:vAlign w:val="bottom"/>
          </w:tcPr>
          <w:p>
            <w:pPr>
              <w:spacing w:after="0"/>
              <w:rPr>
                <w:sz w:val="1"/>
                <w:szCs w:val="1"/>
                <w:color w:val="auto"/>
              </w:rPr>
            </w:pPr>
          </w:p>
        </w:tc>
      </w:tr>
      <w:tr>
        <w:trPr>
          <w:trHeight w:val="248"/>
        </w:trPr>
        <w:tc>
          <w:tcPr>
            <w:tcW w:w="4420" w:type="dxa"/>
            <w:vAlign w:val="bottom"/>
          </w:tcPr>
          <w:p>
            <w:pPr>
              <w:ind w:left="20"/>
              <w:spacing w:after="0"/>
              <w:rPr>
                <w:sz w:val="20"/>
                <w:szCs w:val="20"/>
                <w:color w:val="auto"/>
              </w:rPr>
            </w:pPr>
            <w:r>
              <w:rPr>
                <w:rFonts w:ascii="Arial" w:cs="Arial" w:eastAsia="Arial" w:hAnsi="Arial"/>
                <w:sz w:val="15"/>
                <w:szCs w:val="15"/>
                <w:color w:val="auto"/>
              </w:rPr>
              <w:t>Net Income, adjusted (non-GAAP)</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75,554</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43,248</w:t>
            </w:r>
          </w:p>
        </w:tc>
        <w:tc>
          <w:tcPr>
            <w:tcW w:w="0" w:type="dxa"/>
            <w:vAlign w:val="bottom"/>
          </w:tcPr>
          <w:p>
            <w:pPr>
              <w:spacing w:after="0"/>
              <w:rPr>
                <w:sz w:val="1"/>
                <w:szCs w:val="1"/>
                <w:color w:val="auto"/>
              </w:rPr>
            </w:pPr>
          </w:p>
        </w:tc>
      </w:tr>
      <w:tr>
        <w:trPr>
          <w:trHeight w:val="411"/>
        </w:trPr>
        <w:tc>
          <w:tcPr>
            <w:tcW w:w="442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rPr>
                <w:sz w:val="20"/>
                <w:szCs w:val="20"/>
                <w:color w:val="auto"/>
              </w:rPr>
            </w:pPr>
            <w:r>
              <w:rPr>
                <w:rFonts w:ascii="Arial" w:cs="Arial" w:eastAsia="Arial" w:hAnsi="Arial"/>
                <w:sz w:val="15"/>
                <w:szCs w:val="15"/>
                <w:b w:val="1"/>
                <w:bCs w:val="1"/>
                <w:color w:val="auto"/>
              </w:rPr>
              <w:t>Company Common Stockholders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42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10.61</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38.52</w:t>
            </w:r>
          </w:p>
        </w:tc>
        <w:tc>
          <w:tcPr>
            <w:tcW w:w="0" w:type="dxa"/>
            <w:vAlign w:val="bottom"/>
          </w:tcPr>
          <w:p>
            <w:pPr>
              <w:spacing w:after="0"/>
              <w:rPr>
                <w:sz w:val="1"/>
                <w:szCs w:val="1"/>
                <w:color w:val="auto"/>
              </w:rPr>
            </w:pPr>
          </w:p>
        </w:tc>
      </w:tr>
      <w:tr>
        <w:trPr>
          <w:trHeight w:val="249"/>
        </w:trPr>
        <w:tc>
          <w:tcPr>
            <w:tcW w:w="442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Restructuring and non-operating separation incentive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program charges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0.81</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(0.26)</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420"/>
              <w:spacing w:after="0" w:line="162" w:lineRule="exact"/>
              <w:rPr>
                <w:sz w:val="20"/>
                <w:szCs w:val="20"/>
                <w:color w:val="auto"/>
              </w:rPr>
            </w:pPr>
            <w:r>
              <w:rPr>
                <w:rFonts w:ascii="Arial" w:cs="Arial" w:eastAsia="Arial" w:hAnsi="Arial"/>
                <w:sz w:val="15"/>
                <w:szCs w:val="15"/>
                <w:color w:val="auto"/>
              </w:rPr>
              <w:t>and curtailment gain related to postretirement healthcare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(4.11)</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benefit plan</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Net losses on marketable equity securities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b w:val="1"/>
                <w:bCs w:val="1"/>
                <w:color w:val="auto"/>
              </w:rPr>
              <w:t>6.28</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Non-operating loss, net, from cost method investments and</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1.43</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20" w:type="dxa"/>
            <w:vAlign w:val="bottom"/>
          </w:tcPr>
          <w:p>
            <w:pPr>
              <w:ind w:left="420"/>
              <w:spacing w:after="0"/>
              <w:rPr>
                <w:sz w:val="20"/>
                <w:szCs w:val="20"/>
                <w:color w:val="auto"/>
              </w:rPr>
            </w:pPr>
            <w:r>
              <w:rPr>
                <w:rFonts w:ascii="Arial" w:cs="Arial" w:eastAsia="Arial" w:hAnsi="Arial"/>
                <w:sz w:val="15"/>
                <w:szCs w:val="15"/>
                <w:color w:val="auto"/>
              </w:rPr>
              <w:t>guarantor lease obligations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60"/>
              <w:spacing w:after="0"/>
              <w:rPr>
                <w:sz w:val="20"/>
                <w:szCs w:val="20"/>
                <w:color w:val="auto"/>
              </w:rPr>
            </w:pPr>
            <w:r>
              <w:rPr>
                <w:rFonts w:ascii="Arial" w:cs="Arial" w:eastAsia="Arial" w:hAnsi="Arial"/>
                <w:sz w:val="15"/>
                <w:szCs w:val="15"/>
                <w:color w:val="auto"/>
              </w:rPr>
              <w:t>Foreign currency loss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b w:val="1"/>
                <w:bCs w:val="1"/>
                <w:color w:val="auto"/>
              </w:rPr>
              <w:t>0.23</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0.37</w:t>
            </w:r>
          </w:p>
        </w:tc>
        <w:tc>
          <w:tcPr>
            <w:tcW w:w="0" w:type="dxa"/>
            <w:vAlign w:val="bottom"/>
          </w:tcPr>
          <w:p>
            <w:pPr>
              <w:spacing w:after="0"/>
              <w:rPr>
                <w:sz w:val="1"/>
                <w:szCs w:val="1"/>
                <w:color w:val="auto"/>
              </w:rPr>
            </w:pPr>
          </w:p>
        </w:tc>
      </w:tr>
      <w:tr>
        <w:trPr>
          <w:trHeight w:val="194"/>
        </w:trPr>
        <w:tc>
          <w:tcPr>
            <w:tcW w:w="4420" w:type="dxa"/>
            <w:vAlign w:val="bottom"/>
          </w:tcPr>
          <w:p>
            <w:pPr>
              <w:ind w:left="260"/>
              <w:spacing w:after="0"/>
              <w:rPr>
                <w:sz w:val="20"/>
                <w:szCs w:val="20"/>
                <w:color w:val="auto"/>
              </w:rPr>
            </w:pPr>
            <w:r>
              <w:rPr>
                <w:rFonts w:ascii="Arial" w:cs="Arial" w:eastAsia="Arial" w:hAnsi="Arial"/>
                <w:sz w:val="15"/>
                <w:szCs w:val="15"/>
                <w:color w:val="auto"/>
              </w:rPr>
              <w:t>Net deferred tax benefits related to the enactment of the Tax</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420"/>
              <w:spacing w:after="0"/>
              <w:rPr>
                <w:sz w:val="20"/>
                <w:szCs w:val="20"/>
                <w:color w:val="auto"/>
              </w:rPr>
            </w:pPr>
            <w:r>
              <w:rPr>
                <w:rFonts w:ascii="Arial" w:cs="Arial" w:eastAsia="Arial" w:hAnsi="Arial"/>
                <w:sz w:val="15"/>
                <w:szCs w:val="15"/>
                <w:color w:val="auto"/>
              </w:rPr>
              <w:t>Cuts and Jobs Act</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(31.93)</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Arial" w:cs="Arial" w:eastAsia="Arial" w:hAnsi="Arial"/>
                <w:sz w:val="15"/>
                <w:szCs w:val="15"/>
                <w:color w:val="auto"/>
              </w:rPr>
              <w:t>Diluted income per common share, adjusted (non-GAAP)</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14.18</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7.77</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598" w:right="259" w:bottom="1440" w:gutter="0" w:footer="0" w:header="0"/>
        </w:sectPr>
      </w:pPr>
    </w:p>
    <w:bookmarkStart w:id="16" w:name="page17"/>
    <w:bookmarkEnd w:id="16"/>
    <w:p>
      <w:pPr>
        <w:ind w:left="6640"/>
        <w:spacing w:after="0"/>
        <w:rPr>
          <w:sz w:val="20"/>
          <w:szCs w:val="20"/>
          <w:color w:val="auto"/>
        </w:rPr>
      </w:pPr>
      <w:r>
        <w:rPr>
          <w:rFonts w:ascii="Arial" w:cs="Arial" w:eastAsia="Arial" w:hAnsi="Arial"/>
          <w:sz w:val="16"/>
          <w:szCs w:val="16"/>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4253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163"/>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6"/>
                <w:szCs w:val="16"/>
                <w:color w:val="auto"/>
              </w:rPr>
            </w:pPr>
          </w:p>
        </w:tc>
        <w:tc>
          <w:tcPr>
            <w:tcW w:w="86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Income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ind w:right="123"/>
              <w:spacing w:after="0"/>
              <w:rPr>
                <w:sz w:val="20"/>
                <w:szCs w:val="20"/>
                <w:color w:val="auto"/>
              </w:rPr>
            </w:pPr>
            <w:r>
              <w:rPr>
                <w:rFonts w:ascii="Arial" w:cs="Arial" w:eastAsia="Arial" w:hAnsi="Arial"/>
                <w:sz w:val="15"/>
                <w:szCs w:val="15"/>
                <w:color w:val="auto"/>
              </w:rPr>
              <w:t>Income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4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restart"/>
          </w:tcPr>
          <w:p>
            <w:pPr>
              <w:jc w:val="center"/>
              <w:ind w:right="103"/>
              <w:spacing w:after="0" w:line="144" w:lineRule="exact"/>
              <w:rPr>
                <w:sz w:val="20"/>
                <w:szCs w:val="20"/>
                <w:color w:val="auto"/>
              </w:rPr>
            </w:pPr>
            <w:r>
              <w:rPr>
                <w:rFonts w:ascii="Arial" w:cs="Arial" w:eastAsia="Arial" w:hAnsi="Arial"/>
                <w:sz w:val="15"/>
                <w:szCs w:val="15"/>
                <w:color w:val="auto"/>
              </w:rPr>
              <w:t>before</w:t>
            </w: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restart"/>
          </w:tcPr>
          <w:p>
            <w:pPr>
              <w:jc w:val="center"/>
              <w:ind w:right="163"/>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right"/>
              <w:ind w:right="83"/>
              <w:spacing w:after="0" w:line="162" w:lineRule="exact"/>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0" w:type="dxa"/>
            <w:vAlign w:val="bottom"/>
            <w:gridSpan w:val="2"/>
            <w:vMerge w:val="restart"/>
          </w:tcPr>
          <w:p>
            <w:pPr>
              <w:ind w:left="120"/>
              <w:spacing w:after="0" w:line="162" w:lineRule="exact"/>
              <w:rPr>
                <w:sz w:val="20"/>
                <w:szCs w:val="20"/>
                <w:color w:val="auto"/>
              </w:rPr>
            </w:pPr>
            <w:r>
              <w:rPr>
                <w:rFonts w:ascii="Arial" w:cs="Arial" w:eastAsia="Arial" w:hAnsi="Arial"/>
                <w:sz w:val="15"/>
                <w:szCs w:val="15"/>
                <w:color w:val="auto"/>
              </w:rPr>
              <w:t>Income Taxes</w:t>
            </w:r>
          </w:p>
        </w:tc>
        <w:tc>
          <w:tcPr>
            <w:tcW w:w="140" w:type="dxa"/>
            <w:vAlign w:val="bottom"/>
          </w:tcPr>
          <w:p>
            <w:pPr>
              <w:spacing w:after="0"/>
              <w:rPr>
                <w:sz w:val="7"/>
                <w:szCs w:val="7"/>
                <w:color w:val="auto"/>
              </w:rPr>
            </w:pPr>
          </w:p>
        </w:tc>
        <w:tc>
          <w:tcPr>
            <w:tcW w:w="1000" w:type="dxa"/>
            <w:vAlign w:val="bottom"/>
            <w:vMerge w:val="restart"/>
          </w:tcPr>
          <w:p>
            <w:pPr>
              <w:jc w:val="right"/>
              <w:ind w:right="103"/>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1"/>
        </w:trPr>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Taxes</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vMerge w:val="restart"/>
          </w:tcPr>
          <w:p>
            <w:pPr>
              <w:jc w:val="center"/>
              <w:ind w:right="103"/>
              <w:spacing w:after="0"/>
              <w:rPr>
                <w:sz w:val="20"/>
                <w:szCs w:val="20"/>
                <w:color w:val="auto"/>
              </w:rPr>
            </w:pPr>
            <w:r>
              <w:rPr>
                <w:rFonts w:ascii="Arial" w:cs="Arial" w:eastAsia="Arial" w:hAnsi="Arial"/>
                <w:sz w:val="15"/>
                <w:szCs w:val="15"/>
                <w:color w:val="auto"/>
                <w:w w:val="99"/>
              </w:rPr>
              <w:t>income</w:t>
            </w: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income taxes</w:t>
            </w: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6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restart"/>
          </w:tcPr>
          <w:p>
            <w:pPr>
              <w:jc w:val="center"/>
              <w:ind w:right="103"/>
              <w:spacing w:after="0"/>
              <w:rPr>
                <w:sz w:val="20"/>
                <w:szCs w:val="20"/>
                <w:color w:val="auto"/>
              </w:rPr>
            </w:pPr>
            <w:r>
              <w:rPr>
                <w:rFonts w:ascii="Arial" w:cs="Arial" w:eastAsia="Arial" w:hAnsi="Arial"/>
                <w:sz w:val="15"/>
                <w:szCs w:val="15"/>
                <w:color w:val="auto"/>
              </w:rPr>
              <w:t>taxes</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6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6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323,508</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auto"/>
              </w:rPr>
              <w:t>52,100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271,408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182,789</w:t>
            </w:r>
          </w:p>
        </w:tc>
        <w:tc>
          <w:tcPr>
            <w:tcW w:w="280" w:type="dxa"/>
            <w:vAlign w:val="bottom"/>
          </w:tcPr>
          <w:p>
            <w:pPr>
              <w:ind w:left="10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(119,700)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302,489</w:t>
            </w:r>
          </w:p>
        </w:tc>
        <w:tc>
          <w:tcPr>
            <w:tcW w:w="0" w:type="dxa"/>
            <w:vAlign w:val="bottom"/>
          </w:tcPr>
          <w:p>
            <w:pPr>
              <w:spacing w:after="0"/>
              <w:rPr>
                <w:sz w:val="1"/>
                <w:szCs w:val="1"/>
                <w:color w:val="auto"/>
              </w:rPr>
            </w:pPr>
          </w:p>
        </w:tc>
      </w:tr>
      <w:tr>
        <w:trPr>
          <w:trHeight w:val="274"/>
        </w:trPr>
        <w:tc>
          <w:tcPr>
            <w:tcW w:w="466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246"/>
        </w:trPr>
        <w:tc>
          <w:tcPr>
            <w:tcW w:w="466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271,206</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302,044</w:t>
            </w:r>
          </w:p>
        </w:tc>
        <w:tc>
          <w:tcPr>
            <w:tcW w:w="0" w:type="dxa"/>
            <w:vAlign w:val="bottom"/>
          </w:tcPr>
          <w:p>
            <w:pPr>
              <w:spacing w:after="0"/>
              <w:rPr>
                <w:sz w:val="1"/>
                <w:szCs w:val="1"/>
                <w:color w:val="auto"/>
              </w:rPr>
            </w:pPr>
          </w:p>
        </w:tc>
      </w:tr>
      <w:tr>
        <w:trPr>
          <w:trHeight w:val="270"/>
        </w:trPr>
        <w:tc>
          <w:tcPr>
            <w:tcW w:w="46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Restructuring and non-operating separation incentive program</w:t>
            </w:r>
          </w:p>
        </w:tc>
        <w:tc>
          <w:tcPr>
            <w:tcW w:w="180" w:type="dxa"/>
            <w:vAlign w:val="bottom"/>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charges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9,958</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3,684</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6,274</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Goodwill and other long-lived asset impairment charges</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7,909</w:t>
            </w:r>
          </w:p>
        </w:tc>
        <w:tc>
          <w:tcPr>
            <w:tcW w:w="220" w:type="dxa"/>
            <w:vAlign w:val="bottom"/>
          </w:tcPr>
          <w:p>
            <w:pPr>
              <w:spacing w:after="0"/>
              <w:rPr>
                <w:sz w:val="23"/>
                <w:szCs w:val="23"/>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auto"/>
              </w:rPr>
              <w:t>2,099</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5,810</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9,224</w:t>
            </w:r>
          </w:p>
        </w:tc>
        <w:tc>
          <w:tcPr>
            <w:tcW w:w="28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3,413</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5,811</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80" w:type="dxa"/>
            <w:vAlign w:val="bottom"/>
          </w:tcPr>
          <w:p>
            <w:pPr>
              <w:spacing w:after="0"/>
              <w:rPr>
                <w:sz w:val="16"/>
                <w:szCs w:val="16"/>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(3,881)</w:t>
            </w:r>
          </w:p>
        </w:tc>
        <w:tc>
          <w:tcPr>
            <w:tcW w:w="220" w:type="dxa"/>
            <w:vAlign w:val="bottom"/>
          </w:tcPr>
          <w:p>
            <w:pPr>
              <w:spacing w:after="0"/>
              <w:rPr>
                <w:sz w:val="16"/>
                <w:szCs w:val="16"/>
                <w:color w:val="auto"/>
              </w:rPr>
            </w:pPr>
          </w:p>
        </w:tc>
        <w:tc>
          <w:tcPr>
            <w:tcW w:w="8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(854)</w:t>
            </w: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(3,027)</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Interest expense related to the settlement of a mandatorily</w:t>
            </w:r>
          </w:p>
        </w:tc>
        <w:tc>
          <w:tcPr>
            <w:tcW w:w="180" w:type="dxa"/>
            <w:vAlign w:val="bottom"/>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6,169</w:t>
            </w:r>
          </w:p>
        </w:tc>
        <w:tc>
          <w:tcPr>
            <w:tcW w:w="220" w:type="dxa"/>
            <w:vAlign w:val="bottom"/>
          </w:tcPr>
          <w:p>
            <w:pPr>
              <w:spacing w:after="0"/>
              <w:rPr>
                <w:sz w:val="16"/>
                <w:szCs w:val="16"/>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6,169</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redeemable noncontrolling interest</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Debt extinguishment costs</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11,378</w:t>
            </w:r>
          </w:p>
        </w:tc>
        <w:tc>
          <w:tcPr>
            <w:tcW w:w="220" w:type="dxa"/>
            <w:vAlign w:val="bottom"/>
          </w:tcPr>
          <w:p>
            <w:pPr>
              <w:spacing w:after="0"/>
              <w:rPr>
                <w:sz w:val="23"/>
                <w:szCs w:val="23"/>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auto"/>
              </w:rPr>
              <w:t>2,731</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8,647</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 and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curtailment gain related to postretirement healthcare benefit</w:t>
            </w:r>
          </w:p>
        </w:tc>
        <w:tc>
          <w:tcPr>
            <w:tcW w:w="180" w:type="dxa"/>
            <w:vAlign w:val="bottom"/>
          </w:tcPr>
          <w:p>
            <w:pPr>
              <w:spacing w:after="0"/>
              <w:rPr>
                <w:sz w:val="14"/>
                <w:szCs w:val="14"/>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(30,298)</w:t>
            </w:r>
          </w:p>
        </w:tc>
        <w:tc>
          <w:tcPr>
            <w:tcW w:w="220" w:type="dxa"/>
            <w:vAlign w:val="bottom"/>
          </w:tcPr>
          <w:p>
            <w:pPr>
              <w:spacing w:after="0"/>
              <w:rPr>
                <w:sz w:val="14"/>
                <w:szCs w:val="14"/>
                <w:color w:val="auto"/>
              </w:rPr>
            </w:pPr>
          </w:p>
        </w:tc>
        <w:tc>
          <w:tcPr>
            <w:tcW w:w="8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(8,120)</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(22,178)</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plan</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Net losses on marketable equity securities</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15,843</w:t>
            </w:r>
          </w:p>
        </w:tc>
        <w:tc>
          <w:tcPr>
            <w:tcW w:w="220" w:type="dxa"/>
            <w:vAlign w:val="bottom"/>
          </w:tcPr>
          <w:p>
            <w:pPr>
              <w:spacing w:after="0"/>
              <w:rPr>
                <w:sz w:val="23"/>
                <w:szCs w:val="23"/>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auto"/>
              </w:rPr>
              <w:t>3,236</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12,607</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Non-operating gain, net, from cost and equity method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investments and related to sales of land and businesses,</w:t>
            </w:r>
          </w:p>
        </w:tc>
        <w:tc>
          <w:tcPr>
            <w:tcW w:w="180" w:type="dxa"/>
            <w:vAlign w:val="bottom"/>
          </w:tcPr>
          <w:p>
            <w:pPr>
              <w:spacing w:after="0"/>
              <w:rPr>
                <w:sz w:val="14"/>
                <w:szCs w:val="14"/>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(6,705)</w:t>
            </w:r>
          </w:p>
        </w:tc>
        <w:tc>
          <w:tcPr>
            <w:tcW w:w="220" w:type="dxa"/>
            <w:vAlign w:val="bottom"/>
          </w:tcPr>
          <w:p>
            <w:pPr>
              <w:spacing w:after="0"/>
              <w:rPr>
                <w:sz w:val="14"/>
                <w:szCs w:val="14"/>
                <w:color w:val="auto"/>
              </w:rPr>
            </w:pPr>
          </w:p>
        </w:tc>
        <w:tc>
          <w:tcPr>
            <w:tcW w:w="8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(995)</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(5,710)</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including guarantor lease obligations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Gain on Kaplan University Transaction</w:t>
            </w:r>
          </w:p>
        </w:tc>
        <w:tc>
          <w:tcPr>
            <w:tcW w:w="18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(4,315)</w:t>
            </w:r>
          </w:p>
        </w:tc>
        <w:tc>
          <w:tcPr>
            <w:tcW w:w="220" w:type="dxa"/>
            <w:vAlign w:val="bottom"/>
          </w:tcPr>
          <w:p>
            <w:pPr>
              <w:spacing w:after="0"/>
              <w:rPr>
                <w:sz w:val="23"/>
                <w:szCs w:val="23"/>
                <w:color w:val="auto"/>
              </w:rPr>
            </w:pPr>
          </w:p>
        </w:tc>
        <w:tc>
          <w:tcPr>
            <w:tcW w:w="860" w:type="dxa"/>
            <w:vAlign w:val="bottom"/>
          </w:tcPr>
          <w:p>
            <w:pPr>
              <w:jc w:val="right"/>
              <w:ind w:right="84"/>
              <w:spacing w:after="0"/>
              <w:rPr>
                <w:sz w:val="20"/>
                <w:szCs w:val="20"/>
                <w:color w:val="auto"/>
              </w:rPr>
            </w:pPr>
            <w:r>
              <w:rPr>
                <w:rFonts w:ascii="Arial" w:cs="Arial" w:eastAsia="Arial" w:hAnsi="Arial"/>
                <w:sz w:val="15"/>
                <w:szCs w:val="15"/>
                <w:b w:val="1"/>
                <w:bCs w:val="1"/>
                <w:color w:val="auto"/>
              </w:rPr>
              <w:t>(2,472)</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(1,843)</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Foreign currency loss (gain)</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3,844</w:t>
            </w:r>
          </w:p>
        </w:tc>
        <w:tc>
          <w:tcPr>
            <w:tcW w:w="220" w:type="dxa"/>
            <w:vAlign w:val="bottom"/>
          </w:tcPr>
          <w:p>
            <w:pPr>
              <w:spacing w:after="0"/>
              <w:rPr>
                <w:sz w:val="23"/>
                <w:szCs w:val="23"/>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auto"/>
              </w:rPr>
              <w:t>923</w:t>
            </w: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2,921</w:t>
            </w:r>
          </w:p>
        </w:tc>
        <w:tc>
          <w:tcPr>
            <w:tcW w:w="26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(3,310)</w:t>
            </w:r>
          </w:p>
        </w:tc>
        <w:tc>
          <w:tcPr>
            <w:tcW w:w="28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(1,225)</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(2,085)</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Nonrecurring deferred state tax benefit related to the release of</w:t>
            </w:r>
          </w:p>
        </w:tc>
        <w:tc>
          <w:tcPr>
            <w:tcW w:w="180" w:type="dxa"/>
            <w:vAlign w:val="bottom"/>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17,783</w:t>
            </w: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(17,783)</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valuation allowances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Net deferred tax benefits related to the enactment of the Tax</w:t>
            </w:r>
          </w:p>
        </w:tc>
        <w:tc>
          <w:tcPr>
            <w:tcW w:w="180" w:type="dxa"/>
            <w:vAlign w:val="bottom"/>
          </w:tcPr>
          <w:p>
            <w:pPr>
              <w:spacing w:after="0"/>
              <w:rPr>
                <w:sz w:val="16"/>
                <w:szCs w:val="16"/>
                <w:color w:val="auto"/>
              </w:rPr>
            </w:pPr>
          </w:p>
        </w:tc>
        <w:tc>
          <w:tcPr>
            <w:tcW w:w="9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Cuts and Jobs Act</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177,532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(177,532)</w:t>
            </w:r>
          </w:p>
        </w:tc>
        <w:tc>
          <w:tcPr>
            <w:tcW w:w="0" w:type="dxa"/>
            <w:vAlign w:val="bottom"/>
          </w:tcPr>
          <w:p>
            <w:pPr>
              <w:spacing w:after="0"/>
              <w:rPr>
                <w:sz w:val="1"/>
                <w:szCs w:val="1"/>
                <w:color w:val="auto"/>
              </w:rPr>
            </w:pPr>
          </w:p>
        </w:tc>
      </w:tr>
      <w:tr>
        <w:trPr>
          <w:trHeight w:val="274"/>
        </w:trPr>
        <w:tc>
          <w:tcPr>
            <w:tcW w:w="4660" w:type="dxa"/>
            <w:vAlign w:val="bottom"/>
          </w:tcPr>
          <w:p>
            <w:pPr>
              <w:ind w:left="260"/>
              <w:spacing w:after="0"/>
              <w:rPr>
                <w:sz w:val="20"/>
                <w:szCs w:val="20"/>
                <w:color w:val="auto"/>
              </w:rPr>
            </w:pPr>
            <w:r>
              <w:rPr>
                <w:rFonts w:ascii="Arial" w:cs="Arial" w:eastAsia="Arial" w:hAnsi="Arial"/>
                <w:sz w:val="15"/>
                <w:szCs w:val="15"/>
                <w:color w:val="auto"/>
              </w:rPr>
              <w:t>Tax benefit related to stock compensation</w:t>
            </w:r>
          </w:p>
        </w:tc>
        <w:tc>
          <w:tcPr>
            <w:tcW w:w="18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auto"/>
              </w:rPr>
              <w:t>1,810</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(1,810)</w:t>
            </w:r>
          </w:p>
        </w:tc>
        <w:tc>
          <w:tcPr>
            <w:tcW w:w="26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20" w:type="dxa"/>
            <w:vAlign w:val="bottom"/>
          </w:tcPr>
          <w:p>
            <w:pPr>
              <w:jc w:val="right"/>
              <w:ind w:right="144"/>
              <w:spacing w:after="0"/>
              <w:rPr>
                <w:sz w:val="20"/>
                <w:szCs w:val="20"/>
                <w:color w:val="auto"/>
              </w:rPr>
            </w:pPr>
            <w:r>
              <w:rPr>
                <w:rFonts w:ascii="Arial" w:cs="Arial" w:eastAsia="Arial" w:hAnsi="Arial"/>
                <w:sz w:val="15"/>
                <w:szCs w:val="15"/>
                <w:color w:val="auto"/>
              </w:rPr>
              <w:t>5,933</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(5,933)</w:t>
            </w:r>
          </w:p>
        </w:tc>
        <w:tc>
          <w:tcPr>
            <w:tcW w:w="0" w:type="dxa"/>
            <w:vAlign w:val="bottom"/>
          </w:tcPr>
          <w:p>
            <w:pPr>
              <w:spacing w:after="0"/>
              <w:rPr>
                <w:sz w:val="1"/>
                <w:szCs w:val="1"/>
                <w:color w:val="auto"/>
              </w:rPr>
            </w:pPr>
          </w:p>
        </w:tc>
      </w:tr>
      <w:tr>
        <w:trPr>
          <w:trHeight w:val="248"/>
        </w:trPr>
        <w:tc>
          <w:tcPr>
            <w:tcW w:w="4660" w:type="dxa"/>
            <w:vAlign w:val="bottom"/>
          </w:tcPr>
          <w:p>
            <w:pPr>
              <w:ind w:left="20"/>
              <w:spacing w:after="0"/>
              <w:rPr>
                <w:sz w:val="20"/>
                <w:szCs w:val="20"/>
                <w:color w:val="auto"/>
              </w:rPr>
            </w:pPr>
            <w:r>
              <w:rPr>
                <w:rFonts w:ascii="Arial" w:cs="Arial" w:eastAsia="Arial" w:hAnsi="Arial"/>
                <w:sz w:val="15"/>
                <w:szCs w:val="15"/>
                <w:color w:val="auto"/>
              </w:rPr>
              <w:t>Net Income, adjusted (non-GAAP)</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255,009</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128,579</w:t>
            </w:r>
          </w:p>
        </w:tc>
        <w:tc>
          <w:tcPr>
            <w:tcW w:w="0" w:type="dxa"/>
            <w:vAlign w:val="bottom"/>
          </w:tcPr>
          <w:p>
            <w:pPr>
              <w:spacing w:after="0"/>
              <w:rPr>
                <w:sz w:val="1"/>
                <w:szCs w:val="1"/>
                <w:color w:val="auto"/>
              </w:rPr>
            </w:pPr>
          </w:p>
        </w:tc>
      </w:tr>
      <w:tr>
        <w:trPr>
          <w:trHeight w:val="411"/>
        </w:trPr>
        <w:tc>
          <w:tcPr>
            <w:tcW w:w="466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180"/>
              <w:spacing w:after="0"/>
              <w:rPr>
                <w:sz w:val="20"/>
                <w:szCs w:val="20"/>
                <w:color w:val="auto"/>
              </w:rPr>
            </w:pPr>
            <w:r>
              <w:rPr>
                <w:rFonts w:ascii="Arial" w:cs="Arial" w:eastAsia="Arial" w:hAnsi="Arial"/>
                <w:sz w:val="15"/>
                <w:szCs w:val="15"/>
                <w:b w:val="1"/>
                <w:bCs w:val="1"/>
                <w:color w:val="auto"/>
              </w:rPr>
              <w:t>Company Common Stockholders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66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50.20</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53.89</w:t>
            </w:r>
          </w:p>
        </w:tc>
        <w:tc>
          <w:tcPr>
            <w:tcW w:w="0" w:type="dxa"/>
            <w:vAlign w:val="bottom"/>
          </w:tcPr>
          <w:p>
            <w:pPr>
              <w:spacing w:after="0"/>
              <w:rPr>
                <w:sz w:val="1"/>
                <w:szCs w:val="1"/>
                <w:color w:val="auto"/>
              </w:rPr>
            </w:pPr>
          </w:p>
        </w:tc>
      </w:tr>
      <w:tr>
        <w:trPr>
          <w:trHeight w:val="249"/>
        </w:trPr>
        <w:tc>
          <w:tcPr>
            <w:tcW w:w="46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Restructuring and non-operating separation incentive program</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charges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Goodwill and other long-lived asset impairment charges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1.08</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Reduction to operating expenses in connection with the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(0.55)</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broadcast spectrum repacking</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Interest expense related to the settlement of a mandatorily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1.14</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redeemable noncontrolling interest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Debt extinguishment costs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1.60</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Settlement gain related to bulk lump sum pension offering and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curtailment gain related to postretirement healthcare benefit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(4.11)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plan</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Net losses on marketable equity securities</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2.33</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Non-operating gain, net, from cost and equity method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420"/>
              <w:spacing w:after="0" w:line="162" w:lineRule="exact"/>
              <w:rPr>
                <w:sz w:val="20"/>
                <w:szCs w:val="20"/>
                <w:color w:val="auto"/>
              </w:rPr>
            </w:pPr>
            <w:r>
              <w:rPr>
                <w:rFonts w:ascii="Arial" w:cs="Arial" w:eastAsia="Arial" w:hAnsi="Arial"/>
                <w:sz w:val="15"/>
                <w:szCs w:val="15"/>
                <w:color w:val="auto"/>
              </w:rPr>
              <w:t>investments and related to sales of land and businesses,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including guarantor lease obligations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Gain on Kaplan University Transaction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(0.33)</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5"/>
                <w:szCs w:val="15"/>
                <w:color w:val="auto"/>
              </w:rPr>
              <w:t>Foreign currency loss (gain)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0.54</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(0.37)</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Nonrecurring deferred state tax benefit related to the release of</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(3.31)</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valuation allowances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rPr>
                <w:sz w:val="20"/>
                <w:szCs w:val="20"/>
                <w:color w:val="auto"/>
              </w:rPr>
            </w:pPr>
            <w:r>
              <w:rPr>
                <w:rFonts w:ascii="Arial" w:cs="Arial" w:eastAsia="Arial" w:hAnsi="Arial"/>
                <w:sz w:val="15"/>
                <w:szCs w:val="15"/>
                <w:color w:val="auto"/>
              </w:rPr>
              <w:t>Net deferred tax benefits related to the enactment of the Tax</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420"/>
              <w:spacing w:after="0"/>
              <w:rPr>
                <w:sz w:val="20"/>
                <w:szCs w:val="20"/>
                <w:color w:val="auto"/>
              </w:rPr>
            </w:pPr>
            <w:r>
              <w:rPr>
                <w:rFonts w:ascii="Arial" w:cs="Arial" w:eastAsia="Arial" w:hAnsi="Arial"/>
                <w:sz w:val="15"/>
                <w:szCs w:val="15"/>
                <w:color w:val="auto"/>
              </w:rPr>
              <w:t>Cuts and Jobs Act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(31.68)</w:t>
            </w:r>
          </w:p>
        </w:tc>
        <w:tc>
          <w:tcPr>
            <w:tcW w:w="0" w:type="dxa"/>
            <w:vAlign w:val="bottom"/>
          </w:tcPr>
          <w:p>
            <w:pPr>
              <w:spacing w:after="0"/>
              <w:rPr>
                <w:sz w:val="1"/>
                <w:szCs w:val="1"/>
                <w:color w:val="auto"/>
              </w:rPr>
            </w:pPr>
          </w:p>
        </w:tc>
      </w:tr>
      <w:tr>
        <w:trPr>
          <w:trHeight w:val="274"/>
        </w:trPr>
        <w:tc>
          <w:tcPr>
            <w:tcW w:w="4660" w:type="dxa"/>
            <w:vAlign w:val="bottom"/>
          </w:tcPr>
          <w:p>
            <w:pPr>
              <w:ind w:left="260"/>
              <w:spacing w:after="0"/>
              <w:rPr>
                <w:sz w:val="20"/>
                <w:szCs w:val="20"/>
                <w:color w:val="auto"/>
              </w:rPr>
            </w:pPr>
            <w:r>
              <w:rPr>
                <w:rFonts w:ascii="Arial" w:cs="Arial" w:eastAsia="Arial" w:hAnsi="Arial"/>
                <w:sz w:val="15"/>
                <w:szCs w:val="15"/>
                <w:color w:val="auto"/>
              </w:rPr>
              <w:t>Tax benefit related to stock compensation</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(0.33)</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5"/>
                <w:szCs w:val="15"/>
                <w:color w:val="auto"/>
              </w:rPr>
              <w:t>Diluted income per common share, adjusted (non-GAAP)</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47.23</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22.93</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ectPr>
          <w:pgSz w:w="11900" w:h="16838" w:orient="portrait"/>
          <w:cols w:equalWidth="0" w:num="1">
            <w:col w:w="11360"/>
          </w:cols>
          <w:pgMar w:left="280" w:top="743" w:right="259" w:bottom="809"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sectPr>
      <w:pgSz w:w="11900" w:h="16838" w:orient="portrait"/>
      <w:cols w:equalWidth="0" w:num="1">
        <w:col w:w="11360"/>
      </w:cols>
      <w:pgMar w:left="280" w:top="743" w:right="259" w:bottom="8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2019-12-28T15:54:01Z</dcterms:created>
  <dcterms:modified xsi:type="dcterms:W3CDTF">2019-12-28T15:54:01Z</dcterms:modified>
</cp:coreProperties>
</file>