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23,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ind w:right="2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23, 2021, Tony Allen was elected to the Board of Directors of Graham Holdings Company (the “Company”). The Board has not yet determined whether Dr. Allen will be a member of any committee of the Board. The Board determined that Dr. Allen qualifies as an "independent director" under New York Stock Exchange listing standards. There are no family relationships between Dr. Allen and any director or executive officer of the Company or any related party transactions involving Dr. Allen and the Company. There is no arrangement or understanding between Dr. Allen and any other person pursuant to which he was selected as a director. Dr. Allen’s compensation for service as a non-employee director will be consistent with that of the Company’s other non-employee directors, which consists of an annual cash retainer and reimbursement of out-of-pocket expenses for the meetings that he attends. The Company's non-employee director compensation practices are described in the Proxy Statement for the Company's 2020 Annual Meeting of Stockholders filed with the Securities and Exchange Commission on March 26, 2020 under the heading "Director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election of Dr. Allen is furnished as Exhibit 99.1 to the Form 8-K.</w:t>
      </w:r>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477520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88" w:lineRule="exact"/>
        <w:rPr>
          <w:sz w:val="20"/>
          <w:szCs w:val="20"/>
          <w:color w:val="auto"/>
        </w:rPr>
      </w:pPr>
    </w:p>
    <w:p>
      <w:pPr>
        <w:ind w:left="20"/>
        <w:spacing w:after="0"/>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8"/>
            <w:szCs w:val="18"/>
            <w:u w:val="single" w:color="auto"/>
            <w:color w:val="0000FF"/>
          </w:rPr>
          <w:t>Press Release dated February 23, 2021</w:t>
        </w:r>
      </w:hyperlink>
    </w:p>
    <w:p>
      <w:pPr>
        <w:spacing w:after="0" w:line="23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503555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19" w:lineRule="auto"/>
        <w:rPr>
          <w:sz w:val="20"/>
          <w:szCs w:val="20"/>
          <w:color w:val="auto"/>
        </w:rPr>
      </w:pPr>
      <w:r>
        <w:rPr>
          <w:rFonts w:ascii="Arial" w:cs="Arial" w:eastAsia="Arial" w:hAnsi="Arial"/>
          <w:sz w:val="18"/>
          <w:szCs w:val="18"/>
          <w:color w:val="auto"/>
        </w:rPr>
        <w:t>Senior Vice President, General Counsel,</w:t>
      </w:r>
    </w:p>
    <w:p>
      <w:pPr>
        <w:jc w:val="cente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Tony Allen Elected a Director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8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ARLINGTON, VA – February 23, 2021 – Graham Holdings Company (NYSE: GHC) announced today that Tony Allen has been elected to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Dr. Allen is the President of Delaware State University, one of the most storied Historically Black Colleges/Universities (HBCUs) in America.</w:t>
      </w:r>
    </w:p>
    <w:p>
      <w:pPr>
        <w:spacing w:after="0" w:line="234" w:lineRule="auto"/>
        <w:rPr>
          <w:sz w:val="20"/>
          <w:szCs w:val="20"/>
          <w:color w:val="auto"/>
        </w:rPr>
      </w:pPr>
      <w:r>
        <w:rPr>
          <w:rFonts w:ascii="Arial" w:cs="Arial" w:eastAsia="Arial" w:hAnsi="Arial"/>
          <w:sz w:val="18"/>
          <w:szCs w:val="18"/>
          <w:color w:val="auto"/>
        </w:rPr>
        <w:t>Allen serves over 5,000 students and manages a $144 million budget, a $27 million research portfolio and a $40 million endowment.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Previously, Allen served as Executive Vice President and Provost for the institution.</w:t>
      </w:r>
    </w:p>
    <w:p>
      <w:pPr>
        <w:spacing w:after="0" w:line="2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Before his higher education career, Allen developed and led the Corporate Reputation Group at Bank of America. He also led communications for the bank’s largest divisions, including Consumer, Commercial Banking and Wealth Management. He started his financial services career as an executive vice president at MBNA America.</w:t>
      </w:r>
    </w:p>
    <w:p>
      <w:pPr>
        <w:spacing w:after="0" w:line="230"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Allen began his career as a speechwriter and special assistant to then–United States Senator Joseph R. Biden, Jr. He most recently served as a member of the Advisory Council for the Biden-Harris Transition and Chief Executive Officer for the 59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Presidential Inaugural Ceremonies.</w:t>
      </w:r>
    </w:p>
    <w:p>
      <w:pPr>
        <w:spacing w:after="0" w:line="231"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Chairman of the board of Graham Holdings Company, Donald E. Graham, said, “Tony’s career has spanned the public service, financial services and education sectors. His experience in these areas makes him an outstanding addition as a director of our company. We are fortunate that he has agreed to join our board.”</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Allen is a member of the Economic and Community Advisory Council for the Federal Reserve Bank of Philadelphia and chair emeritus of the National Urban Fellows, which is widely viewed as the most prestigious fellowship for public sector professionals. He is a Whitney M. Young Awardee for Advancing Racial Equality, the National Urban League’s highest honor, and has received many honors for advancing social justice and educational access for all.</w:t>
      </w:r>
    </w:p>
    <w:p>
      <w:pPr>
        <w:spacing w:after="0" w:line="23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Allen holds a B.A. in Political Science and a Ph.D. in Urban Affairs &amp; Public Policy from the University of Delaware and a Master of Public Administration from Baruch College (CUNY). He and his family reside in Delaware.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3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Pinkie.Mayfield@ghco.com</w:t>
      </w:r>
    </w:p>
    <w:p>
      <w:pPr>
        <w:spacing w:after="0" w:line="3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(703) 345-6450</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2021-02-25T08:45:14Z</dcterms:created>
  <dcterms:modified xsi:type="dcterms:W3CDTF">2021-02-25T08:45:14Z</dcterms:modified>
</cp:coreProperties>
</file>