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7"/>
          <w:szCs w:val="27"/>
          <w:b w:val="1"/>
          <w:bCs w:val="1"/>
          <w:color w:val="auto"/>
        </w:rPr>
        <w:t>SCHEDULE 14A INFORMATION</w:t>
      </w:r>
    </w:p>
    <w:p>
      <w:pPr>
        <w:spacing w:after="0" w:line="25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42" w:lineRule="exact"/>
        <w:rPr>
          <w:sz w:val="24"/>
          <w:szCs w:val="24"/>
          <w:color w:val="auto"/>
        </w:rPr>
      </w:pPr>
    </w:p>
    <w:p>
      <w:pPr>
        <w:spacing w:after="0" w:line="184" w:lineRule="exact"/>
        <w:tabs>
          <w:tab w:leader="none" w:pos="284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Filed by a Party other than the Registrant £</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3" w:lineRule="exact"/>
        <w:rPr>
          <w:sz w:val="24"/>
          <w:szCs w:val="24"/>
          <w:color w:val="auto"/>
        </w:rPr>
      </w:pPr>
    </w:p>
    <w:p>
      <w:pPr>
        <w:ind w:right="8100" w:firstLine="8"/>
        <w:spacing w:after="0" w:line="203" w:lineRule="exact"/>
        <w:tabs>
          <w:tab w:leader="none" w:pos="19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Definitive Proxy Statement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Definitive Additional Materials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Soliciting Material under §240.14a-12</w:t>
      </w:r>
    </w:p>
    <w:p>
      <w:pPr>
        <w:spacing w:after="0" w:line="26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9"/>
          <w:szCs w:val="29"/>
          <w:b w:val="1"/>
          <w:bCs w:val="1"/>
          <w:color w:val="auto"/>
        </w:rPr>
        <w:t>GRAHAM HOLDINGS COMPANY</w:t>
      </w:r>
    </w:p>
    <w:p>
      <w:pPr>
        <w:spacing w:after="0" w:line="4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37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x No fee required.</w:t>
      </w:r>
    </w:p>
    <w:p>
      <w:pPr>
        <w:spacing w:after="0" w:line="397" w:lineRule="exact"/>
        <w:rPr>
          <w:sz w:val="24"/>
          <w:szCs w:val="24"/>
          <w:color w:val="auto"/>
        </w:rPr>
      </w:pPr>
    </w:p>
    <w:p>
      <w:pPr>
        <w:ind w:left="260" w:hanging="225"/>
        <w:spacing w:after="0"/>
        <w:tabs>
          <w:tab w:leader="none" w:pos="260" w:val="left"/>
        </w:tabs>
        <w:numPr>
          <w:ilvl w:val="1"/>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00" w:lineRule="exact"/>
        <w:rPr>
          <w:rFonts w:ascii="MS PGothic" w:cs="MS PGothic" w:eastAsia="MS PGothic" w:hAnsi="MS PGothic"/>
          <w:sz w:val="16"/>
          <w:szCs w:val="16"/>
          <w:color w:val="auto"/>
        </w:rPr>
      </w:pPr>
    </w:p>
    <w:p>
      <w:pPr>
        <w:spacing w:after="0" w:line="237" w:lineRule="exact"/>
        <w:rPr>
          <w:rFonts w:ascii="MS PGothic" w:cs="MS PGothic" w:eastAsia="MS PGothic" w:hAnsi="MS PGothic"/>
          <w:sz w:val="16"/>
          <w:szCs w:val="16"/>
          <w:color w:val="auto"/>
        </w:rPr>
      </w:pPr>
    </w:p>
    <w:p>
      <w:pPr>
        <w:ind w:left="900" w:hanging="244"/>
        <w:spacing w:after="0"/>
        <w:tabs>
          <w:tab w:leader="none" w:pos="90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the transaction applies: N/A</w:t>
      </w:r>
    </w:p>
    <w:p>
      <w:pPr>
        <w:spacing w:after="0" w:line="23"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the transaction applies: N/A</w:t>
      </w:r>
    </w:p>
    <w:p>
      <w:pPr>
        <w:spacing w:after="0" w:line="5" w:lineRule="exact"/>
        <w:rPr>
          <w:rFonts w:ascii="Times New Roman" w:cs="Times New Roman" w:eastAsia="Times New Roman" w:hAnsi="Times New Roman"/>
          <w:sz w:val="16"/>
          <w:szCs w:val="16"/>
          <w:color w:val="auto"/>
        </w:rPr>
      </w:pPr>
    </w:p>
    <w:p>
      <w:pPr>
        <w:ind w:left="900" w:hanging="244"/>
        <w:spacing w:after="0" w:line="246" w:lineRule="auto"/>
        <w:tabs>
          <w:tab w:leader="none" w:pos="90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the transaction computed pursuant to Exchange Act Rule 0-11 (set forth the amount on which the filing fee is calculated and state how it was determined): N/A</w:t>
      </w:r>
    </w:p>
    <w:p>
      <w:pPr>
        <w:ind w:left="900" w:hanging="244"/>
        <w:spacing w:after="0"/>
        <w:tabs>
          <w:tab w:leader="none" w:pos="90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the transaction: N/A</w:t>
      </w:r>
    </w:p>
    <w:p>
      <w:pPr>
        <w:spacing w:after="0" w:line="5"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 N/A</w:t>
      </w:r>
    </w:p>
    <w:p>
      <w:pPr>
        <w:spacing w:after="0" w:line="365" w:lineRule="exact"/>
        <w:rPr>
          <w:rFonts w:ascii="Times New Roman" w:cs="Times New Roman" w:eastAsia="Times New Roman" w:hAnsi="Times New Roman"/>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was paid previously. Identify the previous filing by registration statement number, or the Form or Schedule and the date of its filing.</w:t>
      </w:r>
    </w:p>
    <w:p>
      <w:pPr>
        <w:spacing w:after="0" w:line="176" w:lineRule="exact"/>
        <w:rPr>
          <w:sz w:val="24"/>
          <w:szCs w:val="24"/>
          <w:color w:val="auto"/>
        </w:rPr>
      </w:pPr>
    </w:p>
    <w:p>
      <w:pPr>
        <w:ind w:left="900" w:hanging="24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23"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5"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5" w:lineRule="exact"/>
        <w:rPr>
          <w:rFonts w:ascii="Times New Roman" w:cs="Times New Roman" w:eastAsia="Times New Roman" w:hAnsi="Times New Roman"/>
          <w:sz w:val="16"/>
          <w:szCs w:val="16"/>
          <w:color w:val="auto"/>
        </w:rPr>
      </w:pPr>
    </w:p>
    <w:p>
      <w:pPr>
        <w:ind w:left="900" w:hanging="244"/>
        <w:spacing w:after="0"/>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ectPr>
          <w:pgSz w:w="11900" w:h="16838" w:orient="portrait"/>
          <w:cols w:equalWidth="0" w:num="1">
            <w:col w:w="10740"/>
          </w:cols>
          <w:pgMar w:left="240" w:top="876" w:right="9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16979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69795" cy="454660"/>
                    </a:xfrm>
                    <a:prstGeom prst="rect">
                      <a:avLst/>
                    </a:prstGeom>
                    <a:noFill/>
                  </pic:spPr>
                </pic:pic>
              </a:graphicData>
            </a:graphic>
          </wp:anchor>
        </w:drawing>
        <w:t xml:space="preserve">1300 NORTH 17TH STREET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ARLINGTON, VA 22209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26,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UR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HAREHOLDERS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160" w:firstLine="770"/>
        <w:spacing w:after="0" w:line="313" w:lineRule="auto"/>
        <w:rPr>
          <w:sz w:val="20"/>
          <w:szCs w:val="20"/>
          <w:color w:val="auto"/>
        </w:rPr>
      </w:pPr>
      <w:r>
        <w:rPr>
          <w:rFonts w:ascii="Times New Roman" w:cs="Times New Roman" w:eastAsia="Times New Roman" w:hAnsi="Times New Roman"/>
          <w:sz w:val="17"/>
          <w:szCs w:val="17"/>
          <w:color w:val="auto"/>
        </w:rPr>
        <w:t>You are cordially invited to the 2015 Annual Meeting of Shareholders of Graham Holdings Company (the “Company”), which will be held in the Corporate Executive Board Waterview Conference Center, 1919 North Lynn Street, 24th Floor, Arlington, VA 22209, on Thursday, May 14, at 8:30 a.m.</w:t>
      </w:r>
    </w:p>
    <w:p>
      <w:pPr>
        <w:spacing w:after="0" w:line="138" w:lineRule="exact"/>
        <w:rPr>
          <w:sz w:val="20"/>
          <w:szCs w:val="20"/>
          <w:color w:val="auto"/>
        </w:rPr>
      </w:pPr>
    </w:p>
    <w:p>
      <w:pPr>
        <w:jc w:val="both"/>
        <w:ind w:right="80" w:firstLine="770"/>
        <w:spacing w:after="0" w:line="266" w:lineRule="auto"/>
        <w:rPr>
          <w:sz w:val="20"/>
          <w:szCs w:val="20"/>
          <w:color w:val="auto"/>
        </w:rPr>
      </w:pPr>
      <w:r>
        <w:rPr>
          <w:rFonts w:ascii="Times New Roman" w:cs="Times New Roman" w:eastAsia="Times New Roman" w:hAnsi="Times New Roman"/>
          <w:sz w:val="18"/>
          <w:szCs w:val="18"/>
          <w:color w:val="auto"/>
        </w:rPr>
        <w:t>At the Company’s 2015 Annual Meeting of Shareholders (the “Meeting”), there will be a report on the Company’s activities, and Directors will be elected for the ensuing year. In addition, the Class A Shareholders will have an advisory vote on whether to approve the compensation paid to the Company’s named executive officers for 2014.</w:t>
      </w:r>
    </w:p>
    <w:p>
      <w:pPr>
        <w:spacing w:after="0" w:line="176" w:lineRule="exact"/>
        <w:rPr>
          <w:sz w:val="20"/>
          <w:szCs w:val="20"/>
          <w:color w:val="auto"/>
        </w:rPr>
      </w:pPr>
    </w:p>
    <w:p>
      <w:pPr>
        <w:ind w:right="20" w:firstLine="77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ONALD</w:t>
      </w:r>
      <w:r>
        <w:rPr>
          <w:rFonts w:ascii="Times New Roman" w:cs="Times New Roman" w:eastAsia="Times New Roman" w:hAnsi="Times New Roman"/>
          <w:sz w:val="18"/>
          <w:szCs w:val="18"/>
          <w:color w:val="auto"/>
        </w:rPr>
        <w:t xml:space="preserve"> E. G</w:t>
      </w:r>
      <w:r>
        <w:rPr>
          <w:rFonts w:ascii="Times New Roman" w:cs="Times New Roman" w:eastAsia="Times New Roman" w:hAnsi="Times New Roman"/>
          <w:sz w:val="14"/>
          <w:szCs w:val="14"/>
          <w:color w:val="auto"/>
        </w:rPr>
        <w:t>RAHAM</w:t>
      </w:r>
    </w:p>
    <w:p>
      <w:pPr>
        <w:spacing w:after="0" w:line="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Chairman</w:t>
      </w:r>
    </w:p>
    <w:p>
      <w:pPr>
        <w:sectPr>
          <w:pgSz w:w="11900" w:h="16838" w:orient="portrait"/>
          <w:cols w:equalWidth="0" w:num="1">
            <w:col w:w="11420"/>
          </w:cols>
          <w:pgMar w:left="240" w:top="1292"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GRAHAM HOLDINGS COMPANY</w:t>
      </w: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 — May 14, 2015</w:t>
      </w:r>
    </w:p>
    <w:p>
      <w:pPr>
        <w:spacing w:after="0" w:line="200" w:lineRule="exact"/>
        <w:rPr>
          <w:sz w:val="20"/>
          <w:szCs w:val="20"/>
          <w:color w:val="auto"/>
        </w:rPr>
      </w:pPr>
    </w:p>
    <w:p>
      <w:pPr>
        <w:spacing w:after="0" w:line="316" w:lineRule="exact"/>
        <w:rPr>
          <w:sz w:val="20"/>
          <w:szCs w:val="20"/>
          <w:color w:val="auto"/>
        </w:rPr>
      </w:pPr>
    </w:p>
    <w:p>
      <w:pPr>
        <w:ind w:firstLine="770"/>
        <w:spacing w:after="0" w:line="266" w:lineRule="auto"/>
        <w:rPr>
          <w:sz w:val="20"/>
          <w:szCs w:val="20"/>
          <w:color w:val="auto"/>
        </w:rPr>
      </w:pPr>
      <w:r>
        <w:rPr>
          <w:rFonts w:ascii="Times New Roman" w:cs="Times New Roman" w:eastAsia="Times New Roman" w:hAnsi="Times New Roman"/>
          <w:sz w:val="18"/>
          <w:szCs w:val="18"/>
          <w:color w:val="auto"/>
        </w:rPr>
        <w:t>The 2015 Annual Meeting of Shareholders of Graham Holdings Company will be held at the Corporate Executive Board Waterview Conference Center, 1919 North Lynn Street, 24th Floor, Arlington, VA 22209, on Thursday, May 14, 2015, at 8:30 a.m., Eastern Daylight Saving Time, for the following purposes:</w:t>
      </w:r>
    </w:p>
    <w:p>
      <w:pPr>
        <w:spacing w:after="0" w:line="176" w:lineRule="exact"/>
        <w:rPr>
          <w:sz w:val="20"/>
          <w:szCs w:val="20"/>
          <w:color w:val="auto"/>
        </w:rPr>
      </w:pPr>
    </w:p>
    <w:p>
      <w:pPr>
        <w:ind w:left="1460" w:hanging="155"/>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for the ensuing year, as more fully described in the accompanying Proxy Statement.</w:t>
      </w:r>
    </w:p>
    <w:p>
      <w:pPr>
        <w:spacing w:after="0" w:line="225" w:lineRule="exact"/>
        <w:rPr>
          <w:rFonts w:ascii="Times New Roman" w:cs="Times New Roman" w:eastAsia="Times New Roman" w:hAnsi="Times New Roman"/>
          <w:sz w:val="18"/>
          <w:szCs w:val="18"/>
          <w:color w:val="auto"/>
        </w:rPr>
      </w:pPr>
    </w:p>
    <w:p>
      <w:pPr>
        <w:ind w:left="1460" w:right="2640" w:hanging="155"/>
        <w:spacing w:after="0" w:line="282" w:lineRule="auto"/>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A Shareholders, on an advisory basis, to vote on whether to approve the compensation paid to the named executive officers of the Company for 2014.</w:t>
      </w:r>
    </w:p>
    <w:p>
      <w:pPr>
        <w:spacing w:after="0" w:line="161" w:lineRule="exact"/>
        <w:rPr>
          <w:rFonts w:ascii="Times New Roman" w:cs="Times New Roman" w:eastAsia="Times New Roman" w:hAnsi="Times New Roman"/>
          <w:sz w:val="18"/>
          <w:szCs w:val="18"/>
          <w:color w:val="auto"/>
        </w:rPr>
      </w:pPr>
    </w:p>
    <w:p>
      <w:pPr>
        <w:ind w:left="1460" w:hanging="155"/>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ind w:right="80" w:firstLine="77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has fixed the close of business on March 16, 2015, as the record date for the determination of shareholders entitled to notice of and to vote at the Meeting.</w:t>
      </w:r>
    </w:p>
    <w:p>
      <w:pPr>
        <w:spacing w:after="0" w:line="162" w:lineRule="exact"/>
        <w:rPr>
          <w:sz w:val="20"/>
          <w:szCs w:val="20"/>
          <w:color w:val="auto"/>
        </w:rPr>
      </w:pPr>
    </w:p>
    <w:p>
      <w:pPr>
        <w:ind w:right="20" w:firstLine="770"/>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VERONICA DILLON,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VA</w:t>
      </w:r>
    </w:p>
    <w:p>
      <w:pPr>
        <w:sectPr>
          <w:pgSz w:w="11900" w:h="16838" w:orient="portrait"/>
          <w:cols w:equalWidth="0" w:num="1">
            <w:col w:w="11320"/>
          </w:cols>
          <w:pgMar w:left="240" w:top="57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GRAHAM HOLDINGS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1300 North 17th Street, Suite 1700, Arlington, VA 22209</w:t>
      </w:r>
    </w:p>
    <w:p>
      <w:pPr>
        <w:spacing w:after="0" w:line="207"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March 26, 2015</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relating to the 2015 Annual Meeting of Shareholders of Graham Holdings Company to be held at the Corporate Executive Board Waterview Conference Center, 1919 North Lynn Street, 24th Floor, Arlington, VA 22209, on Thursday, May 14, 2015, at 8:30 a.m., Eastern Daylight Saving Time, or any adjournments thereof, for the purposes set forth in the accompanying Notice of the 2015 Annual Meeting of Shareholders. This Proxy Statement and the accompanying forms of Proxy and voting instructions are being delivered to shareholders on or about March 26, 2015. The Board of Directors of the Company is making this Proxy solicitation.</w:t>
      </w:r>
    </w:p>
    <w:p>
      <w:pPr>
        <w:spacing w:after="0" w:line="1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14, 2015. This Proxy Statement and the Annual Report to Shareholders are available at www.ghco.com.</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am I voting on?</w:t>
      </w:r>
    </w:p>
    <w:p>
      <w:pPr>
        <w:spacing w:after="0" w:line="229"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voting on the election of Directors for a term of one year. A Board of 12 Directors is to be elected, eight by the holders of Class A Common</w:t>
      </w:r>
    </w:p>
    <w:p>
      <w:pPr>
        <w:spacing w:after="0" w:line="27"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voting separately as a class, and four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any nominee withdraws or for any reason is not able to serve as a Director, Donald E. Graham, Hal S. Jones, Nicole Maddrey and Gerald 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Rosberg, acting as your proxies, may vote for such other person as the Board of Directors may nominate.</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if you are a holder of Class A Stock, you are voting on whether to approve the compensation paid to the Company’s named executive officers for 2014. In accordance with rules of the U.S. Securities and Exchange Commission (the “SEC”), these votes are advisory in nature and non-binding.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your shares entitles you to one vote with respect to each matter on which you may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are the voting recommendations of the Board?</w:t>
      </w:r>
    </w:p>
    <w:p>
      <w:pPr>
        <w:spacing w:after="0" w:line="229" w:lineRule="exact"/>
        <w:rPr>
          <w:sz w:val="20"/>
          <w:szCs w:val="20"/>
          <w:color w:val="auto"/>
        </w:rPr>
      </w:pPr>
    </w:p>
    <w:p>
      <w:pPr>
        <w:ind w:right="640" w:firstLine="8"/>
        <w:spacing w:after="0" w:line="282" w:lineRule="auto"/>
        <w:tabs>
          <w:tab w:leader="none" w:pos="3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voting for the approval of the compensation paid to the Company’s named executive officers for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any other matters be voted on?</w:t>
      </w:r>
    </w:p>
    <w:p>
      <w:pPr>
        <w:spacing w:after="0" w:line="229" w:lineRule="exact"/>
        <w:rPr>
          <w:sz w:val="20"/>
          <w:szCs w:val="20"/>
          <w:color w:val="auto"/>
        </w:rPr>
      </w:pPr>
    </w:p>
    <w:p>
      <w:pPr>
        <w:ind w:right="180" w:firstLine="8"/>
        <w:spacing w:after="0" w:line="266" w:lineRule="auto"/>
        <w:tabs>
          <w:tab w:leader="none" w:pos="3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matters to be voted on other than the election of Directors and the Class A Shareholder advisory vote on compensation paid to the Company’s named executive officers for 2014. If any other matter is properly brought before the Meeting, Donald E. Graham, Hal S. Jones, Nicole Maddrey and Gerald M. Rosberg, acting as your proxies, will vote for you at their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20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four ways to vote:</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www.investorvote.com. We encourage you to vote this way;</w:t>
      </w:r>
    </w:p>
    <w:p>
      <w:pPr>
        <w:spacing w:after="0" w:line="2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1-800-652-8683;</w:t>
      </w:r>
    </w:p>
    <w:p>
      <w:pPr>
        <w:spacing w:after="0" w:line="9"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or</w:t>
      </w:r>
    </w:p>
    <w:p>
      <w:pPr>
        <w:spacing w:after="0" w:line="9"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Meeting.</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 vote by Internet or telephone, your vote must be received by 5:00 p.m., Eastern Daylight Saving Time, on the day before the Meeting. Your shares will be voted as you indicate. If you are a Class B Shareholder and do not indicate your voting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ind w:right="40"/>
        <w:spacing w:after="0" w:line="282" w:lineRule="auto"/>
        <w:rPr>
          <w:sz w:val="20"/>
          <w:szCs w:val="20"/>
          <w:color w:val="auto"/>
        </w:rPr>
      </w:pPr>
      <w:r>
        <w:rPr>
          <w:rFonts w:ascii="Times New Roman" w:cs="Times New Roman" w:eastAsia="Times New Roman" w:hAnsi="Times New Roman"/>
          <w:sz w:val="18"/>
          <w:szCs w:val="18"/>
          <w:color w:val="auto"/>
        </w:rPr>
        <w:t>preferences, Donald E. Graham, Hal S. Jones, Nicole Maddrey and Gerald M. Rosberg, acting as your proxies, will vote your shares in favor of the applicable nominated Directors.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are a Class A Shareholder and do not indicate your voting preferences, the foregoing persons, acting as your proxies, will vote your shares in favor of the applicable nominated Directors and for approval of the compensation paid to the Company’s named executive officers for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vote?</w:t>
      </w:r>
    </w:p>
    <w:p>
      <w:pPr>
        <w:spacing w:after="0" w:line="229" w:lineRule="exact"/>
        <w:rPr>
          <w:sz w:val="20"/>
          <w:szCs w:val="20"/>
          <w:color w:val="auto"/>
        </w:rPr>
      </w:pPr>
    </w:p>
    <w:p>
      <w:pPr>
        <w:ind w:firstLine="8"/>
        <w:spacing w:after="0" w:line="261" w:lineRule="auto"/>
        <w:tabs>
          <w:tab w:leader="none" w:pos="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if you were a shareholder of record as of the close of business on March 16, 2015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Company’s constitutive documents and under Delaware corporate law, only Class A Shareholders are entitled to vote on Proposal 2: Approval of 2014 Compensation Awarded to Named Executive Officers. If you are a Class B Shareholder, you are entitled to vote on Proposal 1: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vote?</w:t>
      </w:r>
    </w:p>
    <w:p>
      <w:pPr>
        <w:spacing w:after="0" w:line="229"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can change your vote or revoke your Proxy at any time before the Meeting:</w:t>
      </w:r>
    </w:p>
    <w:p>
      <w:pPr>
        <w:spacing w:after="0" w:line="3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a new vote by Internet or telephone;</w:t>
      </w:r>
    </w:p>
    <w:p>
      <w:pPr>
        <w:spacing w:after="0" w:line="2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returning a later-dated Proxy card; or</w:t>
      </w:r>
    </w:p>
    <w:p>
      <w:pPr>
        <w:spacing w:after="0" w:line="9"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Meeting, provided you first revoke your previously voted Proxy.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vote is required to approve a proposal?</w:t>
      </w:r>
    </w:p>
    <w:p>
      <w:pPr>
        <w:spacing w:after="0" w:line="229" w:lineRule="exact"/>
        <w:rPr>
          <w:sz w:val="20"/>
          <w:szCs w:val="20"/>
          <w:color w:val="auto"/>
        </w:rPr>
      </w:pPr>
    </w:p>
    <w:p>
      <w:pPr>
        <w:ind w:right="180" w:firstLine="8"/>
        <w:spacing w:after="0" w:line="258"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will be elected by a plurality of the votes cast at the Meeting. This means that the eight Class A Shareholder nominees receiving the highest number of votes cast and the four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While the proposal to approve the 2014 compensation awarded to the Company’s named executive officers is non-binding and advisory in nature, it will be approved only on the favorable vote of a majority of the Class A Shareholders present or represented at the Meeting.</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Broker non-votes will have no impact on the voting results for any of the proposals presented at the Meeting, and abstentions will have the effect of a vote against the proposal to approve the 2014 compensation awarded to the Company’s named executive officers. Broker non-votes and abstentions will be counted for purposes of determining whether a quorum is present.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will count the vote?</w:t>
      </w:r>
    </w:p>
    <w:p>
      <w:pPr>
        <w:spacing w:after="0" w:line="229" w:lineRule="exact"/>
        <w:rPr>
          <w:sz w:val="20"/>
          <w:szCs w:val="20"/>
          <w:color w:val="auto"/>
        </w:rPr>
      </w:pPr>
    </w:p>
    <w:p>
      <w:pPr>
        <w:ind w:right="140" w:firstLine="8"/>
        <w:spacing w:after="0" w:line="282"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 the Company’s transfer agent and registrar, will count the vote. One of its representatives will be included among the persons authorized to certify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attend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All shareholders of record as of the close of business on March 16, 2015, can attend.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do I need to do to attend the Meeting?</w:t>
      </w:r>
    </w:p>
    <w:p>
      <w:pPr>
        <w:spacing w:after="0" w:line="229"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attend the Meeting, please follow these instructions:</w:t>
      </w:r>
    </w:p>
    <w:p>
      <w:pPr>
        <w:spacing w:after="0" w:line="63"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using the enclosed Proxy card, check the appropriate box on the card.</w:t>
      </w:r>
    </w:p>
    <w:p>
      <w:pPr>
        <w:spacing w:after="0" w:line="2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Internet or telephone, follow the instructions provided for attendance.</w:t>
      </w:r>
    </w:p>
    <w:p>
      <w:pPr>
        <w:spacing w:after="0" w:line="9"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bring proof of your ownership with you to the Meeting.</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Seating at the Meeting will be on a first-come, first-served basis upon arrival at the Meeting.</w:t>
      </w:r>
    </w:p>
    <w:p>
      <w:pPr>
        <w:spacing w:after="0" w:line="221"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bring a guest?</w:t>
      </w:r>
    </w:p>
    <w:p>
      <w:pPr>
        <w:spacing w:after="0" w:line="229" w:lineRule="exact"/>
        <w:rPr>
          <w:rFonts w:ascii="Times New Roman" w:cs="Times New Roman" w:eastAsia="Times New Roman" w:hAnsi="Times New Roman"/>
          <w:sz w:val="18"/>
          <w:szCs w:val="18"/>
          <w:b w:val="1"/>
          <w:bCs w:val="1"/>
          <w:color w:val="auto"/>
        </w:rPr>
      </w:pPr>
    </w:p>
    <w:p>
      <w:pPr>
        <w:ind w:left="320" w:hanging="277"/>
        <w:spacing w:after="0"/>
        <w:tabs>
          <w:tab w:leader="none" w:pos="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Meeting is for shareholders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quorum requirement of the Meeting?</w:t>
      </w:r>
    </w:p>
    <w:p>
      <w:pPr>
        <w:spacing w:after="0" w:line="229" w:lineRule="exact"/>
        <w:rPr>
          <w:sz w:val="20"/>
          <w:szCs w:val="20"/>
          <w:color w:val="auto"/>
        </w:rPr>
      </w:pPr>
    </w:p>
    <w:p>
      <w:pPr>
        <w:ind w:firstLine="8"/>
        <w:spacing w:after="0" w:line="255"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outstanding shares on March 16, 2015, constitutes a quorum for voting at the Annual Meeting, except that (i) for purposes of the election of eight Directors by the holders of Class A Common Stock (Proposal 1) and the advisory vote on whether to approve the compensation paid to the named executive officers of the Company in 2014 (Proposal 2), a quorum requires a majority of the outstanding shares of Class A Common Stock on March 16, 2015, and (ii) for purposes of the election of four Directors by the holders of Class B Common Stock (Proposal 1), a quorum requires a majority of the outstanding shares of Class B Common Stock on March 16, 2015. If you vote, your shares will be part of the quorum. Abstentions and broker non-votes will be counted in determining the quorum. On March 16, 2015, there were 974,823 shares of Class A Common Stock and 4,854,266 shares of Class B Common Stock outstanding and entitled to vote.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is soliciting Proxies?</w:t>
      </w:r>
    </w:p>
    <w:p>
      <w:pPr>
        <w:spacing w:after="0" w:line="229" w:lineRule="exact"/>
        <w:rPr>
          <w:sz w:val="20"/>
          <w:szCs w:val="20"/>
          <w:color w:val="auto"/>
        </w:rPr>
      </w:pPr>
    </w:p>
    <w:p>
      <w:pPr>
        <w:ind w:right="60" w:firstLine="8"/>
        <w:spacing w:after="0" w:line="261"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of Proxies is being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 in so doing.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When are the shareholder proposals due for the Company’s 2016 Annual Meeting of Shareholders?</w:t>
      </w:r>
    </w:p>
    <w:p>
      <w:pPr>
        <w:spacing w:after="0" w:line="229" w:lineRule="exact"/>
        <w:rPr>
          <w:sz w:val="20"/>
          <w:szCs w:val="20"/>
          <w:color w:val="auto"/>
        </w:rPr>
      </w:pPr>
    </w:p>
    <w:p>
      <w:pPr>
        <w:ind w:right="80" w:firstLine="8"/>
        <w:spacing w:after="0" w:line="282" w:lineRule="auto"/>
        <w:tabs>
          <w:tab w:leader="none" w:pos="2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proposals submitted by shareholders entitled to vote on such matters, meeting the requirements of the SEC’s proxy rules, must be in writing, received by November 26, 2015, and addressed to the Secretary of the Company at 1300 North 17th Street, Suite 1700, Arlington, VA 22209.</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Holders of Class B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other information about Graham Holdings Company is available?</w:t>
      </w:r>
    </w:p>
    <w:p>
      <w:pPr>
        <w:spacing w:after="0" w:line="229"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is available:</w:t>
      </w:r>
    </w:p>
    <w:p>
      <w:pPr>
        <w:spacing w:after="0" w:line="63"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14"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1300 North 17th Street, Suite 1700, Arlington, VA 22209.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receive materials relating to the Meeting electronically?</w:t>
      </w:r>
    </w:p>
    <w:p>
      <w:pPr>
        <w:spacing w:after="0" w:line="229" w:lineRule="exact"/>
        <w:rPr>
          <w:sz w:val="20"/>
          <w:szCs w:val="20"/>
          <w:color w:val="auto"/>
        </w:rPr>
      </w:pPr>
    </w:p>
    <w:p>
      <w:pPr>
        <w:ind w:right="20" w:firstLine="8"/>
        <w:spacing w:after="0" w:line="258" w:lineRule="auto"/>
        <w:tabs>
          <w:tab w:leader="none" w:pos="2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580" w:right="2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BOARD OF DIRECTORS</w:t>
      </w:r>
    </w:p>
    <w:p>
      <w:pPr>
        <w:spacing w:after="0" w:line="229" w:lineRule="exact"/>
        <w:rPr>
          <w:sz w:val="20"/>
          <w:szCs w:val="20"/>
          <w:color w:val="auto"/>
        </w:rPr>
      </w:pPr>
    </w:p>
    <w:p>
      <w:pPr>
        <w:ind w:firstLine="770"/>
        <w:spacing w:after="0" w:line="254" w:lineRule="auto"/>
        <w:rPr>
          <w:sz w:val="20"/>
          <w:szCs w:val="20"/>
          <w:color w:val="auto"/>
        </w:rPr>
      </w:pPr>
      <w:r>
        <w:rPr>
          <w:rFonts w:ascii="Times New Roman" w:cs="Times New Roman" w:eastAsia="Times New Roman" w:hAnsi="Times New Roman"/>
          <w:sz w:val="18"/>
          <w:szCs w:val="18"/>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89" w:lineRule="exact"/>
        <w:rPr>
          <w:sz w:val="20"/>
          <w:szCs w:val="20"/>
          <w:color w:val="auto"/>
        </w:rPr>
      </w:pPr>
    </w:p>
    <w:p>
      <w:pPr>
        <w:ind w:right="60" w:firstLine="770"/>
        <w:spacing w:after="0" w:line="254" w:lineRule="auto"/>
        <w:rPr>
          <w:sz w:val="20"/>
          <w:szCs w:val="20"/>
          <w:color w:val="auto"/>
        </w:rPr>
      </w:pPr>
      <w:r>
        <w:rPr>
          <w:rFonts w:ascii="Times New Roman" w:cs="Times New Roman" w:eastAsia="Times New Roman" w:hAnsi="Times New Roman"/>
          <w:sz w:val="18"/>
          <w:szCs w:val="18"/>
          <w:color w:val="auto"/>
        </w:rPr>
        <w:t>The Company is a diversified education and media company serving customers in a rapidly evolving, highly regulated, competitive and technological environment. The Directors’ expertise and experience encompass the areas of education, media, technology, marketing, international business and finance, journalism, law and public policy. All of the Directors have held senior positions as leaders of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Lee C. Bollinger</w:t>
      </w:r>
    </w:p>
    <w:p>
      <w:pPr>
        <w:spacing w:after="0" w:line="229" w:lineRule="exact"/>
        <w:rPr>
          <w:sz w:val="20"/>
          <w:szCs w:val="20"/>
          <w:color w:val="auto"/>
        </w:rPr>
      </w:pPr>
    </w:p>
    <w:p>
      <w:pPr>
        <w:ind w:left="500" w:right="80"/>
        <w:spacing w:after="0" w:line="254" w:lineRule="auto"/>
        <w:rPr>
          <w:sz w:val="20"/>
          <w:szCs w:val="20"/>
          <w:color w:val="auto"/>
        </w:rPr>
      </w:pPr>
      <w:r>
        <w:rPr>
          <w:rFonts w:ascii="Times New Roman" w:cs="Times New Roman" w:eastAsia="Times New Roman" w:hAnsi="Times New Roman"/>
          <w:sz w:val="18"/>
          <w:szCs w:val="18"/>
          <w:color w:val="auto"/>
        </w:rPr>
        <w:t>Mr. Bollinger, age 68, has served as the 19th President of Columbia University since June 2002. Prior to becoming President of Columbia University, where he also serves as a member of the Law School faculty, Mr. Bollinger served as President of the University of Michigan for five years and as Dean of the University of Michigan Law School for seven years. He is a Trustee of the Kresge Foundation and the Institute of International Education and was Chairman of the Board of the Federal Reserve Bank of New York until December 2012. Mr. Bollinger is the recipient of numerous honorary degrees and awards, most notably for his national leadership in defending affirmative action, for his service in higher education and for his scholarship and leadership in defense of freedom of speech and the press. He has served as a Director of the Company since May 2007 and is a member of the Compensation Committee of the Board. Mr. Bollinger's experience in higher education and at a variety of educational institutions facing differing challenges and opportunities is of particular relevance to the Company’s higher education business segment and other education-related initiatives, but also reflects his commitment to principles. In his former role as a Director of the Federal Reserve Bank of New York, Mr. Bollinger gained experience in financial matters, particularly those affecting national economies and financial and market systems.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Barry Diller</w:t>
      </w:r>
    </w:p>
    <w:p>
      <w:pPr>
        <w:spacing w:after="0" w:line="229" w:lineRule="exact"/>
        <w:rPr>
          <w:sz w:val="20"/>
          <w:szCs w:val="20"/>
          <w:color w:val="auto"/>
        </w:rPr>
      </w:pPr>
    </w:p>
    <w:p>
      <w:pPr>
        <w:ind w:left="500" w:right="160"/>
        <w:spacing w:after="0" w:line="255" w:lineRule="auto"/>
        <w:rPr>
          <w:sz w:val="20"/>
          <w:szCs w:val="20"/>
          <w:color w:val="auto"/>
        </w:rPr>
      </w:pPr>
      <w:r>
        <w:rPr>
          <w:rFonts w:ascii="Times New Roman" w:cs="Times New Roman" w:eastAsia="Times New Roman" w:hAnsi="Times New Roman"/>
          <w:sz w:val="18"/>
          <w:szCs w:val="18"/>
          <w:color w:val="auto"/>
        </w:rPr>
        <w:t>Mr. Diller, age 73, has served as Chairman and Senior Executive of IAC/InterActiveCorp, an interactive commerce company, since December 2010; Chairman and Senior Executive of Expedia, Inc., an online travel company, since August 2005; and Chairman and Senior Executive of TripAdvisor, Inc., an online travel site, from December 2011 through December 2012. He has served as a Director of the Company since September 2000 and is a member of the Finance, Executive and Compensation Committees of the Board. Prior to his service at IAC/InterActiveCorp (and its predecessor companies) from August 1995 through December 2010, Mr. Diller was Chairman of the Board and Chief Executive Officer of QVC, Inc. from December 1992 through December 1994. From October 1984 to April 1992, Mr. Diller served as Chairman of the Board and Chief Executive Officer of Fox, Inc. and was responsible for the creation of Fox Broadcasting Company, in addition to Fox’s motion picture operations. Prior to joining Fox, Inc., he served for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7" w:name="page8"/>
    <w:bookmarkEnd w:id="7"/>
    <w:p>
      <w:pPr>
        <w:ind w:left="500" w:right="20"/>
        <w:spacing w:after="0" w:line="253" w:lineRule="auto"/>
        <w:rPr>
          <w:sz w:val="20"/>
          <w:szCs w:val="20"/>
          <w:color w:val="auto"/>
        </w:rPr>
      </w:pPr>
      <w:r>
        <w:rPr>
          <w:rFonts w:ascii="Times New Roman" w:cs="Times New Roman" w:eastAsia="Times New Roman" w:hAnsi="Times New Roman"/>
          <w:sz w:val="18"/>
          <w:szCs w:val="18"/>
          <w:color w:val="auto"/>
        </w:rPr>
        <w:t>ten years as Chairman of the Board and Chief Executive Officer of Paramount Pictures Corporation. Mr. Diller also previously served as the non-executive Chairman of the Board of Ticketmaster Entertainment, Inc. from August 2008 through January 2010 and as non-executive Chairman of the Board of Live Nation Entertainment from January 2010 through October 2010 and remained a member of the Board of Live Nation Entertainment through January 2011. He is President and a Director of The Diller-von Furstenberg Family Foundation and a Director of The Coca-Cola Company. He also is a member of the Board of Trustees of New York University and a member of the Board of Councilors of the University of Southern California’s School of Cinema-Television. Mr. Diller’s experience and leadership roles in the media and Internet sectors, including his experience with the challenges and opportunities associated with the digital transformation of the media industry, are of particular relevance to the Company’s business strategy. Mr. Diller’s significant experience across a variety of media and in the design, execution and oversight of new-media initiatives, as well as the distribution and monetization of Internet traffic across multiple advertising models, brings a vital perspective to the Board’s deliberations about the Company’s outlook and plans. Based on his service as a Director of other public companies, Mr. Diller also has experience in governance matters affecting organizations of comparable size and scope as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Goldberg</w:t>
      </w:r>
    </w:p>
    <w:p>
      <w:pPr>
        <w:spacing w:after="0" w:line="229" w:lineRule="exact"/>
        <w:rPr>
          <w:sz w:val="20"/>
          <w:szCs w:val="20"/>
          <w:color w:val="auto"/>
        </w:rPr>
      </w:pPr>
    </w:p>
    <w:p>
      <w:pPr>
        <w:ind w:left="500" w:right="20"/>
        <w:spacing w:after="0" w:line="253" w:lineRule="auto"/>
        <w:rPr>
          <w:sz w:val="20"/>
          <w:szCs w:val="20"/>
          <w:color w:val="auto"/>
        </w:rPr>
      </w:pPr>
      <w:r>
        <w:rPr>
          <w:rFonts w:ascii="Times New Roman" w:cs="Times New Roman" w:eastAsia="Times New Roman" w:hAnsi="Times New Roman"/>
          <w:sz w:val="18"/>
          <w:szCs w:val="18"/>
          <w:color w:val="auto"/>
        </w:rPr>
        <w:t>Mr. Goldberg, age 47, has served as Chief Executive Officer of SurveyMonkey, an online survey company, since April 2009. He was elected a Director of the Company in September 2012 and is a member of the Finance Committee. Mr. Goldberg founded LAUNCH Media, Inc. in 1994, a company dedicated to delivering music and music-related content online, and he led the company through its acquisition by Yahoo! in 2001. Following the sale, Mr. Goldberg served as Vice President and General Manager of Yahoo! Music until 2007. From 2007 until he joined SurveyMonkey in 2009, Mr. Goldberg served as an Entrepreneur in Residence with Benchmark Capital, where he evaluated investment opportunities for the firm and advised portfolio companies. Earlier in his career, Mr. Goldberg was Director of Marketing Strategy and New Business Development at Capitol Records. He currently serves on the Boards of Directors of several private companies, including The Farm Media and FilmTrack. Mr. Goldberg is also a Trustee of the New Schools Venture Fund, an Oakland, CA, non-profit helping to build high-quality education organizations. Mr. Goldberg’s significant experience and leadership roles in the media and Internet sectors, including his experience with the challenges and opportunities associated with the digital evolution of the music industry, are of particular relevance to the Company’s business strategy. Mr. Goldberg’s experience in the technology sector, his role as a Director for a non-profit education organization, as well as his years spent in entrepreneurial roles bring a vital perspective to the Board’s deliberations about the Company’s outlook and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Donald E. Graham</w:t>
      </w:r>
    </w:p>
    <w:p>
      <w:pPr>
        <w:spacing w:after="0" w:line="229"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8"/>
          <w:szCs w:val="18"/>
          <w:color w:val="auto"/>
        </w:rPr>
        <w:t>Mr. Graham, age 69, has served as Chairman of the Board of the Company since September 1993 and as Chief Executive Officer of the Company since May 1991.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 Committee of the Board. By virtue of his ownership of 72.8% of the outstanding Class A Stock of the Company and his right to control the vote as a trustee of certain family trusts of an additional 15.1% of such stock, Mr. Graham effectively votes a total of 87.9% of the Class A shares. Mr. Graham has been a Director of Facebook, Inc. since December 2008, where he is Chairman of the Governance Committee and serves on the Compensation Committee. Mr. Graham is a Trustee of the Federal City Council, the College Success Foundation, the Philip L. Graham Fund and KIPP-DC. He serves as a Director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also serve as members of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Ronald L. Olson</w:t>
      </w:r>
    </w:p>
    <w:p>
      <w:pPr>
        <w:spacing w:after="0" w:line="229" w:lineRule="exact"/>
        <w:rPr>
          <w:sz w:val="20"/>
          <w:szCs w:val="20"/>
          <w:color w:val="auto"/>
        </w:rPr>
      </w:pPr>
    </w:p>
    <w:p>
      <w:pPr>
        <w:ind w:left="500" w:right="120"/>
        <w:spacing w:after="0" w:line="258" w:lineRule="auto"/>
        <w:rPr>
          <w:sz w:val="20"/>
          <w:szCs w:val="20"/>
          <w:color w:val="auto"/>
        </w:rPr>
      </w:pPr>
      <w:r>
        <w:rPr>
          <w:rFonts w:ascii="Times New Roman" w:cs="Times New Roman" w:eastAsia="Times New Roman" w:hAnsi="Times New Roman"/>
          <w:sz w:val="18"/>
          <w:szCs w:val="18"/>
          <w:color w:val="auto"/>
        </w:rPr>
        <w:t>Mr. Olson, age 73, has been a partner since 1970 in the law firm of Munger, Tolles &amp; Olson LLP, which is one of several law firms that were retained by a subsidiary of the Company in 2014 and which may again be retained in 2015. He has served as a Director of the Company since September 2003 and is a member of the Executive Committee. Mr. Olson is a Director of Berkshire Hathaway Inc. and is a Trustee of Western Asset Funds. He is a Director and serves on the Audit Committee of the non-profit RAND Corporation and Norton Simon Museum and is a Director of a number of other non-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left="500" w:right="80"/>
        <w:spacing w:after="0" w:line="258" w:lineRule="auto"/>
        <w:rPr>
          <w:sz w:val="20"/>
          <w:szCs w:val="20"/>
          <w:color w:val="auto"/>
        </w:rPr>
      </w:pPr>
      <w:r>
        <w:rPr>
          <w:rFonts w:ascii="Times New Roman" w:cs="Times New Roman" w:eastAsia="Times New Roman" w:hAnsi="Times New Roman"/>
          <w:sz w:val="18"/>
          <w:szCs w:val="18"/>
          <w:color w:val="auto"/>
        </w:rPr>
        <w:t>profit organizations, including the California Institute of Technology, the Mayo Clinic and ProPublica. As a partner of a major law firm specializing in corporate and financial matters, Mr. Olson has significant experience in financial, transactional, litigation and compliance matters involving public companies in the United States, as well as public policy challenges facing companies with global operations. As a Director of other public companies and as an advisor to public company boards of directors, Mr. Olson also has experience in governance matters affecting organizations of comparable size and scope as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Timothy J. O’Shaughnessy</w:t>
      </w:r>
    </w:p>
    <w:p>
      <w:pPr>
        <w:spacing w:after="0" w:line="229" w:lineRule="exact"/>
        <w:rPr>
          <w:sz w:val="20"/>
          <w:szCs w:val="20"/>
          <w:color w:val="auto"/>
        </w:rPr>
      </w:pPr>
    </w:p>
    <w:p>
      <w:pPr>
        <w:ind w:left="500" w:right="80"/>
        <w:spacing w:after="0" w:line="254" w:lineRule="auto"/>
        <w:rPr>
          <w:sz w:val="20"/>
          <w:szCs w:val="20"/>
          <w:color w:val="auto"/>
        </w:rPr>
      </w:pPr>
      <w:r>
        <w:rPr>
          <w:rFonts w:ascii="Times New Roman" w:cs="Times New Roman" w:eastAsia="Times New Roman" w:hAnsi="Times New Roman"/>
          <w:sz w:val="18"/>
          <w:szCs w:val="18"/>
          <w:color w:val="auto"/>
        </w:rPr>
        <w:t>Mr. O’Shaughnessy, age 33, is President of Graham Holdings Company, where he oversees investments and acquisitions.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Following his graduation from Georgetown University in 2004 with a BSBA in Marketing, Operations and Information Management, Mr. O’Shaughnessy joined AOL as a product manager. In 2006, he moved to Revolution Health, where he rose to Vice President of Product Development. During that time, he and three others developed a successful series of apps for Facebook. That company grew into LivingSocial, where Mr. O’Shaughnessy was CEO for seven years. Mr. O’Shaughnessy is a member of the Executive Committee of the Federal City Council and is a Director of Framebridge, Inc. He is married to Laura Graham O’Shaughnessy, a daughter of Donald E. Graham. She is CEO of SocialCode, a social-media marketing technology and services company, wholly owned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Richard Wagoner, Jr.</w:t>
      </w:r>
    </w:p>
    <w:p>
      <w:pPr>
        <w:spacing w:after="0" w:line="229" w:lineRule="exact"/>
        <w:rPr>
          <w:sz w:val="20"/>
          <w:szCs w:val="20"/>
          <w:color w:val="auto"/>
        </w:rPr>
      </w:pPr>
    </w:p>
    <w:p>
      <w:pPr>
        <w:ind w:left="500" w:right="20"/>
        <w:spacing w:after="0" w:line="252" w:lineRule="auto"/>
        <w:rPr>
          <w:sz w:val="20"/>
          <w:szCs w:val="20"/>
          <w:color w:val="auto"/>
        </w:rPr>
      </w:pPr>
      <w:r>
        <w:rPr>
          <w:rFonts w:ascii="Times New Roman" w:cs="Times New Roman" w:eastAsia="Times New Roman" w:hAnsi="Times New Roman"/>
          <w:sz w:val="18"/>
          <w:szCs w:val="18"/>
          <w:color w:val="auto"/>
        </w:rPr>
        <w:t>Mr. Wagoner, age 62,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On June 1, 2009, GM and its affiliates filed voluntary petitions in the U.S. Bankruptcy Court for the Southern District of New York, seeking relief under Chapter 11 of the U.S. Bankruptcy Code. Mr. Wagoner was not an Executive Officer or Director of GM at the time of that filing. Mr. Wagoner is a member of the Board of Directors of Invesco and several privately held companies. In addition, he advises several investment and finance firms, start-ups and early-stage ventures. Mr. Wagoner is a member of the Virginia Commonwealth University Board of Visitors, the Duke University Health Systems Board of Directors and the Duke Kunshan University Advisory Board. He is a Trustee Emeritus of Duke University and a former Board Chair and continues as a member of Duke Fuqua’s School of Business Advisory Board. He is a member of the Mayor of Shanghai, China’s International Business Leaders Advisory Council and a member of the Council of Chief Executives.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Katharine Weymouth</w:t>
      </w:r>
    </w:p>
    <w:p>
      <w:pPr>
        <w:spacing w:after="0" w:line="229" w:lineRule="exact"/>
        <w:rPr>
          <w:sz w:val="20"/>
          <w:szCs w:val="20"/>
          <w:color w:val="auto"/>
        </w:rPr>
      </w:pPr>
    </w:p>
    <w:p>
      <w:pPr>
        <w:ind w:left="500"/>
        <w:spacing w:after="0" w:line="255" w:lineRule="auto"/>
        <w:rPr>
          <w:sz w:val="20"/>
          <w:szCs w:val="20"/>
          <w:color w:val="auto"/>
        </w:rPr>
      </w:pPr>
      <w:r>
        <w:rPr>
          <w:rFonts w:ascii="Times New Roman" w:cs="Times New Roman" w:eastAsia="Times New Roman" w:hAnsi="Times New Roman"/>
          <w:sz w:val="18"/>
          <w:szCs w:val="18"/>
          <w:color w:val="auto"/>
        </w:rPr>
        <w:t>Ms. Weymouth, age 48, is former Publisher and Chief Executive Officer of The Washington Post. She was CEO and Publisher from February 2008 to October 2014. Ms. Weymouth became a Director of the Company in September 2010, and she currently serves on the Finance Committee of the Board. She joined The Washington Post in 1996 as Assistant General Counsel and held various positions within that organization over 18 years. Ms. Weymouth held several positions within the Post’s advertising department, including Director of the department’s jobs unit, Director of Advertising Sales and Vice President of Advertising. She also served as Associate Counsel of Washingtonpost.Newsweek Interactive, then the online publishing subsidiary of The Washington Post Company. She serves as a Trustee of the Philip L. Graham Fund and of The Field School and is a Director of The Economic Club of Washington, D.C. Ms. Weymouth is a niece of the Chairman of the Board and Chief Executive Officer of the Company, Mr. Graham.</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C. Davis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580" w:right="259" w:bottom="1440" w:gutter="0" w:footer="0" w:header="0"/>
        </w:sectPr>
      </w:pPr>
    </w:p>
    <w:bookmarkStart w:id="9" w:name="page10"/>
    <w:bookmarkEnd w:id="9"/>
    <w:p>
      <w:pPr>
        <w:ind w:left="500"/>
        <w:spacing w:after="0" w:line="255" w:lineRule="auto"/>
        <w:rPr>
          <w:sz w:val="20"/>
          <w:szCs w:val="20"/>
          <w:color w:val="auto"/>
        </w:rPr>
      </w:pPr>
      <w:r>
        <w:rPr>
          <w:rFonts w:ascii="Times New Roman" w:cs="Times New Roman" w:eastAsia="Times New Roman" w:hAnsi="Times New Roman"/>
          <w:sz w:val="18"/>
          <w:szCs w:val="18"/>
          <w:color w:val="auto"/>
        </w:rPr>
        <w:t>Mr. Davis, age 49, has served as Chairman of Davis Selected Advisers, Inc., an investment counseling firm, since 1998. He has served as a Director of the Company since January 2006 and is a member of the Audit, Finance and Executive Committees of the Board. Mr. Davis became lead Director in May 2011. Mr. Davis is also a Director and officer of a number of mutual funds advised by Davis Selected Advisers, LP, as well as other entities controlled by Davis Selected Advisers, LP. Mr. Davis is a Director of the Hudson Highland Land Trust and a Trustee of the American Museum of Natural History and the Shelby Cullom Davis Charitable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S. Gayner</w:t>
      </w:r>
    </w:p>
    <w:p>
      <w:pPr>
        <w:spacing w:after="0" w:line="229" w:lineRule="exact"/>
        <w:rPr>
          <w:sz w:val="20"/>
          <w:szCs w:val="20"/>
          <w:color w:val="auto"/>
        </w:rPr>
      </w:pPr>
    </w:p>
    <w:p>
      <w:pPr>
        <w:ind w:left="500" w:right="40"/>
        <w:spacing w:after="0" w:line="254" w:lineRule="auto"/>
        <w:rPr>
          <w:sz w:val="20"/>
          <w:szCs w:val="20"/>
          <w:color w:val="auto"/>
        </w:rPr>
      </w:pPr>
      <w:r>
        <w:rPr>
          <w:rFonts w:ascii="Times New Roman" w:cs="Times New Roman" w:eastAsia="Times New Roman" w:hAnsi="Times New Roman"/>
          <w:sz w:val="18"/>
          <w:szCs w:val="18"/>
          <w:color w:val="auto"/>
        </w:rPr>
        <w:t>Mr. Gayner, age 53, has served as President and Chief Investment Officer of Markel Corporation, a publicly traded financial holding company headquartered in Glen Allen, VA, since May 2010. Mr. Gayner has served as a Director of the Company since January 2007. He is Chairman of the Audit Committee and a member of the Finance Committee. Since 1990, he has served as President of Markel Gayner Asset Management; he served as a Director of Markel Corporation from 1998 to 2003. Previously, he was a certified public accountant at PricewaterhouseCoopers LLP and a Vice President of Davenport &amp; Company of Virginia. Mr. Gayner serves on the Board of Directors of Colfax Corporation, The Davis Series Mutual Funds, Bon Secours Health System and the Community Foundation of Richmond.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 M. Mulcahy</w:t>
      </w:r>
    </w:p>
    <w:p>
      <w:pPr>
        <w:spacing w:after="0" w:line="229" w:lineRule="exact"/>
        <w:rPr>
          <w:sz w:val="20"/>
          <w:szCs w:val="20"/>
          <w:color w:val="auto"/>
        </w:rPr>
      </w:pPr>
    </w:p>
    <w:p>
      <w:pPr>
        <w:ind w:left="500" w:right="80"/>
        <w:spacing w:after="0" w:line="257" w:lineRule="auto"/>
        <w:rPr>
          <w:sz w:val="20"/>
          <w:szCs w:val="20"/>
          <w:color w:val="auto"/>
        </w:rPr>
      </w:pPr>
      <w:r>
        <w:rPr>
          <w:rFonts w:ascii="Times New Roman" w:cs="Times New Roman" w:eastAsia="Times New Roman" w:hAnsi="Times New Roman"/>
          <w:sz w:val="18"/>
          <w:szCs w:val="18"/>
          <w:color w:val="auto"/>
        </w:rPr>
        <w:t>Mrs. Mulcahy, age 62,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w:t>
      </w:r>
    </w:p>
    <w:p>
      <w:pPr>
        <w:spacing w:after="0" w:line="2" w:lineRule="exact"/>
        <w:rPr>
          <w:sz w:val="20"/>
          <w:szCs w:val="20"/>
          <w:color w:val="auto"/>
        </w:rPr>
      </w:pPr>
    </w:p>
    <w:p>
      <w:pPr>
        <w:ind w:left="500" w:right="20"/>
        <w:spacing w:after="0" w:line="251" w:lineRule="auto"/>
        <w:rPr>
          <w:sz w:val="20"/>
          <w:szCs w:val="20"/>
          <w:color w:val="auto"/>
        </w:rPr>
      </w:pPr>
      <w:r>
        <w:rPr>
          <w:rFonts w:ascii="Times New Roman" w:cs="Times New Roman" w:eastAsia="Times New Roman" w:hAnsi="Times New Roman"/>
          <w:sz w:val="18"/>
          <w:szCs w:val="18"/>
          <w:color w:val="auto"/>
        </w:rPr>
        <w:t>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Target Corporation, Johnson &amp; Johnson, LPL Financial and the non-profit organization Save the Children, where she serves as Board Chairman. Mrs. Mulcahy was a Director of Citigroup, Inc. until May 2010.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Larry D. Thompson</w:t>
      </w:r>
    </w:p>
    <w:p>
      <w:pPr>
        <w:spacing w:after="0" w:line="229" w:lineRule="exact"/>
        <w:rPr>
          <w:sz w:val="20"/>
          <w:szCs w:val="20"/>
          <w:color w:val="auto"/>
        </w:rPr>
      </w:pPr>
    </w:p>
    <w:p>
      <w:pPr>
        <w:ind w:left="500"/>
        <w:spacing w:after="0" w:line="257" w:lineRule="auto"/>
        <w:rPr>
          <w:sz w:val="20"/>
          <w:szCs w:val="20"/>
          <w:color w:val="auto"/>
        </w:rPr>
      </w:pPr>
      <w:r>
        <w:rPr>
          <w:rFonts w:ascii="Times New Roman" w:cs="Times New Roman" w:eastAsia="Times New Roman" w:hAnsi="Times New Roman"/>
          <w:sz w:val="18"/>
          <w:szCs w:val="18"/>
          <w:color w:val="auto"/>
        </w:rPr>
        <w:t>Mr. Thompson, age 69, is recently retired from PepsiCo, Inc., a global food and beverage company, where he served as Executive Vice President– Government Affairs, General Counsel and Corporate Secretary from June 2012 to November 2014. From October 2004 to May 2011, when he initially retired, Mr. Thompson served as a Senior Vice President–Government Affairs, General Counsel and Corporate Secretary of PepsiCo,</w:t>
      </w:r>
    </w:p>
    <w:p>
      <w:pPr>
        <w:spacing w:after="0" w:line="2" w:lineRule="exact"/>
        <w:rPr>
          <w:sz w:val="20"/>
          <w:szCs w:val="20"/>
          <w:color w:val="auto"/>
        </w:rPr>
      </w:pPr>
    </w:p>
    <w:p>
      <w:pPr>
        <w:ind w:left="500" w:right="60"/>
        <w:spacing w:after="0" w:line="265" w:lineRule="auto"/>
        <w:rPr>
          <w:sz w:val="20"/>
          <w:szCs w:val="20"/>
          <w:color w:val="auto"/>
        </w:rPr>
      </w:pPr>
      <w:r>
        <w:rPr>
          <w:rFonts w:ascii="Times New Roman" w:cs="Times New Roman" w:eastAsia="Times New Roman" w:hAnsi="Times New Roman"/>
          <w:sz w:val="17"/>
          <w:szCs w:val="17"/>
          <w:color w:val="auto"/>
        </w:rPr>
        <w:t>Inc. Mr. Thompson has served as a Director of the Company since June 2011 and is a member of the Compensation Committee. Mr. Thompson serves on the Advisory Boards of The Brookings Institution and the Georgia Justice Project and is a Director of the PepsiCo Foundation, Practising Law Institute and Southern Company, as well as various Franklin, Templeton and Mutual Series Funds. His government career included serving in the U.S. Department of Justice as Deputy Attorney General and leading the Department’s National Security Coordination Council. In 2002, President George W. Bush named Mr. Thompson to head the Corporate Fraud Task Force. Previously, Mr. Thompson had been a partner in the Atlanta law firm of King</w:t>
      </w:r>
    </w:p>
    <w:p>
      <w:pPr>
        <w:spacing w:after="0" w:line="1" w:lineRule="exact"/>
        <w:rPr>
          <w:sz w:val="20"/>
          <w:szCs w:val="20"/>
          <w:color w:val="auto"/>
        </w:rPr>
      </w:pPr>
    </w:p>
    <w:p>
      <w:pPr>
        <w:ind w:left="500" w:right="40" w:hanging="6"/>
        <w:spacing w:after="0" w:line="254"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Spalding, where he practiced in the antitrust and litigation departments. He served as the U.S. Attorney for the Northern District of Georgia and was later appointed Independent Counsel for the Department of Housing and Urban Development Investigation by the Special Panel of the U.S. Circuit Court Judges appointed by the U.S. Supreme Court. He is an elected Fellow of the American Board of Criminal Lawyers. Mr. Thompson is a recipient of the Edmund Jennings Randolph Award for outstanding contributions to the accomplishment of the Department of Justice’s mission,</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580" w:right="279" w:bottom="1440" w:gutter="0" w:footer="0" w:header="0"/>
        </w:sectPr>
      </w:pPr>
    </w:p>
    <w:bookmarkStart w:id="10" w:name="page11"/>
    <w:bookmarkEnd w:id="10"/>
    <w:p>
      <w:pPr>
        <w:ind w:left="500"/>
        <w:spacing w:after="0" w:line="261" w:lineRule="auto"/>
        <w:rPr>
          <w:sz w:val="20"/>
          <w:szCs w:val="20"/>
          <w:color w:val="auto"/>
        </w:rPr>
      </w:pPr>
      <w:r>
        <w:rPr>
          <w:rFonts w:ascii="Times New Roman" w:cs="Times New Roman" w:eastAsia="Times New Roman" w:hAnsi="Times New Roman"/>
          <w:sz w:val="18"/>
          <w:szCs w:val="18"/>
          <w:color w:val="auto"/>
        </w:rPr>
        <w:t>the Outstanding Litigator Award by the Federal Bar Association and the A. T. Walden Award for outstanding accomplishments to the legal profession by the Gate City Bar Association in Atlanta. Through his previous roles at the U.S. Department of Justice and at PepsiCo, Mr. Thompson brings to the Board extensive legal experience in both a governmental and corporate setting. As a Director of other public companies, he also has significant experience with corporate governance matters and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OF THE NOMINATED DIRECTORS.</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20"/>
          </w:cols>
          <w:pgMar w:left="24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standing committees of the Board include the Audit Committee, Compensation Committee, Finance Committee and Executive Committee.</w:t>
      </w:r>
    </w:p>
    <w:p>
      <w:pPr>
        <w:spacing w:after="0" w:line="225" w:lineRule="exact"/>
        <w:rPr>
          <w:sz w:val="20"/>
          <w:szCs w:val="20"/>
          <w:color w:val="auto"/>
        </w:rPr>
      </w:pPr>
    </w:p>
    <w:p>
      <w:pPr>
        <w:ind w:right="220" w:firstLine="729"/>
        <w:spacing w:after="0" w:line="266" w:lineRule="auto"/>
        <w:rPr>
          <w:sz w:val="20"/>
          <w:szCs w:val="20"/>
          <w:color w:val="auto"/>
        </w:rPr>
      </w:pPr>
      <w:r>
        <w:rPr>
          <w:rFonts w:ascii="Times New Roman" w:cs="Times New Roman" w:eastAsia="Times New Roman" w:hAnsi="Times New Roman"/>
          <w:sz w:val="18"/>
          <w:szCs w:val="18"/>
          <w:color w:val="auto"/>
        </w:rPr>
        <w:t>Given the ownership structure of the Company and its status as a “controlled company” (see page 13),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00" w:firstLine="729"/>
        <w:spacing w:after="0" w:line="255" w:lineRule="auto"/>
        <w:rPr>
          <w:sz w:val="20"/>
          <w:szCs w:val="20"/>
          <w:color w:val="auto"/>
        </w:rPr>
      </w:pPr>
      <w:r>
        <w:rPr>
          <w:rFonts w:ascii="Times New Roman" w:cs="Times New Roman" w:eastAsia="Times New Roman" w:hAnsi="Times New Roman"/>
          <w:sz w:val="18"/>
          <w:szCs w:val="18"/>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 (vii) the preparation of certain reports required by the rules and regulations of the Securities and Exchange Commission.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89" w:lineRule="exact"/>
        <w:rPr>
          <w:sz w:val="20"/>
          <w:szCs w:val="20"/>
          <w:color w:val="auto"/>
        </w:rPr>
      </w:pPr>
    </w:p>
    <w:p>
      <w:pPr>
        <w:ind w:right="120" w:firstLine="729"/>
        <w:spacing w:after="0" w:line="258" w:lineRule="auto"/>
        <w:rPr>
          <w:sz w:val="20"/>
          <w:szCs w:val="20"/>
          <w:color w:val="auto"/>
        </w:rPr>
      </w:pPr>
      <w:r>
        <w:rPr>
          <w:rFonts w:ascii="Times New Roman" w:cs="Times New Roman" w:eastAsia="Times New Roman" w:hAnsi="Times New Roman"/>
          <w:sz w:val="18"/>
          <w:szCs w:val="18"/>
          <w:color w:val="auto"/>
        </w:rPr>
        <w:t>Christopher C. Davis, Thomas S. Gayner (Chairman) and G. Richard Wagoner, Jr. served on the Audit Committee in 2014.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4" w:lineRule="exact"/>
        <w:rPr>
          <w:sz w:val="20"/>
          <w:szCs w:val="20"/>
          <w:color w:val="auto"/>
        </w:rPr>
      </w:pPr>
    </w:p>
    <w:p>
      <w:pPr>
        <w:ind w:right="60" w:firstLine="729"/>
        <w:spacing w:after="0" w:line="255" w:lineRule="auto"/>
        <w:rPr>
          <w:sz w:val="20"/>
          <w:szCs w:val="20"/>
          <w:color w:val="auto"/>
        </w:rPr>
      </w:pPr>
      <w:r>
        <w:rPr>
          <w:rFonts w:ascii="Times New Roman" w:cs="Times New Roman" w:eastAsia="Times New Roman" w:hAnsi="Times New Roman"/>
          <w:sz w:val="18"/>
          <w:szCs w:val="18"/>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Audit Committee held seven meetings in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firstLine="729"/>
        <w:spacing w:after="0" w:line="255" w:lineRule="auto"/>
        <w:rPr>
          <w:sz w:val="20"/>
          <w:szCs w:val="20"/>
          <w:color w:val="auto"/>
        </w:rPr>
      </w:pPr>
      <w:r>
        <w:rPr>
          <w:rFonts w:ascii="Times New Roman" w:cs="Times New Roman" w:eastAsia="Times New Roman" w:hAnsi="Times New Roman"/>
          <w:sz w:val="18"/>
          <w:szCs w:val="18"/>
          <w:color w:val="auto"/>
        </w:rPr>
        <w:t>The functions of the Compensation Committee include (i) reviewing and approving the compensation of the Company’s Chief Executive Officer and President; (ii) consulting with the Chief Executive Officer with respect to the compensation of the Company’s other executives (including, specifically, approving all salaries of $300,000 or more per year; all incentive compensation awards and all other bonuses, other than sales bonuses, of $75,000 or more for employees of all business units, including Corporate; and awards of restricted stock and stock options); (iii) overseeing the administration and determination of awards under the Company’s compensation plans; and (iv) preparing any report on executive compensation required by the rules and regulations of the SEC.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85" w:lineRule="exact"/>
        <w:rPr>
          <w:sz w:val="20"/>
          <w:szCs w:val="20"/>
          <w:color w:val="auto"/>
        </w:rPr>
      </w:pPr>
    </w:p>
    <w:p>
      <w:pPr>
        <w:ind w:right="500" w:firstLine="729"/>
        <w:spacing w:after="0" w:line="266" w:lineRule="auto"/>
        <w:rPr>
          <w:sz w:val="20"/>
          <w:szCs w:val="20"/>
          <w:color w:val="auto"/>
        </w:rPr>
      </w:pPr>
      <w:r>
        <w:rPr>
          <w:rFonts w:ascii="Times New Roman" w:cs="Times New Roman" w:eastAsia="Times New Roman" w:hAnsi="Times New Roman"/>
          <w:sz w:val="18"/>
          <w:szCs w:val="18"/>
          <w:color w:val="auto"/>
        </w:rPr>
        <w:t>Lee C. Bollinger, Barry Diller, Anne M. Mulcahy (Chairman) and Larry D. Thompson served on the Compensation Committee in 2014. All members of the Compensation Committee are non-employee Directors and have been determined to be “independent” within the meaning of the listing requirements of the New York Stock Exchange applicable to service on compensation committees.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12" w:name="page13"/>
    <w:bookmarkEnd w:id="12"/>
    <w:p>
      <w:pPr>
        <w:ind w:left="740"/>
        <w:spacing w:after="0"/>
        <w:rPr>
          <w:sz w:val="20"/>
          <w:szCs w:val="20"/>
          <w:color w:val="auto"/>
        </w:rPr>
      </w:pPr>
      <w:r>
        <w:rPr>
          <w:rFonts w:ascii="Times New Roman" w:cs="Times New Roman" w:eastAsia="Times New Roman" w:hAnsi="Times New Roman"/>
          <w:sz w:val="18"/>
          <w:szCs w:val="18"/>
          <w:color w:val="auto"/>
        </w:rPr>
        <w:t>The Compensation Committee held six meetings in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p>
      <w:pPr>
        <w:spacing w:after="0" w:line="229"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76" w:lineRule="exact"/>
        <w:rPr>
          <w:sz w:val="20"/>
          <w:szCs w:val="20"/>
          <w:color w:val="auto"/>
        </w:rPr>
      </w:pPr>
    </w:p>
    <w:p>
      <w:pPr>
        <w:ind w:right="240" w:firstLine="729"/>
        <w:spacing w:after="0" w:line="282" w:lineRule="auto"/>
        <w:rPr>
          <w:sz w:val="20"/>
          <w:szCs w:val="20"/>
          <w:color w:val="auto"/>
        </w:rPr>
      </w:pPr>
      <w:r>
        <w:rPr>
          <w:rFonts w:ascii="Times New Roman" w:cs="Times New Roman" w:eastAsia="Times New Roman" w:hAnsi="Times New Roman"/>
          <w:sz w:val="18"/>
          <w:szCs w:val="18"/>
          <w:color w:val="auto"/>
        </w:rPr>
        <w:t>Christopher C. Davis (Chairman), Barry Diller, Thomas S. Gayner, David Goldberg, Donald E. Graham, Timothy O</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Shaughnessy and Katharine Weymouth served on the Finance Committee in 2014.</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Finance Committee held one meeting in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229" w:lineRule="exact"/>
        <w:rPr>
          <w:sz w:val="20"/>
          <w:szCs w:val="20"/>
          <w:color w:val="auto"/>
        </w:rPr>
      </w:pPr>
    </w:p>
    <w:p>
      <w:pPr>
        <w:ind w:right="20" w:firstLine="729"/>
        <w:spacing w:after="0" w:line="282" w:lineRule="auto"/>
        <w:rPr>
          <w:sz w:val="20"/>
          <w:szCs w:val="20"/>
          <w:color w:val="auto"/>
        </w:rPr>
      </w:pPr>
      <w:r>
        <w:rPr>
          <w:rFonts w:ascii="Times New Roman" w:cs="Times New Roman" w:eastAsia="Times New Roman" w:hAnsi="Times New Roman"/>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62" w:lineRule="exact"/>
        <w:rPr>
          <w:sz w:val="20"/>
          <w:szCs w:val="20"/>
          <w:color w:val="auto"/>
        </w:rPr>
      </w:pPr>
    </w:p>
    <w:p>
      <w:pPr>
        <w:ind w:right="220" w:firstLine="729"/>
        <w:spacing w:after="0" w:line="282" w:lineRule="auto"/>
        <w:rPr>
          <w:sz w:val="20"/>
          <w:szCs w:val="20"/>
          <w:color w:val="auto"/>
        </w:rPr>
      </w:pPr>
      <w:r>
        <w:rPr>
          <w:rFonts w:ascii="Times New Roman" w:cs="Times New Roman" w:eastAsia="Times New Roman" w:hAnsi="Times New Roman"/>
          <w:sz w:val="18"/>
          <w:szCs w:val="18"/>
          <w:color w:val="auto"/>
        </w:rPr>
        <w:t>Christopher C. Davis, Barry Diller, Donald E. Graham (Chairman), Anne M. Mulcahy, Ronald L. Olson and Timothy J. O</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Shaughnessy serve on the Executive Committee.</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Executive Committee held one meeting in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229" w:lineRule="exact"/>
        <w:rPr>
          <w:sz w:val="20"/>
          <w:szCs w:val="20"/>
          <w:color w:val="auto"/>
        </w:rPr>
      </w:pPr>
    </w:p>
    <w:p>
      <w:pPr>
        <w:ind w:right="40" w:firstLine="729"/>
        <w:spacing w:after="0" w:line="282" w:lineRule="auto"/>
        <w:rPr>
          <w:sz w:val="20"/>
          <w:szCs w:val="20"/>
          <w:color w:val="auto"/>
        </w:rPr>
      </w:pPr>
      <w:r>
        <w:rPr>
          <w:rFonts w:ascii="Times New Roman" w:cs="Times New Roman" w:eastAsia="Times New Roman" w:hAnsi="Times New Roman"/>
          <w:sz w:val="18"/>
          <w:szCs w:val="18"/>
          <w:color w:val="auto"/>
        </w:rPr>
        <w:t>The Board held a total of five regular meetings and four special meetings in 2014. Each Director attended at least 75% of the meetings of the Board and the committees of the Board on which the Director served.</w:t>
      </w:r>
    </w:p>
    <w:p>
      <w:pPr>
        <w:spacing w:after="0" w:line="162" w:lineRule="exact"/>
        <w:rPr>
          <w:sz w:val="20"/>
          <w:szCs w:val="20"/>
          <w:color w:val="auto"/>
        </w:rPr>
      </w:pPr>
    </w:p>
    <w:p>
      <w:pPr>
        <w:ind w:right="40" w:firstLine="729"/>
        <w:spacing w:after="0" w:line="282" w:lineRule="auto"/>
        <w:rPr>
          <w:sz w:val="20"/>
          <w:szCs w:val="20"/>
          <w:color w:val="auto"/>
        </w:rPr>
      </w:pPr>
      <w:r>
        <w:rPr>
          <w:rFonts w:ascii="Times New Roman" w:cs="Times New Roman" w:eastAsia="Times New Roman" w:hAnsi="Times New Roman"/>
          <w:sz w:val="18"/>
          <w:szCs w:val="18"/>
          <w:color w:val="auto"/>
        </w:rPr>
        <w:t>The Board does not have a policy of requiring Directors to attend annual meetings of shareholders and leaves it at the discretion of each Director as to whether he or she will attend the meeting. In addition to the Chairman, three Directors attended the 2014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During 2014, non-employee Directors received the following annual payments:</w:t>
      </w:r>
    </w:p>
    <w:p>
      <w:pPr>
        <w:spacing w:after="0" w:line="63" w:lineRule="exact"/>
        <w:rPr>
          <w:sz w:val="20"/>
          <w:szCs w:val="20"/>
          <w:color w:val="auto"/>
        </w:rPr>
      </w:pPr>
    </w:p>
    <w:p>
      <w:pPr>
        <w:ind w:left="1700" w:hanging="314"/>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as a cash retainer; and</w:t>
      </w:r>
    </w:p>
    <w:p>
      <w:pPr>
        <w:spacing w:after="0" w:line="63" w:lineRule="exact"/>
        <w:rPr>
          <w:rFonts w:ascii="Times New Roman" w:cs="Times New Roman" w:eastAsia="Times New Roman" w:hAnsi="Times New Roman"/>
          <w:sz w:val="18"/>
          <w:szCs w:val="18"/>
          <w:color w:val="auto"/>
        </w:rPr>
      </w:pPr>
    </w:p>
    <w:p>
      <w:pPr>
        <w:ind w:left="1700" w:hanging="314"/>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for the meetings they attended.</w:t>
      </w:r>
    </w:p>
    <w:p>
      <w:pPr>
        <w:spacing w:after="0" w:line="225" w:lineRule="exact"/>
        <w:rPr>
          <w:sz w:val="20"/>
          <w:szCs w:val="20"/>
          <w:color w:val="auto"/>
        </w:rPr>
      </w:pPr>
    </w:p>
    <w:p>
      <w:pPr>
        <w:ind w:right="240" w:firstLine="770"/>
        <w:spacing w:after="0" w:line="282" w:lineRule="auto"/>
        <w:rPr>
          <w:sz w:val="20"/>
          <w:szCs w:val="20"/>
          <w:color w:val="auto"/>
        </w:rPr>
      </w:pPr>
      <w:r>
        <w:rPr>
          <w:rFonts w:ascii="Times New Roman" w:cs="Times New Roman" w:eastAsia="Times New Roman" w:hAnsi="Times New Roman"/>
          <w:sz w:val="18"/>
          <w:szCs w:val="18"/>
          <w:color w:val="auto"/>
        </w:rPr>
        <w:t>Each non-employee Chair of a committee of the Board received an additional $20,000. Members of the Audit Committee received an additional $20,000 annually for their service on that committee. Employee Directors received no compensation for serving on the Board.</w:t>
      </w:r>
    </w:p>
    <w:p>
      <w:pPr>
        <w:spacing w:after="0" w:line="162" w:lineRule="exact"/>
        <w:rPr>
          <w:sz w:val="20"/>
          <w:szCs w:val="20"/>
          <w:color w:val="auto"/>
        </w:rPr>
      </w:pPr>
    </w:p>
    <w:p>
      <w:pPr>
        <w:ind w:right="160" w:firstLine="770"/>
        <w:spacing w:after="0" w:line="258" w:lineRule="auto"/>
        <w:rPr>
          <w:sz w:val="20"/>
          <w:szCs w:val="20"/>
          <w:color w:val="auto"/>
        </w:rPr>
      </w:pPr>
      <w:r>
        <w:rPr>
          <w:rFonts w:ascii="Times New Roman" w:cs="Times New Roman" w:eastAsia="Times New Roman" w:hAnsi="Times New Roman"/>
          <w:sz w:val="18"/>
          <w:szCs w:val="18"/>
          <w:color w:val="auto"/>
        </w:rPr>
        <w:t>The Company regularly evaluates the level of its non-employee Director compensation and occasionally makes recommendations to the Board to better align its non-employee Director compensation with the market. In 2014, the Company recommended and the Board approved increasing the annual cash retainer from $80,000 to $150,000; the compensation payable for service as a Chair of a committee of the Board from $10,000 to $20,000; and the compensation payable for service as a member of the Audit Committee from $12,000 to $20,000. These amounts are paid only to non-employee Directors. Employee Directors do not receive additional compensation for serving on the Board.</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total 2014 compensation of non-employee Directors is shown on the following table: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580" w:right="25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164"/>
        </w:trPr>
        <w:tc>
          <w:tcPr>
            <w:tcW w:w="4820" w:type="dxa"/>
            <w:vAlign w:val="bottom"/>
            <w:tcBorders>
              <w:top w:val="single" w:sz="8" w:color="auto"/>
              <w:left w:val="single" w:sz="8" w:color="auto"/>
              <w:right w:val="single" w:sz="8" w:color="auto"/>
            </w:tcBorders>
          </w:tcPr>
          <w:p>
            <w:pPr>
              <w:spacing w:after="0"/>
              <w:rPr>
                <w:sz w:val="14"/>
                <w:szCs w:val="14"/>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Pension Value and</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Borders>
              <w:left w:val="single" w:sz="8" w:color="auto"/>
              <w:right w:val="single" w:sz="8" w:color="auto"/>
            </w:tcBorders>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Borders>
              <w:right w:val="single" w:sz="8" w:color="auto"/>
            </w:tcBorders>
            <w:vMerge w:val="continue"/>
          </w:tcPr>
          <w:p>
            <w:pPr>
              <w:spacing w:after="0"/>
              <w:rPr>
                <w:sz w:val="12"/>
                <w:szCs w:val="12"/>
                <w:color w:val="auto"/>
              </w:rPr>
            </w:pPr>
          </w:p>
        </w:tc>
        <w:tc>
          <w:tcPr>
            <w:tcW w:w="2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 Deferred</w:t>
            </w:r>
          </w:p>
        </w:tc>
        <w:tc>
          <w:tcPr>
            <w:tcW w:w="148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48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Earnings ($)</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2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Lee C. Bollinger</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Christopher C. Davis</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Barry Diller</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Thomas S. Gayner</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David Goldberg</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Anne M. Mulcahy</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Ronald L. Olson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Larry D. Thompson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 Richard Wagoner, Jr.</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$4,000 (1)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Katharine Weymouth</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Charitable contribution made pursuant to the Company’s matching gift program.</w:t>
      </w:r>
    </w:p>
    <w:p>
      <w:pPr>
        <w:spacing w:after="0" w:line="222" w:lineRule="exact"/>
        <w:rPr>
          <w:sz w:val="20"/>
          <w:szCs w:val="20"/>
          <w:color w:val="auto"/>
        </w:rPr>
      </w:pPr>
    </w:p>
    <w:p>
      <w:pPr>
        <w:jc w:val="both"/>
        <w:ind w:right="20" w:firstLine="770"/>
        <w:spacing w:after="0" w:line="255" w:lineRule="auto"/>
        <w:rPr>
          <w:sz w:val="20"/>
          <w:szCs w:val="20"/>
          <w:color w:val="auto"/>
        </w:rPr>
      </w:pPr>
      <w:r>
        <w:rPr>
          <w:rFonts w:ascii="Times New Roman" w:cs="Times New Roman" w:eastAsia="Times New Roman" w:hAnsi="Times New Roman"/>
          <w:sz w:val="18"/>
          <w:szCs w:val="18"/>
          <w:color w:val="auto"/>
        </w:rPr>
        <w:t>The Company has in place a voluntary Deferred Compensation Plan for Directors of the Company. Amounts deferred pursuant to this plan are reflected in the “Fees Earned or Paid in Cash” column in the table above. This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does not provide stock awards, option awards or other non-equity compensation to non-employee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ind w:right="40" w:firstLine="770"/>
        <w:spacing w:after="0" w:line="253" w:lineRule="auto"/>
        <w:rPr>
          <w:sz w:val="20"/>
          <w:szCs w:val="20"/>
          <w:color w:val="auto"/>
        </w:rPr>
      </w:pPr>
      <w:r>
        <w:rPr>
          <w:rFonts w:ascii="Times New Roman" w:cs="Times New Roman" w:eastAsia="Times New Roman" w:hAnsi="Times New Roman"/>
          <w:sz w:val="18"/>
          <w:szCs w:val="18"/>
          <w:color w:val="auto"/>
        </w:rPr>
        <w:t>The descendants of Katharine Graham (including the Company’s Chief Executive Officer and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Lee C. Bollinger, Christopher C. Davis, Barry Diller, Thomas S. Gayner, Anne M. Mulcahy, Ronald L. Olson, Larry D. Thompson and G. Richard Wagoner, Jr.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Non-Management Directors</w:t>
      </w:r>
    </w:p>
    <w:p>
      <w:pPr>
        <w:spacing w:after="0" w:line="229" w:lineRule="exact"/>
        <w:rPr>
          <w:sz w:val="20"/>
          <w:szCs w:val="20"/>
          <w:color w:val="auto"/>
        </w:rPr>
      </w:pPr>
    </w:p>
    <w:p>
      <w:pPr>
        <w:ind w:right="60" w:firstLine="770"/>
        <w:spacing w:after="0" w:line="266" w:lineRule="auto"/>
        <w:rPr>
          <w:sz w:val="20"/>
          <w:szCs w:val="20"/>
          <w:color w:val="auto"/>
        </w:rPr>
      </w:pPr>
      <w:r>
        <w:rPr>
          <w:rFonts w:ascii="Times New Roman" w:cs="Times New Roman" w:eastAsia="Times New Roman" w:hAnsi="Times New Roman"/>
          <w:sz w:val="18"/>
          <w:szCs w:val="18"/>
          <w:color w:val="auto"/>
        </w:rPr>
        <w:t>The listing requirements of the New York Stock Exchange call for the non-management Directors of the Company to meet regularly in executive session without management. The Board has appointed Christopher C. Davis as lead Director and has authorized him to preside at the executive sessions. The non-management Directors met in executive session in June and September 2014 and expect to meet in executive session in 2015 as appropriate.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480" w:firstLine="770"/>
        <w:spacing w:after="0" w:line="266" w:lineRule="auto"/>
        <w:rPr>
          <w:sz w:val="20"/>
          <w:szCs w:val="20"/>
          <w:color w:val="auto"/>
        </w:rPr>
      </w:pPr>
      <w:r>
        <w:rPr>
          <w:rFonts w:ascii="Times New Roman" w:cs="Times New Roman" w:eastAsia="Times New Roman" w:hAnsi="Times New Roman"/>
          <w:sz w:val="18"/>
          <w:szCs w:val="18"/>
          <w:color w:val="auto"/>
        </w:rPr>
        <w:t>Lee C. Bollinger, Barry Diller, Anne M. Mulcahy and Larry D. Thompson served as members of the Compensation Committee in 2014. No member of the Compensation Committee has ever been an employee of the Company. No executive officer of the Company serves on the compensation committee of any other entity that has, or has had, one or more of its executive officers serving on the Company’s 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40"/>
          </w:cols>
          <w:pgMar w:left="240" w:top="714" w:right="219" w:bottom="1440" w:gutter="0" w:footer="0" w:header="0"/>
        </w:sectPr>
      </w:pPr>
    </w:p>
    <w:bookmarkStart w:id="14" w:name="page15"/>
    <w:bookmarkEnd w:id="14"/>
    <w:p>
      <w:pPr>
        <w:ind w:right="20" w:firstLine="770"/>
        <w:spacing w:after="0" w:line="254" w:lineRule="auto"/>
        <w:rPr>
          <w:sz w:val="20"/>
          <w:szCs w:val="20"/>
          <w:color w:val="auto"/>
        </w:rPr>
      </w:pPr>
      <w:r>
        <w:rPr>
          <w:rFonts w:ascii="Times New Roman" w:cs="Times New Roman" w:eastAsia="Times New Roman" w:hAnsi="Times New Roman"/>
          <w:sz w:val="18"/>
          <w:szCs w:val="18"/>
          <w:color w:val="auto"/>
        </w:rPr>
        <w:t>Donald E. Graham serves as Chairman of the Board of the Company, as well as Chief Executive Officer of the Company. The Board of Directors believes that Mr. Graham’s service as both Chairman of the Board and Chief Executive Officer is in the best interests of the Company. This structure is appropriate, given the significant shareholdings in the Company of Mr. Graham and the Graham family, and also serves other purposes. Mr. Graham possesses in-depth strategic and operational knowledge of the opportunities and challenges facing the Company and is best positioned to develop agendas that focus on matters that merit Board attention. At his request, Mr. Graham has not received a raise in his annual salary nor received an annual bonus in 24 years in his current non-Board roles. Because his shareholdings represent his main financial interest in the Company, the Board believes that Mr. Graham’s interests are well aligned with those of shareholders and that his dual role promotes decisive leadership, accountability and clarity in the overall direction of the Company’s business strategy. The Board also believes that this approach facilitates clear and consistent communication of the Company’s strategy to all stakeholders.</w:t>
      </w:r>
    </w:p>
    <w:p>
      <w:pPr>
        <w:spacing w:after="0" w:line="189" w:lineRule="exact"/>
        <w:rPr>
          <w:sz w:val="20"/>
          <w:szCs w:val="20"/>
          <w:color w:val="auto"/>
        </w:rPr>
      </w:pPr>
    </w:p>
    <w:p>
      <w:pPr>
        <w:ind w:right="80" w:firstLine="770"/>
        <w:spacing w:after="0" w:line="258" w:lineRule="auto"/>
        <w:rPr>
          <w:sz w:val="20"/>
          <w:szCs w:val="20"/>
          <w:color w:val="auto"/>
        </w:rPr>
      </w:pPr>
      <w:r>
        <w:rPr>
          <w:rFonts w:ascii="Times New Roman" w:cs="Times New Roman" w:eastAsia="Times New Roman" w:hAnsi="Times New Roman"/>
          <w:sz w:val="18"/>
          <w:szCs w:val="18"/>
          <w:color w:val="auto"/>
        </w:rPr>
        <w:t>While as a “controlled company,” the Company is not legally required to have a majority of independent Directors, the majority of the Board, in fact, comprises independent Directors who act as an effective counterbalance to Mr. Graham in his dual role. The Board also appoints a lead independent Director. Christopher C. Davis serves in this capacity. The lead independent Director typically chairs executive sessions of Board meetings and consults with Mr. Graham and senior management regarding issues to be included in Board meeting agendas. The lead independent Director is also expected to collaborate with Mr. Graham in reviewing key operational and other matters and to act as a liaison between Mr. Graham and the independent Directors.</w:t>
      </w:r>
    </w:p>
    <w:p>
      <w:pPr>
        <w:spacing w:after="0" w:line="184" w:lineRule="exact"/>
        <w:rPr>
          <w:sz w:val="20"/>
          <w:szCs w:val="20"/>
          <w:color w:val="auto"/>
        </w:rPr>
      </w:pPr>
    </w:p>
    <w:p>
      <w:pPr>
        <w:ind w:right="20" w:firstLine="770"/>
        <w:spacing w:after="0" w:line="255" w:lineRule="auto"/>
        <w:rPr>
          <w:sz w:val="20"/>
          <w:szCs w:val="20"/>
          <w:color w:val="auto"/>
        </w:rPr>
      </w:pPr>
      <w:r>
        <w:rPr>
          <w:rFonts w:ascii="Times New Roman" w:cs="Times New Roman" w:eastAsia="Times New Roman" w:hAnsi="Times New Roman"/>
          <w:sz w:val="18"/>
          <w:szCs w:val="18"/>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89" w:lineRule="exact"/>
        <w:rPr>
          <w:sz w:val="20"/>
          <w:szCs w:val="20"/>
          <w:color w:val="auto"/>
        </w:rPr>
      </w:pPr>
    </w:p>
    <w:p>
      <w:pPr>
        <w:ind w:right="220" w:firstLine="770"/>
        <w:spacing w:after="0" w:line="258" w:lineRule="auto"/>
        <w:rPr>
          <w:sz w:val="20"/>
          <w:szCs w:val="20"/>
          <w:color w:val="auto"/>
        </w:rPr>
      </w:pPr>
      <w:r>
        <w:rPr>
          <w:rFonts w:ascii="Times New Roman" w:cs="Times New Roman" w:eastAsia="Times New Roman" w:hAnsi="Times New Roman"/>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Directors</w:t>
      </w:r>
    </w:p>
    <w:p>
      <w:pPr>
        <w:spacing w:after="0" w:line="202" w:lineRule="exact"/>
        <w:rPr>
          <w:sz w:val="20"/>
          <w:szCs w:val="20"/>
          <w:color w:val="auto"/>
        </w:rPr>
      </w:pPr>
    </w:p>
    <w:p>
      <w:pPr>
        <w:ind w:right="20" w:firstLine="770"/>
        <w:spacing w:after="0" w:line="282" w:lineRule="auto"/>
        <w:rPr>
          <w:sz w:val="20"/>
          <w:szCs w:val="20"/>
          <w:color w:val="auto"/>
        </w:rPr>
      </w:pPr>
      <w:r>
        <w:rPr>
          <w:rFonts w:ascii="Times New Roman" w:cs="Times New Roman" w:eastAsia="Times New Roman" w:hAnsi="Times New Roman"/>
          <w:sz w:val="18"/>
          <w:szCs w:val="18"/>
          <w:color w:val="auto"/>
        </w:rPr>
        <w:t>Interested parties may communicate concerns to the lead Director or to the other Directors of the Company through Navex Global, the Company’s third-party-managed hotline, via telephone at 1-866-687-8972 or online at https://ghco.alertline.com.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HOLDINGS OF CERTAIN BENEFICIAL OWNERS AND MANAGEMENT</w:t>
      </w:r>
    </w:p>
    <w:p>
      <w:pPr>
        <w:spacing w:after="0" w:line="202" w:lineRule="exact"/>
        <w:rPr>
          <w:sz w:val="20"/>
          <w:szCs w:val="20"/>
          <w:color w:val="auto"/>
        </w:rPr>
      </w:pPr>
    </w:p>
    <w:p>
      <w:pPr>
        <w:ind w:right="60" w:firstLine="770"/>
        <w:spacing w:after="0" w:line="252" w:lineRule="auto"/>
        <w:rPr>
          <w:sz w:val="20"/>
          <w:szCs w:val="20"/>
          <w:color w:val="auto"/>
        </w:rPr>
      </w:pPr>
      <w:r>
        <w:rPr>
          <w:rFonts w:ascii="Times New Roman" w:cs="Times New Roman" w:eastAsia="Times New Roman" w:hAnsi="Times New Roman"/>
          <w:sz w:val="18"/>
          <w:szCs w:val="18"/>
          <w:color w:val="auto"/>
        </w:rPr>
        <w:t>The information in the following two tables relates to each person who, on February 1, 2015,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For these reasons, there is very substantial duplication in the numbers of shares and percentages shown in the following table.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Holders of Stock</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 (%)</w:t>
            </w:r>
          </w:p>
        </w:tc>
      </w:tr>
      <w:tr>
        <w:trPr>
          <w:trHeight w:val="228"/>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4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Class A Stock</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Class B Stock</w:t>
            </w:r>
          </w:p>
        </w:tc>
      </w:tr>
      <w:tr>
        <w:trPr>
          <w:trHeight w:val="21"/>
        </w:trPr>
        <w:tc>
          <w:tcPr>
            <w:tcW w:w="242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0"/>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Donald E. Graham (a)</w:t>
            </w:r>
          </w:p>
        </w:tc>
        <w:tc>
          <w:tcPr>
            <w:tcW w:w="14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959,776 (98.5%)</w:t>
            </w:r>
          </w:p>
        </w:tc>
        <w:tc>
          <w:tcPr>
            <w:tcW w:w="228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color w:val="auto"/>
              </w:rPr>
              <w:t>1,242,105 (21.4%)*</w:t>
            </w: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1300 North 17th Street, Suite 1700</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Arlington, VA</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Elizabeth G. Weymouth (b)</w:t>
            </w:r>
          </w:p>
        </w:tc>
        <w:tc>
          <w:tcPr>
            <w:tcW w:w="14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248,447 (25.5%)</w:t>
            </w:r>
          </w:p>
        </w:tc>
        <w:tc>
          <w:tcPr>
            <w:tcW w:w="228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1300 North 17th Street, Suite 1700</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Arlington, VA</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J. Gillespie III (c)</w:t>
            </w:r>
          </w:p>
        </w:tc>
        <w:tc>
          <w:tcPr>
            <w:tcW w:w="14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178,575 (18.3%)</w:t>
            </w:r>
          </w:p>
        </w:tc>
        <w:tc>
          <w:tcPr>
            <w:tcW w:w="228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825 Eighth Avenue</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New York, NY</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L. Mosley (d)</w:t>
            </w:r>
          </w:p>
        </w:tc>
        <w:tc>
          <w:tcPr>
            <w:tcW w:w="14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700,169 (71.8%)</w:t>
            </w:r>
          </w:p>
        </w:tc>
        <w:tc>
          <w:tcPr>
            <w:tcW w:w="228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color w:val="auto"/>
              </w:rPr>
              <w:t>871, 056 (15.0%)*</w:t>
            </w: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825 Eighth Avenue</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New York, NY</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Southeastern Asset Management (e)</w:t>
            </w:r>
          </w:p>
        </w:tc>
        <w:tc>
          <w:tcPr>
            <w:tcW w:w="148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228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color w:val="auto"/>
              </w:rPr>
              <w:t>762,194 (16.5%)</w:t>
            </w:r>
          </w:p>
        </w:tc>
      </w:tr>
      <w:tr>
        <w:trPr>
          <w:trHeight w:val="270"/>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6410 Poplar Avenue, Suite 900</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bl>
    <w:p>
      <w:pPr>
        <w:sectPr>
          <w:pgSz w:w="11900" w:h="16838" w:orient="portrait"/>
          <w:cols w:equalWidth="0" w:num="1">
            <w:col w:w="11420"/>
          </w:cols>
          <w:pgMar w:left="240" w:top="796" w:right="239" w:bottom="0" w:gutter="0" w:footer="0" w:header="0"/>
        </w:sectPr>
      </w:pPr>
    </w:p>
    <w:bookmarkStart w:id="15" w:name="page16"/>
    <w:bookmarkEnd w:id="1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Memphis, TN</w:t>
            </w:r>
          </w:p>
        </w:tc>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3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The Vanguard Group (f)</w:t>
            </w:r>
          </w:p>
        </w:tc>
        <w:tc>
          <w:tcPr>
            <w:tcW w:w="34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254,881 (5.3%)</w:t>
            </w:r>
          </w:p>
        </w:tc>
      </w:tr>
      <w:tr>
        <w:trPr>
          <w:trHeight w:val="270"/>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100 Vanguard Boulevard</w:t>
            </w:r>
          </w:p>
        </w:tc>
        <w:tc>
          <w:tcPr>
            <w:tcW w:w="34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Malvern, PA</w:t>
            </w:r>
          </w:p>
        </w:tc>
        <w:tc>
          <w:tcPr>
            <w:tcW w:w="34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Schroder Investment Management North America Inc. (g)</w:t>
            </w:r>
          </w:p>
        </w:tc>
        <w:tc>
          <w:tcPr>
            <w:tcW w:w="34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253,541 (5.3%)</w:t>
            </w:r>
          </w:p>
        </w:tc>
      </w:tr>
      <w:tr>
        <w:trPr>
          <w:trHeight w:val="270"/>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875 Third Avenue, 22nd Floor</w:t>
            </w:r>
          </w:p>
        </w:tc>
        <w:tc>
          <w:tcPr>
            <w:tcW w:w="34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York, NY</w:t>
            </w:r>
          </w:p>
        </w:tc>
        <w:tc>
          <w:tcPr>
            <w:tcW w:w="34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BlackRock, Inc. (h)</w:t>
            </w:r>
          </w:p>
        </w:tc>
        <w:tc>
          <w:tcPr>
            <w:tcW w:w="34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243,431 (5.1%)</w:t>
            </w:r>
          </w:p>
        </w:tc>
      </w:tr>
      <w:tr>
        <w:trPr>
          <w:trHeight w:val="270"/>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55 East 52nd Street</w:t>
            </w:r>
          </w:p>
        </w:tc>
        <w:tc>
          <w:tcPr>
            <w:tcW w:w="3420" w:type="dxa"/>
            <w:vAlign w:val="bottom"/>
          </w:tcPr>
          <w:p>
            <w:pPr>
              <w:spacing w:after="0"/>
              <w:rPr>
                <w:sz w:val="23"/>
                <w:szCs w:val="23"/>
                <w:color w:val="auto"/>
              </w:rPr>
            </w:pPr>
          </w:p>
        </w:tc>
        <w:tc>
          <w:tcPr>
            <w:tcW w:w="1600" w:type="dxa"/>
            <w:vAlign w:val="bottom"/>
          </w:tcPr>
          <w:p>
            <w:pPr>
              <w:spacing w:after="0"/>
              <w:rPr>
                <w:sz w:val="23"/>
                <w:szCs w:val="23"/>
                <w:color w:val="auto"/>
              </w:rPr>
            </w:pPr>
          </w:p>
        </w:tc>
      </w:tr>
    </w:tbl>
    <w:p>
      <w:pPr>
        <w:spacing w:after="0" w:line="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New York, NY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w:t>
      </w:r>
    </w:p>
    <w:p>
      <w:pPr>
        <w:ind w:right="40" w:firstLine="8"/>
        <w:spacing w:after="0" w:line="229" w:lineRule="auto"/>
        <w:tabs>
          <w:tab w:leader="none" w:pos="14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calculations set forth in this table relating to percentage ownership of Class B Stock include 974,823 shares of Class B Stock issuable upon conversion of shares of Class A Stock beneficially owned.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5%.</w:t>
      </w:r>
    </w:p>
    <w:p>
      <w:pPr>
        <w:spacing w:after="0" w:line="42" w:lineRule="exact"/>
        <w:rPr>
          <w:sz w:val="20"/>
          <w:szCs w:val="20"/>
          <w:color w:val="auto"/>
        </w:rPr>
      </w:pPr>
    </w:p>
    <w:p>
      <w:pPr>
        <w:ind w:left="340" w:right="100" w:hanging="332"/>
        <w:spacing w:after="0" w:line="261"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2015, and available to the Company, Mr. Donald Graham has voting and investment power with respect to shares of Class A Stock as follows: sole voting and investment power, 709,627 (72.8%); and shared voting and investment power, 250,149 (25.7%) shares.</w:t>
      </w:r>
    </w:p>
    <w:p>
      <w:pPr>
        <w:ind w:left="340" w:right="1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Graham also has voting and investment power with respect to shares of Class B Stock as follows: sole voting and investment power, 110,662 (1.9%) shares; shared voting and investment power 171,667 (3.0%) shares; and 959,776 (16.6%) shares issuable upon conversion of shares of Class A Stock deemed to be beneficially owned by Mr. Graham.</w:t>
      </w:r>
    </w:p>
    <w:p>
      <w:pPr>
        <w:ind w:left="340" w:right="2480"/>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holdings of Class B Stock recorded for Mr. Graham also include shares of Class B Stock owned by subsidiaries of Berkshire Hathaway Inc. (“Berkshire”), which have the sole investment power of the shares; sole voting power is held by Mr. Donald Graham under an agreement dated February 25, 1977, and amended and extended on September 13, 1985, May 15, 1996, and July 6, 2006, which has a termination date (which may be extended) of February 24, 2017.</w:t>
      </w:r>
    </w:p>
    <w:p>
      <w:pPr>
        <w:spacing w:after="0" w:line="15" w:lineRule="exact"/>
        <w:rPr>
          <w:rFonts w:ascii="Times New Roman" w:cs="Times New Roman" w:eastAsia="Times New Roman" w:hAnsi="Times New Roman"/>
          <w:sz w:val="14"/>
          <w:szCs w:val="14"/>
          <w:color w:val="auto"/>
        </w:rPr>
      </w:pPr>
    </w:p>
    <w:p>
      <w:pPr>
        <w:ind w:left="340" w:right="20" w:hanging="332"/>
        <w:spacing w:after="0" w:line="236"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2015, and available to the Company, Mrs. Elizabeth Weymouth has voting and investment power with respect to shares of Class A Stock as follows: shared voting and investment power, 178,822 (18.3%) shares. In addition, Mrs. Weymouth, as the beneficiary of a trust (even though she has no voting or investment power with respect thereto) is deemed to be the beneficial owner of 69,625 (7.1%) shares of Class A Stock. The holdings of Class B Stock recorded for Mrs. Weymouth, including shares issuable upon conversion of shares of Class A Stock deemed to be beneficially owned by Mrs. Weymouth, are less than 5%.</w:t>
      </w:r>
    </w:p>
    <w:p>
      <w:pPr>
        <w:spacing w:after="0" w:line="15" w:lineRule="exact"/>
        <w:rPr>
          <w:rFonts w:ascii="Times New Roman" w:cs="Times New Roman" w:eastAsia="Times New Roman" w:hAnsi="Times New Roman"/>
          <w:sz w:val="14"/>
          <w:szCs w:val="14"/>
          <w:color w:val="auto"/>
        </w:rPr>
      </w:pPr>
    </w:p>
    <w:p>
      <w:pPr>
        <w:ind w:left="340" w:right="100" w:hanging="332"/>
        <w:spacing w:after="0" w:line="236"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2015, and available to the Company, Mr. George J. Gillespie III, as a Trustee of various trusts, has voting and investment power with respect to shares of Class A Stock as follows: shared voting and investment power, 178,575 (18.3%) shares. In addition, Mr. Gillespie has voting and investment power with respect to shares of Class B Stock as follows: shared voting and investment power, 15,725 (&lt;1%) shares. The holdings of Class B Stock recorded for Mr. Gillespie, including shares issuable upon conversion of shares of Class A Stock deemed to be beneficially owned by Mr. Gillespie, are less than 5%.</w:t>
      </w:r>
    </w:p>
    <w:p>
      <w:pPr>
        <w:spacing w:after="0" w:line="15" w:lineRule="exact"/>
        <w:rPr>
          <w:rFonts w:ascii="Times New Roman" w:cs="Times New Roman" w:eastAsia="Times New Roman" w:hAnsi="Times New Roman"/>
          <w:sz w:val="14"/>
          <w:szCs w:val="14"/>
          <w:color w:val="auto"/>
        </w:rPr>
      </w:pPr>
    </w:p>
    <w:p>
      <w:pPr>
        <w:ind w:left="340" w:right="200" w:hanging="332"/>
        <w:spacing w:after="0" w:line="236"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2015, and available to the Company, Mr. Daniel Mosley, as a Trustee of various trusts, has voting and investment power with respect to shares of Class A Stock as follows: shared voting and investment power, 700,169 (71.8%) shares. In addition, Mr. Mosley has voting and investment power with respect to shares of Class B Stock as follows: shared voting and investment power, 170,887 (3.5%) shares. The holdings of Class B Stock recorded for Mr. Mosley include 700,169 (12.1%) shares issuable upon conversion of shares of Class A Stock deemed to be beneficially owned by Mr. Mosley as a Trustee of various trusts.</w:t>
      </w:r>
    </w:p>
    <w:p>
      <w:pPr>
        <w:spacing w:after="0" w:line="15" w:lineRule="exact"/>
        <w:rPr>
          <w:rFonts w:ascii="Times New Roman" w:cs="Times New Roman" w:eastAsia="Times New Roman" w:hAnsi="Times New Roman"/>
          <w:sz w:val="14"/>
          <w:szCs w:val="14"/>
          <w:color w:val="auto"/>
        </w:rPr>
      </w:pPr>
    </w:p>
    <w:p>
      <w:pPr>
        <w:ind w:left="340" w:right="180" w:hanging="332"/>
        <w:spacing w:after="0" w:line="236"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February 13, 2015, Southeastern Asset Management, Inc. (“Southeastern Asset”), an investment advisor, was deemed to be the beneficial owner of 762,194 (16.5%) shares of Class B Stock. According to the Schedule 13G, Southeastern Asset has sole voting power over 242,703 (5.2%) shares; shared voting power over 428,000 (9.3%) shares; no voting power over 91,491 (2%) shares; sole dispositive power over 334,194 (7.2%) shares; and shared dispositive power over 428,000 (9.3%) shares. The Schedule 13G was filed jointly with Longleaf Partners Small-Cap Fund (an investment company), which has shared voting power over 428,000 (9.3%) shares, according to the Schedule 13G.</w:t>
      </w:r>
    </w:p>
    <w:p>
      <w:pPr>
        <w:spacing w:after="0" w:line="15"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February 9, 2015, The Vanguard Group (“Vanguard”), an investment advisor, was deemed to be the beneficial owner of 254,881 (5.3%) shares of Class B Stock. According to the Schedule 13G, Vanguard has sole voting power over 2,844 (&lt;1%) shares, shared investment power over 2,444 (&lt;1%) shares, and sole investment power over 252,437 (5.2%) shares.</w:t>
      </w:r>
    </w:p>
    <w:p>
      <w:pPr>
        <w:spacing w:after="0" w:line="14" w:lineRule="exact"/>
        <w:rPr>
          <w:rFonts w:ascii="Times New Roman" w:cs="Times New Roman" w:eastAsia="Times New Roman" w:hAnsi="Times New Roman"/>
          <w:sz w:val="14"/>
          <w:szCs w:val="14"/>
          <w:color w:val="auto"/>
        </w:rPr>
      </w:pPr>
    </w:p>
    <w:p>
      <w:pPr>
        <w:ind w:left="340" w:right="20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February 4, 2015, Schroder Investment Management North America Inc. (“Schroder Investment”), an investment advisor, was deemed to be the beneficial owner of 253,541 (5.3%) shares of Class B Stock. According to the Schedule 13G, Schroder Investment has shared voting and investment power over 208,441 (4.3%) shares. The Schedule 13G was filed jointly with Schroeder Investment Management Ltd (an investment company), which has shared voting power over 45,100 (&lt;1%) shares according to the Schedule 13G.</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8" w:right="259" w:bottom="1440" w:gutter="0" w:footer="0" w:header="0"/>
        </w:sectPr>
      </w:pPr>
    </w:p>
    <w:bookmarkStart w:id="16" w:name="page17"/>
    <w:bookmarkEnd w:id="16"/>
    <w:p>
      <w:pPr>
        <w:ind w:left="340" w:right="220" w:hanging="332"/>
        <w:spacing w:after="0" w:line="262"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January 12, 2015, BlackRock, Inc. (“BlackRock”), an investment advisor, was deemed to be the beneficial owner of 243,431 (5.1%) shares of Class B Stock. According to the Schedule 13G, BlackRock has sole voting power over 230,938 (4.8%) shares and sole dispositive power over 243,431 (5.1%) shares.</w:t>
      </w:r>
    </w:p>
    <w:p>
      <w:pPr>
        <w:spacing w:after="0" w:line="220"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color w:val="auto"/>
        </w:rPr>
        <w:t>The table below, which is based on information furnished to the Company by its Directors and officers, shows as of February 1, 2015,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Holdings of Directors and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 (%)</w:t>
            </w:r>
          </w:p>
        </w:tc>
      </w:tr>
      <w:tr>
        <w:trPr>
          <w:trHeight w:val="264"/>
        </w:trPr>
        <w:tc>
          <w:tcPr>
            <w:tcW w:w="7660" w:type="dxa"/>
            <w:vAlign w:val="bottom"/>
          </w:tcPr>
          <w:p>
            <w:pPr>
              <w:spacing w:after="0"/>
              <w:rPr>
                <w:sz w:val="22"/>
                <w:szCs w:val="22"/>
                <w:color w:val="auto"/>
              </w:rPr>
            </w:pPr>
          </w:p>
        </w:tc>
        <w:tc>
          <w:tcPr>
            <w:tcW w:w="14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B(a)</w:t>
            </w:r>
          </w:p>
        </w:tc>
      </w:tr>
      <w:tr>
        <w:trPr>
          <w:trHeight w:val="24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Lee C. Bollinger^</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Christopher C. Davis^</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Barry Diller^</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4,000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Thomas S. Gayner^</w:t>
            </w:r>
            <w:r>
              <w:rPr>
                <w:rFonts w:ascii="Times New Roman" w:cs="Times New Roman" w:eastAsia="Times New Roman" w:hAnsi="Times New Roman"/>
                <w:sz w:val="8"/>
                <w:szCs w:val="8"/>
                <w:color w:val="auto"/>
              </w:rPr>
              <w:t>(c)</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5,300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David Goldberg^</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Donald E. Graham^+</w:t>
            </w:r>
            <w:r>
              <w:rPr>
                <w:rFonts w:ascii="Times New Roman" w:cs="Times New Roman" w:eastAsia="Times New Roman" w:hAnsi="Times New Roman"/>
                <w:sz w:val="8"/>
                <w:szCs w:val="8"/>
                <w:color w:val="auto"/>
              </w:rPr>
              <w:t>(d)</w:t>
            </w:r>
          </w:p>
        </w:tc>
        <w:tc>
          <w:tcPr>
            <w:tcW w:w="14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959,776 (98.5%)</w:t>
            </w:r>
          </w:p>
        </w:tc>
        <w:tc>
          <w:tcPr>
            <w:tcW w:w="230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color w:val="auto"/>
              </w:rPr>
              <w:t>1,242,105 (21.4%)</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Hal S. Jones+</w:t>
            </w:r>
            <w:r>
              <w:rPr>
                <w:rFonts w:ascii="Times New Roman" w:cs="Times New Roman" w:eastAsia="Times New Roman" w:hAnsi="Times New Roman"/>
                <w:sz w:val="8"/>
                <w:szCs w:val="8"/>
                <w:color w:val="auto"/>
              </w:rPr>
              <w:t>(e)</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4,975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Ann L. McDaniel+</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Anne M. Mulcahy^</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Ronald L. Olson^</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Timothy J. O</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Shaughnessy^+</w:t>
            </w:r>
            <w:r>
              <w:rPr>
                <w:rFonts w:ascii="Times New Roman" w:cs="Times New Roman" w:eastAsia="Times New Roman" w:hAnsi="Times New Roman"/>
                <w:sz w:val="8"/>
                <w:szCs w:val="8"/>
                <w:color w:val="auto"/>
              </w:rPr>
              <w:t>(f)</w:t>
            </w:r>
          </w:p>
        </w:tc>
        <w:tc>
          <w:tcPr>
            <w:tcW w:w="14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8,593 (b)</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24,668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Andrew S. Rosen+</w:t>
            </w:r>
            <w:r>
              <w:rPr>
                <w:rFonts w:ascii="Times New Roman" w:cs="Times New Roman" w:eastAsia="Times New Roman" w:hAnsi="Times New Roman"/>
                <w:sz w:val="8"/>
                <w:szCs w:val="8"/>
                <w:color w:val="auto"/>
              </w:rPr>
              <w:t>(g)</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230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color w:val="auto"/>
              </w:rPr>
              <w:t>58,175 (1.0%)</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Larry D. Thompson^</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 Richard Wagoner, Jr.^</w:t>
            </w:r>
            <w:r>
              <w:rPr>
                <w:rFonts w:ascii="Times New Roman" w:cs="Times New Roman" w:eastAsia="Times New Roman" w:hAnsi="Times New Roman"/>
                <w:sz w:val="8"/>
                <w:szCs w:val="8"/>
                <w:color w:val="auto"/>
              </w:rPr>
              <w:t>(h)</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 (b)</w:t>
            </w: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Katharine Weymouth^</w:t>
            </w:r>
          </w:p>
        </w:tc>
        <w:tc>
          <w:tcPr>
            <w:tcW w:w="14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14,721 (b)</w:t>
            </w: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 Directors, named executive officers and remaining executive officers as a group, eliminating duplications (18 individuals)</w:t>
            </w:r>
            <w:r>
              <w:rPr>
                <w:rFonts w:ascii="Times New Roman" w:cs="Times New Roman" w:eastAsia="Times New Roman" w:hAnsi="Times New Roman"/>
                <w:sz w:val="8"/>
                <w:szCs w:val="8"/>
                <w:color w:val="auto"/>
              </w:rPr>
              <w:t>(i)</w:t>
            </w:r>
          </w:p>
        </w:tc>
        <w:tc>
          <w:tcPr>
            <w:tcW w:w="14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968,369 (99.3%)</w:t>
            </w:r>
          </w:p>
        </w:tc>
        <w:tc>
          <w:tcPr>
            <w:tcW w:w="230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color w:val="auto"/>
              </w:rPr>
              <w:t>1,373,270 (23.7%)</w:t>
            </w: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ind w:right="760" w:firstLine="8"/>
        <w:spacing w:after="0" w:line="300" w:lineRule="auto"/>
        <w:tabs>
          <w:tab w:leader="none" w:pos="14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Directors and officers listed have sole voting and investment power with respect to such securities. None of the securities has been pledged as security. ^ Director.</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Named Executive Officer.</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Includes 974,823 shares of Class B Stock issuable upon conversion of shares of Class A Stock beneficially owned.</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Less than 1%.</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Includes 5,200 shares of Class B Stock held for the account of a number of beneficial owners in which Mr. Gayner disclaims beneficial ownership.</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See Table of “Principal Holders of Stock” on page 14.</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Includes 2,000 shares Mr. Jones has the right to purchase, pursuant to stock options.</w:t>
      </w:r>
    </w:p>
    <w:p>
      <w:pPr>
        <w:spacing w:after="0" w:line="55" w:lineRule="exact"/>
        <w:rPr>
          <w:sz w:val="20"/>
          <w:szCs w:val="20"/>
          <w:color w:val="auto"/>
        </w:rPr>
      </w:pPr>
    </w:p>
    <w:p>
      <w:pPr>
        <w:ind w:left="260" w:right="300" w:hanging="252"/>
        <w:spacing w:after="0" w:line="281"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shares held in a trust for Mr. O</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Shaughnessy’s spouse. Class B stock include 16,075 shares held in trusts for the benefit of Mr. O</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Shaughnessy’s spouse and children. He is neither a trustee nor a beneficiary of such trusts and disclaims beneficial ownership.</w:t>
      </w:r>
    </w:p>
    <w:p>
      <w:pPr>
        <w:spacing w:after="0" w:line="1" w:lineRule="exact"/>
        <w:rPr>
          <w:rFonts w:ascii="Times New Roman" w:cs="Times New Roman" w:eastAsia="Times New Roman" w:hAnsi="Times New Roman"/>
          <w:sz w:val="14"/>
          <w:szCs w:val="14"/>
          <w:color w:val="auto"/>
        </w:rPr>
      </w:pPr>
    </w:p>
    <w:p>
      <w:pPr>
        <w:ind w:left="260" w:right="200" w:hanging="252"/>
        <w:spacing w:after="0" w:line="281"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50,000 shares Mr. Rosen has the right to purchase, pursuant to stock options. In addition to the stock set forth above, Mr. Rosen holds 7,206 shares of Kaplan stock, which represents less than 1% of the total outstanding stock of Kaplan, Inc.</w:t>
      </w:r>
    </w:p>
    <w:p>
      <w:pPr>
        <w:spacing w:after="0" w:line="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are held in a revocable trust.</w:t>
      </w:r>
    </w:p>
    <w:p>
      <w:pPr>
        <w:spacing w:after="0" w:line="41" w:lineRule="exact"/>
        <w:rPr>
          <w:rFonts w:ascii="Times New Roman" w:cs="Times New Roman" w:eastAsia="Times New Roman" w:hAnsi="Times New Roman"/>
          <w:sz w:val="14"/>
          <w:szCs w:val="14"/>
          <w:color w:val="auto"/>
        </w:rPr>
      </w:pPr>
    </w:p>
    <w:p>
      <w:pPr>
        <w:ind w:left="260" w:right="120" w:hanging="252"/>
        <w:spacing w:after="0" w:line="227"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 shares of Class B Stock, which Directors and executive officers have the right to purchase, pursuant to stock options, and shares of restricted stock awarded to executive officers in accordance with the Graham Holdings Company Incentive Compensation Plan. It does not include 254,881 shares of Class B Stock held as of December 31, 2014, by the trustee of various savings plans maintained by the Company and its business units over which the trustee has voting and investment powers.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60" w:firstLine="770"/>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During the fiscal year ended December 31, 2014, the Company had one deficiency in reporting. A Form 5 on behalf of Mr. Graham, acting as a trustee of a family trust, was not filed on a timely basis to report a transfer of 3,800 shares into such trust by a beneficiary thereof on December 28, 2012. A Form 4 was filed on behalf of Mr. Graham on February 25, 2015, reporting the transfer.</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type w:val="continuous"/>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 APPROVAL OF 2014 COMPENSATION AWARDED TO NAMED EXECUTIVE OFFICERS</w:t>
      </w:r>
    </w:p>
    <w:p>
      <w:pPr>
        <w:spacing w:after="0" w:line="229" w:lineRule="exact"/>
        <w:rPr>
          <w:sz w:val="20"/>
          <w:szCs w:val="20"/>
          <w:color w:val="auto"/>
        </w:rPr>
      </w:pPr>
    </w:p>
    <w:p>
      <w:pPr>
        <w:ind w:firstLine="770"/>
        <w:spacing w:after="0" w:line="253" w:lineRule="auto"/>
        <w:rPr>
          <w:sz w:val="20"/>
          <w:szCs w:val="20"/>
          <w:color w:val="auto"/>
        </w:rPr>
      </w:pPr>
      <w:r>
        <w:rPr>
          <w:rFonts w:ascii="Times New Roman" w:cs="Times New Roman" w:eastAsia="Times New Roman" w:hAnsi="Times New Roman"/>
          <w:sz w:val="18"/>
          <w:szCs w:val="18"/>
          <w:color w:val="auto"/>
        </w:rPr>
        <w:t>As required by Schedule 14A of the Securities Exchange Act of 1934 and the corresponding SEC rules, the Company is seeking an advisory, non-binding shareholder vote from its Class A Shareholders with respect to compensation awarded to its named executive officers for 2014. On May 12, 2011, the majority of the Company’s Class A Shareholders voted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 Following the Meeting, the next such non-binding advisory vote to approve the Company’s executive compensation is scheduled to occur at the 2016 Annual Meeting of Shareholders.</w:t>
      </w:r>
    </w:p>
    <w:p>
      <w:pPr>
        <w:spacing w:after="0" w:line="189" w:lineRule="exact"/>
        <w:rPr>
          <w:sz w:val="20"/>
          <w:szCs w:val="20"/>
          <w:color w:val="auto"/>
        </w:rPr>
      </w:pPr>
    </w:p>
    <w:p>
      <w:pPr>
        <w:ind w:right="400" w:firstLine="770"/>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compensation paid to the Company’s named executive officers for 2014, as disclosed pursuant to the compensation disclosure rules of the Securities and Exchange Commission, including the Compensation Discussion and Analysis, the compensation tables, narrative discussion and related material included in this Proxy Statement, is hereby APPROVED.</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CLASS A SHAREHOLDERS VOTE “FOR” THE APPROVAL OF THE FOREGOING RESOLUTION.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792" w:right="27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Company’s executive compensation principles and programs, with a focus on the decisions of the Compensation Committee of the Board of Directors (the “Committee”) regarding 2014 compensation for the Company’s named executive officers. The named executive officers for 2014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Position with the Company</w:t>
            </w:r>
          </w:p>
        </w:tc>
      </w:tr>
      <w:tr>
        <w:trPr>
          <w:trHeight w:val="20"/>
        </w:trPr>
        <w:tc>
          <w:tcPr>
            <w:tcW w:w="4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91"/>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Graham</w:t>
            </w:r>
          </w:p>
        </w:tc>
        <w:tc>
          <w:tcPr>
            <w:tcW w:w="58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 S. Jones</w:t>
            </w:r>
          </w:p>
        </w:tc>
        <w:tc>
          <w:tcPr>
            <w:tcW w:w="58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Senior Vice President–Finance and Chief Financial Officer</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O’Shaughnessy</w:t>
            </w:r>
          </w:p>
        </w:tc>
        <w:tc>
          <w:tcPr>
            <w:tcW w:w="58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President</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S. Rosen</w:t>
            </w:r>
          </w:p>
        </w:tc>
        <w:tc>
          <w:tcPr>
            <w:tcW w:w="58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9"/>
              </w:rPr>
              <w:t>Chairman, Kaplan, Inc. and Executive Vice President of the Company</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L. McDaniel</w:t>
            </w:r>
          </w:p>
        </w:tc>
        <w:tc>
          <w:tcPr>
            <w:tcW w:w="58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229" w:lineRule="exact"/>
        <w:rPr>
          <w:sz w:val="20"/>
          <w:szCs w:val="20"/>
          <w:color w:val="auto"/>
        </w:rPr>
      </w:pPr>
    </w:p>
    <w:p>
      <w:pPr>
        <w:ind w:firstLine="770"/>
        <w:spacing w:after="0" w:line="252" w:lineRule="auto"/>
        <w:rPr>
          <w:sz w:val="20"/>
          <w:szCs w:val="20"/>
          <w:color w:val="auto"/>
        </w:rPr>
      </w:pPr>
      <w:r>
        <w:rPr>
          <w:rFonts w:ascii="Times New Roman" w:cs="Times New Roman" w:eastAsia="Times New Roman" w:hAnsi="Times New Roman"/>
          <w:sz w:val="18"/>
          <w:szCs w:val="18"/>
          <w:color w:val="auto"/>
        </w:rPr>
        <w:t>The Committee has responsibility for establishing and continually monitoring adherence to the Company’s compensation philosophy—a philosophy designed to attract, retain and motivate qualified and talented employees who are enthusiastic about the Company’s mission and culture. The Committee, which is chaired by Anne M. Mulcahy and includes Lee C. Bollinger, Barry Diller and Larry D. Thompson,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including named executive officers of the Company, and all employees earning more than $300,000 in salary, is fair, reasonable and based on performance goals established to increase value for shareholders by facilitating the long-term growth of the Company. The Committee considers both the Company’s short-term and long-term plans in determining compensation. Annual plans are used to motivate and reward management for achieving specific yearly goals. Long-term plans, typically three or four years in duration, are designed to reward cumulative long-term goals. All performance criteria, however, including those in annual or relatively short-term plans, are designed to reward executives for making decisions that will enhance the long-term value of the Company. Except in the case of sales executives or executives in high-growth revenue-focused business units, performance targets are not based on quarterly or partial-year results.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 and long-term compensation. Instead, management and the Committee select the method of compensation thought most likely to lead to achievement of the particular goal.</w:t>
      </w:r>
    </w:p>
    <w:p>
      <w:pPr>
        <w:spacing w:after="0" w:line="197" w:lineRule="exact"/>
        <w:rPr>
          <w:sz w:val="20"/>
          <w:szCs w:val="20"/>
          <w:color w:val="auto"/>
        </w:rPr>
      </w:pPr>
    </w:p>
    <w:p>
      <w:pPr>
        <w:ind w:right="40" w:firstLine="770"/>
        <w:spacing w:after="0" w:line="254" w:lineRule="auto"/>
        <w:rPr>
          <w:sz w:val="20"/>
          <w:szCs w:val="20"/>
          <w:color w:val="auto"/>
        </w:rPr>
      </w:pPr>
      <w:r>
        <w:rPr>
          <w:rFonts w:ascii="Times New Roman" w:cs="Times New Roman" w:eastAsia="Times New Roman" w:hAnsi="Times New Roman"/>
          <w:sz w:val="18"/>
          <w:szCs w:val="18"/>
          <w:color w:val="auto"/>
        </w:rPr>
        <w:t>The named executive officers, except Donald E. Graham, Chairman of the Board and Chief Executive Officer, receive an annual salary and participate in performance-based annual bonus plans and four-year cash-based Performance Unit Plans. In addition, Hal S. Jones, Andrew S. Rosen, and Ann L. McDaniel receive restricted stock awards every other year. Timothy J. O’Shaughnessy also received a stock option grant as well as Performance Units relating to the 2013-2016 and 2015-2018 cycles as part of his new-hire compensation package in 2014. Named executive officers and others occasionally receive restricted stock or stock option grants in off-cycle years as a reward for past performance and incentive for future performance. With the exception of Mr. O’Shaughnessy, the named executive officers also receive benefits pursuant to the Supplemental Executive Retirement Plan (the “SERP”). Mr. Graham receives an annual salary and the defined benefit portion of the SERP as described below. While in prior years Mr. Graham participated in the Performance Unit Plans, he recently waived rights to any payments with respect to the 2011–2014 and 2013–2016 performance cycles and will not participate in the 2015– 2018 cycle.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Role and Responsibility</w:t>
      </w:r>
    </w:p>
    <w:p>
      <w:pPr>
        <w:spacing w:after="0" w:line="229" w:lineRule="exact"/>
        <w:rPr>
          <w:sz w:val="20"/>
          <w:szCs w:val="20"/>
          <w:color w:val="auto"/>
        </w:rPr>
      </w:pPr>
    </w:p>
    <w:p>
      <w:pPr>
        <w:ind w:right="160" w:firstLine="770"/>
        <w:spacing w:after="0" w:line="258" w:lineRule="auto"/>
        <w:rPr>
          <w:sz w:val="20"/>
          <w:szCs w:val="20"/>
          <w:color w:val="auto"/>
        </w:rPr>
      </w:pPr>
      <w:r>
        <w:rPr>
          <w:rFonts w:ascii="Times New Roman" w:cs="Times New Roman" w:eastAsia="Times New Roman" w:hAnsi="Times New Roman"/>
          <w:sz w:val="18"/>
          <w:szCs w:val="18"/>
          <w:color w:val="auto"/>
        </w:rPr>
        <w:t>The Board has delegated to the Committee the responsibility of overseeing the administration of the Company’s compensation plans and the preparation of all reports and documents required by the rules and regulations of the SEC. To satisfy this responsibility, the Committee is required to meet at least once a year. The Committee annually reviews and approves the corporate goals and objectives upon which the compensation of the Chief Executive Officer and senior management, including the named executive officers, is based. The Committee evaluates the Chief Executive Officer’s performance in light of these goals and objectives. Furthermore, the Committee reviews and makes recommendations to the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6" w:right="239" w:bottom="1440" w:gutter="0" w:footer="0" w:header="0"/>
        </w:sectPr>
      </w:pPr>
    </w:p>
    <w:bookmarkStart w:id="19" w:name="page20"/>
    <w:bookmarkEnd w:id="19"/>
    <w:p>
      <w:pPr>
        <w:ind w:right="40"/>
        <w:spacing w:after="0" w:line="261" w:lineRule="auto"/>
        <w:rPr>
          <w:sz w:val="20"/>
          <w:szCs w:val="20"/>
          <w:color w:val="auto"/>
        </w:rPr>
      </w:pPr>
      <w:r>
        <w:rPr>
          <w:rFonts w:ascii="Times New Roman" w:cs="Times New Roman" w:eastAsia="Times New Roman" w:hAnsi="Times New Roman"/>
          <w:sz w:val="18"/>
          <w:szCs w:val="18"/>
          <w:color w:val="auto"/>
        </w:rPr>
        <w:t>Board with respect to any incentive compensation plans, including equity-based plans, to be adopted or submitted to the Company’s shareholders for approval. The Committee reviews the Company’s succession plans, including (i) the Chairman and Chief Executive Officer’s recommendations as to a successor, should he become disabled or unable to perform his duties for an extended period of time, and, annually, (ii) the Company’s efforts at management development.</w:t>
      </w:r>
    </w:p>
    <w:p>
      <w:pPr>
        <w:spacing w:after="0" w:line="180" w:lineRule="exact"/>
        <w:rPr>
          <w:sz w:val="20"/>
          <w:szCs w:val="20"/>
          <w:color w:val="auto"/>
        </w:rPr>
      </w:pPr>
    </w:p>
    <w:p>
      <w:pPr>
        <w:ind w:firstLine="770"/>
        <w:spacing w:after="0" w:line="256" w:lineRule="auto"/>
        <w:rPr>
          <w:sz w:val="20"/>
          <w:szCs w:val="20"/>
          <w:color w:val="auto"/>
        </w:rPr>
      </w:pPr>
      <w:r>
        <w:rPr>
          <w:rFonts w:ascii="Times New Roman" w:cs="Times New Roman" w:eastAsia="Times New Roman" w:hAnsi="Times New Roman"/>
          <w:sz w:val="18"/>
          <w:szCs w:val="18"/>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Chief Executive Officer or senior management compensation and has sole authority to approve the consultant’s fees and other retention terms. The Committee also has authority to obtain advice and assistance from internal or external legal, accounting or other advisors. In 2014, the Committee retained Semler Brossy to evaluate the compensation package offered to Mr. O’Shaughnessy when he joined the Company as President.</w:t>
      </w:r>
    </w:p>
    <w:p>
      <w:pPr>
        <w:spacing w:after="0" w:line="188" w:lineRule="exact"/>
        <w:rPr>
          <w:sz w:val="20"/>
          <w:szCs w:val="20"/>
          <w:color w:val="auto"/>
        </w:rPr>
      </w:pPr>
    </w:p>
    <w:p>
      <w:pPr>
        <w:ind w:firstLine="770"/>
        <w:spacing w:after="0" w:line="282" w:lineRule="auto"/>
        <w:rPr>
          <w:sz w:val="20"/>
          <w:szCs w:val="20"/>
          <w:color w:val="auto"/>
        </w:rPr>
      </w:pPr>
      <w:r>
        <w:rPr>
          <w:rFonts w:ascii="Times New Roman" w:cs="Times New Roman" w:eastAsia="Times New Roman" w:hAnsi="Times New Roman"/>
          <w:sz w:val="18"/>
          <w:szCs w:val="18"/>
          <w:color w:val="auto"/>
        </w:rPr>
        <w:t>During 2014, the Committee met six times. A copy of the Company’s Compensation Committee Charter is available under the “Investor Relations” tab at www.ghco.com.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229" w:lineRule="exact"/>
        <w:rPr>
          <w:sz w:val="20"/>
          <w:szCs w:val="20"/>
          <w:color w:val="auto"/>
        </w:rPr>
      </w:pPr>
    </w:p>
    <w:p>
      <w:pPr>
        <w:ind w:right="100" w:firstLine="810"/>
        <w:spacing w:after="0" w:line="261" w:lineRule="auto"/>
        <w:rPr>
          <w:sz w:val="20"/>
          <w:szCs w:val="20"/>
          <w:color w:val="auto"/>
        </w:rPr>
      </w:pPr>
      <w:r>
        <w:rPr>
          <w:rFonts w:ascii="Times New Roman" w:cs="Times New Roman" w:eastAsia="Times New Roman" w:hAnsi="Times New Roman"/>
          <w:sz w:val="18"/>
          <w:szCs w:val="18"/>
          <w:color w:val="auto"/>
        </w:rPr>
        <w:t>Mr. Graham, the Chief Executive Officer, and Ms. McDaniel, Senior Vice President and secretary of the Committee (also a named executive officer), attended all Committee meetings during 2014. Mr. Rosen, Chairman of Kaplan, Inc. (“Kaplan”) and Executive Vice President of the Company (also a named executive officer), and Mr. Thomas Leppert, Chief Executive Officer of Kaplan, attended one meeting to assist the Committee in estimating the fair value of Kaplan.</w:t>
      </w:r>
    </w:p>
    <w:p>
      <w:pPr>
        <w:spacing w:after="0" w:line="180" w:lineRule="exact"/>
        <w:rPr>
          <w:sz w:val="20"/>
          <w:szCs w:val="20"/>
          <w:color w:val="auto"/>
        </w:rPr>
      </w:pPr>
    </w:p>
    <w:p>
      <w:pPr>
        <w:ind w:right="20" w:firstLine="770"/>
        <w:spacing w:after="0" w:line="266" w:lineRule="auto"/>
        <w:rPr>
          <w:sz w:val="20"/>
          <w:szCs w:val="20"/>
          <w:color w:val="auto"/>
        </w:rPr>
      </w:pPr>
      <w:r>
        <w:rPr>
          <w:rFonts w:ascii="Times New Roman" w:cs="Times New Roman" w:eastAsia="Times New Roman" w:hAnsi="Times New Roman"/>
          <w:sz w:val="18"/>
          <w:szCs w:val="18"/>
          <w:color w:val="auto"/>
        </w:rPr>
        <w:t>The Committee makes all compensation decisions for the named executive officers of the Company, except with respect to any perquisites under $200,000 per named executive officer that may be approved by Mr. Graham. The Committee also approves the compensation of all employees earning annual salaries of $300,000 or more and bonuses of $75,000 or more.</w:t>
      </w:r>
    </w:p>
    <w:p>
      <w:pPr>
        <w:spacing w:after="0" w:line="176" w:lineRule="exact"/>
        <w:rPr>
          <w:sz w:val="20"/>
          <w:szCs w:val="20"/>
          <w:color w:val="auto"/>
        </w:rPr>
      </w:pPr>
    </w:p>
    <w:p>
      <w:pPr>
        <w:ind w:firstLine="770"/>
        <w:spacing w:after="0" w:line="261" w:lineRule="auto"/>
        <w:rPr>
          <w:sz w:val="20"/>
          <w:szCs w:val="20"/>
          <w:color w:val="auto"/>
        </w:rPr>
      </w:pPr>
      <w:r>
        <w:rPr>
          <w:rFonts w:ascii="Times New Roman" w:cs="Times New Roman" w:eastAsia="Times New Roman" w:hAnsi="Times New Roman"/>
          <w:sz w:val="18"/>
          <w:szCs w:val="18"/>
          <w:color w:val="auto"/>
        </w:rPr>
        <w:t>Mr. Graham and Ms. McDaniel recommend to the Committee the size of each component of compensation for each of the named executive officers (other than their own) and other relevant employees,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w:t>
      </w:r>
    </w:p>
    <w:p>
      <w:pPr>
        <w:spacing w:after="0" w:line="180" w:lineRule="exact"/>
        <w:rPr>
          <w:sz w:val="20"/>
          <w:szCs w:val="20"/>
          <w:color w:val="auto"/>
        </w:rPr>
      </w:pPr>
    </w:p>
    <w:p>
      <w:pPr>
        <w:ind w:right="20" w:firstLine="770"/>
        <w:spacing w:after="0" w:line="258" w:lineRule="auto"/>
        <w:rPr>
          <w:sz w:val="20"/>
          <w:szCs w:val="20"/>
          <w:color w:val="auto"/>
        </w:rPr>
      </w:pPr>
      <w:r>
        <w:rPr>
          <w:rFonts w:ascii="Times New Roman" w:cs="Times New Roman" w:eastAsia="Times New Roman" w:hAnsi="Times New Roman"/>
          <w:sz w:val="18"/>
          <w:szCs w:val="18"/>
          <w:color w:val="auto"/>
        </w:rPr>
        <w:t>At his request, Mr. Graham has not received an increase in his annual salary or an annual bonus award since 1991. Beginning in 2004, he no longer accepts grants of restricted stock in the Company, has waived rights to payments pursuant to his performance units beginning with the 2007–2010 performance cycle and, beginning in 2015, will no longer receive performance units. Compensation for Ms. McDaniel is determined solely by the Chief Executive Officer and the Committee, using the same performance-based criteria as is used for the other named executive officers and senior staff of the Company (other than Mr. Graham). Ms. McDaniel is not present at Committee meetings during discussions of her individual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229" w:lineRule="exact"/>
        <w:rPr>
          <w:sz w:val="20"/>
          <w:szCs w:val="20"/>
          <w:color w:val="auto"/>
        </w:rPr>
      </w:pPr>
    </w:p>
    <w:p>
      <w:pPr>
        <w:ind w:right="80" w:firstLine="770"/>
        <w:spacing w:after="0" w:line="261" w:lineRule="auto"/>
        <w:rPr>
          <w:sz w:val="20"/>
          <w:szCs w:val="20"/>
          <w:color w:val="auto"/>
        </w:rPr>
      </w:pPr>
      <w:r>
        <w:rPr>
          <w:rFonts w:ascii="Times New Roman" w:cs="Times New Roman" w:eastAsia="Times New Roman" w:hAnsi="Times New Roman"/>
          <w:sz w:val="18"/>
          <w:szCs w:val="18"/>
          <w:color w:val="auto"/>
        </w:rPr>
        <w:t>To meet the Committee’s objectives, at its request, the Chief Executive Officer and the secretary of the Committee draft annual and long-term incentive-based cash and non-cash executive compensation plans. The Committee reviews and, in its sole discretion, modifies the formula and goals established for various awards under the plans before the plans take effect, which is typically no later than the end of the first quarter of the first year covered by the plan.</w:t>
      </w:r>
    </w:p>
    <w:p>
      <w:pPr>
        <w:spacing w:after="0" w:line="180" w:lineRule="exact"/>
        <w:rPr>
          <w:sz w:val="20"/>
          <w:szCs w:val="20"/>
          <w:color w:val="auto"/>
        </w:rPr>
      </w:pPr>
    </w:p>
    <w:p>
      <w:pPr>
        <w:ind w:right="20" w:firstLine="770"/>
        <w:spacing w:after="0" w:line="254" w:lineRule="auto"/>
        <w:rPr>
          <w:sz w:val="20"/>
          <w:szCs w:val="20"/>
          <w:color w:val="auto"/>
        </w:rPr>
      </w:pPr>
      <w:r>
        <w:rPr>
          <w:rFonts w:ascii="Times New Roman" w:cs="Times New Roman" w:eastAsia="Times New Roman" w:hAnsi="Times New Roman"/>
          <w:sz w:val="18"/>
          <w:szCs w:val="18"/>
          <w:color w:val="auto"/>
        </w:rPr>
        <w:t>The Company adopts a holistic view on executive compensation. The Company compares its executive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twice a year, the Committee evaluates the individual compensation of the Company’s senior executives (including the named executive officers)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2014, the Committee reviewed data from the Equilar Executive Compensation Survey and the U.S. Mercer Benchmark Database (MBD): Executive Survey. Where public data for comparable roles were available, the Committee also benchmarked its senior executives (including the named executive officers) to the following peer companies: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580" w:right="25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Apollo Education Group, Inc.</w:t>
            </w:r>
          </w:p>
        </w:tc>
        <w:tc>
          <w:tcPr>
            <w:tcW w:w="5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Gannett Co., Inc.</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BEAM</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Harsco Corporation</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Cablevision Systems Corporation</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ITT Corporation</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Carlisle Companies Incorporated</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John Wiley &amp; Sons Inc.</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CC Media Holdings, Inc.</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McGraw Hill Financial, Inc.</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Clear Channel Outdoor Holdings</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Regal Entertainment Group</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Cooper Industries</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Scholastic Corporation</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Crane</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Scripps Networks Interactive, Inc.</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Daily Mail and General Trust plc</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Sirius XM Holdings Inc.</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DeVry Education Group Inc.</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Technicolor</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Discovery Communications, Inc.</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Transcontinental</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Education Management</w:t>
            </w:r>
          </w:p>
        </w:tc>
        <w:tc>
          <w:tcPr>
            <w:tcW w:w="5700" w:type="dxa"/>
            <w:vAlign w:val="bottom"/>
            <w:tcBorders>
              <w:right w:val="single" w:sz="8" w:color="auto"/>
            </w:tcBorders>
          </w:tcPr>
          <w:p>
            <w:pPr>
              <w:spacing w:after="0"/>
              <w:rPr>
                <w:sz w:val="20"/>
                <w:szCs w:val="20"/>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ind w:right="80" w:firstLine="770"/>
        <w:spacing w:after="0" w:line="254" w:lineRule="auto"/>
        <w:rPr>
          <w:sz w:val="20"/>
          <w:szCs w:val="20"/>
          <w:color w:val="auto"/>
        </w:rPr>
      </w:pPr>
      <w:r>
        <w:rPr>
          <w:rFonts w:ascii="Times New Roman" w:cs="Times New Roman" w:eastAsia="Times New Roman" w:hAnsi="Times New Roman"/>
          <w:sz w:val="18"/>
          <w:szCs w:val="18"/>
          <w:color w:val="auto"/>
        </w:rPr>
        <w:t>In preparing a compensation package to hire Mr. O’Shaughnessy as President, management and the Committee reviewed the total compensation of senior leaders of other Fortune 1000 companies, with comparable revenues and operating income. The Committee set Mr. O’Shaughnessy’s base salary lower than many of his peers and granted him a unique stock option award to purchase 50,000 shares of the Company at an exercise price of $1,111.20 per share on his hire date (November 3, 2014). The option exercise price was set by taking the closing share price of Class B Stock on the grant date ($787.75) and increasing the amount by a 3.5% compound annual growth rate over the maximum term of the option, which is ten years. The Committee’s expectation in determining the option’s exercise price was that with the Company’s dividend yield of approximately 1.3% at the time of grant, the option will have no value unless the shareholders receive a total return of about 5% per year over the life of the option. The options vest in tranches of 8,333 shares on the first through fifth anniversaries of the award and 8,335 on the six anniversary of the award. Semler Brossy was retained by the Committee to review and advise the Committee regarding the total compensation package.</w:t>
      </w:r>
    </w:p>
    <w:p>
      <w:pPr>
        <w:spacing w:after="0" w:line="189" w:lineRule="exact"/>
        <w:rPr>
          <w:sz w:val="20"/>
          <w:szCs w:val="20"/>
          <w:color w:val="auto"/>
        </w:rPr>
      </w:pPr>
    </w:p>
    <w:p>
      <w:pPr>
        <w:ind w:right="20" w:firstLine="770"/>
        <w:spacing w:after="0" w:line="255" w:lineRule="auto"/>
        <w:rPr>
          <w:sz w:val="20"/>
          <w:szCs w:val="20"/>
          <w:color w:val="auto"/>
        </w:rPr>
      </w:pPr>
      <w:r>
        <w:rPr>
          <w:rFonts w:ascii="Times New Roman" w:cs="Times New Roman" w:eastAsia="Times New Roman" w:hAnsi="Times New Roman"/>
          <w:sz w:val="18"/>
          <w:szCs w:val="18"/>
          <w:color w:val="auto"/>
        </w:rPr>
        <w:t>As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The Committee intends to provide that such compensation be paid under the 2012 Incentive Compensation Plan (the “2012 ICP”), which provides for the payment of compensation in accordance with the requirements of Section 162(m) of the Internal Revenue Code of 1986, as amended (the “Code”), concerning the deductibility of executive compensation. The Committee may, however, establish compensation programs or grant compensation that do not meet the requirements under Section 162(m) of the Code and which, therefore, may not be deductible to the Company, if the Committee determines that such programs or the payment of such compensation are otherwise in the best interests of the Company and its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compensation package offered by the Company to its executive officers comprises the following components:</w:t>
      </w:r>
    </w:p>
    <w:p>
      <w:pPr>
        <w:spacing w:after="0" w:line="50" w:lineRule="exact"/>
        <w:rPr>
          <w:sz w:val="20"/>
          <w:szCs w:val="20"/>
          <w:color w:val="auto"/>
        </w:rPr>
      </w:pPr>
    </w:p>
    <w:p>
      <w:pPr>
        <w:ind w:left="1620" w:hanging="315"/>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base salary;</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compensation in the form of performance-based annual bonuses;</w:t>
      </w:r>
    </w:p>
    <w:p>
      <w:pPr>
        <w:spacing w:after="0" w:line="22"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typically based on performance over three to four years;</w:t>
      </w:r>
    </w:p>
    <w:p>
      <w:pPr>
        <w:spacing w:after="0" w:line="22"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incentive compensation in the form of restricted stock and stock options;</w:t>
      </w:r>
    </w:p>
    <w:p>
      <w:pPr>
        <w:spacing w:after="0" w:line="22"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and</w:t>
      </w:r>
    </w:p>
    <w:p>
      <w:pPr>
        <w:spacing w:after="0" w:line="22"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ind w:right="280" w:firstLine="770"/>
        <w:spacing w:after="0" w:line="255" w:lineRule="auto"/>
        <w:rPr>
          <w:sz w:val="20"/>
          <w:szCs w:val="20"/>
          <w:color w:val="auto"/>
        </w:rPr>
      </w:pPr>
      <w:r>
        <w:rPr>
          <w:rFonts w:ascii="Times New Roman" w:cs="Times New Roman" w:eastAsia="Times New Roman" w:hAnsi="Times New Roman"/>
          <w:sz w:val="18"/>
          <w:szCs w:val="18"/>
          <w:color w:val="auto"/>
        </w:rPr>
        <w:t>The Company pays named executive officers base salaries to compensate them for services rendered during the fiscal year. Salaries for named executive officers are based on their responsibilities, their prior experience and their recent performance and are evaluated against market data provided by outside surveys. Salaries are typically reviewed on a 12-month or longer cycle, except when there is a significant change in an executive’s responsibilities during such cycle. Such adjustments are determined by evaluating (i) the scope of the new responsibilities, (ii) the competitive market value of that role,</w:t>
      </w:r>
    </w:p>
    <w:p>
      <w:pPr>
        <w:spacing w:after="0" w:line="3" w:lineRule="exact"/>
        <w:rPr>
          <w:sz w:val="20"/>
          <w:szCs w:val="20"/>
          <w:color w:val="auto"/>
        </w:rPr>
      </w:pPr>
    </w:p>
    <w:p>
      <w:pPr>
        <w:jc w:val="right"/>
        <w:ind w:left="5620" w:right="5640" w:hanging="5612"/>
        <w:spacing w:after="0" w:line="547" w:lineRule="auto"/>
        <w:tabs>
          <w:tab w:leader="none" w:pos="31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the individual and (iv) the performance of the Company. 19</w:t>
      </w:r>
    </w:p>
    <w:p>
      <w:pPr>
        <w:sectPr>
          <w:pgSz w:w="11900" w:h="16838" w:orient="portrait"/>
          <w:cols w:equalWidth="0" w:num="1">
            <w:col w:w="11440"/>
          </w:cols>
          <w:pgMar w:left="240" w:top="1024" w:right="219" w:bottom="1440" w:gutter="0" w:footer="0" w:header="0"/>
        </w:sectPr>
      </w:pPr>
    </w:p>
    <w:bookmarkStart w:id="21" w:name="page22"/>
    <w:bookmarkEnd w:id="21"/>
    <w:p>
      <w:pPr>
        <w:ind w:right="60" w:firstLine="770"/>
        <w:spacing w:after="0" w:line="258" w:lineRule="auto"/>
        <w:rPr>
          <w:sz w:val="20"/>
          <w:szCs w:val="20"/>
          <w:color w:val="auto"/>
        </w:rPr>
      </w:pPr>
      <w:r>
        <w:rPr>
          <w:rFonts w:ascii="Times New Roman" w:cs="Times New Roman" w:eastAsia="Times New Roman" w:hAnsi="Times New Roman"/>
          <w:sz w:val="18"/>
          <w:szCs w:val="18"/>
          <w:color w:val="auto"/>
        </w:rPr>
        <w:t>With respect to the base salary paid to Mr. Graham in 2014, the Committee considered the base salaries paid to chief executive officers of peer companies, the Company’s results in 2013 and Mr. Graham’s performance since 1979, when he became publisher of The Washington Post. The Committee noted that Mr. Graham’s base salary was, and has long been, significantly below the median of base salaries paid to chief executive officers of these peer companies. However, at Mr. Graham’s request, the Committee left his salary at $400,000. The Committee does not weigh Mr. Graham’s below-market salary when reviewing and establishing salaries for other named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Incentive Compensation</w:t>
      </w:r>
    </w:p>
    <w:p>
      <w:pPr>
        <w:spacing w:after="0" w:line="229" w:lineRule="exact"/>
        <w:rPr>
          <w:sz w:val="20"/>
          <w:szCs w:val="20"/>
          <w:color w:val="auto"/>
        </w:rPr>
      </w:pPr>
    </w:p>
    <w:p>
      <w:pPr>
        <w:jc w:val="both"/>
        <w:ind w:right="40" w:firstLine="770"/>
        <w:spacing w:after="0" w:line="261" w:lineRule="auto"/>
        <w:rPr>
          <w:sz w:val="20"/>
          <w:szCs w:val="20"/>
          <w:color w:val="auto"/>
        </w:rPr>
      </w:pPr>
      <w:r>
        <w:rPr>
          <w:rFonts w:ascii="Times New Roman" w:cs="Times New Roman" w:eastAsia="Times New Roman" w:hAnsi="Times New Roman"/>
          <w:sz w:val="18"/>
          <w:szCs w:val="18"/>
          <w:color w:val="auto"/>
        </w:rPr>
        <w:t>To supplement base salaries and to reward management (including named executive officers and other employees key to the long-term success of the Company) for meeting specific individual and financial goals, the Class A and Class B Shareholders of the Company adopted the 2012 ICP in May 2012. Prior to the adoption of the 2012 ICP, performance-based incentive compensation was awarded under the Incentive Compensation Plan (adopted in 2001) or the Stock Option Plan (reauthorized in 2003).</w:t>
      </w:r>
    </w:p>
    <w:p>
      <w:pPr>
        <w:spacing w:after="0" w:line="180" w:lineRule="exact"/>
        <w:rPr>
          <w:sz w:val="20"/>
          <w:szCs w:val="20"/>
          <w:color w:val="auto"/>
        </w:rPr>
      </w:pPr>
    </w:p>
    <w:p>
      <w:pPr>
        <w:ind w:firstLine="770"/>
        <w:spacing w:after="0" w:line="261" w:lineRule="auto"/>
        <w:rPr>
          <w:sz w:val="20"/>
          <w:szCs w:val="20"/>
          <w:color w:val="auto"/>
        </w:rPr>
      </w:pPr>
      <w:r>
        <w:rPr>
          <w:rFonts w:ascii="Times New Roman" w:cs="Times New Roman" w:eastAsia="Times New Roman" w:hAnsi="Times New Roman"/>
          <w:sz w:val="18"/>
          <w:szCs w:val="18"/>
          <w:color w:val="auto"/>
        </w:rPr>
        <w:t>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181 employees of the Company who are participants under the 2012 ICP and receive annual bonus awards and/or hold restricted stock, stock options, or performance units granted under the 2012 ICP. Each named executive officer, except Mr. Graham, participates in these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29" w:lineRule="exact"/>
        <w:rPr>
          <w:sz w:val="20"/>
          <w:szCs w:val="20"/>
          <w:color w:val="auto"/>
        </w:rPr>
      </w:pPr>
    </w:p>
    <w:p>
      <w:pPr>
        <w:ind w:firstLine="770"/>
        <w:spacing w:after="0" w:line="256" w:lineRule="auto"/>
        <w:rPr>
          <w:sz w:val="20"/>
          <w:szCs w:val="20"/>
          <w:color w:val="auto"/>
        </w:rPr>
      </w:pPr>
      <w:r>
        <w:rPr>
          <w:rFonts w:ascii="Times New Roman" w:cs="Times New Roman" w:eastAsia="Times New Roman" w:hAnsi="Times New Roman"/>
          <w:sz w:val="18"/>
          <w:szCs w:val="18"/>
          <w:color w:val="auto"/>
        </w:rPr>
        <w:t>The 2012 ICP provides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2014 target annual bonus award for each of the named executive officers, as a percentage of base salary, was as follows: Mr. O’Shaughnessy, 100% (prorated for time in position); Mr. Rosen, 100%; Mr. Jones, 50%; and Ms. McDaniel, 50%. Mr. Graham has asked the Committee not to grant him an annual bonus award.</w:t>
      </w:r>
    </w:p>
    <w:p>
      <w:pPr>
        <w:spacing w:after="0" w:line="188" w:lineRule="exact"/>
        <w:rPr>
          <w:sz w:val="20"/>
          <w:szCs w:val="20"/>
          <w:color w:val="auto"/>
        </w:rPr>
      </w:pPr>
    </w:p>
    <w:p>
      <w:pPr>
        <w:ind w:right="40" w:firstLine="770"/>
        <w:spacing w:after="0" w:line="256" w:lineRule="auto"/>
        <w:rPr>
          <w:sz w:val="20"/>
          <w:szCs w:val="20"/>
          <w:color w:val="auto"/>
        </w:rPr>
      </w:pPr>
      <w:r>
        <w:rPr>
          <w:rFonts w:ascii="Times New Roman" w:cs="Times New Roman" w:eastAsia="Times New Roman" w:hAnsi="Times New Roman"/>
          <w:sz w:val="18"/>
          <w:szCs w:val="18"/>
          <w:color w:val="auto"/>
        </w:rPr>
        <w:t>In 2014, the annual bonus formula for the named executive officers was based on a diluted earnings per share target because the Committee believed that such a goal would align the interests of shareholders and the named executive officers in growing the value of the Company. For Mr. Rosen, the formula included a component of base salary (50%) tied to the performance of Kaplan; and for Ms. McDaniel, the formula included a component of base salary (10%) tied to the performance of the Slate business. Management and the Committee believe that they have designed the targets to be challenging, but achievable. The Company has achieved its financial goals and paid out at or above target in the annual bonus portion of the 2012 ICP in four of the past five years; in one of the past five years, the Company achieved less than 100% of its earnings per share goal, as adjusted to exclude certain items.</w:t>
      </w:r>
    </w:p>
    <w:p>
      <w:pPr>
        <w:spacing w:after="0" w:line="188" w:lineRule="exact"/>
        <w:rPr>
          <w:sz w:val="20"/>
          <w:szCs w:val="20"/>
          <w:color w:val="auto"/>
        </w:rPr>
      </w:pPr>
    </w:p>
    <w:p>
      <w:pPr>
        <w:ind w:right="60" w:firstLine="770"/>
        <w:spacing w:after="0" w:line="258" w:lineRule="auto"/>
        <w:rPr>
          <w:sz w:val="20"/>
          <w:szCs w:val="20"/>
          <w:color w:val="auto"/>
        </w:rPr>
      </w:pPr>
      <w:r>
        <w:rPr>
          <w:rFonts w:ascii="Times New Roman" w:cs="Times New Roman" w:eastAsia="Times New Roman" w:hAnsi="Times New Roman"/>
          <w:sz w:val="18"/>
          <w:szCs w:val="18"/>
          <w:color w:val="auto"/>
        </w:rPr>
        <w:t>The original diluted earnings per share goal for 2014 was $38.67; however, the Committee adjusted the goal to exclude the impact of discontinued operations, resulting in a revised diluted earnings per share goal of $35.59. In setting the original goal, the Committee established a formula for bonus purposes that included adjustments for certain items, to the extent that actual amounts varied from those in the 2014 annual budget. Specifically, these adjustments included credits for a Kaplan stock compensation expense budget variance, offset by additions for a pension budget variance, foreign exchange losses and unbudgeted new investments and acquisitions.</w:t>
      </w:r>
    </w:p>
    <w:p>
      <w:pPr>
        <w:spacing w:after="0" w:line="184" w:lineRule="exact"/>
        <w:rPr>
          <w:sz w:val="20"/>
          <w:szCs w:val="20"/>
          <w:color w:val="auto"/>
        </w:rPr>
      </w:pPr>
    </w:p>
    <w:p>
      <w:pPr>
        <w:ind w:firstLine="770"/>
        <w:spacing w:after="0" w:line="255" w:lineRule="auto"/>
        <w:rPr>
          <w:sz w:val="20"/>
          <w:szCs w:val="20"/>
          <w:color w:val="auto"/>
        </w:rPr>
      </w:pPr>
      <w:r>
        <w:rPr>
          <w:rFonts w:ascii="Times New Roman" w:cs="Times New Roman" w:eastAsia="Times New Roman" w:hAnsi="Times New Roman"/>
          <w:sz w:val="18"/>
          <w:szCs w:val="18"/>
          <w:color w:val="auto"/>
        </w:rPr>
        <w:t>In calculating the Company’s achievement of 2014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unbudgeted gains, net of losses, related to certain business transactions, unbudgeted restructuring charges at Kaplan, unbudgeted costs at corporate and Celtic and unbudgeted LTIP costs at SocialCode. The Committee adjusted for these items as they do not relate to the regular operating results that are customarily considered by the Committee in determining bonus amounts. The exhibit to the Company’s Form 8-K filed on February 20, 2015, detailed most of these items, as does page 42 of the Company’s Annual Report on Form 10-K, filed on February 27, 2015. These items collectively amounted to $102.99 in diluted earnings per share net deductions, or 98% of the total adjustments made.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580" w:right="279" w:bottom="1440" w:gutter="0" w:footer="0" w:header="0"/>
        </w:sectPr>
      </w:pPr>
    </w:p>
    <w:bookmarkStart w:id="22" w:name="page23"/>
    <w:bookmarkEnd w:id="22"/>
    <w:p>
      <w:pPr>
        <w:ind w:right="20" w:firstLine="770"/>
        <w:spacing w:after="0" w:line="261" w:lineRule="auto"/>
        <w:rPr>
          <w:sz w:val="20"/>
          <w:szCs w:val="20"/>
          <w:color w:val="auto"/>
        </w:rPr>
      </w:pPr>
      <w:r>
        <w:rPr>
          <w:rFonts w:ascii="Times New Roman" w:cs="Times New Roman" w:eastAsia="Times New Roman" w:hAnsi="Times New Roman"/>
          <w:sz w:val="18"/>
          <w:szCs w:val="18"/>
          <w:color w:val="auto"/>
        </w:rPr>
        <w:t>Taking into account these adjustments, the Company’s 2014 diluted earnings per share, as adjusted for purposes of the bonus determination, was $36.25 (compared to reported diluted earnings per share from continuing operations of $138.88), resulting in the Company’s achievement of 102% of its revised earnings per share goal for 2014. Annual bonuses are paid at a maximum of 200% of target for earnings per share performance of 140% of budget. As a result, the annual bonus payout was approximately 104% of target, based on the established annual formula.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ind w:right="80" w:firstLine="770"/>
        <w:spacing w:after="0" w:line="258" w:lineRule="auto"/>
        <w:rPr>
          <w:sz w:val="20"/>
          <w:szCs w:val="20"/>
          <w:color w:val="auto"/>
        </w:rPr>
      </w:pPr>
      <w:r>
        <w:rPr>
          <w:rFonts w:ascii="Times New Roman" w:cs="Times New Roman" w:eastAsia="Times New Roman" w:hAnsi="Times New Roman"/>
          <w:sz w:val="18"/>
          <w:szCs w:val="18"/>
          <w:color w:val="auto"/>
        </w:rPr>
        <w:t>To align the interests of the Company’s shareholders and management and to ensure that the full potential of an executive’s compensation package cannot be realized unless stock appreciation occurs over a number of years, the 2012 ICP also provides for grants of restricted stock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The shares generally cliff vest at the conclusion of a four-year vesting period and accelerate vesting only at the discretion of the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 highlight specific long-term financial goals, the 2012 ICP provides for the grant of performance-based compensation, which the Company grants pursuant to its Performance Unit Plans. The named executive officers, other than Mr. Graham, participate in these plans, in which performance-based goals are determined at the beginning of each four-year award cycle. The goals consider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three of the past four award cycles, the Company achieved or exceeded its goals and paid out at or above target. In one of the past four award cycles, the targeted performance goals were not met, and the plan paid out below target. Each performance unit has a nominal value of $100 and a maximum potential payout of $200. The payment of a total award to any individual at the end of an award cycle may not exceed $5 million.</w:t>
      </w:r>
    </w:p>
    <w:p>
      <w:pPr>
        <w:spacing w:after="0" w:line="185" w:lineRule="exact"/>
        <w:rPr>
          <w:sz w:val="20"/>
          <w:szCs w:val="20"/>
          <w:color w:val="auto"/>
        </w:rPr>
      </w:pPr>
    </w:p>
    <w:p>
      <w:pPr>
        <w:ind w:right="60" w:firstLine="729"/>
        <w:spacing w:after="0" w:line="258" w:lineRule="auto"/>
        <w:rPr>
          <w:sz w:val="20"/>
          <w:szCs w:val="20"/>
          <w:color w:val="auto"/>
        </w:rPr>
      </w:pPr>
      <w:r>
        <w:rPr>
          <w:rFonts w:ascii="Times New Roman" w:cs="Times New Roman" w:eastAsia="Times New Roman" w:hAnsi="Times New Roman"/>
          <w:sz w:val="18"/>
          <w:szCs w:val="18"/>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84" w:lineRule="exact"/>
        <w:rPr>
          <w:sz w:val="20"/>
          <w:szCs w:val="20"/>
          <w:color w:val="auto"/>
        </w:rPr>
      </w:pPr>
    </w:p>
    <w:p>
      <w:pPr>
        <w:ind w:right="700" w:firstLine="729"/>
        <w:spacing w:after="0" w:line="282" w:lineRule="auto"/>
        <w:rPr>
          <w:sz w:val="20"/>
          <w:szCs w:val="20"/>
          <w:color w:val="auto"/>
        </w:rPr>
      </w:pPr>
      <w:r>
        <w:rPr>
          <w:rFonts w:ascii="Times New Roman" w:cs="Times New Roman" w:eastAsia="Times New Roman" w:hAnsi="Times New Roman"/>
          <w:sz w:val="18"/>
          <w:szCs w:val="18"/>
          <w:color w:val="auto"/>
        </w:rPr>
        <w:t>In connection with the sale of Washington Post Media (“WPM”) to Nash Holdings LLC (“Nash”), completed in October 2013 (the “WPM Transaction”), in January 2014, the Committee revised the valuation formulas with respect to the 2011–2014 and 2013–2016 cycles.</w:t>
      </w:r>
    </w:p>
    <w:p>
      <w:pPr>
        <w:spacing w:after="0" w:line="162" w:lineRule="exact"/>
        <w:rPr>
          <w:sz w:val="20"/>
          <w:szCs w:val="20"/>
          <w:color w:val="auto"/>
        </w:rPr>
      </w:pPr>
    </w:p>
    <w:p>
      <w:pPr>
        <w:ind w:right="120" w:firstLine="716"/>
        <w:spacing w:after="0" w:line="258" w:lineRule="auto"/>
        <w:rPr>
          <w:sz w:val="20"/>
          <w:szCs w:val="20"/>
          <w:color w:val="auto"/>
        </w:rPr>
      </w:pPr>
      <w:r>
        <w:rPr>
          <w:rFonts w:ascii="Times New Roman" w:cs="Times New Roman" w:eastAsia="Times New Roman" w:hAnsi="Times New Roman"/>
          <w:sz w:val="18"/>
          <w:szCs w:val="18"/>
          <w:color w:val="auto"/>
        </w:rPr>
        <w:t>Awards under the 2011–2014 cycle were based on a three-pronged formula. The 2011–2014 cycle formula consisted of an average of the value of the performance units allocable to the 2011–2014 performance of WPM, Cable ONE, Inc. (“Cable ONE”) and Graham Media Group, formerly Post– Newsweek Stations, Inc. (“GMG”) (49%); plus an average of the value of the performance units allocable to the 2011–2014 performance of Cable ONE and GMG (16%); plus an amount based on Kaplan’s achievement of cumulative operating income goals during the four-year period, excluding intangibles amortization, Kaplan stock compensation expense and restructuring charges (35%).</w:t>
      </w:r>
    </w:p>
    <w:p>
      <w:pPr>
        <w:spacing w:after="0" w:line="184" w:lineRule="exact"/>
        <w:rPr>
          <w:sz w:val="20"/>
          <w:szCs w:val="20"/>
          <w:color w:val="auto"/>
        </w:rPr>
      </w:pPr>
    </w:p>
    <w:p>
      <w:pPr>
        <w:ind w:right="20" w:firstLine="716"/>
        <w:spacing w:after="0" w:line="254" w:lineRule="auto"/>
        <w:rPr>
          <w:sz w:val="20"/>
          <w:szCs w:val="20"/>
          <w:color w:val="auto"/>
        </w:rPr>
      </w:pPr>
      <w:r>
        <w:rPr>
          <w:rFonts w:ascii="Times New Roman" w:cs="Times New Roman" w:eastAsia="Times New Roman" w:hAnsi="Times New Roman"/>
          <w:sz w:val="18"/>
          <w:szCs w:val="18"/>
          <w:color w:val="auto"/>
        </w:rPr>
        <w:t>Awards under the 2013–2016 cycle are based on a two-pronged formula. The 2013–2016 cycle formula consists of an average of the value of the performance units allocable to 2013–2016 performance of Cable ONE and GMG (65%), plus an amount based on Kaplan’s achievement of cumulative operating income goals during the four-year period, excluding Kaplan stock compensation expense and restructuring charge (35%). In light of the Cable ONE spin-off, the Committee in January 2015 revised the valuation formula of the 2013–2016 cycle to take effect on the closing date of the transaction. Specifically, the Committee determined that if Cable ONE were no longer held by the Company for the final year-and-a-half of the performance period, then the weighting of performance units attributable to an average of Cable ONE and GMG should be reduced and the weighting of performance units attributable solely to GMG should make up for the reduction. Accordingly, in the event that the spin-off is completed, upon such date, awards under the 2013–2016 cycle will be based on a three-pronged formula consisting of the average of the value of the performance units allocable to the 2013–2016 performance of Cable ONE and GMG (49%); plus the value of the performance units allocable to the 2013–2016 performance of GMG (16%); plus an amount based 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580" w:right="259" w:bottom="1440" w:gutter="0" w:footer="0" w:header="0"/>
        </w:sectPr>
      </w:pPr>
    </w:p>
    <w:bookmarkStart w:id="23" w:name="page24"/>
    <w:bookmarkEnd w:id="23"/>
    <w:p>
      <w:pPr>
        <w:ind w:right="280"/>
        <w:spacing w:after="0" w:line="282" w:lineRule="auto"/>
        <w:rPr>
          <w:sz w:val="20"/>
          <w:szCs w:val="20"/>
          <w:color w:val="auto"/>
        </w:rPr>
      </w:pPr>
      <w:r>
        <w:rPr>
          <w:rFonts w:ascii="Times New Roman" w:cs="Times New Roman" w:eastAsia="Times New Roman" w:hAnsi="Times New Roman"/>
          <w:sz w:val="18"/>
          <w:szCs w:val="18"/>
          <w:color w:val="auto"/>
        </w:rPr>
        <w:t>Kaplan’s achievement of cumulative operating income goals during the four-year period, excluding Kaplan stock compensation expense and restructuring charges (35%).</w:t>
      </w:r>
    </w:p>
    <w:p>
      <w:pPr>
        <w:spacing w:after="0" w:line="162" w:lineRule="exact"/>
        <w:rPr>
          <w:sz w:val="20"/>
          <w:szCs w:val="20"/>
          <w:color w:val="auto"/>
        </w:rPr>
      </w:pPr>
    </w:p>
    <w:p>
      <w:pPr>
        <w:ind w:right="20" w:firstLine="716"/>
        <w:spacing w:after="0" w:line="266" w:lineRule="auto"/>
        <w:rPr>
          <w:sz w:val="20"/>
          <w:szCs w:val="20"/>
          <w:color w:val="auto"/>
        </w:rPr>
      </w:pPr>
      <w:r>
        <w:rPr>
          <w:rFonts w:ascii="Times New Roman" w:cs="Times New Roman" w:eastAsia="Times New Roman" w:hAnsi="Times New Roman"/>
          <w:sz w:val="18"/>
          <w:szCs w:val="18"/>
          <w:color w:val="auto"/>
        </w:rPr>
        <w:t>The Committee initially selected these targets because they reflected the key priorities for the Company on the grant date for the applicable time periods. The values of performance units in the 2011–2014 and 2013–2016 cycles are determined at the conclusion of those cycles, based on the performance criteria described below.</w:t>
      </w:r>
    </w:p>
    <w:p>
      <w:pPr>
        <w:spacing w:after="0" w:line="176" w:lineRule="exact"/>
        <w:rPr>
          <w:sz w:val="20"/>
          <w:szCs w:val="20"/>
          <w:color w:val="auto"/>
        </w:rPr>
      </w:pPr>
    </w:p>
    <w:p>
      <w:pPr>
        <w:ind w:right="380" w:firstLine="716"/>
        <w:spacing w:after="0" w:line="282" w:lineRule="auto"/>
        <w:rPr>
          <w:sz w:val="20"/>
          <w:szCs w:val="20"/>
          <w:color w:val="auto"/>
        </w:rPr>
      </w:pPr>
      <w:r>
        <w:rPr>
          <w:rFonts w:ascii="Times New Roman" w:cs="Times New Roman" w:eastAsia="Times New Roman" w:hAnsi="Times New Roman"/>
          <w:sz w:val="18"/>
          <w:szCs w:val="18"/>
          <w:color w:val="auto"/>
        </w:rPr>
        <w:t>The performance measure used in the formula at WPM under the 2011–2014 cycle was cumulative operating income over the four-year period relative to a break-even target. Valuations of performance units, based on this measure, are as follows:</w:t>
      </w:r>
    </w:p>
    <w:p>
      <w:pPr>
        <w:spacing w:after="0" w:line="100"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Unit Value</w:t>
            </w:r>
          </w:p>
        </w:tc>
      </w:tr>
      <w:tr>
        <w:trPr>
          <w:trHeight w:val="20"/>
        </w:trPr>
        <w:tc>
          <w:tcPr>
            <w:tcW w:w="8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$86M</w:t>
            </w: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$66M to $85M</w:t>
            </w: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$36M to $65M</w:t>
            </w: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$0M to $35M</w:t>
            </w: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$0M</w:t>
            </w: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cases, the performance measure of operating income excludes pension expense.</w:t>
      </w:r>
    </w:p>
    <w:p>
      <w:pPr>
        <w:spacing w:after="0" w:line="225" w:lineRule="exact"/>
        <w:rPr>
          <w:sz w:val="20"/>
          <w:szCs w:val="20"/>
          <w:color w:val="auto"/>
        </w:rPr>
      </w:pPr>
    </w:p>
    <w:p>
      <w:pPr>
        <w:ind w:right="120" w:firstLine="729"/>
        <w:spacing w:after="0" w:line="282" w:lineRule="auto"/>
        <w:rPr>
          <w:sz w:val="20"/>
          <w:szCs w:val="20"/>
          <w:color w:val="auto"/>
        </w:rPr>
      </w:pPr>
      <w:r>
        <w:rPr>
          <w:rFonts w:ascii="Times New Roman" w:cs="Times New Roman" w:eastAsia="Times New Roman" w:hAnsi="Times New Roman"/>
          <w:sz w:val="18"/>
          <w:szCs w:val="18"/>
          <w:color w:val="auto"/>
        </w:rPr>
        <w:t>As a result of the WPM Transaction, awards under WPM’s 2011–2014 cycle were valued in October 2013, based on 2011–2013 performance. For WPM’s 2011–2014 cycle, the Committee determined a payout value of $75 per unit with respect to the portion of performance attributable to WPM.</w:t>
      </w:r>
    </w:p>
    <w:p>
      <w:pPr>
        <w:spacing w:after="0" w:line="162" w:lineRule="exact"/>
        <w:rPr>
          <w:sz w:val="20"/>
          <w:szCs w:val="20"/>
          <w:color w:val="auto"/>
        </w:rPr>
      </w:pPr>
    </w:p>
    <w:p>
      <w:pPr>
        <w:ind w:right="100" w:firstLine="729"/>
        <w:spacing w:after="0" w:line="266" w:lineRule="auto"/>
        <w:rPr>
          <w:sz w:val="20"/>
          <w:szCs w:val="20"/>
          <w:color w:val="auto"/>
        </w:rPr>
      </w:pPr>
      <w:r>
        <w:rPr>
          <w:rFonts w:ascii="Times New Roman" w:cs="Times New Roman" w:eastAsia="Times New Roman" w:hAnsi="Times New Roman"/>
          <w:sz w:val="18"/>
          <w:szCs w:val="18"/>
          <w:color w:val="auto"/>
        </w:rPr>
        <w:t>The performance measure used in the formula for Cable ONE for both the 2011–2014 and 2013–2016 cycles is cumulative free cash flow over the applicable four-year period relative to a target amount. Free cash flow is defined as operating income, plus depreciation and amortization, less capital expenditures. Valuations of performance units, based on this measure, are as follows:</w:t>
      </w:r>
    </w:p>
    <w:p>
      <w:pPr>
        <w:spacing w:after="0" w:line="114"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Unit Value</w:t>
            </w:r>
          </w:p>
        </w:tc>
      </w:tr>
      <w:tr>
        <w:trPr>
          <w:trHeight w:val="20"/>
        </w:trPr>
        <w:tc>
          <w:tcPr>
            <w:tcW w:w="8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1540" w:type="dxa"/>
            <w:vAlign w:val="bottom"/>
          </w:tcPr>
          <w:p>
            <w:pPr>
              <w:spacing w:after="0"/>
              <w:rPr>
                <w:sz w:val="22"/>
                <w:szCs w:val="22"/>
                <w:color w:val="auto"/>
              </w:rPr>
            </w:pP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tcPr>
          <w:p>
            <w:pPr>
              <w:spacing w:after="0"/>
              <w:rPr>
                <w:sz w:val="23"/>
                <w:szCs w:val="23"/>
                <w:color w:val="auto"/>
              </w:rPr>
            </w:pP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0"/>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Target</w:t>
            </w: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1540" w:type="dxa"/>
            <w:vAlign w:val="bottom"/>
          </w:tcPr>
          <w:p>
            <w:pPr>
              <w:spacing w:after="0"/>
              <w:rPr>
                <w:sz w:val="23"/>
                <w:szCs w:val="23"/>
                <w:color w:val="auto"/>
              </w:rPr>
            </w:pP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91%</w:t>
            </w: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2011–2014 cycle, Cable ONE</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 results were 97.4% of the target amount, resulting in a payout of $111 per unit.</w:t>
      </w:r>
    </w:p>
    <w:p>
      <w:pPr>
        <w:spacing w:after="0" w:line="225" w:lineRule="exact"/>
        <w:rPr>
          <w:sz w:val="20"/>
          <w:szCs w:val="20"/>
          <w:color w:val="auto"/>
        </w:rPr>
      </w:pPr>
    </w:p>
    <w:p>
      <w:pPr>
        <w:ind w:firstLine="770"/>
        <w:spacing w:after="0" w:line="258" w:lineRule="auto"/>
        <w:rPr>
          <w:sz w:val="20"/>
          <w:szCs w:val="20"/>
          <w:color w:val="auto"/>
        </w:rPr>
      </w:pPr>
      <w:r>
        <w:rPr>
          <w:rFonts w:ascii="Times New Roman" w:cs="Times New Roman" w:eastAsia="Times New Roman" w:hAnsi="Times New Roman"/>
          <w:sz w:val="18"/>
          <w:szCs w:val="18"/>
          <w:color w:val="auto"/>
        </w:rPr>
        <w:t>The performance measure used for GMG for both the 2011–2014 and 2013–2016 cycles is GMG’s cumulative cash flow margin ranking over the applicable four-year period compared to the cash flow margins of selected peer companies at the end of the award cycle. Cash flow margin is computed based on operating income plus depreciation and amortization, as a percentage of revenue. As soon as practical after the award cycle, the Committee determines GMG’s cash flow margin rank among the cash flow margins of the peer companies and determines the payout value of each performance unit. The value of each performance unit is determined as set forth in the following table:</w:t>
      </w:r>
    </w:p>
    <w:p>
      <w:pPr>
        <w:spacing w:after="0" w:line="122"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GMG Cash Flow Margin Rank</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Unit Value</w:t>
            </w:r>
          </w:p>
        </w:tc>
      </w:tr>
      <w:tr>
        <w:trPr>
          <w:trHeight w:val="20"/>
        </w:trPr>
        <w:tc>
          <w:tcPr>
            <w:tcW w:w="1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2"/>
                <w:szCs w:val="22"/>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spacing w:after="0"/>
              <w:rPr>
                <w:sz w:val="23"/>
                <w:szCs w:val="23"/>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spacing w:after="0"/>
              <w:rPr>
                <w:sz w:val="23"/>
                <w:szCs w:val="23"/>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#3</w:t>
            </w: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GMG formula for both the 2011–2014 and 2013–2016 cycles provides that the payout value will be increased by $12.50 for each of the four years during the award cycle in which GMG’s actual cash flow margin is not only number one among peer companies, but is also 2% higher than that of the nearest competitor among the peer companies. The formula also provides that the payout value will be reduced by 50% if GMG does not produce operating income in one of the four years during the award cycle. If GMG does not produce operating income for at least two years in the cycle, then there will be no payout with respect to the portion of performance attributable to GMG.</w:t>
      </w:r>
    </w:p>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2011–2014 cycle, GMG</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 cash flow ranked number one overall for the four-year period; plus, in 2013 and 2014, GMG</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 cash flow was 2% higher than that of the nearest competitor among the peer companies, resulting in a payout of $175 per unit.</w:t>
      </w:r>
    </w:p>
    <w:p>
      <w:pPr>
        <w:sectPr>
          <w:pgSz w:w="11900" w:h="16838" w:orient="portrait"/>
          <w:cols w:equalWidth="0" w:num="1">
            <w:col w:w="11380"/>
          </w:cols>
          <w:pgMar w:left="240" w:top="580" w:right="2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580" w:right="279" w:bottom="1440" w:gutter="0" w:footer="0" w:header="0"/>
          <w:type w:val="continuous"/>
        </w:sectPr>
      </w:pPr>
    </w:p>
    <w:bookmarkStart w:id="24" w:name="page25"/>
    <w:bookmarkEnd w:id="24"/>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the 2011–2014 cycle, Kaplan’s adjusted cumulative operating income over the four-year period was $423.4 million, resulting in a payout value of $134.34.</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Performance Units for the 2011–2014 cycle were valued at $130 per unit based on achievement of the established performance measures.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unit payouts for the named executive officers for the 2011–2014 cycle are included in the Summary Compensation Table.</w:t>
      </w:r>
    </w:p>
    <w:p>
      <w:pPr>
        <w:spacing w:after="0" w:line="207" w:lineRule="exact"/>
        <w:rPr>
          <w:sz w:val="20"/>
          <w:szCs w:val="20"/>
          <w:color w:val="auto"/>
        </w:rPr>
      </w:pPr>
    </w:p>
    <w:p>
      <w:pPr>
        <w:ind w:right="20" w:firstLine="770"/>
        <w:spacing w:after="0" w:line="258" w:lineRule="auto"/>
        <w:rPr>
          <w:sz w:val="20"/>
          <w:szCs w:val="20"/>
          <w:color w:val="auto"/>
        </w:rPr>
      </w:pPr>
      <w:r>
        <w:rPr>
          <w:rFonts w:ascii="Times New Roman" w:cs="Times New Roman" w:eastAsia="Times New Roman" w:hAnsi="Times New Roman"/>
          <w:sz w:val="18"/>
          <w:szCs w:val="18"/>
          <w:color w:val="auto"/>
        </w:rPr>
        <w:t>Because the performance measures that compose the valuation formula for performance units are cumulative for the measures applicable to Kaplan, Cable ONE and GMG, it is not possible to calculate with certainty any interim performance unit values mid-cycle, and no named executive officer is entitled to any payout until the Performance Units vest and the Committee approves the valuation at the conclusion of the cycle. Mr. O’Shaughnessy holds 5,000 units in the 2013–2016 cycle, Mr. Rosen holds 3,000 units in the 2013–2016 cycle and Mr. Jones and Ms. McDaniel each hold 6,500 units in the 2013– 2016 cycle. Mr. Graham held 9,750 units in the 2013–2016 cycles, but at Mr. Graham's request in 2015, the Committee forfeited the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20" w:firstLine="770"/>
        <w:spacing w:after="0" w:line="255" w:lineRule="auto"/>
        <w:rPr>
          <w:sz w:val="20"/>
          <w:szCs w:val="20"/>
          <w:color w:val="auto"/>
        </w:rPr>
      </w:pPr>
      <w:r>
        <w:rPr>
          <w:rFonts w:ascii="Times New Roman" w:cs="Times New Roman" w:eastAsia="Times New Roman" w:hAnsi="Times New Roman"/>
          <w:sz w:val="18"/>
          <w:szCs w:val="18"/>
          <w:color w:val="auto"/>
        </w:rPr>
        <w:t>Pursuant to the terms of the 2012 ICP,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25% per year, over four years, and expire ten years from the grant date. As of the end of the Company’s 2014 fiscal year, Mr. O</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Shaughnessy held options to acquire 50,000 shares of Class B Stock, granted in 2014 in connection with his hiring. For a description of the terms of Mr. O’Shaughnessy’s options, see the section above entitled “Setting Executive Compensation.” In addition, Mr. Rosen held options to acquire 50,000 shares of Class B Stock, granted in 2011, and Mr. Jones held options to acquire 2,000 shares of Class B Stock, granted in 2008. Given Mr. Graham’s significant ownership in the Company, the Committee has not granted any stock options to Mr. Graham.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229" w:lineRule="exact"/>
        <w:rPr>
          <w:sz w:val="20"/>
          <w:szCs w:val="20"/>
          <w:color w:val="auto"/>
        </w:rPr>
      </w:pPr>
    </w:p>
    <w:p>
      <w:pPr>
        <w:ind w:right="200" w:firstLine="770"/>
        <w:spacing w:after="0" w:line="282" w:lineRule="auto"/>
        <w:rPr>
          <w:sz w:val="20"/>
          <w:szCs w:val="20"/>
          <w:color w:val="auto"/>
        </w:rPr>
      </w:pPr>
      <w:r>
        <w:rPr>
          <w:rFonts w:ascii="Times New Roman" w:cs="Times New Roman" w:eastAsia="Times New Roman" w:hAnsi="Times New Roman"/>
          <w:sz w:val="18"/>
          <w:szCs w:val="18"/>
          <w:color w:val="auto"/>
        </w:rPr>
        <w:t>The Company provides few perquisites for the named executive officers. In 2014, Ms. McDaniel received paid garage parking at the Company’s headquarters in Arlington, VA, and financial and tax advice valued at $17,647.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Defined Contribution and Defined Benefit Plan</w:t>
      </w:r>
    </w:p>
    <w:p>
      <w:pPr>
        <w:spacing w:after="0" w:line="229" w:lineRule="exact"/>
        <w:rPr>
          <w:sz w:val="20"/>
          <w:szCs w:val="20"/>
          <w:color w:val="auto"/>
        </w:rPr>
      </w:pPr>
    </w:p>
    <w:p>
      <w:pPr>
        <w:ind w:right="440" w:firstLine="770"/>
        <w:spacing w:after="0" w:line="266" w:lineRule="auto"/>
        <w:rPr>
          <w:sz w:val="20"/>
          <w:szCs w:val="20"/>
          <w:color w:val="auto"/>
        </w:rPr>
      </w:pPr>
      <w:r>
        <w:rPr>
          <w:rFonts w:ascii="Times New Roman" w:cs="Times New Roman" w:eastAsia="Times New Roman" w:hAnsi="Times New Roman"/>
          <w:sz w:val="18"/>
          <w:szCs w:val="18"/>
          <w:color w:val="auto"/>
        </w:rPr>
        <w:t>Most employees of the Company, including certain named executive officers, are eligible to participate in the Company’s qualified defined contribution 401(k) and defined benefit retirement programs. Benefits under these plans are determined on the basis of base salary only, exclusive of all bonuses, deferred compensation and other forms of remuneration.</w:t>
      </w:r>
    </w:p>
    <w:p>
      <w:pPr>
        <w:spacing w:after="0" w:line="176" w:lineRule="exact"/>
        <w:rPr>
          <w:sz w:val="20"/>
          <w:szCs w:val="20"/>
          <w:color w:val="auto"/>
        </w:rPr>
      </w:pPr>
    </w:p>
    <w:p>
      <w:pPr>
        <w:ind w:firstLine="770"/>
        <w:spacing w:after="0" w:line="253" w:lineRule="auto"/>
        <w:rPr>
          <w:sz w:val="20"/>
          <w:szCs w:val="20"/>
          <w:color w:val="auto"/>
        </w:rPr>
      </w:pPr>
      <w:r>
        <w:rPr>
          <w:rFonts w:ascii="Times New Roman" w:cs="Times New Roman" w:eastAsia="Times New Roman" w:hAnsi="Times New Roman"/>
          <w:sz w:val="18"/>
          <w:szCs w:val="18"/>
          <w:color w:val="auto"/>
        </w:rPr>
        <w:t>Eligible Corporate employees hired on or after September 1, 2009, participate in the Cash Balance Retirement Program (“CBRP”). Eligible Corporate employees who were actively employed on or after August 1, 2012, also participate in the Secure Retirement Account (“SRA”). Both the CBRP and the SRA are defined benefit programs in which participant account balances grow through quarterly pay-based credits and quarterly interest credits. Corporate employees hired prior to September 1, 2009, including certain named executive officers who are vested and who begin to take their pension benefit at age 65 or whose age and years of service when added together equal 90 (the “Rule of 90”), receive an annual pension equal to 1.75% of their highest average 60-month base salary annualized up to the limits permitted by the Code, minus Social Security-covered compensation multiplied by the appropriate Social Security offset percentage and early retirement factor, multiplied by the number of years of credited service under the Graham Holdings Retirement Benefits Schedule (“Graham Schedule”). An annual cash pension supplement is also provided to assist in payment of retiree medical coverage equal to $200 multiplied by the number of years of credited service under the Graham Schedule. An additional cash pension supplement of $3,000 per year is provided to participants who retire and commence benefit payment at or after age 55, but prior to age 65, and who had ten years of vesting service at retirement. The pre-age 65 supplement is discontinued when the retiree qualifies for Medicare (the month prior to the 65th birthday).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Supplemental Executive Retirement Plans</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580" w:right="279" w:bottom="1440" w:gutter="0" w:footer="0" w:header="0"/>
        </w:sectPr>
      </w:pPr>
    </w:p>
    <w:bookmarkStart w:id="25" w:name="page26"/>
    <w:bookmarkEnd w:id="25"/>
    <w:p>
      <w:pPr>
        <w:ind w:right="140" w:firstLine="770"/>
        <w:spacing w:after="0" w:line="266" w:lineRule="auto"/>
        <w:rPr>
          <w:sz w:val="20"/>
          <w:szCs w:val="20"/>
          <w:color w:val="auto"/>
        </w:rPr>
      </w:pPr>
      <w:r>
        <w:rPr>
          <w:rFonts w:ascii="Times New Roman" w:cs="Times New Roman" w:eastAsia="Times New Roman" w:hAnsi="Times New Roman"/>
          <w:sz w:val="18"/>
          <w:szCs w:val="18"/>
          <w:color w:val="auto"/>
        </w:rPr>
        <w:t>The Company maintains an unfunded SERP, which is designed to retain and recruit key executives. Participants in the SERP, including certain named executive officers, are selected by management as employees whom management most wants to retain because of their superior performance and are approved for participation by the Committee.</w:t>
      </w:r>
    </w:p>
    <w:p>
      <w:pPr>
        <w:spacing w:after="0" w:line="176" w:lineRule="exact"/>
        <w:rPr>
          <w:sz w:val="20"/>
          <w:szCs w:val="20"/>
          <w:color w:val="auto"/>
        </w:rPr>
      </w:pPr>
    </w:p>
    <w:p>
      <w:pPr>
        <w:ind w:right="400" w:firstLine="770"/>
        <w:spacing w:after="0" w:line="261" w:lineRule="auto"/>
        <w:rPr>
          <w:sz w:val="20"/>
          <w:szCs w:val="20"/>
          <w:color w:val="auto"/>
        </w:rPr>
      </w:pPr>
      <w:r>
        <w:rPr>
          <w:rFonts w:ascii="Times New Roman" w:cs="Times New Roman" w:eastAsia="Times New Roman" w:hAnsi="Times New Roman"/>
          <w:sz w:val="18"/>
          <w:szCs w:val="18"/>
          <w:color w:val="auto"/>
        </w:rPr>
        <w:t>To offset limitations placed on the income that can be considered in the formulas of retirement plans and benefits that can be payable from the plans, the SERP provides a “supplemental retirement benefit.” This benefit is calculated</w:t>
      </w:r>
    </w:p>
    <w:p>
      <w:pPr>
        <w:ind w:right="200"/>
        <w:spacing w:after="0" w:line="254" w:lineRule="auto"/>
        <w:rPr>
          <w:sz w:val="20"/>
          <w:szCs w:val="20"/>
          <w:color w:val="auto"/>
        </w:rPr>
      </w:pPr>
      <w:r>
        <w:rPr>
          <w:rFonts w:ascii="Times New Roman" w:cs="Times New Roman" w:eastAsia="Times New Roman" w:hAnsi="Times New Roman"/>
          <w:sz w:val="18"/>
          <w:szCs w:val="18"/>
          <w:color w:val="auto"/>
        </w:rPr>
        <w:t>under the rules of the qualified defined benefit retirement plan, but without reference to such income and benefit limitations, and includes in the calculation compensation from annual bonuses in the case of certain key executives (including the participating named executive officers). In any instance in which a retiring executive’s supplemental retirement benefit exceeds the benefit payable by the qualified defined benefit plan or plans, the Company will pay the excess to him or her as a supplemental retirement benefit. Benefits provided under the SRA of the qualified retirement plan are not covered by the SERP.</w:t>
      </w:r>
    </w:p>
    <w:p>
      <w:pPr>
        <w:spacing w:after="0" w:line="186" w:lineRule="exact"/>
        <w:rPr>
          <w:sz w:val="20"/>
          <w:szCs w:val="20"/>
          <w:color w:val="auto"/>
        </w:rPr>
      </w:pPr>
    </w:p>
    <w:p>
      <w:pPr>
        <w:ind w:firstLine="770"/>
        <w:spacing w:after="0" w:line="258" w:lineRule="auto"/>
        <w:rPr>
          <w:sz w:val="20"/>
          <w:szCs w:val="20"/>
          <w:color w:val="auto"/>
        </w:rPr>
      </w:pPr>
      <w:r>
        <w:rPr>
          <w:rFonts w:ascii="Times New Roman" w:cs="Times New Roman" w:eastAsia="Times New Roman" w:hAnsi="Times New Roman"/>
          <w:sz w:val="18"/>
          <w:szCs w:val="18"/>
          <w:color w:val="auto"/>
        </w:rPr>
        <w:t>The SERP also provides key executives, including certain named executive officers, with tax-deferred accruals of amounts proportionate to the benefits available to non-highly compensated participants in the Company’s 401(k) savings plan, to the extent that benefits exceed those under the Company’s basic plans because of the tax law limitations (currently $53,000). The executive is required to defer compensation to the SERP savings plan in order to receive the applicable matching company credit each year. Mr. Graham has waived his right to maintain a separate unfunded savings plan account under the SERP.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29" w:lineRule="exact"/>
        <w:rPr>
          <w:sz w:val="20"/>
          <w:szCs w:val="20"/>
          <w:color w:val="auto"/>
        </w:rPr>
      </w:pPr>
    </w:p>
    <w:p>
      <w:pPr>
        <w:ind w:right="120" w:firstLine="810"/>
        <w:spacing w:after="0" w:line="261" w:lineRule="auto"/>
        <w:rPr>
          <w:sz w:val="20"/>
          <w:szCs w:val="20"/>
          <w:color w:val="auto"/>
        </w:rPr>
      </w:pPr>
      <w:r>
        <w:rPr>
          <w:rFonts w:ascii="Times New Roman" w:cs="Times New Roman" w:eastAsia="Times New Roman" w:hAnsi="Times New Roman"/>
          <w:sz w:val="18"/>
          <w:szCs w:val="18"/>
          <w:color w:val="auto"/>
        </w:rPr>
        <w:t>The Company also maintains a Deferred Compensation Plan. The Deferred Compensation Plan is an unfunded plan that allows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is limited to annual bonus and certain long-term cash awards (including performance unit grants) under the 2012 ICP.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Voluntary Retirement Incentive Program</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2014, a Voluntary Retirement Incentive Program (“VRIP”) was offered to Company employees ages 55 and older in specific job classifications. The package included a one-time payment based on a formula including years of service and base pay, and a 10% increase in payouts from The Retirement Plan of Graham Holdings Company (“The Retirement Plan”) and, if applicable, the SERP. Ms. McDaniel met the criteria for the program, accepted the package and will retire from the Company effective April 3, 2015.</w:t>
      </w:r>
    </w:p>
    <w:p>
      <w:pPr>
        <w:spacing w:after="0" w:line="1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retirement plans are more fully described under “Pension Benefits” and “Non-Qualified Deferred Compensation,” beginning on page 32.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Severance Packages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order to attract, retain and motivate the best talent as well as to ensure business continuity of the Company’s operations, the Company may occasionally enter into employment agreements with key employees, including the named executive officers. In 2014, with the exception of Mr. Graham, the Company entered into letter agreements with each of the named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O’Shaughnessy’s Agreement</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 letter agreement with Mr. O’Shaughnessy in October 2014 to incentivize him to accept the position of President of the Company. Pursuant to Mr. O’Shaughnessy’s employment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8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Mr. O’Shaughnessy’s letter agreement, and as consideration for the benefits provided in the agreement, 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Rosen’s Agreement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580" w:right="259" w:bottom="1440" w:gutter="0" w:footer="0" w:header="0"/>
        </w:sectPr>
      </w:pPr>
    </w:p>
    <w:bookmarkStart w:id="26" w:name="page27"/>
    <w:bookmarkEnd w:id="26"/>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 letter agreement with Mr. Rosen in April 2014 to incentivize him to accept the position of Chairman of Kaplan and Executive Vice President of the Company. Mr. Rosen’s employment agreement includes clauses that provide for an enhanced retirement benefit and cash payments upon termination from the Company.</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Mr. Rosen is terminated for any reason prior to September 1, 2018, the defined benefit portion of his SERP benefit will be calculated as if he satisfied the Rule of 90, provided however that all components of the unrestricted benefit other than the early retirement factor shall be computed using his actual age and years of service (such enhanced benefit, the “Rosen Individual Pension Arrangement”). The Rosen Individual Pension Arrangement would be payable in the same form and at the same time as his benefit under the SERP would otherwise be paid, provided that if his employment with the Company terminates for any reason prior to September 1, 2018, the enhanced benefit will not begin earlier than September 1, 2018.</w:t>
      </w:r>
    </w:p>
    <w:p>
      <w:pPr>
        <w:spacing w:after="0" w:line="184" w:lineRule="exact"/>
        <w:rPr>
          <w:sz w:val="20"/>
          <w:szCs w:val="20"/>
          <w:color w:val="auto"/>
        </w:rPr>
      </w:pPr>
    </w:p>
    <w:p>
      <w:pPr>
        <w:jc w:val="both"/>
        <w:ind w:right="20" w:firstLine="648"/>
        <w:spacing w:after="0" w:line="228" w:lineRule="auto"/>
        <w:rPr>
          <w:sz w:val="20"/>
          <w:szCs w:val="20"/>
          <w:color w:val="auto"/>
        </w:rPr>
      </w:pPr>
      <w:r>
        <w:rPr>
          <w:rFonts w:ascii="Times New Roman" w:cs="Times New Roman" w:eastAsia="Times New Roman" w:hAnsi="Times New Roman"/>
          <w:sz w:val="18"/>
          <w:szCs w:val="18"/>
          <w:color w:val="auto"/>
        </w:rPr>
        <w:t>If Mr. Rosen is terminated by the Company without cause, he will receive a one-time lump-sum cash payment of $3,500,000, payable on the 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following termination of employment, and prorated vesting of outstanding restricted stock and stock options held at the time of termination, provided he signs an irrevocable separation and release agreement no later than 60 days following the date of his termination.</w:t>
      </w:r>
    </w:p>
    <w:p>
      <w:pPr>
        <w:spacing w:after="0" w:line="198" w:lineRule="exact"/>
        <w:rPr>
          <w:sz w:val="20"/>
          <w:szCs w:val="20"/>
          <w:color w:val="auto"/>
        </w:rPr>
      </w:pPr>
    </w:p>
    <w:p>
      <w:pPr>
        <w:ind w:right="80" w:firstLine="648"/>
        <w:spacing w:after="0" w:line="228" w:lineRule="auto"/>
        <w:rPr>
          <w:sz w:val="20"/>
          <w:szCs w:val="20"/>
          <w:color w:val="auto"/>
        </w:rPr>
      </w:pPr>
      <w:r>
        <w:rPr>
          <w:rFonts w:ascii="Times New Roman" w:cs="Times New Roman" w:eastAsia="Times New Roman" w:hAnsi="Times New Roman"/>
          <w:sz w:val="18"/>
          <w:szCs w:val="18"/>
          <w:color w:val="auto"/>
        </w:rPr>
        <w:t>Should Mr. Rosen choose to terminate his employment with the Company prior to April 1, 2016, he will receive a one-time lump-sum cash payment of $2,000,000, payable on the 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following termination of employment (the “Rosen Individual Deferred Compensation Arrangement”), provided he signs an irrevocable separation and release agreement no later than 60 days following the date of his termination.</w:t>
      </w:r>
    </w:p>
    <w:p>
      <w:pPr>
        <w:spacing w:after="0" w:line="198"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Jones’ Agreement</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entered into a letter agreement with Mr. Jones in July 2014 to retain him as Chief Financial Officer of the Company. Mr. Jones’ agreement guarantees, subject to his signing an irrevocable separation and release agreement no later than 60 days following the date of termination, a cash payment upon termination from the Company for any reason other than cause and an enhancement to his qualified and non-qualified retirement benefits. The value of the benefit will be equal to the sum of $1,400,000 (the “Jones Individual Deferred Compensation Arrangement”) plus the actuarial present value of 10% of the benefits payable to him under The Retirement Plan and the SERP (the “Jones Individual Pension Arrangement”). These benefits will be payable no later than 70 days following termination of employment, unless such 70-day period would span two different taxable years, in which case it will be paid in the second such taxable year.</w:t>
      </w:r>
    </w:p>
    <w:p>
      <w:pPr>
        <w:spacing w:after="0" w:line="18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Mr. Jones’ letter agreement, and as consideration for the benefits provided in the agreement, Mr. Jones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Ms. McDaniel’s Agreements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Ms. McDaniel accepted the VRIP offered to certain employees of the Company in 2014. Following her retirement, Ms. McDaniel will receive a one-time payment valued as of December 31, 2014, at $1,348,200 ($546,000 from The Retirement Plan and $802,200 from the SERP), based on her 31 years of service with the Company. Ms. McDaniel will retire from the Company effective April 3, 2015.</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ensure business continuity, the Company entered into a consulting agreement with Ms. McDaniel in July 2014. The agreement sets forth terms upon which Ms. McDaniel will provide services to the Company as an independent contractor for a term of up to 24 months following her retirement from the Company. Pursuant to her consulting agreement, Ms. McDaniel has also agreed to non-competition, non-solicitation of customers and employees and no-hire restrictions during the period she performs the consulting services and to maintain the confidentiality of certain information related to the Company and its businesses during the period she performs the consulting services and at all times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Shareholder Advisory Votes on Executive Compensation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23" w:right="239" w:bottom="1440" w:gutter="0" w:footer="0" w:header="0"/>
        </w:sectPr>
      </w:pPr>
    </w:p>
    <w:bookmarkStart w:id="27" w:name="page28"/>
    <w:bookmarkEnd w:id="27"/>
    <w:p>
      <w:pPr>
        <w:ind w:firstLine="770"/>
        <w:spacing w:after="0" w:line="256" w:lineRule="auto"/>
        <w:rPr>
          <w:sz w:val="20"/>
          <w:szCs w:val="20"/>
          <w:color w:val="auto"/>
        </w:rPr>
      </w:pPr>
      <w:r>
        <w:rPr>
          <w:rFonts w:ascii="Times New Roman" w:cs="Times New Roman" w:eastAsia="Times New Roman" w:hAnsi="Times New Roman"/>
          <w:sz w:val="18"/>
          <w:szCs w:val="18"/>
          <w:color w:val="auto"/>
        </w:rPr>
        <w:t>At the 2014 Annual Meeting of Shareholders, the Company’s Class A Shareholders unanimously approved the overall 2013 compensation for its named executive officers, including the policies and practices related thereto. The Company believes this vote reflected Class A Shareholder approval of its pay-for-performance philosophy and the absence of pay practices that shareholders consider problematic. Accordingly, the Committee generally continued to apply the same principles in determining the amounts and types of executive compensation for 2014, as outlined in its compensation philosophy and framework. The Committee values the shareholder feedback provided through the vote and will consider the results of the vote, as well as future votes, in refining the development of our compensation program and goal setting in the future.</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400" w:firstLine="770"/>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Anne M. Mulcahy, Chairman</w:t>
      </w:r>
    </w:p>
    <w:p>
      <w:pPr>
        <w:ind w:left="5840"/>
        <w:spacing w:after="0" w:line="221" w:lineRule="auto"/>
        <w:rPr>
          <w:sz w:val="20"/>
          <w:szCs w:val="20"/>
          <w:color w:val="auto"/>
        </w:rPr>
      </w:pPr>
      <w:r>
        <w:rPr>
          <w:rFonts w:ascii="Times New Roman" w:cs="Times New Roman" w:eastAsia="Times New Roman" w:hAnsi="Times New Roman"/>
          <w:sz w:val="18"/>
          <w:szCs w:val="18"/>
          <w:color w:val="auto"/>
        </w:rPr>
        <w:t>Lee C. Bollinger</w:t>
      </w:r>
    </w:p>
    <w:p>
      <w:pPr>
        <w:ind w:left="5840"/>
        <w:spacing w:after="0" w:line="219" w:lineRule="auto"/>
        <w:rPr>
          <w:sz w:val="20"/>
          <w:szCs w:val="20"/>
          <w:color w:val="auto"/>
        </w:rPr>
      </w:pPr>
      <w:r>
        <w:rPr>
          <w:rFonts w:ascii="Times New Roman" w:cs="Times New Roman" w:eastAsia="Times New Roman" w:hAnsi="Times New Roman"/>
          <w:sz w:val="18"/>
          <w:szCs w:val="18"/>
          <w:color w:val="auto"/>
        </w:rPr>
        <w:t>Barry Diller</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Larry D. Thompson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796" w:right="319" w:bottom="1440" w:gutter="0" w:footer="0" w:header="0"/>
        </w:sectPr>
      </w:pPr>
    </w:p>
    <w:bookmarkStart w:id="28" w:name="page29"/>
    <w:bookmarkEnd w:id="28"/>
    <w:p>
      <w:pPr>
        <w:ind w:right="640" w:firstLine="77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compensation paid by the Company during the most recent three years to the principal executive officer, the principal financial officer and the three other most highly compensated executive officers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3220" w:type="dxa"/>
            <w:vAlign w:val="bottom"/>
            <w:tcBorders>
              <w:top w:val="single" w:sz="8" w:color="auto"/>
              <w:left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Change in</w:t>
            </w:r>
          </w:p>
        </w:tc>
        <w:tc>
          <w:tcPr>
            <w:tcW w:w="86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Pension Value</w:t>
            </w:r>
          </w:p>
        </w:tc>
        <w:tc>
          <w:tcPr>
            <w:tcW w:w="8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2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and Non-</w:t>
            </w:r>
          </w:p>
        </w:tc>
        <w:tc>
          <w:tcPr>
            <w:tcW w:w="8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Qualified</w:t>
            </w:r>
          </w:p>
        </w:tc>
        <w:tc>
          <w:tcPr>
            <w:tcW w:w="8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2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2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Compen-</w:t>
            </w:r>
          </w:p>
        </w:tc>
        <w:tc>
          <w:tcPr>
            <w:tcW w:w="92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Compen-</w:t>
            </w: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(b)</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Salary ($) (c)</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Bonus ($) (d)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sation ($)</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Earnings ($)</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sation ($) (i)</w:t>
            </w:r>
          </w:p>
        </w:tc>
        <w:tc>
          <w:tcPr>
            <w:tcW w:w="10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 (j)</w:t>
            </w: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(a)</w:t>
            </w:r>
          </w:p>
        </w:tc>
        <w:tc>
          <w:tcPr>
            <w:tcW w:w="66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7"/>
              </w:rPr>
              <w:t>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(e) </w:t>
            </w:r>
            <w:r>
              <w:rPr>
                <w:rFonts w:ascii="Times New Roman" w:cs="Times New Roman" w:eastAsia="Times New Roman" w:hAnsi="Times New Roman"/>
                <w:sz w:val="8"/>
                <w:szCs w:val="8"/>
                <w:b w:val="1"/>
                <w:bCs w:val="1"/>
                <w:color w:val="auto"/>
              </w:rPr>
              <w:t>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 </w:t>
            </w:r>
            <w:r>
              <w:rPr>
                <w:rFonts w:ascii="Times New Roman" w:cs="Times New Roman" w:eastAsia="Times New Roman" w:hAnsi="Times New Roman"/>
                <w:sz w:val="8"/>
                <w:szCs w:val="8"/>
                <w:b w:val="1"/>
                <w:bCs w:val="1"/>
                <w:color w:val="auto"/>
              </w:rPr>
              <w:t>3</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(g) </w:t>
            </w:r>
            <w:r>
              <w:rPr>
                <w:rFonts w:ascii="Times New Roman" w:cs="Times New Roman" w:eastAsia="Times New Roman" w:hAnsi="Times New Roman"/>
                <w:sz w:val="8"/>
                <w:szCs w:val="8"/>
                <w:b w:val="1"/>
                <w:bCs w:val="1"/>
                <w:color w:val="auto"/>
              </w:rPr>
              <w:t>4</w:t>
            </w:r>
          </w:p>
        </w:tc>
        <w:tc>
          <w:tcPr>
            <w:tcW w:w="92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rPr>
              <w:t xml:space="preserve">(h) </w:t>
            </w:r>
            <w:r>
              <w:rPr>
                <w:rFonts w:ascii="Times New Roman" w:cs="Times New Roman" w:eastAsia="Times New Roman" w:hAnsi="Times New Roman"/>
                <w:sz w:val="18"/>
                <w:szCs w:val="18"/>
                <w:b w:val="1"/>
                <w:bCs w:val="1"/>
                <w:color w:val="auto"/>
                <w:vertAlign w:val="superscript"/>
              </w:rPr>
              <w:t>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7"/>
              </w:rPr>
              <w:t>6</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Donald E. Graham</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400,000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460,724</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863,324</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400,000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402,550</w:t>
            </w:r>
          </w:p>
        </w:tc>
        <w:tc>
          <w:tcPr>
            <w:tcW w:w="0" w:type="dxa"/>
            <w:vAlign w:val="bottom"/>
          </w:tcPr>
          <w:p>
            <w:pPr>
              <w:spacing w:after="0"/>
              <w:rPr>
                <w:sz w:val="1"/>
                <w:szCs w:val="1"/>
                <w:color w:val="auto"/>
              </w:rPr>
            </w:pPr>
          </w:p>
        </w:tc>
      </w:tr>
      <w:tr>
        <w:trPr>
          <w:trHeight w:val="208"/>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464,724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877,724</w:t>
            </w:r>
          </w:p>
        </w:tc>
        <w:tc>
          <w:tcPr>
            <w:tcW w:w="0" w:type="dxa"/>
            <w:vAlign w:val="bottom"/>
          </w:tcPr>
          <w:p>
            <w:pPr>
              <w:spacing w:after="0"/>
              <w:rPr>
                <w:sz w:val="1"/>
                <w:szCs w:val="1"/>
                <w:color w:val="auto"/>
              </w:rPr>
            </w:pPr>
          </w:p>
        </w:tc>
      </w:tr>
      <w:tr>
        <w:trPr>
          <w:trHeight w:val="191"/>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Hal S. Jones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755,000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1,174,200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2,280,070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1,444,660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5,653,930</w:t>
            </w:r>
          </w:p>
        </w:tc>
        <w:tc>
          <w:tcPr>
            <w:tcW w:w="0" w:type="dxa"/>
            <w:vAlign w:val="bottom"/>
          </w:tcPr>
          <w:p>
            <w:pPr>
              <w:spacing w:after="0"/>
              <w:rPr>
                <w:sz w:val="1"/>
                <w:szCs w:val="1"/>
                <w:color w:val="auto"/>
              </w:rPr>
            </w:pPr>
          </w:p>
        </w:tc>
      </w:tr>
      <w:tr>
        <w:trPr>
          <w:trHeight w:val="217"/>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Senior Vice President–Finance and Chief Financial</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725,000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500,000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596,600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552,554</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26,990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2,401,144</w:t>
            </w:r>
          </w:p>
        </w:tc>
        <w:tc>
          <w:tcPr>
            <w:tcW w:w="0" w:type="dxa"/>
            <w:vAlign w:val="bottom"/>
          </w:tcPr>
          <w:p>
            <w:pPr>
              <w:spacing w:after="0"/>
              <w:rPr>
                <w:sz w:val="1"/>
                <w:szCs w:val="1"/>
                <w:color w:val="auto"/>
              </w:rPr>
            </w:pPr>
          </w:p>
        </w:tc>
      </w:tr>
      <w:tr>
        <w:trPr>
          <w:trHeight w:val="19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297,704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1,307,848</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1,239,250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67,760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3,612,562</w:t>
            </w:r>
          </w:p>
        </w:tc>
        <w:tc>
          <w:tcPr>
            <w:tcW w:w="0" w:type="dxa"/>
            <w:vAlign w:val="bottom"/>
          </w:tcPr>
          <w:p>
            <w:pPr>
              <w:spacing w:after="0"/>
              <w:rPr>
                <w:sz w:val="1"/>
                <w:szCs w:val="1"/>
                <w:color w:val="auto"/>
              </w:rPr>
            </w:pPr>
          </w:p>
        </w:tc>
      </w:tr>
      <w:tr>
        <w:trPr>
          <w:trHeight w:val="191"/>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Timothy J. O</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Shaughnessy</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125,000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8,800,000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130,600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9,055,600</w:t>
            </w:r>
          </w:p>
        </w:tc>
        <w:tc>
          <w:tcPr>
            <w:tcW w:w="0" w:type="dxa"/>
            <w:vAlign w:val="bottom"/>
          </w:tcPr>
          <w:p>
            <w:pPr>
              <w:spacing w:after="0"/>
              <w:rPr>
                <w:sz w:val="1"/>
                <w:szCs w:val="1"/>
                <w:color w:val="auto"/>
              </w:rPr>
            </w:pPr>
          </w:p>
        </w:tc>
      </w:tr>
      <w:tr>
        <w:trPr>
          <w:trHeight w:val="275"/>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President</w:t>
            </w:r>
          </w:p>
        </w:tc>
        <w:tc>
          <w:tcPr>
            <w:tcW w:w="66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920" w:type="dxa"/>
            <w:vAlign w:val="bottom"/>
            <w:tcBorders>
              <w:bottom w:val="single" w:sz="8" w:color="auto"/>
              <w:right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Andrew S. Rosen</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1,625,000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1,129,486</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3,965,652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2,099,550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8,819,688</w:t>
            </w:r>
          </w:p>
        </w:tc>
        <w:tc>
          <w:tcPr>
            <w:tcW w:w="0" w:type="dxa"/>
            <w:vAlign w:val="bottom"/>
          </w:tcPr>
          <w:p>
            <w:pPr>
              <w:spacing w:after="0"/>
              <w:rPr>
                <w:sz w:val="1"/>
                <w:szCs w:val="1"/>
                <w:color w:val="auto"/>
              </w:rPr>
            </w:pPr>
          </w:p>
        </w:tc>
      </w:tr>
      <w:tr>
        <w:trPr>
          <w:trHeight w:val="163"/>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Chairman Kaplan Inc. and Executive Vice President–</w:t>
            </w:r>
          </w:p>
        </w:tc>
        <w:tc>
          <w:tcPr>
            <w:tcW w:w="6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Graham Holdings Co.</w:t>
            </w:r>
          </w:p>
        </w:tc>
        <w:tc>
          <w:tcPr>
            <w:tcW w:w="6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L. McDaniel</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642,000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1,073,880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3,965,794</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56,431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5,738,105</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Senior Vice President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615,000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466,400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433,606</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31,736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1,746,742</w:t>
            </w:r>
          </w:p>
        </w:tc>
        <w:tc>
          <w:tcPr>
            <w:tcW w:w="0" w:type="dxa"/>
            <w:vAlign w:val="bottom"/>
          </w:tcPr>
          <w:p>
            <w:pPr>
              <w:spacing w:after="0"/>
              <w:rPr>
                <w:sz w:val="1"/>
                <w:szCs w:val="1"/>
                <w:color w:val="auto"/>
              </w:rPr>
            </w:pPr>
          </w:p>
        </w:tc>
      </w:tr>
      <w:tr>
        <w:trPr>
          <w:trHeight w:val="275"/>
        </w:trPr>
        <w:tc>
          <w:tcPr>
            <w:tcW w:w="322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592,250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297,704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1,068,925</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1,186,376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81,423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3,226,678</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base salary earned for each of the named executive officers in 2014. Mr. O</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Shaughnessy joined the Company on November 3, 2014.</w:t>
      </w:r>
    </w:p>
    <w:p>
      <w:pPr>
        <w:spacing w:after="0" w:line="2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special payments made in recognition of extraordinary efforts in connection with the WPM Transaction.</w:t>
      </w:r>
    </w:p>
    <w:p>
      <w:pPr>
        <w:spacing w:after="0" w:line="28" w:lineRule="exact"/>
        <w:rPr>
          <w:rFonts w:ascii="Times New Roman" w:cs="Times New Roman" w:eastAsia="Times New Roman" w:hAnsi="Times New Roman"/>
          <w:sz w:val="14"/>
          <w:szCs w:val="14"/>
          <w:color w:val="auto"/>
        </w:rPr>
      </w:pPr>
    </w:p>
    <w:p>
      <w:pPr>
        <w:ind w:left="260" w:right="160" w:hanging="252"/>
        <w:spacing w:after="0" w:line="21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represent the grant date fair value of stock and option awards computed in accordance with FASB ASC TOPIC 718 and reflect an estimate of the grant date fair value of stock and option grants made through the close of the 2014 fiscal year, rather than amounts paid to or realized by the named executive officers. There can be no assurance that the amounts calculated will be realized, and amounts realized could ultimately exceed the amounts calculated. See Note 13 of Notes to the Consolidated Financial Statements contained in the Company</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 Annual Report on Form 10-K, filed on February 27, 2015, for a discussion of the assumptions used in valuation of the stock and option awards. For additional detail regarding awards made during the 2014 fiscal year, see the “Grants of Plan-Based Awards” table.</w:t>
      </w:r>
    </w:p>
    <w:p>
      <w:pPr>
        <w:spacing w:after="0" w:line="1" w:lineRule="exact"/>
        <w:rPr>
          <w:rFonts w:ascii="Times New Roman" w:cs="Times New Roman" w:eastAsia="Times New Roman" w:hAnsi="Times New Roman"/>
          <w:sz w:val="14"/>
          <w:szCs w:val="14"/>
          <w:color w:val="auto"/>
        </w:rPr>
      </w:pPr>
    </w:p>
    <w:p>
      <w:pPr>
        <w:ind w:left="260" w:right="60" w:hanging="252"/>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for 2014 represent payments under the 2014 annual bonus plan and the 2011–2014 Performance Unit Plan as follows: Mr. Jones, $394,200 in annual bonus, $780,000 in performance units; Mr. O</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Shaughnessy, $130,600 in annual bonus; Mr. Rosen, $1,129,486 in annual bonus; Ms. McDaniel, $293,880 in annual bonus and $780,000 in performance units. Amounts in this column for 2013 represent payments under the 2013 annual bonus plan. Amounts in this column for 2012 represent payments under the 2012 annual bonus plan, the 2009–2012 Performance Unit Plan and other plans as follows: Mr. Jones, $411,100 in annual bonus, $731,500 in performance units and an award that was granted in 2007 with a five-year cliff vest and was valued based on the estimated fair value of Kaplan stock as of December 31, 2011; Ms. McDaniel, $337,425 in annual bonus and $731,500 in performance units. Mr. Graham waived the right to payment of his performance unit awards under the 2011–2014 Performance Unit Plan valued at $1,267,500 and under the 2009–2012 Performance Unit Plan valued at $1,296,750 in 2014 and 2012, respectively.</w:t>
      </w:r>
    </w:p>
    <w:p>
      <w:pPr>
        <w:spacing w:after="0" w:line="33"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above-market or preferential earnings on compensation deferred on a non-tax-qualified basis, and, therefore, no such earnings are reflected in the amounts shown in this column.</w:t>
      </w:r>
    </w:p>
    <w:p>
      <w:pPr>
        <w:spacing w:after="0" w:line="28" w:lineRule="exact"/>
        <w:rPr>
          <w:sz w:val="20"/>
          <w:szCs w:val="20"/>
          <w:color w:val="auto"/>
        </w:rPr>
      </w:pPr>
    </w:p>
    <w:p>
      <w:pPr>
        <w:ind w:left="260" w:right="440"/>
        <w:spacing w:after="0" w:line="241" w:lineRule="auto"/>
        <w:rPr>
          <w:sz w:val="20"/>
          <w:szCs w:val="20"/>
          <w:color w:val="auto"/>
        </w:rPr>
      </w:pPr>
      <w:r>
        <w:rPr>
          <w:rFonts w:ascii="Times New Roman" w:cs="Times New Roman" w:eastAsia="Times New Roman" w:hAnsi="Times New Roman"/>
          <w:sz w:val="14"/>
          <w:szCs w:val="14"/>
          <w:color w:val="auto"/>
        </w:rPr>
        <w:t>Benefits were assumed to commence at the age when benefits under the SERP are first unreduced and were discounted to the date as of which they were determined (either 12/31/2014 or 12/31/2013). Assumed benefit commencement ages are shown below, rounded to the nearest age:</w:t>
      </w:r>
    </w:p>
    <w:p>
      <w:pPr>
        <w:ind w:left="660"/>
        <w:spacing w:after="0" w:line="226" w:lineRule="auto"/>
        <w:tabs>
          <w:tab w:leader="none" w:pos="1280" w:val="left"/>
        </w:tabs>
        <w:rPr>
          <w:sz w:val="20"/>
          <w:szCs w:val="20"/>
          <w:color w:val="auto"/>
        </w:rPr>
      </w:pPr>
      <w:r>
        <w:rPr>
          <w:rFonts w:ascii="Times New Roman" w:cs="Times New Roman" w:eastAsia="Times New Roman" w:hAnsi="Times New Roman"/>
          <w:sz w:val="14"/>
          <w:szCs w:val="14"/>
          <w:color w:val="auto"/>
        </w:rPr>
        <w:t>Graham:</w:t>
        <w:tab/>
        <w:t>age 70 (12/31/2014); age 69 (12/31/2013)</w:t>
      </w:r>
    </w:p>
    <w:p>
      <w:pPr>
        <w:ind w:left="660"/>
        <w:spacing w:after="0" w:line="201" w:lineRule="auto"/>
        <w:tabs>
          <w:tab w:leader="none" w:pos="1140" w:val="left"/>
        </w:tabs>
        <w:rPr>
          <w:sz w:val="20"/>
          <w:szCs w:val="20"/>
          <w:color w:val="auto"/>
        </w:rPr>
      </w:pPr>
      <w:r>
        <w:rPr>
          <w:rFonts w:ascii="Times New Roman" w:cs="Times New Roman" w:eastAsia="Times New Roman" w:hAnsi="Times New Roman"/>
          <w:sz w:val="14"/>
          <w:szCs w:val="14"/>
          <w:color w:val="auto"/>
        </w:rPr>
        <w:t>Jones:</w:t>
        <w:tab/>
        <w:t>age 63 (12/31/2014 and 12/31/2013)</w:t>
      </w:r>
    </w:p>
    <w:p>
      <w:pPr>
        <w:ind w:left="660"/>
        <w:spacing w:after="0" w:line="202" w:lineRule="auto"/>
        <w:tabs>
          <w:tab w:leader="none" w:pos="1400" w:val="left"/>
        </w:tabs>
        <w:rPr>
          <w:sz w:val="20"/>
          <w:szCs w:val="20"/>
          <w:color w:val="auto"/>
        </w:rPr>
      </w:pPr>
      <w:r>
        <w:rPr>
          <w:rFonts w:ascii="Times New Roman" w:cs="Times New Roman" w:eastAsia="Times New Roman" w:hAnsi="Times New Roman"/>
          <w:sz w:val="14"/>
          <w:szCs w:val="14"/>
          <w:color w:val="auto"/>
        </w:rPr>
        <w:t>McDaniel:</w:t>
        <w:tab/>
        <w:t>age 59 (12/31/2014 and 12/31/2013)</w:t>
      </w:r>
    </w:p>
    <w:p>
      <w:pPr>
        <w:ind w:left="660"/>
        <w:spacing w:after="0" w:line="201" w:lineRule="auto"/>
        <w:tabs>
          <w:tab w:leader="none" w:pos="1180" w:val="left"/>
        </w:tabs>
        <w:rPr>
          <w:sz w:val="20"/>
          <w:szCs w:val="20"/>
          <w:color w:val="auto"/>
        </w:rPr>
      </w:pPr>
      <w:r>
        <w:rPr>
          <w:rFonts w:ascii="Times New Roman" w:cs="Times New Roman" w:eastAsia="Times New Roman" w:hAnsi="Times New Roman"/>
          <w:sz w:val="14"/>
          <w:szCs w:val="14"/>
          <w:color w:val="auto"/>
        </w:rPr>
        <w:t>Rosen:</w:t>
        <w:tab/>
        <w:t>age 58 (12/31/2014 and 12/31/2013)</w:t>
      </w:r>
    </w:p>
    <w:p>
      <w:pPr>
        <w:ind w:left="660"/>
        <w:spacing w:after="0"/>
        <w:rPr>
          <w:sz w:val="20"/>
          <w:szCs w:val="20"/>
          <w:color w:val="auto"/>
        </w:rPr>
      </w:pPr>
      <w:r>
        <w:rPr>
          <w:rFonts w:ascii="Times New Roman" w:cs="Times New Roman" w:eastAsia="Times New Roman" w:hAnsi="Times New Roman"/>
          <w:sz w:val="14"/>
          <w:szCs w:val="14"/>
          <w:color w:val="auto"/>
        </w:rPr>
        <w:t>O</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Shaughnessy: He is not yet eligible for participation in the Company's qualified retirement benefit plans.</w:t>
      </w:r>
    </w:p>
    <w:p>
      <w:pPr>
        <w:spacing w:after="0" w:line="147" w:lineRule="exact"/>
        <w:rPr>
          <w:sz w:val="20"/>
          <w:szCs w:val="20"/>
          <w:color w:val="auto"/>
        </w:rPr>
      </w:pPr>
    </w:p>
    <w:p>
      <w:pPr>
        <w:ind w:left="260" w:right="60"/>
        <w:spacing w:after="0" w:line="241" w:lineRule="auto"/>
        <w:rPr>
          <w:sz w:val="20"/>
          <w:szCs w:val="20"/>
          <w:color w:val="auto"/>
        </w:rPr>
      </w:pPr>
      <w:r>
        <w:rPr>
          <w:rFonts w:ascii="Times New Roman" w:cs="Times New Roman" w:eastAsia="Times New Roman" w:hAnsi="Times New Roman"/>
          <w:sz w:val="14"/>
          <w:szCs w:val="14"/>
          <w:color w:val="auto"/>
        </w:rPr>
        <w:t>Mr. Graham has reached Normal Retirement Age (age 65), and Ms. McDaniel and Mr. Jones have both met the eligibility requirements for Early Retirement (age 55, with ten years of Company service). Mr. Rosen has not yet reached age 55.</w:t>
      </w:r>
    </w:p>
    <w:p>
      <w:pPr>
        <w:spacing w:after="0" w:line="1" w:lineRule="exact"/>
        <w:rPr>
          <w:sz w:val="20"/>
          <w:szCs w:val="20"/>
          <w:color w:val="auto"/>
        </w:rPr>
      </w:pPr>
    </w:p>
    <w:p>
      <w:pPr>
        <w:ind w:left="260"/>
        <w:spacing w:after="0" w:line="217" w:lineRule="auto"/>
        <w:rPr>
          <w:sz w:val="20"/>
          <w:szCs w:val="20"/>
          <w:color w:val="auto"/>
        </w:rPr>
      </w:pPr>
      <w:r>
        <w:rPr>
          <w:rFonts w:ascii="Times New Roman" w:cs="Times New Roman" w:eastAsia="Times New Roman" w:hAnsi="Times New Roman"/>
          <w:sz w:val="14"/>
          <w:szCs w:val="14"/>
          <w:color w:val="auto"/>
        </w:rPr>
        <w:t>Changes in the present value of benefits in 2014 are attributable to The Retirement Plan, the corresponding benefit under the SERP, the Jones Individual Pension Arrangement, and the Rosen Individual Pension Arrangement as follows: Mr. Graham, $314,021 The Retirement Plan and $146,703 the SERP; Mr. Jones, $254,451 The Retirement Plan, $1,343,208 the SERP and $682,411 the Jones Individual Pension Arrangement; Ms. McDaniel, $1,131,702 The Retirement Plan and $2,834,092 the SERP; Mr. Rosen, $62,425 The Retirement Plan and $3,903,227 the SERP which includes the Rosen Individual Pension Arrangement. For additional detail regarding the Jones Individual Pension Arrangement and the Rosen Individual Pension Arrangement, see “Compensation Discussion and Analysis: Employment Agreements and Severance Packages” above and “Executive Compensation: Pension Benefits” below.</w:t>
      </w:r>
    </w:p>
    <w:p>
      <w:pPr>
        <w:spacing w:after="0" w:line="1" w:lineRule="exact"/>
        <w:rPr>
          <w:sz w:val="20"/>
          <w:szCs w:val="20"/>
          <w:color w:val="auto"/>
        </w:rPr>
      </w:pPr>
    </w:p>
    <w:p>
      <w:pPr>
        <w:ind w:left="260" w:right="360"/>
        <w:spacing w:after="0" w:line="241" w:lineRule="auto"/>
        <w:rPr>
          <w:sz w:val="20"/>
          <w:szCs w:val="20"/>
          <w:color w:val="auto"/>
        </w:rPr>
      </w:pPr>
      <w:r>
        <w:rPr>
          <w:rFonts w:ascii="Times New Roman" w:cs="Times New Roman" w:eastAsia="Times New Roman" w:hAnsi="Times New Roman"/>
          <w:sz w:val="14"/>
          <w:szCs w:val="14"/>
          <w:color w:val="auto"/>
        </w:rPr>
        <w:t>The values of accumulated plan benefits were determined using a discount rate of 4.00% at 12/31/2014 and 4.80% at 12/31/2013 and using RP-2014 Fully Generational Mortality Table for males and females using Scale MP-2014 at 12/31/2014 and RP-2000 generational using Scale AA at 12/31/2013.</w:t>
      </w:r>
    </w:p>
    <w:p>
      <w:pPr>
        <w:spacing w:after="0" w:line="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6.</w:t>
        <w:tab/>
        <w:t>For 2014, the amounts shown include the information detailed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146" w:lineRule="exact"/>
        <w:rPr>
          <w:sz w:val="20"/>
          <w:szCs w:val="20"/>
          <w:color w:val="auto"/>
        </w:rPr>
      </w:pPr>
    </w:p>
    <w:tbl>
      <w:tblPr>
        <w:tblLayout w:type="fixed"/>
        <w:tblInd w:w="722" w:type="dxa"/>
        <w:tblCellMar>
          <w:top w:w="0" w:type="dxa"/>
          <w:left w:w="0" w:type="dxa"/>
          <w:bottom w:w="0" w:type="dxa"/>
          <w:right w:w="0" w:type="dxa"/>
        </w:tblCellMar>
      </w:tblPr>
      <w:tr>
        <w:trPr>
          <w:trHeight w:val="164"/>
        </w:trPr>
        <w:tc>
          <w:tcPr>
            <w:tcW w:w="1920" w:type="dxa"/>
            <w:vAlign w:val="bottom"/>
            <w:tcBorders>
              <w:top w:val="single" w:sz="8" w:color="auto"/>
              <w:left w:val="single" w:sz="8" w:color="auto"/>
              <w:right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Perquisites ($)</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401(k) Company</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SERP Company</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 Deferred</w:t>
            </w:r>
          </w:p>
        </w:tc>
        <w:tc>
          <w:tcPr>
            <w:tcW w:w="1400" w:type="dxa"/>
            <w:vAlign w:val="bottom"/>
            <w:tcBorders>
              <w:top w:val="single" w:sz="8" w:color="auto"/>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w:t>
            </w: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2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(a)</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8"/>
                <w:szCs w:val="8"/>
                <w:b w:val="1"/>
                <w:bCs w:val="1"/>
                <w:color w:val="auto"/>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r>
              <w:rPr>
                <w:rFonts w:ascii="Times New Roman" w:cs="Times New Roman" w:eastAsia="Times New Roman" w:hAnsi="Times New Roman"/>
                <w:sz w:val="8"/>
                <w:szCs w:val="8"/>
                <w:b w:val="1"/>
                <w:bCs w:val="1"/>
                <w:color w:val="auto"/>
                <w:w w:val="99"/>
              </w:rPr>
              <w:t>2</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 (g)</w:t>
            </w:r>
            <w:r>
              <w:rPr>
                <w:rFonts w:ascii="Times New Roman" w:cs="Times New Roman" w:eastAsia="Times New Roman" w:hAnsi="Times New Roman"/>
                <w:sz w:val="8"/>
                <w:szCs w:val="8"/>
                <w:b w:val="1"/>
                <w:bCs w:val="1"/>
                <w:color w:val="auto"/>
              </w:rPr>
              <w:t>3</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Donald E. Graham</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2,600</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Hal S. Jones</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25,740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16,320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1,400,000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1,444,660</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Timothy J. O</w:t>
            </w:r>
            <w:r>
              <w:rPr>
                <w:rFonts w:ascii="Times New Roman" w:cs="Times New Roman" w:eastAsia="Times New Roman" w:hAnsi="Times New Roman"/>
                <w:sz w:val="14"/>
                <w:szCs w:val="14"/>
                <w:color w:val="333333"/>
              </w:rPr>
              <w:t>’</w:t>
            </w:r>
            <w:r>
              <w:rPr>
                <w:rFonts w:ascii="Times New Roman" w:cs="Times New Roman" w:eastAsia="Times New Roman" w:hAnsi="Times New Roman"/>
                <w:sz w:val="14"/>
                <w:szCs w:val="14"/>
                <w:color w:val="auto"/>
              </w:rPr>
              <w:t>Shaughnessy</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Andrew S. Rosen</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2,500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40,950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56,100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2,000,000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2,099,550</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Ann L. McDaniel</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17,647</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19,864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16,320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56,431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52" w:hanging="252"/>
        <w:spacing w:after="0"/>
        <w:tabs>
          <w:tab w:leader="none" w:pos="2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represents $1,485 for parking expenses and $16,162 for financial planning services provided by the Company for Ms. McDaniel.</w:t>
      </w:r>
    </w:p>
    <w:p>
      <w:pPr>
        <w:spacing w:after="0" w:line="28" w:lineRule="exact"/>
        <w:rPr>
          <w:rFonts w:ascii="Times New Roman" w:cs="Times New Roman" w:eastAsia="Times New Roman" w:hAnsi="Times New Roman"/>
          <w:sz w:val="14"/>
          <w:szCs w:val="14"/>
          <w:color w:val="auto"/>
        </w:rPr>
      </w:pPr>
    </w:p>
    <w:p>
      <w:pPr>
        <w:ind w:left="252" w:hanging="252"/>
        <w:spacing w:after="0" w:line="241" w:lineRule="auto"/>
        <w:tabs>
          <w:tab w:leader="none" w:pos="15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dividends attributable to restricted stock granted under the Company’s Incentive Compensation Plan and the 2012 ICP that are not included in the grant date fair value of such restricted stock awards reported in column (e) of the Summary Compensation Table.</w:t>
      </w:r>
    </w:p>
    <w:p>
      <w:pPr>
        <w:ind w:left="152" w:hanging="152"/>
        <w:spacing w:after="0"/>
        <w:tabs>
          <w:tab w:leader="none" w:pos="1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payable pursuant to letter agreements with Mr. Jones and Mr. Rosen upon termination of employment under any circumstances.</w:t>
      </w:r>
    </w:p>
    <w:p>
      <w:pPr>
        <w:spacing w:after="0" w:line="200" w:lineRule="exact"/>
        <w:rPr>
          <w:sz w:val="20"/>
          <w:szCs w:val="20"/>
          <w:color w:val="auto"/>
        </w:rPr>
      </w:pPr>
    </w:p>
    <w:p>
      <w:pPr>
        <w:spacing w:after="0" w:line="224"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32"/>
          </w:cols>
          <w:pgMar w:left="248" w:top="1225" w:right="419" w:bottom="1440" w:gutter="0" w:footer="0" w:header="0"/>
        </w:sectPr>
      </w:pPr>
    </w:p>
    <w:bookmarkStart w:id="30" w:name="page31"/>
    <w:bookmarkEnd w:id="30"/>
    <w:p>
      <w:pPr>
        <w:ind w:right="100" w:firstLine="77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awards made under the 2012 ICP to each of the named executive officers in 2014. Awards granted to the named executive officers under the 2012 ICP in 2014 include annual incentive awards, performance units and stock options: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46" w:lineRule="exact"/>
        <w:rPr>
          <w:sz w:val="20"/>
          <w:szCs w:val="20"/>
          <w:color w:val="auto"/>
        </w:rPr>
      </w:pPr>
    </w:p>
    <w:tbl>
      <w:tblPr>
        <w:tblLayout w:type="fixed"/>
        <w:tblInd w:w="110" w:type="dxa"/>
        <w:tblCellMar>
          <w:top w:w="0" w:type="dxa"/>
          <w:left w:w="0" w:type="dxa"/>
          <w:bottom w:w="0" w:type="dxa"/>
          <w:right w:w="0" w:type="dxa"/>
        </w:tblCellMar>
      </w:tblPr>
      <w:tr>
        <w:trPr>
          <w:trHeight w:val="155"/>
        </w:trPr>
        <w:tc>
          <w:tcPr>
            <w:tcW w:w="1720" w:type="dxa"/>
            <w:vAlign w:val="bottom"/>
            <w:tcBorders>
              <w:top w:val="single" w:sz="8" w:color="auto"/>
              <w:left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2440" w:type="dxa"/>
            <w:vAlign w:val="bottom"/>
            <w:tcBorders>
              <w:top w:val="single" w:sz="8" w:color="auto"/>
              <w:right w:val="single" w:sz="8" w:color="auto"/>
            </w:tcBorders>
            <w:gridSpan w:val="3"/>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Estimated Future Payouts Under Non-</w:t>
            </w:r>
          </w:p>
        </w:tc>
        <w:tc>
          <w:tcPr>
            <w:tcW w:w="172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66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2440" w:type="dxa"/>
            <w:vAlign w:val="bottom"/>
            <w:tcBorders>
              <w:right w:val="single" w:sz="8" w:color="auto"/>
            </w:tcBorders>
            <w:gridSpan w:val="3"/>
            <w:vMerge w:val="continue"/>
          </w:tcPr>
          <w:p>
            <w:pPr>
              <w:spacing w:after="0"/>
              <w:rPr>
                <w:sz w:val="5"/>
                <w:szCs w:val="5"/>
                <w:color w:val="auto"/>
              </w:rPr>
            </w:pPr>
          </w:p>
        </w:tc>
        <w:tc>
          <w:tcPr>
            <w:tcW w:w="1720" w:type="dxa"/>
            <w:vAlign w:val="bottom"/>
            <w:tcBorders>
              <w:right w:val="single" w:sz="8" w:color="auto"/>
            </w:tcBorders>
            <w:gridSpan w:val="3"/>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Equity Incentive Plan</w:t>
            </w:r>
          </w:p>
        </w:tc>
        <w:tc>
          <w:tcPr>
            <w:tcW w:w="66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2440" w:type="dxa"/>
            <w:vAlign w:val="bottom"/>
            <w:tcBorders>
              <w:right w:val="single" w:sz="8" w:color="auto"/>
            </w:tcBorders>
            <w:gridSpan w:val="3"/>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1720" w:type="dxa"/>
            <w:vAlign w:val="bottom"/>
            <w:tcBorders>
              <w:right w:val="single" w:sz="8" w:color="auto"/>
            </w:tcBorders>
            <w:gridSpan w:val="3"/>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2440" w:type="dxa"/>
            <w:vAlign w:val="bottom"/>
            <w:tcBorders>
              <w:right w:val="single" w:sz="8" w:color="auto"/>
            </w:tcBorders>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5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720" w:type="dxa"/>
            <w:vAlign w:val="bottom"/>
            <w:tcBorders>
              <w:left w:val="single" w:sz="8" w:color="auto"/>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72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Non-equity</w:t>
            </w:r>
          </w:p>
        </w:tc>
        <w:tc>
          <w:tcPr>
            <w:tcW w:w="8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8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Closing</w:t>
            </w: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8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 on</w:t>
            </w: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 of</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Grant for</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 of</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8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and</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8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5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or</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 If</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Threshold ($)</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Target ($)</w:t>
            </w:r>
          </w:p>
        </w:tc>
        <w:tc>
          <w:tcPr>
            <w:tcW w:w="780" w:type="dxa"/>
            <w:vAlign w:val="bottom"/>
            <w:tcBorders>
              <w:right w:val="single" w:sz="8" w:color="auto"/>
            </w:tcBorders>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Max ($)</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Max</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Units (#)</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Different ($)</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Name (a)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780" w:type="dxa"/>
            <w:vAlign w:val="bottom"/>
            <w:tcBorders>
              <w:bottom w:val="single" w:sz="8" w:color="auto"/>
              <w:right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(f)</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(h)</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(i)</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(j)</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(k)</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w:t>
            </w:r>
          </w:p>
        </w:tc>
        <w:tc>
          <w:tcPr>
            <w:tcW w:w="0" w:type="dxa"/>
            <w:vAlign w:val="bottom"/>
          </w:tcPr>
          <w:p>
            <w:pPr>
              <w:spacing w:after="0"/>
              <w:rPr>
                <w:sz w:val="1"/>
                <w:szCs w:val="1"/>
                <w:color w:val="auto"/>
              </w:rPr>
            </w:pPr>
          </w:p>
        </w:tc>
      </w:tr>
      <w:tr>
        <w:trPr>
          <w:trHeight w:val="187"/>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Donald E. Graham</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30"/>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Hal S. Jones</w:t>
            </w: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8"/>
                <w:szCs w:val="8"/>
                <w:color w:val="auto"/>
              </w:rPr>
              <w:t>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188,750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377,500</w:t>
            </w:r>
          </w:p>
        </w:tc>
        <w:tc>
          <w:tcPr>
            <w:tcW w:w="78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755,000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30"/>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Timothy J. O</w:t>
            </w:r>
            <w:r>
              <w:rPr>
                <w:rFonts w:ascii="Times New Roman" w:cs="Times New Roman" w:eastAsia="Times New Roman" w:hAnsi="Times New Roman"/>
                <w:sz w:val="14"/>
                <w:szCs w:val="14"/>
                <w:color w:val="333333"/>
              </w:rPr>
              <w:t>’</w:t>
            </w:r>
            <w:r>
              <w:rPr>
                <w:rFonts w:ascii="Times New Roman" w:cs="Times New Roman" w:eastAsia="Times New Roman" w:hAnsi="Times New Roman"/>
                <w:sz w:val="13"/>
                <w:szCs w:val="13"/>
                <w:color w:val="auto"/>
              </w:rPr>
              <w:t>Shaughnessy</w:t>
            </w: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8"/>
                <w:szCs w:val="8"/>
                <w:color w:val="auto"/>
              </w:rPr>
              <w:t>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62,500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125,000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250,000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Performance Units</w:t>
            </w:r>
            <w:r>
              <w:rPr>
                <w:rFonts w:ascii="Times New Roman" w:cs="Times New Roman" w:eastAsia="Times New Roman" w:hAnsi="Times New Roman"/>
                <w:sz w:val="8"/>
                <w:szCs w:val="8"/>
                <w:color w:val="auto"/>
              </w:rPr>
              <w:t>2</w:t>
            </w: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5,000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24,400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500,000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1,000,000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Stock Options</w:t>
            </w:r>
            <w:r>
              <w:rPr>
                <w:rFonts w:ascii="Times New Roman" w:cs="Times New Roman" w:eastAsia="Times New Roman" w:hAnsi="Times New Roman"/>
                <w:sz w:val="8"/>
                <w:szCs w:val="8"/>
                <w:color w:val="auto"/>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11/3/2014</w:t>
            </w:r>
          </w:p>
        </w:tc>
        <w:tc>
          <w:tcPr>
            <w:tcW w:w="8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50,000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1,111.20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787.75</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8,800,000</w:t>
            </w:r>
          </w:p>
        </w:tc>
        <w:tc>
          <w:tcPr>
            <w:tcW w:w="0" w:type="dxa"/>
            <w:vAlign w:val="bottom"/>
          </w:tcPr>
          <w:p>
            <w:pPr>
              <w:spacing w:after="0"/>
              <w:rPr>
                <w:sz w:val="1"/>
                <w:szCs w:val="1"/>
                <w:color w:val="auto"/>
              </w:rPr>
            </w:pPr>
          </w:p>
        </w:tc>
      </w:tr>
      <w:tr>
        <w:trPr>
          <w:trHeight w:val="173"/>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Andrew S. Rosen</w:t>
            </w: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8"/>
                <w:szCs w:val="8"/>
                <w:color w:val="auto"/>
              </w:rPr>
              <w:t>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812,500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1,625,000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3,250,000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Performance Units</w:t>
            </w:r>
            <w:r>
              <w:rPr>
                <w:rFonts w:ascii="Times New Roman" w:cs="Times New Roman" w:eastAsia="Times New Roman" w:hAnsi="Times New Roman"/>
                <w:sz w:val="8"/>
                <w:szCs w:val="8"/>
                <w:color w:val="auto"/>
              </w:rPr>
              <w:t>2</w:t>
            </w:r>
          </w:p>
        </w:tc>
        <w:tc>
          <w:tcPr>
            <w:tcW w:w="7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3,000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14,640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300,000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600,000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7"/>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Ann L. McDaniel</w:t>
            </w: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8"/>
                <w:szCs w:val="8"/>
                <w:color w:val="auto"/>
              </w:rPr>
              <w:t>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160,500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321,000</w:t>
            </w:r>
          </w:p>
        </w:tc>
        <w:tc>
          <w:tcPr>
            <w:tcW w:w="78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642,000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30"/>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60" w:right="20" w:hanging="252"/>
        <w:spacing w:after="0" w:line="227"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are the threshold, target and maximum payouts under the annual bonus component of the 2012 ICP. The Committee sets the performance-based goals for purposes of the annual incentive awards to be paid for fiscal year 2014. The amount in column (d) represents the minimum payment level, which is 50% of the target. The amount shown in column (f) represents the maximum payout level, which is 200% of the target. In the event that the goals set by the Committee are not attained, no amount would be paid.</w:t>
      </w:r>
    </w:p>
    <w:p>
      <w:pPr>
        <w:spacing w:after="0" w:line="2" w:lineRule="exact"/>
        <w:rPr>
          <w:rFonts w:ascii="Times New Roman" w:cs="Times New Roman" w:eastAsia="Times New Roman" w:hAnsi="Times New Roman"/>
          <w:sz w:val="14"/>
          <w:szCs w:val="14"/>
          <w:color w:val="auto"/>
        </w:rPr>
      </w:pPr>
    </w:p>
    <w:p>
      <w:pPr>
        <w:ind w:left="260" w:right="80" w:hanging="252"/>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grants represent performance units granted as part of a four-year award cycle. The Committee has set the performance-based goals for these grants, which are to be paid in fiscal year 2017. The amount in column (d) represents the minimum payment level, which is $4.88 per unit. The amount shown in column (e) represents the nominal value of each unit, which is $100 per unit, and the amount in column (f) represents the maximum payout per unit, which is $200 per unit. In the event that the goals set by the Committee for these grants are not attained, no amount will be paid.</w:t>
      </w:r>
    </w:p>
    <w:p>
      <w:pPr>
        <w:spacing w:after="0" w:line="11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represents a special new-hire award vesting over a six-year period.</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 AND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GRANTS OF PLAN-BASED AWARDS TABLE</w:t>
      </w:r>
    </w:p>
    <w:p>
      <w:pPr>
        <w:spacing w:after="0" w:line="207" w:lineRule="exact"/>
        <w:rPr>
          <w:sz w:val="20"/>
          <w:szCs w:val="20"/>
          <w:color w:val="auto"/>
        </w:rPr>
      </w:pPr>
    </w:p>
    <w:p>
      <w:pPr>
        <w:ind w:right="520" w:firstLine="770"/>
        <w:spacing w:after="0" w:line="282" w:lineRule="auto"/>
        <w:rPr>
          <w:sz w:val="20"/>
          <w:szCs w:val="20"/>
          <w:color w:val="auto"/>
        </w:rPr>
      </w:pPr>
      <w:r>
        <w:rPr>
          <w:rFonts w:ascii="Times New Roman" w:cs="Times New Roman" w:eastAsia="Times New Roman" w:hAnsi="Times New Roman"/>
          <w:sz w:val="18"/>
          <w:szCs w:val="18"/>
          <w:color w:val="auto"/>
        </w:rPr>
        <w:t>The following describes material features of the compensation disclosed in the Summary Compensation Table and the Grants of Plan-Based Awards Table.</w:t>
      </w:r>
    </w:p>
    <w:p>
      <w:pPr>
        <w:spacing w:after="0" w:line="1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Employment Agreements. </w:t>
      </w:r>
      <w:r>
        <w:rPr>
          <w:rFonts w:ascii="Times New Roman" w:cs="Times New Roman" w:eastAsia="Times New Roman" w:hAnsi="Times New Roman"/>
          <w:sz w:val="18"/>
          <w:szCs w:val="18"/>
          <w:color w:val="auto"/>
        </w:rPr>
        <w:t>As described in “Compensation Discussion and Analysis: Employment Agreements and Severance Packages,” each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Messrs. O</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Shaughnessy and Rosen entered into employment agreements with the Company in 2014 that provide for annual base salaries of $750,000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$1,625,000, respectively, and a discretionary annual cash incentive bonus target of 100% of base salary. In addition, pursuant to each executive’s employment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Messrs. O</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Shaughnessy and Rosen were entitled to a grant of 5,000 and 3,000 performance units, respectively, in the 2013–2016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cycle and Mr. O</w:t>
      </w:r>
      <w:r>
        <w:rPr>
          <w:rFonts w:ascii="Times New Roman" w:cs="Times New Roman" w:eastAsia="Times New Roman" w:hAnsi="Times New Roman"/>
          <w:sz w:val="17"/>
          <w:szCs w:val="17"/>
          <w:color w:val="333333"/>
        </w:rPr>
        <w:t>’</w:t>
      </w:r>
      <w:r>
        <w:rPr>
          <w:rFonts w:ascii="Times New Roman" w:cs="Times New Roman" w:eastAsia="Times New Roman" w:hAnsi="Times New Roman"/>
          <w:sz w:val="17"/>
          <w:szCs w:val="17"/>
          <w:color w:val="auto"/>
        </w:rPr>
        <w:t>Shaughnessy was additionally entitled to a grant of 50,000 stock options, as reflected in the Grants of Plan-Based Awards table. Mr. Rosen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entitled to guaranteed enhanced retirement benefits under the terms of his employment agreement. See “Compensation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Agreements and Severance Packages” for further details on the employment agreements with Messrs. O</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Shaughnessy and Rosen.</w:t>
      </w:r>
    </w:p>
    <w:p>
      <w:pPr>
        <w:spacing w:after="0" w:line="203" w:lineRule="exact"/>
        <w:rPr>
          <w:sz w:val="20"/>
          <w:szCs w:val="20"/>
          <w:color w:val="auto"/>
        </w:rPr>
      </w:pPr>
    </w:p>
    <w:p>
      <w:pPr>
        <w:ind w:right="420" w:firstLine="77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Letter Agreement. </w:t>
      </w:r>
      <w:r>
        <w:rPr>
          <w:rFonts w:ascii="Times New Roman" w:cs="Times New Roman" w:eastAsia="Times New Roman" w:hAnsi="Times New Roman"/>
          <w:sz w:val="18"/>
          <w:szCs w:val="18"/>
          <w:color w:val="auto"/>
        </w:rPr>
        <w:t>As described in “Compensation Discussion and Analysis: Employment Agreements and Severance Packages,” Mr. Jones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 letter agreement with the Company in 2014 providing for enhanced retirement benefits upon the termination of his employment with the Company for any reason. For additional information regarding the letter agreement with Mr. Jones, see “Compensation Discussion and Analysis: Employment Agreements and Severance Packages.”</w:t>
      </w:r>
    </w:p>
    <w:p>
      <w:pPr>
        <w:spacing w:after="0" w:line="177" w:lineRule="exact"/>
        <w:rPr>
          <w:sz w:val="20"/>
          <w:szCs w:val="20"/>
          <w:color w:val="auto"/>
        </w:rPr>
      </w:pPr>
    </w:p>
    <w:p>
      <w:pPr>
        <w:ind w:right="100" w:firstLine="7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VRIP. </w:t>
      </w:r>
      <w:r>
        <w:rPr>
          <w:rFonts w:ascii="Times New Roman" w:cs="Times New Roman" w:eastAsia="Times New Roman" w:hAnsi="Times New Roman"/>
          <w:sz w:val="18"/>
          <w:szCs w:val="18"/>
          <w:color w:val="auto"/>
        </w:rPr>
        <w:t>As described in “Compensation Discussion and Analysis: Employment Agreements and Severance Packages,” Ms. McDaniel is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enhanced retirement benefits under The Retirement Plan and the SERP in connection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580" w:right="279" w:bottom="1440" w:gutter="0" w:footer="0" w:header="0"/>
        </w:sectPr>
      </w:pPr>
    </w:p>
    <w:bookmarkStart w:id="31" w:name="page32"/>
    <w:bookmarkEnd w:id="31"/>
    <w:p>
      <w:pPr>
        <w:ind w:right="180"/>
        <w:spacing w:after="0" w:line="282" w:lineRule="auto"/>
        <w:rPr>
          <w:sz w:val="20"/>
          <w:szCs w:val="20"/>
          <w:color w:val="auto"/>
        </w:rPr>
      </w:pPr>
      <w:r>
        <w:rPr>
          <w:rFonts w:ascii="Times New Roman" w:cs="Times New Roman" w:eastAsia="Times New Roman" w:hAnsi="Times New Roman"/>
          <w:sz w:val="18"/>
          <w:szCs w:val="18"/>
          <w:color w:val="auto"/>
        </w:rPr>
        <w:t>with her acceptance of the VRIP package offered by the Company in 2014. For additional information regarding the terms of the VRIP, see “Compensation Discussion and Analysis - Employment Agreements and Severance Packages.”</w:t>
      </w:r>
    </w:p>
    <w:p>
      <w:pPr>
        <w:spacing w:after="0" w:line="158" w:lineRule="exact"/>
        <w:rPr>
          <w:sz w:val="20"/>
          <w:szCs w:val="20"/>
          <w:color w:val="auto"/>
        </w:rPr>
      </w:pPr>
    </w:p>
    <w:p>
      <w:pPr>
        <w:ind w:right="120" w:firstLine="7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Annual Bonus/Incentive Awards. </w:t>
      </w:r>
      <w:r>
        <w:rPr>
          <w:rFonts w:ascii="Times New Roman" w:cs="Times New Roman" w:eastAsia="Times New Roman" w:hAnsi="Times New Roman"/>
          <w:sz w:val="18"/>
          <w:szCs w:val="18"/>
          <w:color w:val="auto"/>
        </w:rPr>
        <w:t>The Summary Compensation Table and Grants of Plan-Based Awards table provide information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bonus or incentive awards granted to the named executive officers in 2014. See “Compensation Discussion and Analysis: Performance-Based Incentive Compensation–Annual Bonuses” for additional information regarding the terms of these awards.</w:t>
      </w:r>
    </w:p>
    <w:p>
      <w:pPr>
        <w:spacing w:after="0" w:line="171" w:lineRule="exact"/>
        <w:rPr>
          <w:sz w:val="20"/>
          <w:szCs w:val="20"/>
          <w:color w:val="auto"/>
        </w:rPr>
      </w:pPr>
    </w:p>
    <w:p>
      <w:pPr>
        <w:jc w:val="both"/>
        <w:ind w:right="380" w:firstLine="77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The Summary Compensation Table reflects the fair value of the restricted stock awards made in 2012 on the date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generally vests four years from the date of grant, subject to continued employment. There were no restricted stock awards granted to the named executive officers in 2013 and 2014.</w:t>
      </w:r>
    </w:p>
    <w:p>
      <w:pPr>
        <w:spacing w:after="0" w:line="171" w:lineRule="exact"/>
        <w:rPr>
          <w:sz w:val="20"/>
          <w:szCs w:val="20"/>
          <w:color w:val="auto"/>
        </w:rPr>
      </w:pPr>
    </w:p>
    <w:p>
      <w:pPr>
        <w:ind w:right="100" w:firstLine="77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Units. </w:t>
      </w:r>
      <w:r>
        <w:rPr>
          <w:rFonts w:ascii="Times New Roman" w:cs="Times New Roman" w:eastAsia="Times New Roman" w:hAnsi="Times New Roman"/>
          <w:sz w:val="18"/>
          <w:szCs w:val="18"/>
          <w:color w:val="auto"/>
        </w:rPr>
        <w:t>The Summary Compensation Table includes amounts earned for performance units granted under the 2009–2012 and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2014 award cycles. The Grants of Plan-Based Awards Table includes the threshold, target and maximum payouts of performance units granted under the 2013-2016 award cycle to Mr. O’Shaughnessy and Mr. Rosen. The Committee sets the performance-based goals for the grants at the beginning of each four-year award cycle. For additional information regarding the performance units, see “Compensation Discussion and Analysis: Performance Based Incentive Compensation–Performance Units.”</w:t>
      </w:r>
    </w:p>
    <w:p>
      <w:pPr>
        <w:spacing w:after="0" w:line="180" w:lineRule="exact"/>
        <w:rPr>
          <w:sz w:val="20"/>
          <w:szCs w:val="20"/>
          <w:color w:val="auto"/>
        </w:rPr>
      </w:pPr>
    </w:p>
    <w:p>
      <w:pPr>
        <w:ind w:firstLine="77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Generally, the value of stock option awards shown in the Summary Compensation Table represents options granted under the 2012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ICP. The options generally vest 25% per year over a four-year period from the date of grant and are exercisable for ten years from the date of grant. The Grants of Plan-Based Award Table reflects the number of options granted to Mr. O’Shaughnessy under the 2012 ICP in a special new-hire grant and the fair value of the award on the date of grant. This award will vest over a six-year period and was granted at an option price that was calculated by increasing the closing price on the grant date by a 3.5% compound annual growth rate over the ten-year term of the award. For additional information regarding the terms of the new-hire stock option grant to Mr. O’Shaughnessy see “Compensation Discussion and Analysis: Setting Executive Compensation.”</w:t>
      </w:r>
    </w:p>
    <w:p>
      <w:pPr>
        <w:spacing w:after="0" w:line="187" w:lineRule="exact"/>
        <w:rPr>
          <w:sz w:val="20"/>
          <w:szCs w:val="20"/>
          <w:color w:val="auto"/>
        </w:rPr>
      </w:pPr>
    </w:p>
    <w:p>
      <w:pPr>
        <w:ind w:right="560" w:firstLine="770"/>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covered by exercisable and unexercisable options and unvested restricted stock held by the Company’s named executive officers on December 31, 2014.</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580" w:right="27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100" w:type="dxa"/>
            <w:vAlign w:val="bottom"/>
            <w:tcBorders>
              <w:top w:val="single" w:sz="8" w:color="auto"/>
              <w:left w:val="single" w:sz="8" w:color="auto"/>
              <w:right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8"/>
                <w:szCs w:val="8"/>
                <w:b w:val="1"/>
                <w:bCs w:val="1"/>
                <w:color w:val="auto"/>
              </w:rPr>
              <w:t>1</w:t>
            </w:r>
          </w:p>
        </w:tc>
        <w:tc>
          <w:tcPr>
            <w:tcW w:w="9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right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8"/>
                <w:szCs w:val="8"/>
                <w:b w:val="1"/>
                <w:bCs w:val="1"/>
                <w:color w:val="auto"/>
              </w:rPr>
              <w:t>2</w:t>
            </w:r>
          </w:p>
        </w:tc>
        <w:tc>
          <w:tcPr>
            <w:tcW w:w="102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Options:</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 (#)</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195"/>
        </w:trPr>
        <w:tc>
          <w:tcPr>
            <w:tcW w:w="2100" w:type="dxa"/>
            <w:vAlign w:val="bottom"/>
            <w:tcBorders>
              <w:left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(a)</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xml:space="preserve">(h) </w:t>
            </w:r>
            <w:r>
              <w:rPr>
                <w:rFonts w:ascii="Times New Roman" w:cs="Times New Roman" w:eastAsia="Times New Roman" w:hAnsi="Times New Roman"/>
                <w:sz w:val="8"/>
                <w:szCs w:val="8"/>
                <w:b w:val="1"/>
                <w:bCs w:val="1"/>
                <w:color w:val="auto"/>
                <w:w w:val="97"/>
              </w:rPr>
              <w:t>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Donald E. Graham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Hal S. Jones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651.91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5/12/2018</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1,381,936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Timothy J. O’Shaughnessy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1,111.20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11/3/2024</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Andrew S. Rosen</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37,500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12,500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502.58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2/22/2021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4,750,405</w:t>
            </w:r>
          </w:p>
        </w:tc>
        <w:tc>
          <w:tcPr>
            <w:tcW w:w="10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L. McDaniel</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1,381,936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40" w:right="280" w:hanging="332"/>
        <w:spacing w:after="0" w:line="242"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granted under the Company’s Stock Option Plan and the 2012 ICP generally vest 25% per year over a four-year period from the date of grant. Mr. O’Shaughnessy received a special new-hire option grant that vests over a six-year period. The following are the vesting dates of outstanding options granted to the named executive officers: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1</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 4</w:t>
            </w:r>
          </w:p>
        </w:tc>
        <w:tc>
          <w:tcPr>
            <w:tcW w:w="2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 6</w:t>
            </w: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6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Vest Date</w:t>
            </w:r>
          </w:p>
        </w:tc>
        <w:tc>
          <w:tcPr>
            <w:tcW w:w="540" w:type="dxa"/>
            <w:vAlign w:val="bottom"/>
          </w:tcPr>
          <w:p>
            <w:pPr>
              <w:spacing w:after="0"/>
              <w:rPr>
                <w:sz w:val="13"/>
                <w:szCs w:val="13"/>
                <w:color w:val="auto"/>
              </w:rPr>
            </w:pPr>
          </w:p>
        </w:tc>
        <w:tc>
          <w:tcPr>
            <w:tcW w:w="10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Vest Date</w:t>
            </w:r>
          </w:p>
        </w:tc>
        <w:tc>
          <w:tcPr>
            <w:tcW w:w="100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Vest Date</w:t>
            </w:r>
          </w:p>
        </w:tc>
        <w:tc>
          <w:tcPr>
            <w:tcW w:w="560" w:type="dxa"/>
            <w:vAlign w:val="bottom"/>
            <w:gridSpan w:val="2"/>
            <w:vMerge w:val="continue"/>
          </w:tcPr>
          <w:p>
            <w:pPr>
              <w:spacing w:after="0"/>
              <w:rPr>
                <w:sz w:val="13"/>
                <w:szCs w:val="13"/>
                <w:color w:val="auto"/>
              </w:rPr>
            </w:pPr>
          </w:p>
        </w:tc>
        <w:tc>
          <w:tcPr>
            <w:tcW w:w="560" w:type="dxa"/>
            <w:vAlign w:val="bottom"/>
            <w:gridSpan w:val="2"/>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Hal S. Jones</w:t>
            </w:r>
          </w:p>
        </w:tc>
        <w:tc>
          <w:tcPr>
            <w:tcW w:w="3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5/12/2009</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5/12/2012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Timothy J.</w:t>
            </w:r>
          </w:p>
        </w:tc>
        <w:tc>
          <w:tcPr>
            <w:tcW w:w="82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50,000</w:t>
            </w:r>
          </w:p>
        </w:tc>
        <w:tc>
          <w:tcPr>
            <w:tcW w:w="3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8"/>
              </w:rPr>
              <w:t>11/3/2015</w:t>
            </w:r>
          </w:p>
        </w:tc>
        <w:tc>
          <w:tcPr>
            <w:tcW w:w="220" w:type="dxa"/>
            <w:vAlign w:val="bottom"/>
          </w:tcPr>
          <w:p>
            <w:pPr>
              <w:spacing w:after="0"/>
              <w:rPr>
                <w:sz w:val="20"/>
                <w:szCs w:val="20"/>
                <w:color w:val="auto"/>
              </w:rPr>
            </w:pP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11/3/2020</w:t>
            </w:r>
          </w:p>
        </w:tc>
        <w:tc>
          <w:tcPr>
            <w:tcW w:w="220" w:type="dxa"/>
            <w:vAlign w:val="bottom"/>
          </w:tcPr>
          <w:p>
            <w:pPr>
              <w:spacing w:after="0"/>
              <w:rPr>
                <w:sz w:val="20"/>
                <w:szCs w:val="20"/>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O’Shaughnessy</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Andrew S. Rosen</w:t>
            </w:r>
          </w:p>
        </w:tc>
        <w:tc>
          <w:tcPr>
            <w:tcW w:w="82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50,000</w:t>
            </w:r>
          </w:p>
        </w:tc>
        <w:tc>
          <w:tcPr>
            <w:tcW w:w="300" w:type="dxa"/>
            <w:vAlign w:val="bottom"/>
          </w:tcPr>
          <w:p>
            <w:pPr>
              <w:spacing w:after="0"/>
              <w:rPr>
                <w:sz w:val="17"/>
                <w:szCs w:val="17"/>
                <w:color w:val="auto"/>
              </w:rPr>
            </w:pPr>
          </w:p>
        </w:tc>
        <w:tc>
          <w:tcPr>
            <w:tcW w:w="10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2/22/2012</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2/22/2015</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37,500</w:t>
            </w:r>
          </w:p>
        </w:tc>
        <w:tc>
          <w:tcPr>
            <w:tcW w:w="160" w:type="dxa"/>
            <w:vAlign w:val="bottom"/>
          </w:tcPr>
          <w:p>
            <w:pPr>
              <w:spacing w:after="0"/>
              <w:rPr>
                <w:sz w:val="17"/>
                <w:szCs w:val="17"/>
                <w:color w:val="auto"/>
              </w:rPr>
            </w:pPr>
          </w:p>
        </w:tc>
        <w:tc>
          <w:tcPr>
            <w:tcW w:w="5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12,500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40" w:right="60" w:hanging="332"/>
        <w:spacing w:after="0" w:line="242" w:lineRule="auto"/>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have been granted in the form of Restricted Stock under the Company’s Incentive Compensation Plan and the 2012 ICP as of December 31, 2014. All of the awards listed below vest 100% at the end of the relevant Award Cycle. The following are the vesting dates of the grants to the named executive officers: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Hal S. Jones</w:t>
            </w:r>
          </w:p>
        </w:tc>
        <w:tc>
          <w:tcPr>
            <w:tcW w:w="7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800</w:t>
            </w: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7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800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1/5/2015</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Andrew S. Rosen</w:t>
            </w:r>
          </w:p>
        </w:tc>
        <w:tc>
          <w:tcPr>
            <w:tcW w:w="7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2,500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7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3,000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1/4/2016</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Ann L. McDaniel</w:t>
            </w:r>
          </w:p>
        </w:tc>
        <w:tc>
          <w:tcPr>
            <w:tcW w:w="7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800</w:t>
            </w:r>
          </w:p>
        </w:tc>
        <w:tc>
          <w:tcPr>
            <w:tcW w:w="3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1/4/2017</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300" w:hanging="759"/>
        <w:spacing w:after="0"/>
        <w:tabs>
          <w:tab w:leader="none" w:pos="230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1/5/2015</w:t>
      </w:r>
    </w:p>
    <w:p>
      <w:pPr>
        <w:spacing w:after="0" w:line="200" w:lineRule="exact"/>
        <w:rPr>
          <w:rFonts w:ascii="Times New Roman" w:cs="Times New Roman" w:eastAsia="Times New Roman" w:hAnsi="Times New Roman"/>
          <w:sz w:val="14"/>
          <w:szCs w:val="14"/>
          <w:color w:val="auto"/>
        </w:rPr>
      </w:pPr>
    </w:p>
    <w:p>
      <w:pPr>
        <w:spacing w:after="0" w:line="31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closing price of a share of the Company’s Class B Common Stock as of December 31, 2014 ($863.71).</w:t>
      </w:r>
    </w:p>
    <w:p>
      <w:pPr>
        <w:spacing w:after="0" w:line="200" w:lineRule="exact"/>
        <w:rPr>
          <w:sz w:val="20"/>
          <w:szCs w:val="20"/>
          <w:color w:val="auto"/>
        </w:rPr>
      </w:pPr>
    </w:p>
    <w:p>
      <w:pPr>
        <w:spacing w:after="0" w:line="224" w:lineRule="exact"/>
        <w:rPr>
          <w:sz w:val="20"/>
          <w:szCs w:val="20"/>
          <w:color w:val="auto"/>
        </w:rPr>
      </w:pPr>
    </w:p>
    <w:p>
      <w:pPr>
        <w:ind w:right="280" w:firstLine="770"/>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Class B shares acquired upon the exercise of stock options and the vesting of stock awards held by the named executive officers in fiscal year 2014 and the value realized upon such exercise or vesting.</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980" w:type="dxa"/>
            <w:vAlign w:val="bottom"/>
            <w:tcBorders>
              <w:top w:val="single" w:sz="8" w:color="auto"/>
              <w:left w:val="single" w:sz="8" w:color="auto"/>
              <w:right w:val="single" w:sz="8" w:color="auto"/>
            </w:tcBorders>
          </w:tcPr>
          <w:p>
            <w:pPr>
              <w:spacing w:after="0"/>
              <w:rPr>
                <w:sz w:val="18"/>
                <w:szCs w:val="18"/>
                <w:color w:val="auto"/>
              </w:rPr>
            </w:pPr>
          </w:p>
        </w:tc>
        <w:tc>
          <w:tcPr>
            <w:tcW w:w="2580" w:type="dxa"/>
            <w:vAlign w:val="bottom"/>
            <w:tcBorders>
              <w:top w:val="single" w:sz="8" w:color="auto"/>
              <w:bottom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60" w:type="dxa"/>
            <w:vAlign w:val="bottom"/>
            <w:tcBorders>
              <w:top w:val="single" w:sz="8" w:color="auto"/>
              <w:bottom w:val="single" w:sz="8" w:color="auto"/>
              <w:right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398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 on</w:t>
            </w:r>
          </w:p>
        </w:tc>
        <w:tc>
          <w:tcPr>
            <w:tcW w:w="126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 on</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39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13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w:t>
            </w: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Vesting (#)</w:t>
            </w: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 ($) (e)</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Donald E. Graham</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Hal S. Jones</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1,117,807</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Timothy J. O’Shaughnessy</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Andrew S. Rosen</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L. McDaniel</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294,100</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40"/>
          </w:cols>
          <w:pgMar w:left="240" w:top="792" w:right="2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019"/>
          </w:cols>
          <w:pgMar w:left="1440" w:top="1040"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00" w:lineRule="exact"/>
        <w:rPr>
          <w:sz w:val="20"/>
          <w:szCs w:val="20"/>
          <w:color w:val="auto"/>
        </w:rPr>
      </w:pPr>
    </w:p>
    <w:p>
      <w:pPr>
        <w:spacing w:after="0" w:line="245"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Pension Benefits table includes information related to the Company’s tax-qualified defined benefit plan, The Retirement Plan, as well as the associated non-qualified plan, the SERP, the Jones Individual Pension Arrangement and the Rosen Individual Pension Arrangement. The Retirement Plan covers most employees of the Company and provides benefits that are based on formulas that take into account base salary and service. Such formulas are contained in individual affiliate benefits schedules, including the Graham Schedule, the Newsweek Schedule, the Kaplan Schedule and the CBRP and SRA schedules.</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Benefits under The Retirement Plan become vested after three or five years of service, depending on which schedules cover the individual employee. All of the named executive officers (except Mr. O’Shaughnessy) are fully vested in their benefits under The Retirement Plan. The SERP provides supplemental defined benefit retirement benefits that are calculated based on the formulas in The Retirement Plan, but include bonuses under the 2012 ICP, rather than just base salary, without regard to (i) the salary limitation applicable to tax-qualified plans (currently $265,000) or (ii) the benefit limitation applicable to tax-qualified plans (currently $210,000 per year commencing at age 65). The SERP provides benefits only to the extent that the benefit described above exceeds the benefit in The Retirement Plan. The SERP was modified in 2014 to provide that Mr. Rosen will be entitled to Rule of 90 benefits if his employment with the Company were to terminate prior to September 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Graham Schedule</w:t>
      </w:r>
    </w:p>
    <w:p>
      <w:pPr>
        <w:spacing w:after="0" w:line="229" w:lineRule="exact"/>
        <w:rPr>
          <w:sz w:val="20"/>
          <w:szCs w:val="20"/>
          <w:color w:val="auto"/>
        </w:rPr>
      </w:pPr>
    </w:p>
    <w:p>
      <w:pPr>
        <w:ind w:right="420" w:firstLine="770"/>
        <w:spacing w:after="0" w:line="281" w:lineRule="auto"/>
        <w:rPr>
          <w:sz w:val="20"/>
          <w:szCs w:val="20"/>
          <w:color w:val="auto"/>
        </w:rPr>
      </w:pPr>
      <w:r>
        <w:rPr>
          <w:rFonts w:ascii="Times New Roman" w:cs="Times New Roman" w:eastAsia="Times New Roman" w:hAnsi="Times New Roman"/>
          <w:sz w:val="18"/>
          <w:szCs w:val="18"/>
          <w:color w:val="auto"/>
        </w:rPr>
        <w:t>Mr. Graham, Mr. Jones, Mr. Rosen, and Ms. McDaniel are participants in the Graham Schedule. Benefits payable under the Graham Schedule include the following, subject to the limitations on tax-qualified plans mentioned above:</w:t>
      </w:r>
    </w:p>
    <w:p>
      <w:pPr>
        <w:spacing w:after="0" w:line="2" w:lineRule="exact"/>
        <w:rPr>
          <w:sz w:val="20"/>
          <w:szCs w:val="20"/>
          <w:color w:val="auto"/>
        </w:rPr>
      </w:pPr>
    </w:p>
    <w:p>
      <w:pPr>
        <w:ind w:left="1300" w:right="40" w:hanging="158"/>
        <w:spacing w:after="0" w:line="255"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pension (payable one-twelfth each month)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54" w:lineRule="exact"/>
        <w:rPr>
          <w:rFonts w:ascii="Times New Roman" w:cs="Times New Roman" w:eastAsia="Times New Roman" w:hAnsi="Times New Roman"/>
          <w:sz w:val="18"/>
          <w:szCs w:val="18"/>
          <w:color w:val="auto"/>
        </w:rPr>
      </w:pPr>
    </w:p>
    <w:p>
      <w:pPr>
        <w:ind w:left="1360" w:hanging="218"/>
        <w:spacing w:after="0"/>
        <w:tabs>
          <w:tab w:leader="none" w:pos="1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$200 multiplied by years of credited service.</w:t>
      </w:r>
    </w:p>
    <w:p>
      <w:pPr>
        <w:spacing w:after="0" w:line="76" w:lineRule="exact"/>
        <w:rPr>
          <w:rFonts w:ascii="Times New Roman" w:cs="Times New Roman" w:eastAsia="Times New Roman" w:hAnsi="Times New Roman"/>
          <w:sz w:val="18"/>
          <w:szCs w:val="18"/>
          <w:color w:val="auto"/>
        </w:rPr>
      </w:pPr>
    </w:p>
    <w:p>
      <w:pPr>
        <w:ind w:left="1300" w:right="540" w:hanging="158"/>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temporary pre-age 65 supplement of $250 per month payable until age 65 to employees retiring at or after age 55 with ten years of vesting service.</w:t>
      </w:r>
    </w:p>
    <w:p>
      <w:pPr>
        <w:spacing w:after="0" w:line="162" w:lineRule="exact"/>
        <w:rPr>
          <w:sz w:val="20"/>
          <w:szCs w:val="20"/>
          <w:color w:val="auto"/>
        </w:rPr>
      </w:pPr>
    </w:p>
    <w:p>
      <w:pPr>
        <w:ind w:firstLine="770"/>
        <w:spacing w:after="0" w:line="258" w:lineRule="auto"/>
        <w:rPr>
          <w:sz w:val="20"/>
          <w:szCs w:val="20"/>
          <w:color w:val="auto"/>
        </w:rPr>
      </w:pPr>
      <w:r>
        <w:rPr>
          <w:rFonts w:ascii="Times New Roman" w:cs="Times New Roman" w:eastAsia="Times New Roman" w:hAnsi="Times New Roman"/>
          <w:sz w:val="18"/>
          <w:szCs w:val="18"/>
          <w:color w:val="auto"/>
        </w:rPr>
        <w:t>Vested benefits under The Retirement Plan are generally payable in the form of a single life annuity.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ten years of service, the reduction is 60%; at age 58, the reduction is 26%. However, if the employee’s age plus years of service at retirement is at least 90, then there is no reduction for early payment.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Newsweek Schedule</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 portion of Mr. Rosen’s and Ms. McDaniel’s pension benefit was earned under the Newsweek Schedule. Vested benefits payable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include the following, subject to the limitations on tax-qualified plans mentioned above:</w:t>
      </w:r>
    </w:p>
    <w:p>
      <w:pPr>
        <w:spacing w:after="0" w:line="45" w:lineRule="exact"/>
        <w:rPr>
          <w:sz w:val="20"/>
          <w:szCs w:val="20"/>
          <w:color w:val="auto"/>
        </w:rPr>
      </w:pPr>
    </w:p>
    <w:p>
      <w:pPr>
        <w:ind w:left="1300" w:right="100" w:hanging="158"/>
        <w:spacing w:after="0" w:line="313"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pension (payable one-twelfth each month) equal to 1.1% for Ms. McDaniel and 1.0% for Mr. Rosen of the highest average compensation multiplied by years of credited service with Newsweek after 1982 (with a slightly different formula for service before 1983).</w:t>
      </w:r>
    </w:p>
    <w:p>
      <w:pPr>
        <w:spacing w:after="0" w:line="3" w:lineRule="exact"/>
        <w:rPr>
          <w:rFonts w:ascii="Times New Roman" w:cs="Times New Roman" w:eastAsia="Times New Roman" w:hAnsi="Times New Roman"/>
          <w:sz w:val="17"/>
          <w:szCs w:val="17"/>
          <w:color w:val="auto"/>
        </w:rPr>
      </w:pPr>
    </w:p>
    <w:p>
      <w:pPr>
        <w:ind w:left="1360" w:hanging="218"/>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$150, multiplied by years of credited service (up to 30 years).</w:t>
      </w:r>
    </w:p>
    <w:p>
      <w:pPr>
        <w:spacing w:after="0" w:line="239" w:lineRule="exact"/>
        <w:rPr>
          <w:sz w:val="20"/>
          <w:szCs w:val="20"/>
          <w:color w:val="auto"/>
        </w:rPr>
      </w:pPr>
    </w:p>
    <w:p>
      <w:pPr>
        <w:ind w:right="80" w:firstLine="770"/>
        <w:spacing w:after="0" w:line="282" w:lineRule="auto"/>
        <w:rPr>
          <w:sz w:val="20"/>
          <w:szCs w:val="20"/>
          <w:color w:val="auto"/>
        </w:rPr>
      </w:pPr>
      <w:r>
        <w:rPr>
          <w:rFonts w:ascii="Times New Roman" w:cs="Times New Roman" w:eastAsia="Times New Roman" w:hAnsi="Times New Roman"/>
          <w:sz w:val="18"/>
          <w:szCs w:val="18"/>
          <w:color w:val="auto"/>
        </w:rPr>
        <w:t>The Newsweek Schedule permits early retirement with full benefits at various combinations of age and service. Ms. McDaniel is presently entitled to an unreduced early retirement benefit. Mr. Rosen will be eligible for an unreduced early retirement benefit at age 60.</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76"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Kaplan Schedule</w:t>
      </w:r>
    </w:p>
    <w:p>
      <w:pPr>
        <w:spacing w:after="0" w:line="229" w:lineRule="exact"/>
        <w:rPr>
          <w:sz w:val="20"/>
          <w:szCs w:val="20"/>
          <w:color w:val="auto"/>
        </w:rPr>
      </w:pPr>
    </w:p>
    <w:p>
      <w:pPr>
        <w:ind w:right="320" w:firstLine="770"/>
        <w:spacing w:after="0" w:line="274" w:lineRule="auto"/>
        <w:rPr>
          <w:sz w:val="20"/>
          <w:szCs w:val="20"/>
          <w:color w:val="auto"/>
        </w:rPr>
      </w:pPr>
      <w:r>
        <w:rPr>
          <w:rFonts w:ascii="Times New Roman" w:cs="Times New Roman" w:eastAsia="Times New Roman" w:hAnsi="Times New Roman"/>
          <w:sz w:val="17"/>
          <w:szCs w:val="17"/>
          <w:color w:val="auto"/>
        </w:rPr>
        <w:t>A portion of Mr. Jones’ pension benefit was earned under the Kaplan Schedule. A portion of Mr. Rosen’s pension benefit is earned under the Kaplan Schedule. Under both Schedules, each employee has an account (expressed as a lump-sum amount, rather than as an annuity) that is credited with quarterly pay-based credits and interest credits. Pay-based credits vary from 2.25% of salary to 3.75% of salary for Mr. Jones and from 2.75% of salary to 3.75% of salary for Mr. Rosen,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SRA and CBRP</w:t>
      </w:r>
    </w:p>
    <w:p>
      <w:pPr>
        <w:spacing w:after="0" w:line="229" w:lineRule="exact"/>
        <w:rPr>
          <w:sz w:val="20"/>
          <w:szCs w:val="20"/>
          <w:color w:val="auto"/>
        </w:rPr>
      </w:pPr>
    </w:p>
    <w:p>
      <w:pPr>
        <w:ind w:right="60" w:firstLine="770"/>
        <w:spacing w:after="0" w:line="256" w:lineRule="auto"/>
        <w:rPr>
          <w:sz w:val="20"/>
          <w:szCs w:val="20"/>
          <w:color w:val="auto"/>
        </w:rPr>
      </w:pPr>
      <w:r>
        <w:rPr>
          <w:rFonts w:ascii="Times New Roman" w:cs="Times New Roman" w:eastAsia="Times New Roman" w:hAnsi="Times New Roman"/>
          <w:sz w:val="18"/>
          <w:szCs w:val="18"/>
          <w:color w:val="auto"/>
        </w:rPr>
        <w:t>A portion of Mr. Graham’s, Mr. Jones’s, Mr. Rosen’s, and Ms. McDaniel’s pension benefit was earned under the SRA and CBRP Schedules. Under these Schedules, each employee has an account (expressed as a lump sum amount, rather than as an annuity) that is credited with quarterly pay-based credits and interest credits. Pay-based credits vary from 4.62% to 7.35% for Mr. Graham, Mr. Jones and Ms. McDaniel and 2.20% to 3.50% for Mr. Rosen,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 sum payment. Vested benefits are payable upon termination of employment at any 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SERP Benefits</w:t>
      </w:r>
    </w:p>
    <w:p>
      <w:pPr>
        <w:spacing w:after="0" w:line="229" w:lineRule="exact"/>
        <w:rPr>
          <w:sz w:val="20"/>
          <w:szCs w:val="20"/>
          <w:color w:val="auto"/>
        </w:rPr>
      </w:pPr>
    </w:p>
    <w:p>
      <w:pPr>
        <w:ind w:right="80" w:firstLine="770"/>
        <w:spacing w:after="0" w:line="258" w:lineRule="auto"/>
        <w:rPr>
          <w:sz w:val="20"/>
          <w:szCs w:val="20"/>
          <w:color w:val="auto"/>
        </w:rPr>
      </w:pPr>
      <w:r>
        <w:rPr>
          <w:rFonts w:ascii="Times New Roman" w:cs="Times New Roman" w:eastAsia="Times New Roman" w:hAnsi="Times New Roman"/>
          <w:sz w:val="18"/>
          <w:szCs w:val="18"/>
          <w:color w:val="auto"/>
        </w:rPr>
        <w:t>As explained above, the SERP provides benefits to certain eligible named executive officers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Pension Benefits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described above, each of Messrs. Jones and Rosen and Ms. McDaniel is entitled to enhanced retirement benefits in connection with, for Messrs. Jones and Rosen, the terms of his respective employment or letter agreement, and for Ms. McDaniel, her acceptance of the VRIP package offered by the Company in 2014. For additional information regarding the terms of these benefits, see “Compensation Discussion and Analysis: Employment Agreements and Severance Packages” and “Compensation Discussion and Analysis: Retirement Benefits.”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2200" w:type="dxa"/>
            <w:vAlign w:val="bottom"/>
            <w:tcBorders>
              <w:top w:val="single" w:sz="8" w:color="auto"/>
              <w:left w:val="single" w:sz="8" w:color="auto"/>
              <w:right w:val="single" w:sz="8" w:color="auto"/>
            </w:tcBorders>
          </w:tcPr>
          <w:p>
            <w:pPr>
              <w:spacing w:after="0"/>
              <w:rPr>
                <w:sz w:val="14"/>
                <w:szCs w:val="14"/>
                <w:color w:val="auto"/>
              </w:rPr>
            </w:pPr>
          </w:p>
        </w:tc>
        <w:tc>
          <w:tcPr>
            <w:tcW w:w="560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1140" w:type="dxa"/>
            <w:vAlign w:val="bottom"/>
            <w:tcBorders>
              <w:top w:val="single" w:sz="8" w:color="auto"/>
              <w:right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During</w:t>
            </w: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gridSpan w:val="7"/>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Borders>
              <w:left w:val="single" w:sz="8" w:color="auto"/>
              <w:right w:val="single" w:sz="8" w:color="auto"/>
            </w:tcBorders>
            <w:vMerge w:val="continue"/>
          </w:tcPr>
          <w:p>
            <w:pPr>
              <w:spacing w:after="0"/>
              <w:rPr>
                <w:sz w:val="12"/>
                <w:szCs w:val="12"/>
                <w:color w:val="auto"/>
              </w:rPr>
            </w:pPr>
          </w:p>
        </w:tc>
        <w:tc>
          <w:tcPr>
            <w:tcW w:w="5600" w:type="dxa"/>
            <w:vAlign w:val="bottom"/>
            <w:tcBorders>
              <w:right w:val="single" w:sz="8" w:color="auto"/>
            </w:tcBorders>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Plan Name (b)</w:t>
            </w: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Credited Service</w:t>
            </w:r>
          </w:p>
        </w:tc>
        <w:tc>
          <w:tcPr>
            <w:tcW w:w="240" w:type="dxa"/>
            <w:vAlign w:val="bottom"/>
          </w:tcPr>
          <w:p>
            <w:pPr>
              <w:spacing w:after="0"/>
              <w:rPr>
                <w:sz w:val="12"/>
                <w:szCs w:val="12"/>
                <w:color w:val="auto"/>
              </w:rPr>
            </w:pPr>
          </w:p>
        </w:tc>
        <w:tc>
          <w:tcPr>
            <w:tcW w:w="900" w:type="dxa"/>
            <w:vAlign w:val="bottom"/>
            <w:tcBorders>
              <w:right w:val="single" w:sz="8" w:color="auto"/>
            </w:tcBorders>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Benefit ($)</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FY ($)</w:t>
            </w:r>
          </w:p>
        </w:tc>
        <w:tc>
          <w:tcPr>
            <w:tcW w:w="0" w:type="dxa"/>
            <w:vAlign w:val="bottom"/>
          </w:tcPr>
          <w:p>
            <w:pPr>
              <w:spacing w:after="0"/>
              <w:rPr>
                <w:sz w:val="1"/>
                <w:szCs w:val="1"/>
                <w:color w:val="auto"/>
              </w:rPr>
            </w:pPr>
          </w:p>
        </w:tc>
      </w:tr>
      <w:tr>
        <w:trPr>
          <w:trHeight w:val="195"/>
        </w:trPr>
        <w:tc>
          <w:tcPr>
            <w:tcW w:w="22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(a)</w:t>
            </w:r>
          </w:p>
        </w:tc>
        <w:tc>
          <w:tcPr>
            <w:tcW w:w="5600" w:type="dxa"/>
            <w:vAlign w:val="bottom"/>
            <w:tcBorders>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8"/>
                <w:szCs w:val="8"/>
                <w:b w:val="1"/>
                <w:bCs w:val="1"/>
                <w:color w:val="auto"/>
              </w:rPr>
              <w:t>1</w:t>
            </w: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8"/>
                <w:szCs w:val="8"/>
                <w:b w:val="1"/>
                <w:bCs w:val="1"/>
                <w:color w:val="auto"/>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91"/>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Donald E. Graham</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840" w:type="dxa"/>
            <w:vAlign w:val="bottom"/>
            <w:gridSpan w:val="5"/>
          </w:tcPr>
          <w:p>
            <w:pPr>
              <w:jc w:val="center"/>
              <w:ind w:left="188"/>
              <w:spacing w:after="0"/>
              <w:rPr>
                <w:sz w:val="20"/>
                <w:szCs w:val="20"/>
                <w:color w:val="auto"/>
              </w:rPr>
            </w:pPr>
            <w:r>
              <w:rPr>
                <w:rFonts w:ascii="Times New Roman" w:cs="Times New Roman" w:eastAsia="Times New Roman" w:hAnsi="Times New Roman"/>
                <w:sz w:val="14"/>
                <w:szCs w:val="14"/>
                <w:color w:val="auto"/>
              </w:rPr>
              <w:t>2,246,306</w:t>
            </w:r>
          </w:p>
        </w:tc>
        <w:tc>
          <w:tcPr>
            <w:tcW w:w="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right w:val="single" w:sz="8" w:color="auto"/>
            </w:tcBorders>
          </w:tcPr>
          <w:p>
            <w:pPr>
              <w:spacing w:after="0"/>
              <w:rPr>
                <w:sz w:val="14"/>
                <w:szCs w:val="14"/>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gridSpan w:val="2"/>
          </w:tcPr>
          <w:p>
            <w:pPr>
              <w:spacing w:after="0"/>
              <w:rPr>
                <w:sz w:val="14"/>
                <w:szCs w:val="1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1,366,168</w:t>
            </w:r>
          </w:p>
        </w:tc>
        <w:tc>
          <w:tcPr>
            <w:tcW w:w="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840" w:type="dxa"/>
            <w:vAlign w:val="bottom"/>
            <w:tcBorders>
              <w:bottom w:val="single" w:sz="8" w:color="auto"/>
            </w:tcBorders>
            <w:gridSpan w:val="5"/>
          </w:tcPr>
          <w:p>
            <w:pPr>
              <w:jc w:val="center"/>
              <w:ind w:left="188"/>
              <w:spacing w:after="0"/>
              <w:rPr>
                <w:sz w:val="20"/>
                <w:szCs w:val="20"/>
                <w:color w:val="auto"/>
              </w:rPr>
            </w:pPr>
            <w:r>
              <w:rPr>
                <w:rFonts w:ascii="Times New Roman" w:cs="Times New Roman" w:eastAsia="Times New Roman" w:hAnsi="Times New Roman"/>
                <w:sz w:val="14"/>
                <w:szCs w:val="14"/>
                <w:color w:val="auto"/>
              </w:rPr>
              <w:t>3,612,474</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1"/>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Hal S. Jones</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840" w:type="dxa"/>
            <w:vAlign w:val="bottom"/>
            <w:gridSpan w:val="5"/>
          </w:tcPr>
          <w:p>
            <w:pPr>
              <w:jc w:val="center"/>
              <w:ind w:left="188"/>
              <w:spacing w:after="0"/>
              <w:rPr>
                <w:sz w:val="20"/>
                <w:szCs w:val="20"/>
                <w:color w:val="auto"/>
              </w:rPr>
            </w:pPr>
            <w:r>
              <w:rPr>
                <w:rFonts w:ascii="Times New Roman" w:cs="Times New Roman" w:eastAsia="Times New Roman" w:hAnsi="Times New Roman"/>
                <w:sz w:val="14"/>
                <w:szCs w:val="14"/>
                <w:color w:val="auto"/>
              </w:rPr>
              <w:t>1,179,109</w:t>
            </w:r>
          </w:p>
        </w:tc>
        <w:tc>
          <w:tcPr>
            <w:tcW w:w="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840" w:type="dxa"/>
            <w:vAlign w:val="bottom"/>
            <w:gridSpan w:val="5"/>
          </w:tcPr>
          <w:p>
            <w:pPr>
              <w:jc w:val="center"/>
              <w:ind w:left="188"/>
              <w:spacing w:after="0"/>
              <w:rPr>
                <w:sz w:val="20"/>
                <w:szCs w:val="20"/>
                <w:color w:val="auto"/>
              </w:rPr>
            </w:pPr>
            <w:r>
              <w:rPr>
                <w:rFonts w:ascii="Times New Roman" w:cs="Times New Roman" w:eastAsia="Times New Roman" w:hAnsi="Times New Roman"/>
                <w:sz w:val="14"/>
                <w:szCs w:val="14"/>
                <w:color w:val="auto"/>
              </w:rPr>
              <w:t>5,749,671</w:t>
            </w:r>
          </w:p>
        </w:tc>
        <w:tc>
          <w:tcPr>
            <w:tcW w:w="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0"/>
        </w:trPr>
        <w:tc>
          <w:tcPr>
            <w:tcW w:w="220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Jones Individual Pension Arrangement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gridSpan w:val="3"/>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682,411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840" w:type="dxa"/>
            <w:vAlign w:val="bottom"/>
            <w:tcBorders>
              <w:bottom w:val="single" w:sz="8" w:color="auto"/>
            </w:tcBorders>
            <w:gridSpan w:val="5"/>
          </w:tcPr>
          <w:p>
            <w:pPr>
              <w:jc w:val="center"/>
              <w:ind w:left="208"/>
              <w:spacing w:after="0"/>
              <w:rPr>
                <w:sz w:val="20"/>
                <w:szCs w:val="20"/>
                <w:color w:val="auto"/>
              </w:rPr>
            </w:pPr>
            <w:r>
              <w:rPr>
                <w:rFonts w:ascii="Times New Roman" w:cs="Times New Roman" w:eastAsia="Times New Roman" w:hAnsi="Times New Roman"/>
                <w:sz w:val="14"/>
                <w:szCs w:val="14"/>
                <w:color w:val="auto"/>
                <w:w w:val="99"/>
              </w:rPr>
              <w:t>7,611,191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1"/>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L. McDaniel</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gridSpan w:val="5"/>
          </w:tcPr>
          <w:p>
            <w:pPr>
              <w:jc w:val="center"/>
              <w:ind w:left="188"/>
              <w:spacing w:after="0"/>
              <w:rPr>
                <w:sz w:val="20"/>
                <w:szCs w:val="20"/>
                <w:color w:val="auto"/>
              </w:rPr>
            </w:pPr>
            <w:r>
              <w:rPr>
                <w:rFonts w:ascii="Times New Roman" w:cs="Times New Roman" w:eastAsia="Times New Roman" w:hAnsi="Times New Roman"/>
                <w:sz w:val="14"/>
                <w:szCs w:val="14"/>
                <w:color w:val="auto"/>
              </w:rPr>
              <w:t>2,586,287</w:t>
            </w:r>
          </w:p>
        </w:tc>
        <w:tc>
          <w:tcPr>
            <w:tcW w:w="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right w:val="single" w:sz="8" w:color="auto"/>
            </w:tcBorders>
          </w:tcPr>
          <w:p>
            <w:pPr>
              <w:spacing w:after="0"/>
              <w:rPr>
                <w:sz w:val="14"/>
                <w:szCs w:val="14"/>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gridSpan w:val="2"/>
          </w:tcPr>
          <w:p>
            <w:pPr>
              <w:spacing w:after="0"/>
              <w:rPr>
                <w:sz w:val="14"/>
                <w:szCs w:val="1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6,865,884</w:t>
            </w:r>
          </w:p>
        </w:tc>
        <w:tc>
          <w:tcPr>
            <w:tcW w:w="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tcBorders>
              <w:bottom w:val="single" w:sz="8" w:color="auto"/>
            </w:tcBorders>
            <w:gridSpan w:val="5"/>
          </w:tcPr>
          <w:p>
            <w:pPr>
              <w:jc w:val="center"/>
              <w:ind w:left="188"/>
              <w:spacing w:after="0"/>
              <w:rPr>
                <w:sz w:val="20"/>
                <w:szCs w:val="20"/>
                <w:color w:val="auto"/>
              </w:rPr>
            </w:pPr>
            <w:r>
              <w:rPr>
                <w:rFonts w:ascii="Times New Roman" w:cs="Times New Roman" w:eastAsia="Times New Roman" w:hAnsi="Times New Roman"/>
                <w:sz w:val="14"/>
                <w:szCs w:val="14"/>
                <w:color w:val="auto"/>
              </w:rPr>
              <w:t>9,452,171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1"/>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Andrew S. Rosen</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840" w:type="dxa"/>
            <w:vAlign w:val="bottom"/>
            <w:gridSpan w:val="5"/>
          </w:tcPr>
          <w:p>
            <w:pPr>
              <w:jc w:val="center"/>
              <w:ind w:left="208"/>
              <w:spacing w:after="0"/>
              <w:rPr>
                <w:sz w:val="20"/>
                <w:szCs w:val="20"/>
                <w:color w:val="auto"/>
              </w:rPr>
            </w:pPr>
            <w:r>
              <w:rPr>
                <w:rFonts w:ascii="Times New Roman" w:cs="Times New Roman" w:eastAsia="Times New Roman" w:hAnsi="Times New Roman"/>
                <w:sz w:val="14"/>
                <w:szCs w:val="14"/>
                <w:color w:val="auto"/>
              </w:rPr>
              <w:t>363,597</w:t>
            </w:r>
          </w:p>
        </w:tc>
        <w:tc>
          <w:tcPr>
            <w:tcW w:w="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0"/>
        </w:trPr>
        <w:tc>
          <w:tcPr>
            <w:tcW w:w="220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880" w:type="dxa"/>
            <w:vAlign w:val="bottom"/>
            <w:gridSpan w:val="6"/>
          </w:tcPr>
          <w:p>
            <w:pPr>
              <w:jc w:val="center"/>
              <w:ind w:left="168"/>
              <w:spacing w:after="0"/>
              <w:rPr>
                <w:sz w:val="20"/>
                <w:szCs w:val="20"/>
                <w:color w:val="auto"/>
              </w:rPr>
            </w:pPr>
            <w:r>
              <w:rPr>
                <w:rFonts w:ascii="Times New Roman" w:cs="Times New Roman" w:eastAsia="Times New Roman" w:hAnsi="Times New Roman"/>
                <w:sz w:val="14"/>
                <w:szCs w:val="14"/>
                <w:color w:val="auto"/>
              </w:rPr>
              <w:t>19,274,103</w:t>
            </w:r>
          </w:p>
        </w:tc>
        <w:tc>
          <w:tcPr>
            <w:tcW w:w="2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2200" w:type="dxa"/>
            <w:vAlign w:val="bottom"/>
            <w:tcBorders>
              <w:left w:val="single" w:sz="8" w:color="auto"/>
              <w:right w:val="single" w:sz="8" w:color="auto"/>
            </w:tcBorders>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880" w:type="dxa"/>
            <w:vAlign w:val="bottom"/>
            <w:tcBorders>
              <w:bottom w:val="single" w:sz="8" w:color="auto"/>
            </w:tcBorders>
            <w:gridSpan w:val="6"/>
          </w:tcPr>
          <w:p>
            <w:pPr>
              <w:jc w:val="center"/>
              <w:ind w:left="168"/>
              <w:spacing w:after="0"/>
              <w:rPr>
                <w:sz w:val="20"/>
                <w:szCs w:val="20"/>
                <w:color w:val="auto"/>
              </w:rPr>
            </w:pPr>
            <w:r>
              <w:rPr>
                <w:rFonts w:ascii="Times New Roman" w:cs="Times New Roman" w:eastAsia="Times New Roman" w:hAnsi="Times New Roman"/>
                <w:sz w:val="14"/>
                <w:szCs w:val="14"/>
                <w:color w:val="auto"/>
              </w:rPr>
              <w:t>19,637,700</w:t>
            </w:r>
          </w:p>
        </w:tc>
        <w:tc>
          <w:tcPr>
            <w:tcW w:w="2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1"/>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Timothy J. O’Shaughnessy</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right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right w:val="single" w:sz="8" w:color="auto"/>
            </w:tcBorders>
          </w:tcPr>
          <w:p>
            <w:pPr>
              <w:spacing w:after="0"/>
              <w:rPr>
                <w:sz w:val="23"/>
                <w:szCs w:val="23"/>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Borders>
              <w:right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5"/>
        </w:trPr>
        <w:tc>
          <w:tcPr>
            <w:tcW w:w="2200" w:type="dxa"/>
            <w:vAlign w:val="bottom"/>
            <w:tcBorders>
              <w:left w:val="single" w:sz="8" w:color="auto"/>
              <w:bottom w:val="single" w:sz="8" w:color="auto"/>
              <w:right w:val="single" w:sz="8" w:color="auto"/>
            </w:tcBorders>
          </w:tcPr>
          <w:p>
            <w:pPr>
              <w:spacing w:after="0"/>
              <w:rPr>
                <w:sz w:val="23"/>
                <w:szCs w:val="23"/>
                <w:color w:val="auto"/>
              </w:rPr>
            </w:pPr>
          </w:p>
        </w:tc>
        <w:tc>
          <w:tcPr>
            <w:tcW w:w="5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20" w:type="dxa"/>
            <w:vAlign w:val="bottom"/>
            <w:tcBorders>
              <w:bottom w:val="single" w:sz="8" w:color="auto"/>
              <w:right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40"/>
          </w:cols>
          <w:pgMar w:left="240" w:top="576" w:right="219" w:bottom="1440" w:gutter="0" w:footer="0" w:header="0"/>
        </w:sectPr>
      </w:pPr>
    </w:p>
    <w:bookmarkStart w:id="36" w:name="page37"/>
    <w:bookmarkEnd w:id="36"/>
    <w:p>
      <w:pPr>
        <w:ind w:left="252" w:right="560" w:hanging="252"/>
        <w:spacing w:after="0" w:line="241" w:lineRule="auto"/>
        <w:tabs>
          <w:tab w:leader="none" w:pos="2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in this column represent the number of years of credited service earned by the named executive officer as of December 31, 2014. Ms. McDaniel has prior service with Newsweek. Mr. Jones has prior service with Kaplan. Mr. Rosen has prior service with Kaplan and Newsweek. All are included in this column.</w:t>
      </w:r>
    </w:p>
    <w:p>
      <w:pPr>
        <w:ind w:left="252" w:hanging="252"/>
        <w:spacing w:after="0" w:line="212" w:lineRule="auto"/>
        <w:tabs>
          <w:tab w:leader="none" w:pos="2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actuarial present value of the named executive officer’s accumulated benefits under the plan as of December 31, 2014. The benefits valued for Mr. Graham include the Graham Schedule, SRA and SERP amounts. The benefits valued for Ms. McDaniel include the Graham Schedule, Newsweek Schedule, SRA and SERP amounts. The benefits valued for Mr. Jones include the Graham Schedule, Kaplan Schedule, SRA and SERP amounts and the Jones Individual Pension Arrangement. The benefits valued for Mr. Rosen include the Graham Schedule, Newsweek Schedule, Kaplan Schedule, SRA and SERP amounts. Although the Rosen Individual Pension Arrangement permits Mr. Rosen to retire at any time following entry into such arrangement and receive an unreduced benefit commencing at age 58 (when he would otherwise become eligible for an unreduced benefit under the SERP and the Company’s qualified retirement plan), the value of Mr. Rosen’s accumulated SERP benefit in this column is already based on the assumption that he remains employed until age 58. Mr. O’Shaughnessy is not yet eligible to participate in the Company’s qualified retirement benefit plans.</w:t>
      </w:r>
    </w:p>
    <w:p>
      <w:pPr>
        <w:spacing w:after="0" w:line="3" w:lineRule="exact"/>
        <w:rPr>
          <w:rFonts w:ascii="Times New Roman" w:cs="Times New Roman" w:eastAsia="Times New Roman" w:hAnsi="Times New Roman"/>
          <w:sz w:val="14"/>
          <w:szCs w:val="14"/>
          <w:color w:val="auto"/>
        </w:rPr>
      </w:pPr>
    </w:p>
    <w:p>
      <w:pPr>
        <w:ind w:left="252" w:right="20"/>
        <w:spacing w:after="0" w:line="22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assumptions used in determining the present value of accumulated benefits are the RP-2014 Fully Generational Mortality Table for males and females and a 4.00% discount rate. The benefits valued reflect service and earnings through December 31, 2014, and are valued as payable on the earliest date at which the SERP benefits are unreduced. There can be no assurance that the amounts listed in this column will ever be fully paid out to the applicable named executive officer.</w:t>
      </w:r>
    </w:p>
    <w:p>
      <w:pPr>
        <w:spacing w:after="0" w:line="200" w:lineRule="exact"/>
        <w:rPr>
          <w:sz w:val="20"/>
          <w:szCs w:val="20"/>
          <w:color w:val="auto"/>
        </w:rPr>
      </w:pPr>
    </w:p>
    <w:p>
      <w:pPr>
        <w:spacing w:after="0" w:line="2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72"/>
          </w:cols>
          <w:pgMar w:left="248" w:top="616" w:right="27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right="60" w:firstLine="770"/>
        <w:spacing w:after="0" w:line="253" w:lineRule="auto"/>
        <w:rPr>
          <w:sz w:val="20"/>
          <w:szCs w:val="20"/>
          <w:color w:val="auto"/>
        </w:rPr>
      </w:pPr>
      <w:r>
        <w:rPr>
          <w:rFonts w:ascii="Times New Roman" w:cs="Times New Roman" w:eastAsia="Times New Roman" w:hAnsi="Times New Roman"/>
          <w:sz w:val="18"/>
          <w:szCs w:val="18"/>
          <w:color w:val="auto"/>
        </w:rPr>
        <w:t>The following table includes information related to the SERP and the Deferred Compensation Plan. Among the benefits provided under the SERP is a supplemental defined contribution plan benefit wherein the Company provides a matching contribution percentage up to 4% of the participating executive’s base salary in excess of the annual covered compensation limit applied to qualified plan benefits. The executive is required to make contributions to the SERP in order to receive the applicable matching Company credit each year. The Deferred Compensation Plan provides an opportunity for participants to voluntarily defer the receipt of all or a portion of annual bonus and/or certain long-term cash awards made under the 2012 ICP. Elections to defer must be filed in advance of earning such awards.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 elections made on or after January 1, 2014, amounts deferred under the Deferred Compensation Plan are payable on the first business day of the seventh month following the date of separation of service regardless of the participant’s elections. Each of Messrs. Jones and Rosen received individual deferred compensation arrangements pursuant to his respective letter agreement with the Company, as described above under “Compensation Discussion and Analysis - Employment Agreements and Severance Packages.”</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980" w:type="dxa"/>
            <w:vAlign w:val="bottom"/>
            <w:tcBorders>
              <w:top w:val="single" w:sz="8" w:color="auto"/>
              <w:left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Contributions in Last</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 Contributions in</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Earnings in</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Withdrawals/</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 at</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2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FY ($)</w:t>
            </w:r>
          </w:p>
        </w:tc>
        <w:tc>
          <w:tcPr>
            <w:tcW w:w="2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FY ($)</w:t>
            </w:r>
          </w:p>
        </w:tc>
        <w:tc>
          <w:tcPr>
            <w:tcW w:w="1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FY ($)</w:t>
            </w:r>
          </w:p>
        </w:tc>
        <w:tc>
          <w:tcPr>
            <w:tcW w:w="2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 ($)</w:t>
            </w: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FYE ($)</w:t>
            </w: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8"/>
                <w:szCs w:val="8"/>
                <w:b w:val="1"/>
                <w:bCs w:val="1"/>
                <w:color w:val="auto"/>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8"/>
                <w:szCs w:val="8"/>
                <w:b w:val="1"/>
                <w:bCs w:val="1"/>
                <w:color w:val="auto"/>
              </w:rPr>
              <w:t>2</w:t>
            </w:r>
          </w:p>
        </w:tc>
        <w:tc>
          <w:tcPr>
            <w:tcW w:w="170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8"/>
                <w:szCs w:val="8"/>
                <w:b w:val="1"/>
                <w:bCs w:val="1"/>
                <w:color w:val="auto"/>
              </w:rPr>
              <w:t>3</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8"/>
                <w:szCs w:val="8"/>
                <w:b w:val="1"/>
                <w:bCs w:val="1"/>
                <w:color w:val="auto"/>
              </w:rPr>
              <w:t>4</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Donald E. Graham</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Hal S. Jones</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19,800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1,425,740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216,118</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3,899,233</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Timothy J. O'Shaughnessy</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Andrew S. Rosen</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40,950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2,040,950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302,444</w:t>
            </w:r>
          </w:p>
        </w:tc>
        <w:tc>
          <w:tcPr>
            <w:tcW w:w="204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5,754,716</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L. McDaniel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15,280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19,864</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118,560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(96,670)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1,713,101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29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contributions by the named executive officer to the SERP and to the Deferred Compensation Plan as follows: Mr. Jones, $19,800 to the SERP; Mr. Rosen</w:t>
      </w:r>
    </w:p>
    <w:p>
      <w:pPr>
        <w:ind w:left="340" w:right="120"/>
        <w:spacing w:after="0" w:line="22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$40,950 to the SERP; Ms. McDaniel, $15,280 to the SERP. Executive contributions to the SERP and Deferred Compensation Plan are included in the Salary, Bonus and Non-Equity Incentive Plan Compensation columns of the Summary Compensation Table.</w:t>
      </w:r>
    </w:p>
    <w:p>
      <w:pPr>
        <w:ind w:left="340" w:right="400" w:hanging="332"/>
        <w:spacing w:after="0" w:line="221" w:lineRule="auto"/>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Company contributions to the SERP, the Jones Individual Deferred Compensation Arrangement or the Rosen Individual Compensation Arrangement as follows: Mr. Jones, $25,740 to the SERP and $1,400,000 to the Jones Individual Deferred Compensation Arrangement; Mr. Rosen, $40,950 to the SERP and $2,000,000 to the Rosen Individual Deferred Compensation Arrangement; Ms. McDaniel, $19,864 to the SERP. Company matching credits to the SERP, amounts pursuant to the Jones Individual Compensation Arrangement or the Rosen Individual Compensation Arrangement are included in column (i) of the Summary Compensation Table for fiscal year 2014.</w:t>
      </w:r>
    </w:p>
    <w:p>
      <w:pPr>
        <w:spacing w:after="0" w:line="1" w:lineRule="exact"/>
        <w:rPr>
          <w:rFonts w:ascii="Times New Roman" w:cs="Times New Roman" w:eastAsia="Times New Roman" w:hAnsi="Times New Roman"/>
          <w:sz w:val="14"/>
          <w:szCs w:val="14"/>
          <w:color w:val="auto"/>
        </w:rPr>
      </w:pPr>
    </w:p>
    <w:p>
      <w:pPr>
        <w:ind w:left="340" w:right="100" w:hanging="332"/>
        <w:spacing w:after="0" w:line="221" w:lineRule="auto"/>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investment gains or losses to the SERP and to the Deferred Compensation Plan, based on the named executive officer’s investment elections as follows: Mr. Jones, $41,210 to the SERP and $174,907 to the Deferred Compensation Plan; Mr. Rosen, $93,031 to the SERP and $209,413 to the Deferred Compensation Plan; Ms. McDaniel, $44,130 to the SERP and $74,430 to the Deferred Compensation Plan. These gains and losses are not included in the Summary Compensation Table; the gains and losses reflect market performance of investment indexes selected by the named executive officer.</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payments from the SERP and Deferred Compensation Plan as follows: Ms. McDaniel, $96,670 from the Deferred Compensation Plan.</w:t>
      </w:r>
    </w:p>
    <w:p>
      <w:pPr>
        <w:spacing w:after="0" w:line="28" w:lineRule="exact"/>
        <w:rPr>
          <w:rFonts w:ascii="Times New Roman" w:cs="Times New Roman" w:eastAsia="Times New Roman" w:hAnsi="Times New Roman"/>
          <w:sz w:val="14"/>
          <w:szCs w:val="14"/>
          <w:color w:val="auto"/>
        </w:rPr>
      </w:pPr>
    </w:p>
    <w:p>
      <w:pPr>
        <w:ind w:left="340" w:right="80" w:hanging="332"/>
        <w:spacing w:after="0" w:line="221" w:lineRule="auto"/>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balances at December 31, 2014, for the SERP and the Deferred Compensation Plan as follows: Mr. Jones, $518,848 in the SERP, $1,980,385 in deferred compensation and $1,400,000 attributable to the Jones Individual Deferred Compensation Arrangement; Mr. Rosen, $1,188,017 in the SERP, $2,566,699 in deferred compensation and $2,000,000 attributable to the Rosen Individual Deferred Compensation Arrangement; Ms. McDaniel, $506,881 in the SERP and $1,206,220 in deferred compensation. The following amounts were reported as compensation to the named executives in the Summary Compensation Table for years beginning 2010 (excluding 2014): Mr. Jones, $160,080; and Ms. McDaniel, $971,080.</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5"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8"/>
          <w:szCs w:val="18"/>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individual arrangements following a termination of their employment is described below, assuming, in accordance with the SEC regulations, all relevant events occurred on December 31, 2014. For purposes of the valuations below, the price of Class B Common Stock (to which all applicable equity awards relate) is assumed to be $863.71, which was the closing price on December 31, 2014.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Graham</w:t>
      </w:r>
    </w:p>
    <w:p>
      <w:pPr>
        <w:spacing w:after="0" w:line="175" w:lineRule="exact"/>
        <w:rPr>
          <w:sz w:val="20"/>
          <w:szCs w:val="20"/>
          <w:color w:val="auto"/>
        </w:rPr>
      </w:pPr>
    </w:p>
    <w:p>
      <w:pPr>
        <w:ind w:right="700" w:firstLine="648"/>
        <w:spacing w:after="0" w:line="251" w:lineRule="auto"/>
        <w:rPr>
          <w:sz w:val="20"/>
          <w:szCs w:val="20"/>
          <w:color w:val="auto"/>
        </w:rPr>
      </w:pPr>
      <w:r>
        <w:rPr>
          <w:rFonts w:ascii="Times New Roman" w:cs="Times New Roman" w:eastAsia="Times New Roman" w:hAnsi="Times New Roman"/>
          <w:sz w:val="18"/>
          <w:szCs w:val="18"/>
          <w:color w:val="auto"/>
        </w:rPr>
        <w:t>Upon a termination of employment, Mr. Graham would be entitled to benefits in accordance with the terms of the pension plans in which he participates, as described above in “Executive Compensation−Pension Benefits”.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Named Executive Officers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40"/>
          </w:cols>
          <w:pgMar w:left="240" w:top="576" w:right="219" w:bottom="1440" w:gutter="0" w:footer="0" w:header="0"/>
        </w:sectPr>
      </w:pPr>
    </w:p>
    <w:bookmarkStart w:id="38" w:name="page39"/>
    <w:bookmarkEnd w:id="38"/>
    <w:p>
      <w:pPr>
        <w:ind w:firstLine="648"/>
        <w:spacing w:after="0" w:line="223" w:lineRule="auto"/>
        <w:rPr>
          <w:sz w:val="20"/>
          <w:szCs w:val="20"/>
          <w:color w:val="auto"/>
        </w:rPr>
      </w:pPr>
      <w:r>
        <w:rPr>
          <w:rFonts w:ascii="Times New Roman" w:cs="Times New Roman" w:eastAsia="Times New Roman" w:hAnsi="Times New Roman"/>
          <w:sz w:val="18"/>
          <w:szCs w:val="18"/>
          <w:color w:val="auto"/>
        </w:rPr>
        <w:t>Upon a termination of employment, each of Messrs. Jones and Rosen and Ms. McDaniel would be entitled to pension and deferred compensation plan benefits in accordance with the terms of the pension and deferred compensation plans and arrangements in which they participate, as described above in “Executive Compensation: Pension Benefits” and “Executive Compensation−Non-Qualified Deferred Compensation”. In addition, in the case of a termination by the Company other than for cause, (i) each of Messrs. O’Shaughnessy and Rosen would be entitled to accelerated vesting of his outstanding stock options and, for Mr. Rosen, his outstanding restricted stock, in accordance with the terms of his employment agreement, as described above in “Compensation Disclosure and Analysis−Employment Agreements and Severance Packages,” resulting in accelerated vesting of: for Mr. Rosen, 11,979 stock options (representing a value of $4,325,976, were such options to be exercised on the date of termination, based on their exercise price of $502.58 per share) and 3,438 shares of restricted stock (representing a value of $2,969,435), and for Mr. O’Shaughnessy, 8,333 stock options (representing a value of $0, based on their exercise price of $1,111.20 per share), and (ii) Mr. Rosen would be entitled to a severance payment of $3,500,000, payable in a lump sum on the 65th day following such termination in accordance with the terms of his employment agreement, as described above in “Executive Compensation: Employment Agreements and Severance Packages,” in each case, subject to the executive’s signing a release of claims in favor of the Company that has become irrevocable.</w:t>
      </w:r>
    </w:p>
    <w:p>
      <w:pPr>
        <w:spacing w:after="0" w:line="191" w:lineRule="exact"/>
        <w:rPr>
          <w:sz w:val="20"/>
          <w:szCs w:val="20"/>
          <w:color w:val="auto"/>
        </w:rPr>
      </w:pPr>
    </w:p>
    <w:p>
      <w:pPr>
        <w:ind w:right="60" w:firstLine="720"/>
        <w:spacing w:after="0" w:line="282" w:lineRule="auto"/>
        <w:rPr>
          <w:sz w:val="20"/>
          <w:szCs w:val="20"/>
          <w:color w:val="auto"/>
        </w:rPr>
      </w:pPr>
      <w:r>
        <w:rPr>
          <w:rFonts w:ascii="Times New Roman" w:cs="Times New Roman" w:eastAsia="Times New Roman" w:hAnsi="Times New Roman"/>
          <w:sz w:val="18"/>
          <w:szCs w:val="18"/>
          <w:color w:val="auto"/>
        </w:rPr>
        <w:t>Each of Messrs. Jones, O’Shaughnessy and Rosen are subject to restrictive covenants that apply following termination for any reason, as described above in “Executive Compensation: Employment Agreements and Severance Packages.”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567" w:right="27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40" w:firstLine="770"/>
        <w:spacing w:after="0" w:line="255" w:lineRule="auto"/>
        <w:rPr>
          <w:sz w:val="20"/>
          <w:szCs w:val="20"/>
          <w:color w:val="auto"/>
        </w:rPr>
      </w:pPr>
      <w:r>
        <w:rPr>
          <w:rFonts w:ascii="Times New Roman" w:cs="Times New Roman" w:eastAsia="Times New Roman" w:hAnsi="Times New Roman"/>
          <w:sz w:val="18"/>
          <w:szCs w:val="18"/>
          <w:color w:val="auto"/>
        </w:rPr>
        <w:t>One of the standing committees of the Board of Directors of the Company is the Audit Committee. Currently, there are three non-employee members of the Board on the Audit Committee: Christopher C. Davis; Thomas S. Gayner, who serves as Chairman of the Audit Committee; and G. Richard Wagoner, Jr.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85" w:lineRule="exact"/>
        <w:rPr>
          <w:sz w:val="20"/>
          <w:szCs w:val="20"/>
          <w:color w:val="auto"/>
        </w:rPr>
      </w:pPr>
    </w:p>
    <w:p>
      <w:pPr>
        <w:ind w:right="120" w:firstLine="770"/>
        <w:spacing w:after="0" w:line="255" w:lineRule="auto"/>
        <w:rPr>
          <w:sz w:val="20"/>
          <w:szCs w:val="20"/>
          <w:color w:val="auto"/>
        </w:rPr>
      </w:pPr>
      <w:r>
        <w:rPr>
          <w:rFonts w:ascii="Times New Roman" w:cs="Times New Roman" w:eastAsia="Times New Roman" w:hAnsi="Times New Roman"/>
          <w:sz w:val="18"/>
          <w:szCs w:val="18"/>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85" w:lineRule="exact"/>
        <w:rPr>
          <w:sz w:val="20"/>
          <w:szCs w:val="20"/>
          <w:color w:val="auto"/>
        </w:rPr>
      </w:pPr>
    </w:p>
    <w:p>
      <w:pPr>
        <w:ind w:right="60" w:firstLine="770"/>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fiscal year 2014 financial statements with the Company’s management. In addition, the Audit Committee has discussed with PricewaterhouseCoopers LLP the matters required to be discussed by PCAOB Auditing Standard No. 16. The Audit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8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Audit Committee also reviewed matters relating to the Company’s internal control over financial reporting.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policy</w:t>
      </w:r>
    </w:p>
    <w:p>
      <w:pPr>
        <w:spacing w:after="0" w:line="227" w:lineRule="exact"/>
        <w:rPr>
          <w:sz w:val="20"/>
          <w:szCs w:val="20"/>
          <w:color w:val="auto"/>
        </w:rPr>
      </w:pPr>
    </w:p>
    <w:p>
      <w:pPr>
        <w:ind w:firstLine="770"/>
        <w:spacing w:after="0" w:line="255" w:lineRule="auto"/>
        <w:rPr>
          <w:sz w:val="20"/>
          <w:szCs w:val="20"/>
          <w:color w:val="auto"/>
        </w:rPr>
      </w:pPr>
      <w:r>
        <w:rPr>
          <w:rFonts w:ascii="Times New Roman" w:cs="Times New Roman" w:eastAsia="Times New Roman" w:hAnsi="Times New Roman"/>
          <w:sz w:val="18"/>
          <w:szCs w:val="18"/>
          <w:color w:val="auto"/>
        </w:rPr>
        <w:t>In 2014,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189" w:lineRule="exact"/>
        <w:rPr>
          <w:sz w:val="20"/>
          <w:szCs w:val="20"/>
          <w:color w:val="auto"/>
        </w:rPr>
      </w:pPr>
    </w:p>
    <w:p>
      <w:pPr>
        <w:ind w:right="220" w:firstLine="770"/>
        <w:spacing w:after="0" w:line="256" w:lineRule="auto"/>
        <w:rPr>
          <w:sz w:val="20"/>
          <w:szCs w:val="20"/>
          <w:color w:val="auto"/>
        </w:rPr>
      </w:pPr>
      <w:r>
        <w:rPr>
          <w:rFonts w:ascii="Times New Roman" w:cs="Times New Roman" w:eastAsia="Times New Roman" w:hAnsi="Times New Roman"/>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88" w:lineRule="exact"/>
        <w:rPr>
          <w:sz w:val="20"/>
          <w:szCs w:val="20"/>
          <w:color w:val="auto"/>
        </w:rPr>
      </w:pPr>
    </w:p>
    <w:p>
      <w:pPr>
        <w:ind w:right="120" w:firstLine="770"/>
        <w:spacing w:after="0" w:line="266" w:lineRule="auto"/>
        <w:rPr>
          <w:sz w:val="20"/>
          <w:szCs w:val="20"/>
          <w:color w:val="auto"/>
        </w:rPr>
      </w:pPr>
      <w:r>
        <w:rPr>
          <w:rFonts w:ascii="Times New Roman" w:cs="Times New Roman" w:eastAsia="Times New Roman" w:hAnsi="Times New Roman"/>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576" w:right="259" w:bottom="1440" w:gutter="0" w:footer="0" w:header="0"/>
        </w:sectPr>
      </w:pPr>
    </w:p>
    <w:bookmarkStart w:id="40" w:name="page41"/>
    <w:bookmarkEnd w:id="40"/>
    <w:p>
      <w:pPr>
        <w:ind w:right="100" w:firstLine="770"/>
        <w:spacing w:after="0" w:line="261" w:lineRule="auto"/>
        <w:rPr>
          <w:sz w:val="20"/>
          <w:szCs w:val="20"/>
          <w:color w:val="auto"/>
        </w:rPr>
      </w:pPr>
      <w:r>
        <w:rPr>
          <w:rFonts w:ascii="Times New Roman" w:cs="Times New Roman" w:eastAsia="Times New Roman" w:hAnsi="Times New Roman"/>
          <w:sz w:val="18"/>
          <w:szCs w:val="18"/>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Code and related regulations.</w:t>
      </w:r>
    </w:p>
    <w:p>
      <w:pPr>
        <w:spacing w:after="0" w:line="180" w:lineRule="exact"/>
        <w:rPr>
          <w:sz w:val="20"/>
          <w:szCs w:val="20"/>
          <w:color w:val="auto"/>
        </w:rPr>
      </w:pPr>
    </w:p>
    <w:p>
      <w:pPr>
        <w:ind w:right="180" w:firstLine="770"/>
        <w:spacing w:after="0" w:line="261" w:lineRule="auto"/>
        <w:rPr>
          <w:sz w:val="20"/>
          <w:szCs w:val="20"/>
          <w:color w:val="auto"/>
        </w:rPr>
      </w:pPr>
      <w:r>
        <w:rPr>
          <w:rFonts w:ascii="Times New Roman" w:cs="Times New Roman" w:eastAsia="Times New Roman" w:hAnsi="Times New Roman"/>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0" w:lineRule="exact"/>
        <w:rPr>
          <w:sz w:val="20"/>
          <w:szCs w:val="20"/>
          <w:color w:val="auto"/>
        </w:rPr>
      </w:pPr>
    </w:p>
    <w:p>
      <w:pPr>
        <w:jc w:val="both"/>
        <w:ind w:firstLine="770"/>
        <w:spacing w:after="0" w:line="266" w:lineRule="auto"/>
        <w:rPr>
          <w:sz w:val="20"/>
          <w:szCs w:val="20"/>
          <w:color w:val="auto"/>
        </w:rPr>
      </w:pPr>
      <w:r>
        <w:rPr>
          <w:rFonts w:ascii="Times New Roman" w:cs="Times New Roman" w:eastAsia="Times New Roman" w:hAnsi="Times New Roman"/>
          <w:sz w:val="18"/>
          <w:szCs w:val="18"/>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76" w:lineRule="exact"/>
        <w:rPr>
          <w:sz w:val="20"/>
          <w:szCs w:val="20"/>
          <w:color w:val="auto"/>
        </w:rPr>
      </w:pPr>
    </w:p>
    <w:p>
      <w:pPr>
        <w:ind w:right="180" w:firstLine="770"/>
        <w:spacing w:after="0" w:line="266" w:lineRule="auto"/>
        <w:rPr>
          <w:sz w:val="20"/>
          <w:szCs w:val="20"/>
          <w:color w:val="auto"/>
        </w:rPr>
      </w:pPr>
      <w:r>
        <w:rPr>
          <w:rFonts w:ascii="Times New Roman" w:cs="Times New Roman" w:eastAsia="Times New Roman" w:hAnsi="Times New Roman"/>
          <w:sz w:val="18"/>
          <w:szCs w:val="18"/>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ind w:right="40" w:firstLine="770"/>
        <w:spacing w:after="0" w:line="282" w:lineRule="auto"/>
        <w:rPr>
          <w:sz w:val="20"/>
          <w:szCs w:val="20"/>
          <w:color w:val="auto"/>
        </w:rPr>
      </w:pPr>
      <w:r>
        <w:rPr>
          <w:rFonts w:ascii="Times New Roman" w:cs="Times New Roman" w:eastAsia="Times New Roman" w:hAnsi="Times New Roman"/>
          <w:sz w:val="18"/>
          <w:szCs w:val="18"/>
          <w:color w:val="auto"/>
        </w:rPr>
        <w:t>PricewaterhouseCoopers LLP’s fees for the annual audit, statutory audits and reviews of financial statements included in the Company’s quarterly filings, including reimbursable expenses, were $6,079,000 in 2014 and $4,476,100 in 2013, which fees were reviewed and approved by the Audit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ind w:right="20" w:firstLine="770"/>
        <w:spacing w:after="0" w:line="289" w:lineRule="auto"/>
        <w:rPr>
          <w:sz w:val="20"/>
          <w:szCs w:val="20"/>
          <w:color w:val="auto"/>
        </w:rPr>
      </w:pPr>
      <w:r>
        <w:rPr>
          <w:rFonts w:ascii="Times New Roman" w:cs="Times New Roman" w:eastAsia="Times New Roman" w:hAnsi="Times New Roman"/>
          <w:sz w:val="17"/>
          <w:szCs w:val="17"/>
          <w:color w:val="auto"/>
        </w:rPr>
        <w:t>PricewaterhouseCoopers LLP’s fees for assurance and related services reasonably related to the performance of the audit or reviews of financial statements and not included under “Audit Fees” above, including reimbursable expenses, were $35,000 in 2014 and $30,000 in 2013, which fees were reviewed and approved by the Audit Committee. These fees were primarily for financial due diligence and transaction analysis and other audit-related reports.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jc w:val="both"/>
        <w:ind w:right="60" w:firstLine="770"/>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tax compliance, tax advice and tax planning, including reimbursable expenses, were $868,000 in 2014 and $952,300 in 2013, which fees were reviewed and approved by the Audit Committee. These fees were primarily for tax due diligence and transaction analysis, as well as federal, multistate and foreign tax consulting.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ind w:right="20" w:firstLine="770"/>
        <w:spacing w:after="0" w:line="282" w:lineRule="auto"/>
        <w:rPr>
          <w:sz w:val="20"/>
          <w:szCs w:val="20"/>
          <w:color w:val="auto"/>
        </w:rPr>
      </w:pPr>
      <w:r>
        <w:rPr>
          <w:rFonts w:ascii="Times New Roman" w:cs="Times New Roman" w:eastAsia="Times New Roman" w:hAnsi="Times New Roman"/>
          <w:sz w:val="18"/>
          <w:szCs w:val="18"/>
          <w:color w:val="auto"/>
        </w:rPr>
        <w:t>PricewaterhouseCoopers LLP’s fees for other services, including a finance and accounting research tool provided by PricewaterhouseCoopers LLP, were $40,000 in 2014 and $9,600 in 2013, which fees were reviewed and approved by the Audit Committee.</w:t>
      </w:r>
    </w:p>
    <w:p>
      <w:pPr>
        <w:spacing w:after="0" w:line="162" w:lineRule="exact"/>
        <w:rPr>
          <w:sz w:val="20"/>
          <w:szCs w:val="20"/>
          <w:color w:val="auto"/>
        </w:rPr>
      </w:pPr>
    </w:p>
    <w:p>
      <w:pPr>
        <w:ind w:right="140" w:firstLine="770"/>
        <w:spacing w:after="0" w:line="266" w:lineRule="auto"/>
        <w:rPr>
          <w:sz w:val="20"/>
          <w:szCs w:val="20"/>
          <w:color w:val="auto"/>
        </w:rPr>
      </w:pPr>
      <w:r>
        <w:rPr>
          <w:rFonts w:ascii="Times New Roman" w:cs="Times New Roman" w:eastAsia="Times New Roman" w:hAnsi="Times New Roman"/>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2014, for filing with the Securities and Exchange Commission.</w:t>
      </w:r>
    </w:p>
    <w:p>
      <w:pPr>
        <w:spacing w:after="0" w:line="1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Thomas S. Gayner, Chairman</w:t>
      </w:r>
    </w:p>
    <w:p>
      <w:pPr>
        <w:ind w:left="5840"/>
        <w:spacing w:after="0" w:line="221" w:lineRule="auto"/>
        <w:rPr>
          <w:sz w:val="20"/>
          <w:szCs w:val="20"/>
          <w:color w:val="auto"/>
        </w:rPr>
      </w:pPr>
      <w:r>
        <w:rPr>
          <w:rFonts w:ascii="Times New Roman" w:cs="Times New Roman" w:eastAsia="Times New Roman" w:hAnsi="Times New Roman"/>
          <w:sz w:val="18"/>
          <w:szCs w:val="18"/>
          <w:color w:val="auto"/>
        </w:rPr>
        <w:t>Christopher C. Davis</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 Richard Wagoner, Jr.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 Promoters and Certain Control Persons</w:t>
      </w:r>
    </w:p>
    <w:p>
      <w:pPr>
        <w:spacing w:after="0" w:line="229" w:lineRule="exact"/>
        <w:rPr>
          <w:sz w:val="20"/>
          <w:szCs w:val="20"/>
          <w:color w:val="auto"/>
        </w:rPr>
      </w:pPr>
    </w:p>
    <w:p>
      <w:pPr>
        <w:ind w:right="20" w:firstLine="770"/>
        <w:spacing w:after="0" w:line="282" w:lineRule="auto"/>
        <w:rPr>
          <w:sz w:val="20"/>
          <w:szCs w:val="20"/>
          <w:color w:val="auto"/>
        </w:rPr>
      </w:pPr>
      <w:r>
        <w:rPr>
          <w:rFonts w:ascii="Times New Roman" w:cs="Times New Roman" w:eastAsia="Times New Roman" w:hAnsi="Times New Roman"/>
          <w:sz w:val="18"/>
          <w:szCs w:val="18"/>
          <w:color w:val="auto"/>
        </w:rPr>
        <w:t>Mrs. Elizabeth G. Weymouth, the daughter of the late Mrs. Katharine Graham and the sister of Mr. Donald E. Graham, is employed as an Editor-at-Large of the Company’s publications and websites. In 2014, she received $300,000 in compensation. Mrs. Weymouth’s base salary for 2015 is $300,000.</w:t>
      </w:r>
    </w:p>
    <w:p>
      <w:pPr>
        <w:spacing w:after="0" w:line="162" w:lineRule="exact"/>
        <w:rPr>
          <w:sz w:val="20"/>
          <w:szCs w:val="20"/>
          <w:color w:val="auto"/>
        </w:rPr>
      </w:pPr>
    </w:p>
    <w:p>
      <w:pPr>
        <w:ind w:firstLine="770"/>
        <w:spacing w:after="0" w:line="255" w:lineRule="auto"/>
        <w:rPr>
          <w:sz w:val="20"/>
          <w:szCs w:val="20"/>
          <w:color w:val="auto"/>
        </w:rPr>
      </w:pPr>
      <w:r>
        <w:rPr>
          <w:rFonts w:ascii="Times New Roman" w:cs="Times New Roman" w:eastAsia="Times New Roman" w:hAnsi="Times New Roman"/>
          <w:sz w:val="18"/>
          <w:szCs w:val="18"/>
          <w:color w:val="auto"/>
        </w:rPr>
        <w:t>Katharine Weymouth, a granddaughter of the late Mrs. Katharine Graham, a daughter of Mrs. Elizabeth G. Weymouth and a niece of Mr. Donald E. Graham, is a member of the Company’s Board of Directors. In 2014, Ms. Weymouth was re-elected to the Board of Directors and received $150,000 for her services as a non-employee Director of the Board. In 2015, Ms. Weymouth is eligible for the same non-employee Director compensation as the Company’s other non-employee Directors. In addition, Ms. Weymouth holds Restricted Stock under the Special Award granted to her in June 2012 that was modified as part of the WPM Transaction in 2013. The modified award of 15,000 shares vests one-third each year on the anniversary of the closing date of the WPM Transaction provided that Ms. Weymouth is a member of the Company’s Board of Directors on each applicable vesting date. In 2014, Ms. Weymouth vested in 5,000 shares of Restricted Stock. She is expected to vest in an additional 5,000 shares on each of the two-year and three-year anniversaries of the WPM Transaction in 2015 and 2016, respectively.</w:t>
      </w:r>
    </w:p>
    <w:p>
      <w:pPr>
        <w:spacing w:after="0" w:line="185" w:lineRule="exact"/>
        <w:rPr>
          <w:sz w:val="20"/>
          <w:szCs w:val="20"/>
          <w:color w:val="auto"/>
        </w:rPr>
      </w:pPr>
    </w:p>
    <w:p>
      <w:pPr>
        <w:ind w:right="100" w:firstLine="770"/>
        <w:spacing w:after="0" w:line="261" w:lineRule="auto"/>
        <w:rPr>
          <w:sz w:val="20"/>
          <w:szCs w:val="20"/>
          <w:color w:val="auto"/>
        </w:rPr>
      </w:pPr>
      <w:r>
        <w:rPr>
          <w:rFonts w:ascii="Times New Roman" w:cs="Times New Roman" w:eastAsia="Times New Roman" w:hAnsi="Times New Roman"/>
          <w:sz w:val="18"/>
          <w:szCs w:val="18"/>
          <w:color w:val="auto"/>
        </w:rPr>
        <w:t>Laura O’Shaughnessy, a daughter of Mr. Donald E. Graham and the wife of Mr. Timothy J. O’Shaughnessy, is employed full time as the President and Chief Executive Officer of Social Code LLC, a subsidiary of the Company. In 2014, Mrs. O’Shaughnessy was paid $200,000 in base salary and received a bonus of $350,000 based on the achievement of pre-established 2014 performance goals. She currently has 1,500 shares of Restricted Stock in the 2013– 2016 cycle and 1,000 shares of Restricted Stock in the 2015–2018 cycle. Mrs. O’Shaughnessy’s base salary for 2015 is $300,000.</w:t>
      </w:r>
    </w:p>
    <w:p>
      <w:pPr>
        <w:spacing w:after="0" w:line="180" w:lineRule="exact"/>
        <w:rPr>
          <w:sz w:val="20"/>
          <w:szCs w:val="20"/>
          <w:color w:val="auto"/>
        </w:rPr>
      </w:pPr>
    </w:p>
    <w:p>
      <w:pPr>
        <w:ind w:right="180" w:firstLine="770"/>
        <w:spacing w:after="0" w:line="261" w:lineRule="auto"/>
        <w:rPr>
          <w:sz w:val="20"/>
          <w:szCs w:val="20"/>
          <w:color w:val="auto"/>
        </w:rPr>
      </w:pPr>
      <w:r>
        <w:rPr>
          <w:rFonts w:ascii="Times New Roman" w:cs="Times New Roman" w:eastAsia="Times New Roman" w:hAnsi="Times New Roman"/>
          <w:sz w:val="18"/>
          <w:szCs w:val="18"/>
          <w:color w:val="auto"/>
        </w:rPr>
        <w:t>Timothy J. O’Shaughnessy, the son-in-law of Mr. Donald E. Graham and the husband of Mrs. Laura O’Shaughnessy, is employed full time as the President of the Company and is a named executive officer. Mr. O’Shaughnessy started employment with the Company on November 3, 2014. In 2014, Mr. O’Shaughnessy was paid $125,000 in base salary. He has 50,000 Stock Options, 5,000 performance units from the 2013–2016 Award Cycle, and 7,500 performance units from the 2015–2018 Award Cycle. Mr. O’Shaughnessy’s base salary for 2015 is $750,000.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 THAT MAY COME BEFORE THE MEETING</w:t>
      </w:r>
    </w:p>
    <w:p>
      <w:pPr>
        <w:spacing w:after="0" w:line="229" w:lineRule="exact"/>
        <w:rPr>
          <w:sz w:val="20"/>
          <w:szCs w:val="20"/>
          <w:color w:val="auto"/>
        </w:rPr>
      </w:pPr>
    </w:p>
    <w:p>
      <w:pPr>
        <w:jc w:val="both"/>
        <w:ind w:right="80" w:firstLine="77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76" w:lineRule="exact"/>
        <w:rPr>
          <w:sz w:val="20"/>
          <w:szCs w:val="20"/>
          <w:color w:val="auto"/>
        </w:rPr>
      </w:pPr>
    </w:p>
    <w:p>
      <w:pPr>
        <w:ind w:right="140" w:firstLine="770"/>
        <w:spacing w:after="0" w:line="258" w:lineRule="auto"/>
        <w:rPr>
          <w:sz w:val="20"/>
          <w:szCs w:val="20"/>
          <w:color w:val="auto"/>
        </w:rPr>
      </w:pPr>
      <w:r>
        <w:rPr>
          <w:rFonts w:ascii="Times New Roman" w:cs="Times New Roman" w:eastAsia="Times New Roman" w:hAnsi="Times New Roman"/>
          <w:sz w:val="18"/>
          <w:szCs w:val="18"/>
          <w:color w:val="auto"/>
        </w:rPr>
        <w:t>Upon the recommendation of the Audit Committee, the Board of Directors has selected PricewaterhouseCoopers LLP as the Company’s independent registered accountant to audit and report on its financial statements for the fiscal year 2015.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2014 and the firm’s relationship with the Company and will be available to respond to appropriate questions from shareholders.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6" w:right="239" w:bottom="1440" w:gutter="0" w:footer="0" w:header="0"/>
        </w:sectPr>
      </w:pPr>
    </w:p>
    <w:bookmarkStart w:id="42" w:name="page43"/>
    <w:bookmarkEnd w:id="42"/>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Notice of</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Annual Meeting</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and</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Proxy Statement</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106280"/>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2880360</wp:posOffset>
            </wp:positionV>
            <wp:extent cx="492252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2520" cy="6686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ind w:left="625"/>
        <w:spacing w:after="0"/>
        <w:rPr>
          <w:sz w:val="20"/>
          <w:szCs w:val="20"/>
          <w:color w:val="auto"/>
        </w:rPr>
      </w:pPr>
      <w:r>
        <w:rPr>
          <w:rFonts w:ascii="Times New Roman" w:cs="Times New Roman" w:eastAsia="Times New Roman" w:hAnsi="Times New Roman"/>
          <w:sz w:val="29"/>
          <w:szCs w:val="29"/>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108585</wp:posOffset>
            </wp:positionV>
            <wp:extent cx="1741170"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257175"/>
                    </a:xfrm>
                    <a:prstGeom prst="rect">
                      <a:avLst/>
                    </a:prstGeom>
                    <a:noFill/>
                  </pic:spPr>
                </pic:pic>
              </a:graphicData>
            </a:graphic>
          </wp:anchor>
        </w:drawing>
      </w:r>
    </w:p>
    <w:p>
      <w:pPr>
        <w:spacing w:after="0" w:line="181" w:lineRule="exact"/>
        <w:rPr>
          <w:sz w:val="20"/>
          <w:szCs w:val="20"/>
          <w:color w:val="auto"/>
        </w:rPr>
      </w:pPr>
    </w:p>
    <w:p>
      <w:pPr>
        <w:jc w:val="center"/>
        <w:ind w:right="6315"/>
        <w:spacing w:after="0"/>
        <w:rPr>
          <w:sz w:val="20"/>
          <w:szCs w:val="20"/>
          <w:color w:val="auto"/>
        </w:rPr>
      </w:pPr>
      <w:r>
        <w:rPr>
          <w:rFonts w:ascii="Times New Roman" w:cs="Times New Roman" w:eastAsia="Times New Roman" w:hAnsi="Times New Roman"/>
          <w:sz w:val="14"/>
          <w:szCs w:val="14"/>
          <w:i w:val="1"/>
          <w:iCs w:val="1"/>
          <w:color w:val="auto"/>
        </w:rPr>
        <w:t>IMPORTANT ANNUAL MEETING</w:t>
      </w:r>
    </w:p>
    <w:p>
      <w:pPr>
        <w:spacing w:after="0" w:line="6" w:lineRule="exact"/>
        <w:rPr>
          <w:sz w:val="20"/>
          <w:szCs w:val="20"/>
          <w:color w:val="auto"/>
        </w:rPr>
      </w:pPr>
    </w:p>
    <w:p>
      <w:pPr>
        <w:jc w:val="center"/>
        <w:ind w:right="6315"/>
        <w:spacing w:after="0"/>
        <w:rPr>
          <w:sz w:val="20"/>
          <w:szCs w:val="20"/>
          <w:color w:val="auto"/>
        </w:rPr>
      </w:pPr>
      <w:r>
        <w:rPr>
          <w:rFonts w:ascii="Times New Roman" w:cs="Times New Roman" w:eastAsia="Times New Roman" w:hAnsi="Times New Roman"/>
          <w:sz w:val="14"/>
          <w:szCs w:val="14"/>
          <w:i w:val="1"/>
          <w:iCs w:val="1"/>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1402715</wp:posOffset>
            </wp:positionV>
            <wp:extent cx="28321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2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Using a </w:t>
            </w:r>
            <w:r>
              <w:rPr>
                <w:rFonts w:ascii="Times New Roman" w:cs="Times New Roman" w:eastAsia="Times New Roman" w:hAnsi="Times New Roman"/>
                <w:sz w:val="14"/>
                <w:szCs w:val="14"/>
                <w:u w:val="single" w:color="auto"/>
                <w:color w:val="auto"/>
              </w:rPr>
              <w:t>black ink</w:t>
            </w:r>
            <w:r>
              <w:rPr>
                <w:rFonts w:ascii="Times New Roman" w:cs="Times New Roman" w:eastAsia="Times New Roman" w:hAnsi="Times New Roman"/>
                <w:sz w:val="14"/>
                <w:szCs w:val="14"/>
                <w:color w:val="auto"/>
              </w:rPr>
              <w:t xml:space="preserve"> pen, mark your votes with an 'X' as shown in</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76"/>
              </w:rPr>
              <w:t>X</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this example. Please do not write outside the designated areas.</w:t>
            </w: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100965</wp:posOffset>
            </wp:positionV>
            <wp:extent cx="585724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205740"/>
                    </a:xfrm>
                    <a:prstGeom prst="rect">
                      <a:avLst/>
                    </a:prstGeom>
                    <a:noFill/>
                  </pic:spPr>
                </pic:pic>
              </a:graphicData>
            </a:graphic>
          </wp:anchor>
        </w:drawing>
      </w:r>
    </w:p>
    <w:p>
      <w:pPr>
        <w:spacing w:after="0" w:line="170" w:lineRule="exact"/>
        <w:rPr>
          <w:sz w:val="20"/>
          <w:szCs w:val="20"/>
          <w:color w:val="auto"/>
        </w:rPr>
      </w:pPr>
    </w:p>
    <w:p>
      <w:pPr>
        <w:ind w:left="1085"/>
        <w:spacing w:after="0"/>
        <w:rPr>
          <w:sz w:val="20"/>
          <w:szCs w:val="20"/>
          <w:color w:val="auto"/>
        </w:rPr>
      </w:pPr>
      <w:r>
        <w:rPr>
          <w:rFonts w:ascii="Times New Roman" w:cs="Times New Roman" w:eastAsia="Times New Roman" w:hAnsi="Times New Roman"/>
          <w:sz w:val="18"/>
          <w:szCs w:val="18"/>
          <w:b w:val="1"/>
          <w:bCs w:val="1"/>
          <w:color w:val="auto"/>
        </w:rPr>
        <w:t>Annual Meeting Proxy Card — Class A Common</w:t>
      </w:r>
    </w:p>
    <w:p>
      <w:pPr>
        <w:spacing w:after="0" w:line="207" w:lineRule="exact"/>
        <w:rPr>
          <w:sz w:val="20"/>
          <w:szCs w:val="20"/>
          <w:color w:val="auto"/>
        </w:rPr>
      </w:pPr>
    </w:p>
    <w:p>
      <w:pPr>
        <w:jc w:val="right"/>
        <w:spacing w:after="0"/>
        <w:rPr>
          <w:sz w:val="20"/>
          <w:szCs w:val="20"/>
          <w:color w:val="auto"/>
        </w:rPr>
      </w:pPr>
      <w:r>
        <w:rPr>
          <w:rFonts w:ascii="Webdings" w:cs="Webdings" w:eastAsia="Webdings" w:hAnsi="Webdings"/>
          <w:sz w:val="22"/>
          <w:szCs w:val="22"/>
          <w:b w:val="1"/>
          <w:bCs w:val="1"/>
          <w:color w:val="auto"/>
        </w:rPr>
        <w:t></w:t>
      </w:r>
      <w:r>
        <w:rPr>
          <w:rFonts w:ascii="Times New Roman" w:cs="Times New Roman" w:eastAsia="Times New Roman" w:hAnsi="Times New Roman"/>
          <w:sz w:val="14"/>
          <w:szCs w:val="14"/>
          <w:b w:val="1"/>
          <w:bCs w:val="1"/>
          <w:color w:val="auto"/>
        </w:rPr>
        <w:t>PLEASE FOLD ALONG THE PERFORATION, DETACH AND RETURN THE BOTTOM PORTION OIN THE ENCLOSED ENVELOPE.</w:t>
      </w:r>
      <w:r>
        <w:rPr>
          <w:rFonts w:ascii="Webdings" w:cs="Webdings" w:eastAsia="Webdings" w:hAnsi="Webdings"/>
          <w:sz w:val="22"/>
          <w:szCs w:val="22"/>
          <w:b w:val="1"/>
          <w:bCs w:val="1"/>
          <w:color w:val="auto"/>
        </w:rPr>
        <w:t xml:space="preserve"> </w:t>
      </w:r>
    </w:p>
    <w:p>
      <w:pPr>
        <w:spacing w:after="0" w:line="200" w:lineRule="exact"/>
        <w:rPr>
          <w:sz w:val="20"/>
          <w:szCs w:val="20"/>
          <w:color w:val="auto"/>
        </w:rPr>
      </w:pPr>
    </w:p>
    <w:p>
      <w:pPr>
        <w:spacing w:after="0" w:line="206" w:lineRule="exact"/>
        <w:rPr>
          <w:sz w:val="20"/>
          <w:szCs w:val="20"/>
          <w:color w:val="auto"/>
        </w:rPr>
      </w:pPr>
    </w:p>
    <w:p>
      <w:pPr>
        <w:ind w:left="225" w:hanging="225"/>
        <w:spacing w:after="0"/>
        <w:tabs>
          <w:tab w:leader="none" w:pos="225" w:val="left"/>
        </w:tabs>
        <w:numPr>
          <w:ilvl w:val="0"/>
          <w:numId w:val="41"/>
        </w:numPr>
        <w:rPr>
          <w:rFonts w:ascii="Times New Roman" w:cs="Times New Roman" w:eastAsia="Times New Roman" w:hAnsi="Times New Roman"/>
          <w:sz w:val="29"/>
          <w:szCs w:val="29"/>
          <w:color w:val="FFFFFF"/>
          <w:vertAlign w:val="subscript"/>
        </w:rPr>
      </w:pPr>
      <w:r>
        <w:rPr>
          <w:rFonts w:ascii="Times New Roman" w:cs="Times New Roman" w:eastAsia="Times New Roman" w:hAnsi="Times New Roman"/>
          <w:sz w:val="18"/>
          <w:szCs w:val="18"/>
          <w:b w:val="1"/>
          <w:bCs w:val="1"/>
          <w:color w:val="auto"/>
        </w:rPr>
        <w:t xml:space="preserve">Proposals — 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all nominees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-153670</wp:posOffset>
            </wp:positionV>
            <wp:extent cx="13716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71450"/>
                    </a:xfrm>
                    <a:prstGeom prst="rect">
                      <a:avLst/>
                    </a:prstGeom>
                    <a:noFill/>
                  </pic:spPr>
                </pic:pic>
              </a:graphicData>
            </a:graphic>
          </wp:anchor>
        </w:drawing>
      </w:r>
    </w:p>
    <w:tbl>
      <w:tblPr>
        <w:tblLayout w:type="fixed"/>
        <w:tblInd w:w="5"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For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Election of Directors</w:t>
            </w: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Withhold</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Withhold</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For Withhold</w:t>
            </w:r>
          </w:p>
        </w:tc>
        <w:tc>
          <w:tcPr>
            <w:tcW w:w="0" w:type="dxa"/>
            <w:vAlign w:val="bottom"/>
          </w:tcPr>
          <w:p>
            <w:pPr>
              <w:spacing w:after="0"/>
              <w:rPr>
                <w:sz w:val="1"/>
                <w:szCs w:val="1"/>
                <w:color w:val="auto"/>
              </w:rPr>
            </w:pPr>
          </w:p>
        </w:tc>
      </w:tr>
      <w:tr>
        <w:trPr>
          <w:trHeight w:val="277"/>
        </w:trPr>
        <w:tc>
          <w:tcPr>
            <w:tcW w:w="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01 -</w:t>
            </w: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Lee C. Bollinger</w:t>
            </w:r>
          </w:p>
        </w:tc>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02 -</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Barry Diller</w:t>
            </w:r>
          </w:p>
        </w:tc>
        <w:tc>
          <w:tcPr>
            <w:tcW w:w="34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David Goldberg</w:t>
            </w:r>
          </w:p>
        </w:tc>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04 -</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Donald E. Graham</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05 -</w:t>
            </w: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Ronald L. Olson</w:t>
            </w: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06 -</w:t>
            </w:r>
          </w:p>
        </w:tc>
        <w:tc>
          <w:tcPr>
            <w:tcW w:w="1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Timothy J. O'Shaughnessy</w:t>
            </w: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60" w:type="dxa"/>
            <w:vAlign w:val="bottom"/>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34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780" w:type="dxa"/>
            <w:vAlign w:val="bottom"/>
            <w:gridSpan w:val="3"/>
            <w:vMerge w:val="continue"/>
          </w:tcPr>
          <w:p>
            <w:pPr>
              <w:spacing w:after="0"/>
              <w:rPr>
                <w:sz w:val="24"/>
                <w:szCs w:val="24"/>
                <w:color w:val="auto"/>
              </w:rPr>
            </w:pPr>
          </w:p>
        </w:tc>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07-</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G. Richard Wagoner,</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08-</w:t>
            </w: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Katharine Weymouth</w:t>
            </w: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3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6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Borders>
              <w:left w:val="single" w:sz="8" w:color="auto"/>
              <w:right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 w:type="dxa"/>
            <w:vAlign w:val="bottom"/>
            <w:vMerge w:val="continue"/>
          </w:tcPr>
          <w:p>
            <w:pPr>
              <w:spacing w:after="0"/>
              <w:rPr>
                <w:sz w:val="16"/>
                <w:szCs w:val="16"/>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Jr.</w:t>
            </w:r>
          </w:p>
        </w:tc>
        <w:tc>
          <w:tcPr>
            <w:tcW w:w="380" w:type="dxa"/>
            <w:vAlign w:val="bottom"/>
            <w:tcBorders>
              <w:left w:val="single" w:sz="8" w:color="auto"/>
              <w:bottom w:val="single" w:sz="8" w:color="auto"/>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46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0" w:type="dxa"/>
            <w:vAlign w:val="bottom"/>
            <w:tcBorders>
              <w:left w:val="single" w:sz="8" w:color="auto"/>
              <w:bottom w:val="single" w:sz="8" w:color="auto"/>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w:t>
            </w: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Against</w:t>
            </w: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277"/>
        </w:trPr>
        <w:tc>
          <w:tcPr>
            <w:tcW w:w="45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2. Advisory Approval of the Company's Executive Compensation.</w:t>
            </w:r>
          </w:p>
        </w:tc>
        <w:tc>
          <w:tcPr>
            <w:tcW w:w="380" w:type="dxa"/>
            <w:vAlign w:val="bottom"/>
            <w:tcBorders>
              <w:top w:val="single" w:sz="8" w:color="auto"/>
              <w:bottom w:val="single" w:sz="8" w:color="auto"/>
              <w:right w:val="single" w:sz="8" w:color="auto"/>
            </w:tcBorders>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360" w:type="dxa"/>
            <w:vAlign w:val="bottom"/>
            <w:tcBorders>
              <w:top w:val="single" w:sz="8" w:color="auto"/>
              <w:bottom w:val="single" w:sz="8" w:color="auto"/>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5" w:hanging="225"/>
        <w:spacing w:after="0"/>
        <w:tabs>
          <w:tab w:leader="none" w:pos="225" w:val="left"/>
        </w:tabs>
        <w:numPr>
          <w:ilvl w:val="0"/>
          <w:numId w:val="42"/>
        </w:numPr>
        <w:rPr>
          <w:rFonts w:ascii="Times New Roman" w:cs="Times New Roman" w:eastAsia="Times New Roman" w:hAnsi="Times New Roman"/>
          <w:sz w:val="29"/>
          <w:szCs w:val="29"/>
          <w:color w:val="FFFFFF"/>
          <w:vertAlign w:val="subscript"/>
        </w:rPr>
      </w:pPr>
      <w:r>
        <w:rPr>
          <w:rFonts w:ascii="Times New Roman" w:cs="Times New Roman" w:eastAsia="Times New Roman" w:hAnsi="Times New Roman"/>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-153670</wp:posOffset>
            </wp:positionV>
            <wp:extent cx="1460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 cy="171450"/>
                    </a:xfrm>
                    <a:prstGeom prst="rect">
                      <a:avLst/>
                    </a:prstGeom>
                    <a:noFill/>
                  </pic:spPr>
                </pic:pic>
              </a:graphicData>
            </a:graphic>
          </wp:anchor>
        </w:drawing>
      </w:r>
    </w:p>
    <w:p>
      <w:pPr>
        <w:spacing w:after="0" w:line="65" w:lineRule="exact"/>
        <w:rPr>
          <w:sz w:val="20"/>
          <w:szCs w:val="20"/>
          <w:color w:val="auto"/>
        </w:rPr>
      </w:pPr>
    </w:p>
    <w:p>
      <w:pPr>
        <w:ind w:left="5"/>
        <w:spacing w:after="0"/>
        <w:tabs>
          <w:tab w:leader="none" w:pos="4745" w:val="left"/>
        </w:tabs>
        <w:rPr>
          <w:sz w:val="20"/>
          <w:szCs w:val="20"/>
          <w:color w:val="auto"/>
        </w:rPr>
      </w:pPr>
      <w:r>
        <w:rPr>
          <w:rFonts w:ascii="Times New Roman" w:cs="Times New Roman" w:eastAsia="Times New Roman" w:hAnsi="Times New Roman"/>
          <w:sz w:val="14"/>
          <w:szCs w:val="14"/>
          <w:color w:val="auto"/>
        </w:rPr>
        <w:t>Change of Address - Please print new address below</w:t>
      </w:r>
      <w:r>
        <w:rPr>
          <w:sz w:val="20"/>
          <w:szCs w:val="20"/>
          <w:color w:val="auto"/>
        </w:rPr>
        <w:tab/>
      </w:r>
      <w:r>
        <w:rPr>
          <w:rFonts w:ascii="Times New Roman" w:cs="Times New Roman" w:eastAsia="Times New Roman" w:hAnsi="Times New Roman"/>
          <w:sz w:val="14"/>
          <w:szCs w:val="14"/>
          <w:color w:val="auto"/>
        </w:rPr>
        <w:t>Comments -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23495</wp:posOffset>
            </wp:positionV>
            <wp:extent cx="586613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61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5" w:hanging="245"/>
        <w:spacing w:after="0"/>
        <w:tabs>
          <w:tab w:leader="none" w:pos="245" w:val="left"/>
        </w:tabs>
        <w:numPr>
          <w:ilvl w:val="0"/>
          <w:numId w:val="43"/>
        </w:numPr>
        <w:rPr>
          <w:rFonts w:ascii="Times New Roman" w:cs="Times New Roman" w:eastAsia="Times New Roman" w:hAnsi="Times New Roman"/>
          <w:sz w:val="29"/>
          <w:szCs w:val="29"/>
          <w:color w:val="FFFFFF"/>
          <w:vertAlign w:val="subscript"/>
        </w:rPr>
      </w:pPr>
      <w:r>
        <w:rPr>
          <w:rFonts w:ascii="Times New Roman" w:cs="Times New Roman" w:eastAsia="Times New Roman" w:hAnsi="Times New Roman"/>
          <w:sz w:val="18"/>
          <w:szCs w:val="18"/>
          <w:b w:val="1"/>
          <w:bCs w:val="1"/>
          <w:color w:val="auto"/>
        </w:rPr>
        <w:t>Authorized Signatures - This section must be completed for your vote to be counted - Data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-153670</wp:posOffset>
            </wp:positionV>
            <wp:extent cx="1543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1" w:lineRule="exact"/>
        <w:rPr>
          <w:sz w:val="20"/>
          <w:szCs w:val="20"/>
          <w:color w:val="auto"/>
        </w:rPr>
      </w:pPr>
    </w:p>
    <w:p>
      <w:pPr>
        <w:ind w:left="5" w:right="1120"/>
        <w:spacing w:after="0" w:line="261" w:lineRule="auto"/>
        <w:rPr>
          <w:sz w:val="20"/>
          <w:szCs w:val="20"/>
          <w:color w:val="auto"/>
        </w:rPr>
      </w:pPr>
      <w:r>
        <w:rPr>
          <w:rFonts w:ascii="Times New Roman" w:cs="Times New Roman" w:eastAsia="Times New Roman" w:hAnsi="Times New Roman"/>
          <w:sz w:val="14"/>
          <w:szCs w:val="14"/>
          <w:color w:val="auto"/>
        </w:rPr>
        <w:t>Please sign exactly as name(s) appears herein. Joint owners should sign. When signing as attorney, executor, administrator, corporate officer, trustee, guardian, or custodian, please give full title.</w:t>
      </w:r>
    </w:p>
    <w:p>
      <w:pPr>
        <w:sectPr>
          <w:pgSz w:w="11900" w:h="16838" w:orient="portrait"/>
          <w:cols w:equalWidth="0" w:num="1">
            <w:col w:w="10265"/>
          </w:cols>
          <w:pgMar w:left="275" w:top="567" w:right="1359" w:bottom="1440" w:gutter="0" w:footer="0" w:header="0"/>
        </w:sectPr>
      </w:pP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23495</wp:posOffset>
            </wp:positionV>
            <wp:extent cx="1844040"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404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Times New Roman" w:cs="Times New Roman" w:eastAsia="Times New Roman" w:hAnsi="Times New Roman"/>
          <w:sz w:val="14"/>
          <w:szCs w:val="14"/>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-2540</wp:posOffset>
            </wp:positionV>
            <wp:extent cx="186118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118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380"/>
        <w:spacing w:after="0" w:line="262" w:lineRule="auto"/>
        <w:rPr>
          <w:sz w:val="20"/>
          <w:szCs w:val="20"/>
          <w:color w:val="auto"/>
        </w:rPr>
      </w:pPr>
      <w:r>
        <w:rPr>
          <w:rFonts w:ascii="Times New Roman" w:cs="Times New Roman" w:eastAsia="Times New Roman" w:hAnsi="Times New Roman"/>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-2540</wp:posOffset>
            </wp:positionV>
            <wp:extent cx="189547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50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625" w:space="480"/>
            <w:col w:w="2640" w:space="500"/>
            <w:col w:w="4020"/>
          </w:cols>
          <w:pgMar w:left="275" w:top="567" w:right="1359" w:bottom="1440" w:gutter="0" w:footer="0" w:header="0"/>
          <w:type w:val="continuous"/>
        </w:sectPr>
      </w:pPr>
    </w:p>
    <w:p>
      <w:pPr>
        <w:spacing w:after="0" w:line="132" w:lineRule="exact"/>
        <w:rPr>
          <w:sz w:val="20"/>
          <w:szCs w:val="20"/>
          <w:color w:val="auto"/>
        </w:rPr>
      </w:pPr>
    </w:p>
    <w:p>
      <w:pPr>
        <w:ind w:left="965"/>
        <w:spacing w:after="0"/>
        <w:tabs>
          <w:tab w:leader="none" w:pos="1985" w:val="left"/>
        </w:tabs>
        <w:rPr>
          <w:sz w:val="20"/>
          <w:szCs w:val="20"/>
          <w:color w:val="auto"/>
        </w:rPr>
      </w:pPr>
      <w:r>
        <w:rPr>
          <w:rFonts w:ascii="Times New Roman" w:cs="Times New Roman" w:eastAsia="Times New Roman" w:hAnsi="Times New Roman"/>
          <w:sz w:val="32"/>
          <w:szCs w:val="32"/>
          <w:color w:val="auto"/>
        </w:rPr>
        <w:t>/</w:t>
      </w:r>
      <w:r>
        <w:rPr>
          <w:sz w:val="20"/>
          <w:szCs w:val="20"/>
          <w:color w:val="auto"/>
        </w:rPr>
        <w:tab/>
      </w:r>
      <w:r>
        <w:rPr>
          <w:rFonts w:ascii="Times New Roman" w:cs="Times New Roman" w:eastAsia="Times New Roman" w:hAnsi="Times New Roman"/>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281305</wp:posOffset>
            </wp:positionV>
            <wp:extent cx="22288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885" cy="325755"/>
                    </a:xfrm>
                    <a:prstGeom prst="rect">
                      <a:avLst/>
                    </a:prstGeom>
                    <a:noFill/>
                  </pic:spPr>
                </pic:pic>
              </a:graphicData>
            </a:graphic>
          </wp:anchor>
        </w:drawing>
        <w:drawing>
          <wp:anchor simplePos="0" relativeHeight="251657728" behindDoc="1" locked="0" layoutInCell="0" allowOverlap="1">
            <wp:simplePos x="0" y="0"/>
            <wp:positionH relativeFrom="column">
              <wp:posOffset>5591175</wp:posOffset>
            </wp:positionH>
            <wp:positionV relativeFrom="paragraph">
              <wp:posOffset>281305</wp:posOffset>
            </wp:positionV>
            <wp:extent cx="23177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775" cy="3257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25"/>
          <w:szCs w:val="25"/>
          <w:b w:val="1"/>
          <w:bCs w:val="1"/>
          <w:color w:val="auto"/>
        </w:rPr>
        <w:t>71B V</w:t>
      </w:r>
    </w:p>
    <w:p>
      <w:pPr>
        <w:spacing w:after="0" w:line="295" w:lineRule="exact"/>
        <w:rPr>
          <w:sz w:val="20"/>
          <w:szCs w:val="20"/>
          <w:color w:val="auto"/>
        </w:rPr>
      </w:pPr>
    </w:p>
    <w:p>
      <w:pPr>
        <w:ind w:left="1265"/>
        <w:spacing w:after="0"/>
        <w:rPr>
          <w:sz w:val="20"/>
          <w:szCs w:val="20"/>
          <w:color w:val="auto"/>
        </w:rPr>
      </w:pPr>
      <w:r>
        <w:rPr>
          <w:rFonts w:ascii="Arial" w:cs="Arial" w:eastAsia="Arial" w:hAnsi="Arial"/>
          <w:sz w:val="14"/>
          <w:szCs w:val="14"/>
          <w:color w:val="auto"/>
        </w:rPr>
        <w:t>01W0A</w:t>
      </w:r>
    </w:p>
    <w:p>
      <w:pPr>
        <w:sectPr>
          <w:pgSz w:w="11900" w:h="16838" w:orient="portrait"/>
          <w:cols w:equalWidth="0" w:num="1">
            <w:col w:w="10265"/>
          </w:cols>
          <w:pgMar w:left="275" w:top="567" w:right="1359" w:bottom="1440" w:gutter="0" w:footer="0" w:header="0"/>
          <w:type w:val="continuous"/>
        </w:sectPr>
      </w:pPr>
    </w:p>
    <w:bookmarkStart w:id="44" w:name="page45"/>
    <w:bookmarkEnd w:id="44"/>
    <w:p>
      <w:pPr>
        <w:jc w:val="center"/>
        <w:ind w:right="2840"/>
        <w:spacing w:after="0" w:line="246"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972185</wp:posOffset>
            </wp:positionH>
            <wp:positionV relativeFrom="page">
              <wp:posOffset>466090</wp:posOffset>
            </wp:positionV>
            <wp:extent cx="3696335" cy="995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96335" cy="995045"/>
                    </a:xfrm>
                    <a:prstGeom prst="rect">
                      <a:avLst/>
                    </a:prstGeom>
                    <a:noFill/>
                  </pic:spPr>
                </pic:pic>
              </a:graphicData>
            </a:graphic>
          </wp:anchor>
        </w:drawing>
        <w:t>Important notice regarding the availability of Proxy materials for the Annual Meeting of Shareholders to be held on May 14, 2015.</w:t>
      </w:r>
    </w:p>
    <w:p>
      <w:pPr>
        <w:spacing w:after="0" w:line="194"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22"/>
          <w:szCs w:val="22"/>
          <w:b w:val="1"/>
          <w:bCs w:val="1"/>
          <w:color w:val="auto"/>
        </w:rPr>
        <w:t>The Proxy Statement and the Annual Report to Shareholders</w:t>
      </w:r>
    </w:p>
    <w:p>
      <w:pPr>
        <w:spacing w:after="0" w:line="18"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22"/>
          <w:szCs w:val="22"/>
          <w:b w:val="1"/>
          <w:bCs w:val="1"/>
          <w:color w:val="auto"/>
        </w:rPr>
        <w:t>are available on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0"/>
        <w:spacing w:after="0"/>
        <w:rPr>
          <w:sz w:val="20"/>
          <w:szCs w:val="20"/>
          <w:color w:val="auto"/>
        </w:rPr>
      </w:pPr>
      <w:r>
        <w:rPr>
          <w:rFonts w:ascii="Webdings" w:cs="Webdings" w:eastAsia="Webdings" w:hAnsi="Webdings"/>
          <w:sz w:val="22"/>
          <w:szCs w:val="22"/>
          <w:b w:val="1"/>
          <w:bCs w:val="1"/>
          <w:color w:val="auto"/>
          <w:highlight w:val="black"/>
        </w:rPr>
        <w:t></w:t>
      </w:r>
      <w:r>
        <w:rPr>
          <w:rFonts w:ascii="Times New Roman" w:cs="Times New Roman" w:eastAsia="Times New Roman" w:hAnsi="Times New Roman"/>
          <w:sz w:val="14"/>
          <w:szCs w:val="14"/>
          <w:b w:val="1"/>
          <w:bCs w:val="1"/>
          <w:color w:val="auto"/>
        </w:rPr>
        <w:t>PLEASE FOLD ALONG THE PERFORATION DETACH AND RETURN THE BOTTOM PORTION IN THE ENCLOSED ENVELOPE.</w:t>
      </w:r>
      <w:r>
        <w:rPr>
          <w:rFonts w:ascii="Webdings" w:cs="Webdings" w:eastAsia="Webdings" w:hAnsi="Webdings"/>
          <w:sz w:val="22"/>
          <w:szCs w:val="22"/>
          <w:b w:val="1"/>
          <w:bCs w:val="1"/>
          <w:color w:val="auto"/>
          <w:highlight w:val="black"/>
        </w:rPr>
        <w:t xml:space="preserve"> </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0000"/>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320675</wp:posOffset>
            </wp:positionV>
            <wp:extent cx="58572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36830</wp:posOffset>
            </wp:positionV>
            <wp:extent cx="58572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Meeting of Stockholders - May 14, 2015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Proxy Solicited on behalf of the Board of Directors</w:t>
      </w:r>
    </w:p>
    <w:p>
      <w:pPr>
        <w:spacing w:after="0" w:line="140"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4"/>
          <w:szCs w:val="14"/>
          <w:color w:val="auto"/>
        </w:rPr>
        <w:t>The undersigned hereby appoints Donald E. Graham, Hal S. Jones, Nicole Maddrey and Gerald M. Rosberg, and each of them, his/her true and lawful agents and proxies, with full power of substitution in each, to vote as indicated on the reverse of the Proxy all shares of Class A Common Stock which the undersigned, is entitled to vote, at the Annual Meeting of Stockholders of GRAHAM HOLDINGS COMPANY to be held on May 14, 2015, and at any adjournment thereof, and to vote on all other matters properly coming before said meeting.</w:t>
      </w:r>
    </w:p>
    <w:p>
      <w:pPr>
        <w:spacing w:after="0" w:line="12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Please vote, date and sign this proxy on the other side and return it promptly in the enclosed envelope.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(Continued and to be voted on reverse side.)</w:t>
      </w:r>
    </w:p>
    <w:p>
      <w:pPr>
        <w:sectPr>
          <w:pgSz w:w="11900" w:h="16838" w:orient="portrait"/>
          <w:cols w:equalWidth="0" w:num="1">
            <w:col w:w="11240"/>
          </w:cols>
          <w:pgMar w:left="240" w:top="756" w:right="41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29"/>
          <w:szCs w:val="29"/>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245745</wp:posOffset>
            </wp:positionV>
            <wp:extent cx="174117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1170" cy="257175"/>
                    </a:xfrm>
                    <a:prstGeom prst="rect">
                      <a:avLst/>
                    </a:prstGeom>
                    <a:noFill/>
                  </pic:spPr>
                </pic:pic>
              </a:graphicData>
            </a:graphic>
          </wp:anchor>
        </w:drawing>
      </w:r>
    </w:p>
    <w:p>
      <w:pPr>
        <w:spacing w:after="0" w:line="397" w:lineRule="exact"/>
        <w:rPr>
          <w:sz w:val="20"/>
          <w:szCs w:val="20"/>
          <w:color w:val="auto"/>
        </w:rPr>
      </w:pPr>
    </w:p>
    <w:p>
      <w:pPr>
        <w:jc w:val="center"/>
        <w:ind w:right="7380"/>
        <w:spacing w:after="0"/>
        <w:rPr>
          <w:sz w:val="20"/>
          <w:szCs w:val="20"/>
          <w:color w:val="auto"/>
        </w:rPr>
      </w:pPr>
      <w:r>
        <w:rPr>
          <w:rFonts w:ascii="Times New Roman" w:cs="Times New Roman" w:eastAsia="Times New Roman" w:hAnsi="Times New Roman"/>
          <w:sz w:val="14"/>
          <w:szCs w:val="14"/>
          <w:i w:val="1"/>
          <w:iCs w:val="1"/>
          <w:color w:val="auto"/>
        </w:rPr>
        <w:t>IMPORTANT ANNUAL MEETING</w:t>
      </w:r>
    </w:p>
    <w:p>
      <w:pPr>
        <w:spacing w:after="0" w:line="6" w:lineRule="exact"/>
        <w:rPr>
          <w:sz w:val="20"/>
          <w:szCs w:val="20"/>
          <w:color w:val="auto"/>
        </w:rPr>
      </w:pPr>
    </w:p>
    <w:p>
      <w:pPr>
        <w:jc w:val="center"/>
        <w:ind w:right="7380"/>
        <w:spacing w:after="0"/>
        <w:rPr>
          <w:sz w:val="20"/>
          <w:szCs w:val="20"/>
          <w:color w:val="auto"/>
        </w:rPr>
      </w:pPr>
      <w:r>
        <w:rPr>
          <w:rFonts w:ascii="Times New Roman" w:cs="Times New Roman" w:eastAsia="Times New Roman" w:hAnsi="Times New Roman"/>
          <w:sz w:val="14"/>
          <w:szCs w:val="14"/>
          <w:i w:val="1"/>
          <w:iCs w:val="1"/>
          <w:color w:val="auto"/>
        </w:rPr>
        <w:t>INFORMATION</w:t>
      </w:r>
    </w:p>
    <w:p>
      <w:pPr>
        <w:spacing w:after="0" w:line="238"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0"/>
          <w:szCs w:val="20"/>
          <w:b w:val="1"/>
          <w:bCs w:val="1"/>
          <w:color w:val="auto"/>
        </w:rPr>
        <w:t>Electronic Voting Instructions</w:t>
      </w:r>
    </w:p>
    <w:p>
      <w:pPr>
        <w:sectPr>
          <w:pgSz w:w="11900" w:h="16838" w:orient="portrait"/>
          <w:cols w:equalWidth="0" w:num="1">
            <w:col w:w="11400"/>
          </w:cols>
          <w:pgMar w:left="240" w:top="56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xml:space="preserve">Using a </w:t>
      </w:r>
      <w:r>
        <w:rPr>
          <w:rFonts w:ascii="Times New Roman" w:cs="Times New Roman" w:eastAsia="Times New Roman" w:hAnsi="Times New Roman"/>
          <w:sz w:val="14"/>
          <w:szCs w:val="14"/>
          <w:u w:val="single" w:color="auto"/>
          <w:color w:val="auto"/>
        </w:rPr>
        <w:t>black ink</w:t>
      </w:r>
      <w:r>
        <w:rPr>
          <w:rFonts w:ascii="Times New Roman" w:cs="Times New Roman" w:eastAsia="Times New Roman" w:hAnsi="Times New Roman"/>
          <w:sz w:val="14"/>
          <w:szCs w:val="14"/>
          <w:color w:val="auto"/>
        </w:rPr>
        <w:t xml:space="preserve"> pen, mark your votes with an 'X'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-113030</wp:posOffset>
            </wp:positionV>
            <wp:extent cx="24003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428625"/>
                    </a:xfrm>
                    <a:prstGeom prst="rect">
                      <a:avLst/>
                    </a:prstGeom>
                    <a:noFill/>
                  </pic:spPr>
                </pic:pic>
              </a:graphicData>
            </a:graphic>
          </wp:anchor>
        </w:drawing>
      </w:r>
    </w:p>
    <w:p>
      <w:pPr>
        <w:ind w:left="80"/>
        <w:spacing w:after="0" w:line="226" w:lineRule="auto"/>
        <w:rPr>
          <w:sz w:val="20"/>
          <w:szCs w:val="20"/>
          <w:color w:val="auto"/>
        </w:rPr>
      </w:pPr>
      <w:r>
        <w:rPr>
          <w:rFonts w:ascii="Times New Roman" w:cs="Times New Roman" w:eastAsia="Times New Roman" w:hAnsi="Times New Roman"/>
          <w:sz w:val="14"/>
          <w:szCs w:val="14"/>
          <w:color w:val="auto"/>
        </w:rPr>
        <w:t>shown in</w:t>
      </w:r>
    </w:p>
    <w:p>
      <w:pPr>
        <w:ind w:left="80"/>
        <w:spacing w:after="0" w:line="192" w:lineRule="auto"/>
        <w:rPr>
          <w:sz w:val="20"/>
          <w:szCs w:val="20"/>
          <w:color w:val="auto"/>
        </w:rPr>
      </w:pPr>
      <w:r>
        <w:rPr>
          <w:rFonts w:ascii="Times New Roman" w:cs="Times New Roman" w:eastAsia="Times New Roman" w:hAnsi="Times New Roman"/>
          <w:sz w:val="14"/>
          <w:szCs w:val="14"/>
          <w:color w:val="auto"/>
        </w:rPr>
        <w:t>this example. Please do not write outside the designated</w:t>
      </w:r>
    </w:p>
    <w:p>
      <w:pPr>
        <w:ind w:left="80"/>
        <w:spacing w:after="0" w:line="233" w:lineRule="auto"/>
        <w:tabs>
          <w:tab w:leader="none" w:pos="3580" w:val="left"/>
        </w:tabs>
        <w:rPr>
          <w:sz w:val="20"/>
          <w:szCs w:val="20"/>
          <w:color w:val="auto"/>
        </w:rPr>
      </w:pPr>
      <w:r>
        <w:rPr>
          <w:rFonts w:ascii="Times New Roman" w:cs="Times New Roman" w:eastAsia="Times New Roman" w:hAnsi="Times New Roman"/>
          <w:sz w:val="13"/>
          <w:szCs w:val="13"/>
          <w:color w:val="auto"/>
        </w:rPr>
        <w:t>areas.</w:t>
      </w:r>
      <w:r>
        <w:rPr>
          <w:sz w:val="20"/>
          <w:szCs w:val="20"/>
          <w:color w:val="auto"/>
        </w:rPr>
        <w:tab/>
      </w:r>
      <w:r>
        <w:rPr>
          <w:rFonts w:ascii="Times New Roman" w:cs="Times New Roman" w:eastAsia="Times New Roman" w:hAnsi="Times New Roman"/>
          <w:sz w:val="29"/>
          <w:szCs w:val="29"/>
          <w:b w:val="1"/>
          <w:bCs w:val="1"/>
          <w:color w:val="auto"/>
          <w:vertAlign w:val="superscript"/>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572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You can vote by Internet or telephone!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24 hours a day, 7 days a week!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Instead of mailing your proxy, you may choose one of the two voting methods outlined below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vote your proxy.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VALIDATION DETAILS ARE LOCATED BELOW IN THE TITLE BAR.</w:t>
      </w:r>
    </w:p>
    <w:p>
      <w:pPr>
        <w:spacing w:after="0"/>
        <w:rPr>
          <w:sz w:val="20"/>
          <w:szCs w:val="20"/>
          <w:color w:val="auto"/>
        </w:rPr>
      </w:pPr>
      <w:r>
        <w:rPr>
          <w:rFonts w:ascii="Times New Roman" w:cs="Times New Roman" w:eastAsia="Times New Roman" w:hAnsi="Times New Roman"/>
          <w:sz w:val="12"/>
          <w:szCs w:val="12"/>
          <w:b w:val="1"/>
          <w:bCs w:val="1"/>
          <w:color w:val="auto"/>
        </w:rPr>
        <w:t>Proxies submitted by the Internet or telephone must be received by 5:00pm, Eastern Daylight Savings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Time, on May 13, 2015.</w:t>
      </w:r>
    </w:p>
    <w:p>
      <w:pPr>
        <w:ind w:left="1140"/>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52" w:lineRule="exact"/>
        <w:rPr>
          <w:sz w:val="20"/>
          <w:szCs w:val="20"/>
          <w:color w:val="auto"/>
        </w:rPr>
      </w:pPr>
    </w:p>
    <w:p>
      <w:pPr>
        <w:ind w:left="1340" w:hanging="203"/>
        <w:spacing w:after="0"/>
        <w:tabs>
          <w:tab w:leader="none" w:pos="13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Go to </w:t>
      </w:r>
      <w:r>
        <w:rPr>
          <w:rFonts w:ascii="Times New Roman" w:cs="Times New Roman" w:eastAsia="Times New Roman" w:hAnsi="Times New Roman"/>
          <w:sz w:val="12"/>
          <w:szCs w:val="12"/>
          <w:b w:val="1"/>
          <w:bCs w:val="1"/>
          <w:color w:val="auto"/>
        </w:rPr>
        <w:t>www.investorvote.com</w:t>
      </w:r>
    </w:p>
    <w:p>
      <w:pPr>
        <w:spacing w:after="0" w:line="120" w:lineRule="exact"/>
        <w:rPr>
          <w:rFonts w:ascii="Times New Roman" w:cs="Times New Roman" w:eastAsia="Times New Roman" w:hAnsi="Times New Roman"/>
          <w:sz w:val="12"/>
          <w:szCs w:val="12"/>
          <w:color w:val="auto"/>
        </w:rPr>
      </w:pPr>
    </w:p>
    <w:p>
      <w:pPr>
        <w:ind w:left="1340" w:hanging="203"/>
        <w:spacing w:after="0"/>
        <w:tabs>
          <w:tab w:leader="none" w:pos="13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scan the QR code with your smartphone</w:t>
      </w:r>
    </w:p>
    <w:p>
      <w:pPr>
        <w:spacing w:after="0" w:line="118" w:lineRule="exact"/>
        <w:rPr>
          <w:rFonts w:ascii="Times New Roman" w:cs="Times New Roman" w:eastAsia="Times New Roman" w:hAnsi="Times New Roman"/>
          <w:sz w:val="12"/>
          <w:szCs w:val="12"/>
          <w:color w:val="auto"/>
        </w:rPr>
      </w:pPr>
    </w:p>
    <w:p>
      <w:pPr>
        <w:ind w:left="1340" w:hanging="203"/>
        <w:spacing w:after="0"/>
        <w:tabs>
          <w:tab w:leader="none" w:pos="13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 the steps outlined on the secure website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telephone</w:t>
      </w:r>
    </w:p>
    <w:p>
      <w:pPr>
        <w:spacing w:after="0" w:line="19" w:lineRule="exact"/>
        <w:rPr>
          <w:sz w:val="20"/>
          <w:szCs w:val="20"/>
          <w:color w:val="auto"/>
        </w:rPr>
      </w:pPr>
    </w:p>
    <w:p>
      <w:pPr>
        <w:ind w:left="160" w:right="140" w:hanging="158"/>
        <w:spacing w:after="0" w:line="241" w:lineRule="auto"/>
        <w:tabs>
          <w:tab w:leader="none" w:pos="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toll free 1-800-652-VOTE (8683) within the USA, US territories &amp; Canada on a touch tone telephone</w:t>
      </w:r>
    </w:p>
    <w:p>
      <w:pPr>
        <w:ind w:left="160" w:hanging="158"/>
        <w:spacing w:after="0"/>
        <w:tabs>
          <w:tab w:leader="none" w:pos="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 the instructions provided by the recorded message</w:t>
      </w:r>
    </w:p>
    <w:p>
      <w:pPr>
        <w:spacing w:after="0" w:line="984" w:lineRule="exact"/>
        <w:rPr>
          <w:sz w:val="20"/>
          <w:szCs w:val="20"/>
          <w:color w:val="auto"/>
        </w:rPr>
      </w:pPr>
    </w:p>
    <w:p>
      <w:pPr>
        <w:sectPr>
          <w:pgSz w:w="11900" w:h="16838" w:orient="portrait"/>
          <w:cols w:equalWidth="0" w:num="2">
            <w:col w:w="5120" w:space="720"/>
            <w:col w:w="5560"/>
          </w:cols>
          <w:pgMar w:left="240" w:top="567"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Annual Meeting Proxy Card - Class B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8572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84" w:lineRule="exact"/>
        <w:rPr>
          <w:sz w:val="20"/>
          <w:szCs w:val="20"/>
          <w:color w:val="auto"/>
        </w:rPr>
      </w:pPr>
    </w:p>
    <w:p>
      <w:pPr>
        <w:ind w:left="60"/>
        <w:spacing w:after="0"/>
        <w:rPr>
          <w:sz w:val="20"/>
          <w:szCs w:val="20"/>
          <w:color w:val="auto"/>
        </w:rPr>
      </w:pPr>
      <w:r>
        <w:rPr>
          <w:rFonts w:ascii="Webdings" w:cs="Webdings" w:eastAsia="Webdings" w:hAnsi="Webdings"/>
          <w:sz w:val="16"/>
          <w:szCs w:val="16"/>
          <w:b w:val="1"/>
          <w:bCs w:val="1"/>
          <w:color w:val="auto"/>
        </w:rPr>
        <w:t></w:t>
      </w:r>
      <w:r>
        <w:rPr>
          <w:rFonts w:ascii="Times New Roman" w:cs="Times New Roman" w:eastAsia="Times New Roman" w:hAnsi="Times New Roman"/>
          <w:sz w:val="12"/>
          <w:szCs w:val="12"/>
          <w:b w:val="1"/>
          <w:bCs w:val="1"/>
          <w:color w:val="auto"/>
        </w:rPr>
        <w:t>IF YOU HAVE NOT VOTED VIA THE INTERNET</w:t>
      </w:r>
      <w:r>
        <w:rPr>
          <w:rFonts w:ascii="Webdings" w:cs="Webdings" w:eastAsia="Webdings" w:hAnsi="Webdings"/>
          <w:sz w:val="16"/>
          <w:szCs w:val="16"/>
          <w:b w:val="1"/>
          <w:bCs w:val="1"/>
          <w:color w:val="auto"/>
        </w:rPr>
        <w:t xml:space="preserve"> </w:t>
      </w:r>
      <w:r>
        <w:rPr>
          <w:rFonts w:ascii="Times New Roman" w:cs="Times New Roman" w:eastAsia="Times New Roman" w:hAnsi="Times New Roman"/>
          <w:sz w:val="12"/>
          <w:szCs w:val="12"/>
          <w:b w:val="1"/>
          <w:bCs w:val="1"/>
          <w:u w:val="single" w:color="auto"/>
          <w:color w:val="auto"/>
        </w:rPr>
        <w:t>OR</w:t>
      </w:r>
      <w:r>
        <w:rPr>
          <w:rFonts w:ascii="Webdings" w:cs="Webdings" w:eastAsia="Webdings" w:hAnsi="Webdings"/>
          <w:sz w:val="16"/>
          <w:szCs w:val="16"/>
          <w:b w:val="1"/>
          <w:bCs w:val="1"/>
          <w:color w:val="auto"/>
        </w:rPr>
        <w:t xml:space="preserve"> </w:t>
      </w:r>
      <w:r>
        <w:rPr>
          <w:rFonts w:ascii="Times New Roman" w:cs="Times New Roman" w:eastAsia="Times New Roman" w:hAnsi="Times New Roman"/>
          <w:sz w:val="12"/>
          <w:szCs w:val="12"/>
          <w:b w:val="1"/>
          <w:bCs w:val="1"/>
          <w:color w:val="auto"/>
        </w:rPr>
        <w:t>TELEPHONE, FOLD ALONG THE PERFORATION, DETACH AND RETURN THE BOTTOM PORTION IN THE ENCLOSED ENVLEOPE.</w:t>
      </w:r>
      <w:r>
        <w:rPr>
          <w:rFonts w:ascii="Webdings" w:cs="Webdings" w:eastAsia="Webdings" w:hAnsi="Webdings"/>
          <w:sz w:val="16"/>
          <w:szCs w:val="16"/>
          <w:b w:val="1"/>
          <w:bCs w:val="1"/>
          <w:color w:val="auto"/>
        </w:rPr>
        <w:t xml:space="preserve">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rPr>
        <w:t>-------------------------------------------------------------------------------------------------------------------------------------------------------------------------------------------</w:t>
      </w:r>
    </w:p>
    <w:p>
      <w:pPr>
        <w:spacing w:after="0" w:line="70" w:lineRule="exact"/>
        <w:rPr>
          <w:sz w:val="20"/>
          <w:szCs w:val="20"/>
          <w:color w:val="auto"/>
        </w:rPr>
      </w:pPr>
    </w:p>
    <w:p>
      <w:pPr>
        <w:ind w:left="280" w:hanging="245"/>
        <w:spacing w:after="0"/>
        <w:tabs>
          <w:tab w:leader="none" w:pos="280" w:val="left"/>
        </w:tabs>
        <w:numPr>
          <w:ilvl w:val="0"/>
          <w:numId w:val="46"/>
        </w:numPr>
        <w:rPr>
          <w:rFonts w:ascii="Times New Roman" w:cs="Times New Roman" w:eastAsia="Times New Roman" w:hAnsi="Times New Roman"/>
          <w:sz w:val="29"/>
          <w:szCs w:val="29"/>
          <w:color w:val="FFFFFF"/>
          <w:vertAlign w:val="subscript"/>
        </w:rPr>
      </w:pPr>
      <w:r>
        <w:rPr>
          <w:rFonts w:ascii="Times New Roman" w:cs="Times New Roman" w:eastAsia="Times New Roman" w:hAnsi="Times New Roman"/>
          <w:sz w:val="18"/>
          <w:szCs w:val="18"/>
          <w:b w:val="1"/>
          <w:bCs w:val="1"/>
          <w:color w:val="auto"/>
        </w:rPr>
        <w:t xml:space="preserve">Election of Directors — 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43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17145</wp:posOffset>
            </wp:positionV>
            <wp:extent cx="22288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 cy="360045"/>
                    </a:xfrm>
                    <a:prstGeom prst="rect">
                      <a:avLst/>
                    </a:prstGeom>
                    <a:noFill/>
                  </pic:spPr>
                </pic:pic>
              </a:graphicData>
            </a:graphic>
          </wp:anchor>
        </w:drawing>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Nominees:</w:t>
            </w:r>
          </w:p>
        </w:tc>
        <w:tc>
          <w:tcPr>
            <w:tcW w:w="8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For Withhold</w:t>
            </w:r>
          </w:p>
        </w:tc>
        <w:tc>
          <w:tcPr>
            <w:tcW w:w="1640" w:type="dxa"/>
            <w:vAlign w:val="bottom"/>
          </w:tcPr>
          <w:p>
            <w:pPr>
              <w:spacing w:after="0"/>
              <w:rPr>
                <w:sz w:val="17"/>
                <w:szCs w:val="17"/>
                <w:color w:val="auto"/>
              </w:rPr>
            </w:pPr>
          </w:p>
        </w:tc>
        <w:tc>
          <w:tcPr>
            <w:tcW w:w="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For Withhold</w:t>
            </w:r>
          </w:p>
        </w:tc>
        <w:tc>
          <w:tcPr>
            <w:tcW w:w="1660" w:type="dxa"/>
            <w:vAlign w:val="bottom"/>
          </w:tcPr>
          <w:p>
            <w:pPr>
              <w:spacing w:after="0"/>
              <w:rPr>
                <w:sz w:val="17"/>
                <w:szCs w:val="17"/>
                <w:color w:val="auto"/>
              </w:rPr>
            </w:pPr>
          </w:p>
        </w:tc>
        <w:tc>
          <w:tcPr>
            <w:tcW w:w="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For Withhold</w:t>
            </w:r>
          </w:p>
        </w:tc>
        <w:tc>
          <w:tcPr>
            <w:tcW w:w="0" w:type="dxa"/>
            <w:vAlign w:val="bottom"/>
          </w:tcPr>
          <w:p>
            <w:pPr>
              <w:spacing w:after="0"/>
              <w:rPr>
                <w:sz w:val="1"/>
                <w:szCs w:val="1"/>
                <w:color w:val="auto"/>
              </w:rPr>
            </w:pPr>
          </w:p>
        </w:tc>
      </w:tr>
      <w:tr>
        <w:trPr>
          <w:trHeight w:val="301"/>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Christopher C.</w:t>
            </w:r>
          </w:p>
        </w:tc>
        <w:tc>
          <w:tcPr>
            <w:tcW w:w="380" w:type="dxa"/>
            <w:vAlign w:val="bottom"/>
            <w:tcBorders>
              <w:left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02 -  Thomas S. Gayner</w:t>
            </w:r>
          </w:p>
        </w:tc>
        <w:tc>
          <w:tcPr>
            <w:tcW w:w="36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03 -  Anne M. Mulcahy</w:t>
            </w:r>
          </w:p>
        </w:tc>
        <w:tc>
          <w:tcPr>
            <w:tcW w:w="34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20" w:type="dxa"/>
            <w:vAlign w:val="bottom"/>
            <w:vMerge w:val="continue"/>
          </w:tcPr>
          <w:p>
            <w:pPr>
              <w:spacing w:after="0"/>
              <w:rPr>
                <w:sz w:val="16"/>
                <w:szCs w:val="16"/>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Davis</w:t>
            </w:r>
          </w:p>
        </w:tc>
        <w:tc>
          <w:tcPr>
            <w:tcW w:w="380" w:type="dxa"/>
            <w:vAlign w:val="bottom"/>
            <w:tcBorders>
              <w:left w:val="single" w:sz="8" w:color="auto"/>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640" w:type="dxa"/>
            <w:vAlign w:val="bottom"/>
            <w:tcBorders>
              <w:right w:val="single" w:sz="8" w:color="auto"/>
            </w:tcBorders>
            <w:vMerge w:val="continue"/>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660" w:type="dxa"/>
            <w:vAlign w:val="bottom"/>
            <w:tcBorders>
              <w:right w:val="single" w:sz="8" w:color="auto"/>
            </w:tcBorders>
            <w:vMerge w:val="continue"/>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Larry D.</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8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0" w:type="dxa"/>
            <w:vAlign w:val="bottom"/>
            <w:vMerge w:val="continue"/>
          </w:tcPr>
          <w:p>
            <w:pPr>
              <w:spacing w:after="0"/>
              <w:rPr>
                <w:sz w:val="16"/>
                <w:szCs w:val="16"/>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Thompson</w:t>
            </w:r>
          </w:p>
        </w:tc>
        <w:tc>
          <w:tcPr>
            <w:tcW w:w="380" w:type="dxa"/>
            <w:vAlign w:val="bottom"/>
            <w:tcBorders>
              <w:left w:val="single" w:sz="8" w:color="auto"/>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80" w:hanging="245"/>
        <w:spacing w:after="0"/>
        <w:tabs>
          <w:tab w:leader="none" w:pos="280" w:val="left"/>
        </w:tabs>
        <w:numPr>
          <w:ilvl w:val="0"/>
          <w:numId w:val="47"/>
        </w:numPr>
        <w:rPr>
          <w:rFonts w:ascii="Times New Roman" w:cs="Times New Roman" w:eastAsia="Times New Roman" w:hAnsi="Times New Roman"/>
          <w:sz w:val="29"/>
          <w:szCs w:val="29"/>
          <w:color w:val="FFFFFF"/>
          <w:vertAlign w:val="subscript"/>
        </w:rPr>
      </w:pPr>
      <w:r>
        <w:rPr>
          <w:rFonts w:ascii="Times New Roman" w:cs="Times New Roman" w:eastAsia="Times New Roman" w:hAnsi="Times New Roman"/>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430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79" w:lineRule="exact"/>
        <w:rPr>
          <w:sz w:val="20"/>
          <w:szCs w:val="20"/>
          <w:color w:val="auto"/>
        </w:rPr>
      </w:pPr>
    </w:p>
    <w:p>
      <w:pPr>
        <w:ind w:left="40"/>
        <w:spacing w:after="0"/>
        <w:tabs>
          <w:tab w:leader="none" w:pos="3880" w:val="left"/>
          <w:tab w:leader="none" w:pos="7480" w:val="left"/>
        </w:tabs>
        <w:rPr>
          <w:sz w:val="20"/>
          <w:szCs w:val="20"/>
          <w:color w:val="auto"/>
        </w:rPr>
      </w:pPr>
      <w:r>
        <w:rPr>
          <w:rFonts w:ascii="Times New Roman" w:cs="Times New Roman" w:eastAsia="Times New Roman" w:hAnsi="Times New Roman"/>
          <w:sz w:val="14"/>
          <w:szCs w:val="14"/>
          <w:color w:val="auto"/>
        </w:rPr>
        <w:t>Change of Address - Please print new address below</w:t>
      </w:r>
      <w:r>
        <w:rPr>
          <w:sz w:val="20"/>
          <w:szCs w:val="20"/>
          <w:color w:val="auto"/>
        </w:rPr>
        <w:tab/>
      </w:r>
      <w:r>
        <w:rPr>
          <w:rFonts w:ascii="Times New Roman" w:cs="Times New Roman" w:eastAsia="Times New Roman" w:hAnsi="Times New Roman"/>
          <w:sz w:val="14"/>
          <w:szCs w:val="14"/>
          <w:color w:val="auto"/>
        </w:rPr>
        <w:t>Comments - Please print your comments below</w:t>
      </w:r>
      <w:r>
        <w:rPr>
          <w:sz w:val="20"/>
          <w:szCs w:val="20"/>
          <w:color w:val="auto"/>
        </w:rPr>
        <w:tab/>
      </w:r>
      <w:r>
        <w:rPr>
          <w:rFonts w:ascii="Times New Roman" w:cs="Times New Roman" w:eastAsia="Times New Roman" w:hAnsi="Times New Roman"/>
          <w:sz w:val="14"/>
          <w:szCs w:val="14"/>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23495</wp:posOffset>
            </wp:positionV>
            <wp:extent cx="205740" cy="420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740" cy="4203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wp:posOffset>
            </wp:positionV>
            <wp:extent cx="468249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82490" cy="428625"/>
                    </a:xfrm>
                    <a:prstGeom prst="rect">
                      <a:avLst/>
                    </a:prstGeom>
                    <a:noFill/>
                  </pic:spPr>
                </pic:pic>
              </a:graphicData>
            </a:graphic>
          </wp:anchor>
        </w:drawing>
      </w:r>
    </w:p>
    <w:p>
      <w:pPr>
        <w:spacing w:after="0" w:line="3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Mark the box to the</w:t>
      </w:r>
    </w:p>
    <w:p>
      <w:pPr>
        <w:ind w:left="7500"/>
        <w:spacing w:after="0" w:line="226" w:lineRule="auto"/>
        <w:rPr>
          <w:sz w:val="20"/>
          <w:szCs w:val="20"/>
          <w:color w:val="auto"/>
        </w:rPr>
      </w:pPr>
      <w:r>
        <w:rPr>
          <w:rFonts w:ascii="Times New Roman" w:cs="Times New Roman" w:eastAsia="Times New Roman" w:hAnsi="Times New Roman"/>
          <w:sz w:val="14"/>
          <w:szCs w:val="14"/>
          <w:color w:val="auto"/>
        </w:rPr>
        <w:t>right if you plan to</w:t>
      </w:r>
    </w:p>
    <w:p>
      <w:pPr>
        <w:ind w:left="7500"/>
        <w:spacing w:after="0" w:line="222" w:lineRule="auto"/>
        <w:rPr>
          <w:sz w:val="20"/>
          <w:szCs w:val="20"/>
          <w:color w:val="auto"/>
        </w:rPr>
      </w:pPr>
      <w:r>
        <w:rPr>
          <w:rFonts w:ascii="Times New Roman" w:cs="Times New Roman" w:eastAsia="Times New Roman" w:hAnsi="Times New Roman"/>
          <w:sz w:val="14"/>
          <w:szCs w:val="14"/>
          <w:color w:val="auto"/>
        </w:rPr>
        <w:t>attend the Annual</w:t>
      </w:r>
    </w:p>
    <w:p>
      <w:pPr>
        <w:ind w:left="7500"/>
        <w:spacing w:after="0"/>
        <w:rPr>
          <w:sz w:val="20"/>
          <w:szCs w:val="20"/>
          <w:color w:val="auto"/>
        </w:rPr>
      </w:pPr>
      <w:r>
        <w:rPr>
          <w:rFonts w:ascii="Times New Roman" w:cs="Times New Roman" w:eastAsia="Times New Roman" w:hAnsi="Times New Roman"/>
          <w:sz w:val="14"/>
          <w:szCs w:val="14"/>
          <w:color w:val="auto"/>
        </w:rPr>
        <w:t>Meeting.</w:t>
      </w:r>
    </w:p>
    <w:p>
      <w:pPr>
        <w:spacing w:after="0" w:line="79" w:lineRule="exact"/>
        <w:rPr>
          <w:sz w:val="20"/>
          <w:szCs w:val="20"/>
          <w:color w:val="auto"/>
        </w:rPr>
      </w:pPr>
    </w:p>
    <w:p>
      <w:pPr>
        <w:ind w:left="280" w:hanging="245"/>
        <w:spacing w:after="0"/>
        <w:tabs>
          <w:tab w:leader="none" w:pos="280" w:val="left"/>
        </w:tabs>
        <w:numPr>
          <w:ilvl w:val="0"/>
          <w:numId w:val="48"/>
        </w:numPr>
        <w:rPr>
          <w:rFonts w:ascii="Times New Roman" w:cs="Times New Roman" w:eastAsia="Times New Roman" w:hAnsi="Times New Roman"/>
          <w:sz w:val="29"/>
          <w:szCs w:val="29"/>
          <w:color w:val="FFFFFF"/>
          <w:vertAlign w:val="subscript"/>
        </w:rPr>
      </w:pPr>
      <w:r>
        <w:rPr>
          <w:rFonts w:ascii="Times New Roman" w:cs="Times New Roman" w:eastAsia="Times New Roman" w:hAnsi="Times New Roman"/>
          <w:sz w:val="18"/>
          <w:szCs w:val="18"/>
          <w:b w:val="1"/>
          <w:bCs w:val="1"/>
          <w:color w:val="auto"/>
        </w:rPr>
        <w:t>Authorized Signatures — This section must be completed for your vote to be counted - Data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430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1" w:lineRule="exact"/>
        <w:rPr>
          <w:sz w:val="20"/>
          <w:szCs w:val="20"/>
          <w:color w:val="auto"/>
        </w:rPr>
      </w:pPr>
    </w:p>
    <w:p>
      <w:pPr>
        <w:ind w:left="40" w:right="2220"/>
        <w:spacing w:after="0" w:line="261" w:lineRule="auto"/>
        <w:rPr>
          <w:sz w:val="20"/>
          <w:szCs w:val="20"/>
          <w:color w:val="auto"/>
        </w:rPr>
      </w:pPr>
      <w:r>
        <w:rPr>
          <w:rFonts w:ascii="Times New Roman" w:cs="Times New Roman" w:eastAsia="Times New Roman" w:hAnsi="Times New Roman"/>
          <w:sz w:val="14"/>
          <w:szCs w:val="14"/>
          <w:color w:val="auto"/>
        </w:rPr>
        <w:t>Please sign exactly as name(s) appears herein. Joint owners should sign. When signing as attorney, executor, administrator, corporate officer, trustee, guardian, or custodian, please give full title.</w:t>
      </w:r>
    </w:p>
    <w:p>
      <w:pPr>
        <w:sectPr>
          <w:pgSz w:w="11900" w:h="16838" w:orient="portrait"/>
          <w:cols w:equalWidth="0" w:num="1">
            <w:col w:w="11400"/>
          </w:cols>
          <w:pgMar w:left="240" w:top="567" w:right="25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844040" cy="506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404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Times New Roman" w:cs="Times New Roman" w:eastAsia="Times New Roman" w:hAnsi="Times New Roman"/>
          <w:sz w:val="14"/>
          <w:szCs w:val="14"/>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-2540</wp:posOffset>
            </wp:positionV>
            <wp:extent cx="1861185" cy="506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6118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Signature 2 — Please keep signature within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13335</wp:posOffset>
            </wp:positionV>
            <wp:extent cx="1895475" cy="506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5475" cy="50609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3">
            <w:col w:w="2760" w:space="380"/>
            <w:col w:w="2740" w:space="400"/>
            <w:col w:w="5120"/>
          </w:cols>
          <w:pgMar w:left="240" w:top="567" w:right="259" w:bottom="1440" w:gutter="0" w:footer="0" w:header="0"/>
          <w:type w:val="continuous"/>
        </w:sectPr>
      </w:pPr>
    </w:p>
    <w:p>
      <w:pPr>
        <w:spacing w:after="0" w:line="132" w:lineRule="exact"/>
        <w:rPr>
          <w:sz w:val="20"/>
          <w:szCs w:val="20"/>
          <w:color w:val="auto"/>
        </w:rPr>
      </w:pPr>
    </w:p>
    <w:p>
      <w:pPr>
        <w:ind w:left="1000"/>
        <w:spacing w:after="0"/>
        <w:tabs>
          <w:tab w:leader="none" w:pos="1780" w:val="left"/>
        </w:tabs>
        <w:rPr>
          <w:sz w:val="20"/>
          <w:szCs w:val="20"/>
          <w:color w:val="auto"/>
        </w:rPr>
      </w:pPr>
      <w:r>
        <w:rPr>
          <w:rFonts w:ascii="Times New Roman" w:cs="Times New Roman" w:eastAsia="Times New Roman" w:hAnsi="Times New Roman"/>
          <w:sz w:val="32"/>
          <w:szCs w:val="32"/>
          <w:color w:val="auto"/>
        </w:rPr>
        <w:t>/</w:t>
      </w:r>
      <w:r>
        <w:rPr>
          <w:sz w:val="20"/>
          <w:szCs w:val="20"/>
          <w:color w:val="auto"/>
        </w:rPr>
        <w:tab/>
      </w:r>
      <w:r>
        <w:rPr>
          <w:rFonts w:ascii="Times New Roman" w:cs="Times New Roman" w:eastAsia="Times New Roman" w:hAnsi="Times New Roman"/>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22885"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885" cy="33464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281305</wp:posOffset>
            </wp:positionV>
            <wp:extent cx="231775"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3346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6460"/>
        <w:spacing w:after="0"/>
        <w:rPr>
          <w:sz w:val="20"/>
          <w:szCs w:val="20"/>
          <w:color w:val="auto"/>
        </w:rPr>
      </w:pPr>
      <w:r>
        <w:rPr>
          <w:rFonts w:ascii="Times New Roman" w:cs="Times New Roman" w:eastAsia="Times New Roman" w:hAnsi="Times New Roman"/>
          <w:sz w:val="25"/>
          <w:szCs w:val="25"/>
          <w:b w:val="1"/>
          <w:bCs w:val="1"/>
          <w:color w:val="auto"/>
        </w:rPr>
        <w:t>40D V</w:t>
      </w:r>
    </w:p>
    <w:p>
      <w:pPr>
        <w:spacing w:after="0" w:line="2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Unreadable</w:t>
      </w:r>
    </w:p>
    <w:p>
      <w:pPr>
        <w:sectPr>
          <w:pgSz w:w="11900" w:h="16838" w:orient="portrait"/>
          <w:cols w:equalWidth="0" w:num="1">
            <w:col w:w="11400"/>
          </w:cols>
          <w:pgMar w:left="240" w:top="567" w:right="25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1975485</wp:posOffset>
            </wp:positionV>
            <wp:extent cx="3696335" cy="995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96335"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960"/>
        <w:spacing w:after="0" w:line="246" w:lineRule="auto"/>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 Annual Meeting of Stockholders to be held on May 14, 2015.</w:t>
      </w:r>
    </w:p>
    <w:p>
      <w:pPr>
        <w:spacing w:after="0" w:line="194" w:lineRule="exact"/>
        <w:rPr>
          <w:sz w:val="20"/>
          <w:szCs w:val="20"/>
          <w:color w:val="auto"/>
        </w:rPr>
      </w:pPr>
    </w:p>
    <w:p>
      <w:pPr>
        <w:jc w:val="center"/>
        <w:ind w:right="2960"/>
        <w:spacing w:after="0"/>
        <w:rPr>
          <w:sz w:val="20"/>
          <w:szCs w:val="20"/>
          <w:color w:val="auto"/>
        </w:rPr>
      </w:pPr>
      <w:r>
        <w:rPr>
          <w:rFonts w:ascii="Times New Roman" w:cs="Times New Roman" w:eastAsia="Times New Roman" w:hAnsi="Times New Roman"/>
          <w:sz w:val="22"/>
          <w:szCs w:val="22"/>
          <w:b w:val="1"/>
          <w:bCs w:val="1"/>
          <w:color w:val="auto"/>
        </w:rPr>
        <w:t>The Proxy Statement and the Annual Report to Stockholders</w:t>
      </w:r>
    </w:p>
    <w:p>
      <w:pPr>
        <w:spacing w:after="0" w:line="18" w:lineRule="exact"/>
        <w:rPr>
          <w:sz w:val="20"/>
          <w:szCs w:val="20"/>
          <w:color w:val="auto"/>
        </w:rPr>
      </w:pPr>
    </w:p>
    <w:p>
      <w:pPr>
        <w:jc w:val="center"/>
        <w:ind w:right="2960"/>
        <w:spacing w:after="0"/>
        <w:rPr>
          <w:sz w:val="20"/>
          <w:szCs w:val="20"/>
          <w:color w:val="auto"/>
        </w:rPr>
      </w:pPr>
      <w:r>
        <w:rPr>
          <w:rFonts w:ascii="Times New Roman" w:cs="Times New Roman" w:eastAsia="Times New Roman" w:hAnsi="Times New Roman"/>
          <w:sz w:val="22"/>
          <w:szCs w:val="22"/>
          <w:b w:val="1"/>
          <w:bCs w:val="1"/>
          <w:color w:val="auto"/>
        </w:rPr>
        <w:t>are available on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Webdings" w:cs="Webdings" w:eastAsia="Webdings" w:hAnsi="Webdings"/>
          <w:sz w:val="14"/>
          <w:szCs w:val="14"/>
          <w:b w:val="1"/>
          <w:bCs w:val="1"/>
          <w:color w:val="auto"/>
        </w:rPr>
        <w:t></w:t>
      </w:r>
      <w:r>
        <w:rPr>
          <w:rFonts w:ascii="Times New Roman" w:cs="Times New Roman" w:eastAsia="Times New Roman" w:hAnsi="Times New Roman"/>
          <w:sz w:val="14"/>
          <w:szCs w:val="14"/>
          <w:color w:val="auto"/>
        </w:rPr>
        <w:t>PLEASE FOLD ALONG THE PERFORATION DETACH AND RETURN THE BOTTOM PORTION IN THE ENCLOSED ENVELOPE.</w:t>
      </w:r>
      <w:r>
        <w:rPr>
          <w:rFonts w:ascii="Webdings" w:cs="Webdings" w:eastAsia="Webdings" w:hAnsi="Webdings"/>
          <w:sz w:val="14"/>
          <w:szCs w:val="14"/>
          <w:b w:val="1"/>
          <w:bCs w:val="1"/>
          <w:color w:val="auto"/>
        </w:rPr>
        <w:t></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FF0000"/>
        </w:rPr>
        <w: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294005</wp:posOffset>
            </wp:positionV>
            <wp:extent cx="58572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36830</wp:posOffset>
            </wp:positionV>
            <wp:extent cx="58572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Graham Holdings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Class B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 of Stockholders - May 14, 2015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Solicited on behalf of the Board of Directors</w:t>
      </w:r>
    </w:p>
    <w:p>
      <w:pPr>
        <w:spacing w:after="0" w:line="140"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4"/>
          <w:szCs w:val="14"/>
          <w:color w:val="auto"/>
        </w:rPr>
        <w:t>The undersigned hereby appoints Donald E. Graham, Hal S. Jones, Nicole Maddrey and Gerald M. Rosberg, and each of them, his/her true and lawful agents and proxies, with full power of substitution in each, to vote as indicated on the reverse of the Proxy all shares of Class B Common Stock which the undersigned, is entitled to vote, at the Annual Meeting of Stockholders of GRAHAM HOLDINGS COMPANY to be held on May 14, 2015, and at any adjournment thereof, and to vote on all other matters properly coming before said meeting.</w:t>
      </w:r>
    </w:p>
    <w:p>
      <w:pPr>
        <w:spacing w:after="0" w:line="1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vote, date and sign this proxy on the other side and return it promptly in the enclosed envelope.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(Continued and to be voted on reverse side.)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CHANGE YOUR VOTE</w:t>
      </w:r>
    </w:p>
    <w:p>
      <w:pPr>
        <w:spacing w:after="0" w:line="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Any subsequent vote by any means will change your prior vote. For example, if you voted by telephone, a subsequent Internet vote will change your vote. The last vote received before 5:00 p.m., Eastern Daylight Saving Time on May 13, 2015 will be the one counted. You may also revoke your proxy by voting in person at the annual meeting.</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upperLetter"/>
      <w:start w:val="1"/>
    </w:lvl>
  </w:abstractNum>
  <w:abstractNum w:abstractNumId="6">
    <w:nsid w:val="71F32454"/>
    <w:multiLevelType w:val="hybridMultilevel"/>
    <w:lvl w:ilvl="0">
      <w:lvlJc w:val="left"/>
      <w:lvlText w:val="%1:"/>
      <w:numFmt w:val="upperLetter"/>
      <w:start w:val="1"/>
    </w:lvl>
  </w:abstractNum>
  <w:abstractNum w:abstractNumId="7">
    <w:nsid w:val="2CA88611"/>
    <w:multiLevelType w:val="hybridMultilevel"/>
    <w:lvl w:ilvl="0">
      <w:lvlJc w:val="left"/>
      <w:lvlText w:val="%1:"/>
      <w:numFmt w:val="upperLetter"/>
      <w:start w:val="1"/>
    </w:lvl>
  </w:abstractNum>
  <w:abstractNum w:abstractNumId="8">
    <w:nsid w:val="836C40E"/>
    <w:multiLevelType w:val="hybridMultilevel"/>
    <w:lvl w:ilvl="0">
      <w:lvlJc w:val="left"/>
      <w:lvlText w:val="%1:"/>
      <w:numFmt w:val="upperLetter"/>
      <w:start w:val="1"/>
    </w:lvl>
    <w:lvl w:ilvl="1">
      <w:lvlJc w:val="left"/>
      <w:lvlText w:val="•"/>
      <w:numFmt w:val="bullet"/>
      <w:start w:val="1"/>
    </w:lvl>
  </w:abstractNum>
  <w:abstractNum w:abstractNumId="9">
    <w:nsid w:val="2901D82"/>
    <w:multiLevelType w:val="hybridMultilevel"/>
    <w:lvl w:ilvl="0">
      <w:lvlJc w:val="left"/>
      <w:lvlText w:val="%1:"/>
      <w:numFmt w:val="upperLetter"/>
      <w:start w:val="1"/>
    </w:lvl>
  </w:abstractNum>
  <w:abstractNum w:abstractNumId="10">
    <w:nsid w:val="3A95F874"/>
    <w:multiLevelType w:val="hybridMultilevel"/>
    <w:lvl w:ilvl="0">
      <w:lvlJc w:val="left"/>
      <w:lvlText w:val="%1:"/>
      <w:numFmt w:val="upperLetter"/>
      <w:start w:val="1"/>
    </w:lvl>
    <w:lvl w:ilvl="1">
      <w:lvlJc w:val="left"/>
      <w:lvlText w:val="•"/>
      <w:numFmt w:val="bullet"/>
      <w:start w:val="1"/>
    </w:lvl>
  </w:abstractNum>
  <w:abstractNum w:abstractNumId="11">
    <w:nsid w:val="8138641"/>
    <w:multiLevelType w:val="hybridMultilevel"/>
    <w:lvl w:ilvl="0">
      <w:lvlJc w:val="left"/>
      <w:lvlText w:val="%1:"/>
      <w:numFmt w:val="upperLetter"/>
      <w:start w:val="1"/>
    </w:lvl>
  </w:abstractNum>
  <w:abstractNum w:abstractNumId="12">
    <w:nsid w:val="1E7FF521"/>
    <w:multiLevelType w:val="hybridMultilevel"/>
    <w:lvl w:ilvl="0">
      <w:lvlJc w:val="left"/>
      <w:lvlText w:val="%1:"/>
      <w:numFmt w:val="upperLetter"/>
      <w:start w:val="1"/>
    </w:lvl>
  </w:abstractNum>
  <w:abstractNum w:abstractNumId="13">
    <w:nsid w:val="7C3DBD3D"/>
    <w:multiLevelType w:val="hybridMultilevel"/>
    <w:lvl w:ilvl="0">
      <w:lvlJc w:val="left"/>
      <w:lvlText w:val="%1:"/>
      <w:numFmt w:val="upperLetter"/>
      <w:start w:val="1"/>
    </w:lvl>
    <w:lvl w:ilvl="1">
      <w:lvlJc w:val="left"/>
      <w:lvlText w:val="•"/>
      <w:numFmt w:val="bullet"/>
      <w:start w:val="1"/>
    </w:lvl>
  </w:abstractNum>
  <w:abstractNum w:abstractNumId="14">
    <w:nsid w:val="737B8DDC"/>
    <w:multiLevelType w:val="hybridMultilevel"/>
    <w:lvl w:ilvl="0">
      <w:lvlJc w:val="left"/>
      <w:lvlText w:val="%1:"/>
      <w:numFmt w:val="upperLetter"/>
      <w:start w:val="17"/>
    </w:lvl>
    <w:lvl w:ilvl="1">
      <w:lvlJc w:val="left"/>
      <w:lvlText w:val="%2:"/>
      <w:numFmt w:val="upperLetter"/>
      <w:start w:val="1"/>
    </w:lvl>
  </w:abstractNum>
  <w:abstractNum w:abstractNumId="15">
    <w:nsid w:val="6CEAF087"/>
    <w:multiLevelType w:val="hybridMultilevel"/>
    <w:lvl w:ilvl="0">
      <w:lvlJc w:val="left"/>
      <w:lvlText w:val="%1:"/>
      <w:numFmt w:val="upperLetter"/>
      <w:start w:val="1"/>
    </w:lvl>
  </w:abstractNum>
  <w:abstractNum w:abstractNumId="16">
    <w:nsid w:val="22221A70"/>
    <w:multiLevelType w:val="hybridMultilevel"/>
    <w:lvl w:ilvl="0">
      <w:lvlJc w:val="left"/>
      <w:lvlText w:val="%1:"/>
      <w:numFmt w:val="upperLetter"/>
      <w:start w:val="1"/>
    </w:lvl>
  </w:abstractNum>
  <w:abstractNum w:abstractNumId="17">
    <w:nsid w:val="4516DDE9"/>
    <w:multiLevelType w:val="hybridMultilevel"/>
    <w:lvl w:ilvl="0">
      <w:lvlJc w:val="left"/>
      <w:lvlText w:val="%1:"/>
      <w:numFmt w:val="upperLetter"/>
      <w:start w:val="1"/>
    </w:lvl>
  </w:abstractNum>
  <w:abstractNum w:abstractNumId="18">
    <w:nsid w:val="3006C83E"/>
    <w:multiLevelType w:val="hybridMultilevel"/>
    <w:lvl w:ilvl="0">
      <w:lvlJc w:val="left"/>
      <w:lvlText w:val="%1:"/>
      <w:numFmt w:val="upperLetter"/>
      <w:start w:val="1"/>
    </w:lvl>
    <w:lvl w:ilvl="1">
      <w:lvlJc w:val="left"/>
      <w:lvlText w:val="•"/>
      <w:numFmt w:val="bullet"/>
      <w:start w:val="1"/>
    </w:lvl>
  </w:abstractNum>
  <w:abstractNum w:abstractNumId="19">
    <w:nsid w:val="614FD4A1"/>
    <w:multiLevelType w:val="hybridMultilevel"/>
    <w:lvl w:ilvl="0">
      <w:lvlJc w:val="left"/>
      <w:lvlText w:val="%1:"/>
      <w:numFmt w:val="upperLetter"/>
      <w:start w:val="1"/>
    </w:lvl>
  </w:abstractNum>
  <w:abstractNum w:abstractNumId="20">
    <w:nsid w:val="419AC241"/>
    <w:multiLevelType w:val="hybridMultilevel"/>
    <w:lvl w:ilvl="0">
      <w:lvlJc w:val="left"/>
      <w:lvlText w:val="&amp;"/>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8"/>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6"/>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Roman"/>
      <w:start w:val="3"/>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1"/>
      <w:numFmt w:val="decimal"/>
      <w:start w:val="1"/>
    </w:lvl>
    <w:lvl w:ilvl="1">
      <w:lvlJc w:val="left"/>
      <w:lvlText w:val="%2"/>
      <w:numFmt w:val="decimal"/>
      <w:start w:val="800"/>
    </w:lvl>
  </w:abstractNum>
  <w:abstractNum w:abstractNumId="35">
    <w:nsid w:val="70A64E2A"/>
    <w:multiLevelType w:val="hybridMultilevel"/>
    <w:lvl w:ilvl="0">
      <w:lvlJc w:val="left"/>
      <w:lvlText w:val="%1."/>
      <w:numFmt w:val="decimal"/>
      <w:start w:val="3"/>
    </w:lvl>
    <w:lvl w:ilvl="1">
      <w:lvlJc w:val="left"/>
      <w:lvlText w:val="%2"/>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A"/>
      <w:numFmt w:val="bullet"/>
      <w:start w:val="1"/>
    </w:lvl>
  </w:abstractNum>
  <w:abstractNum w:abstractNumId="41">
    <w:nsid w:val="57E4CCAF"/>
    <w:multiLevelType w:val="hybridMultilevel"/>
    <w:lvl w:ilvl="0">
      <w:lvlJc w:val="left"/>
      <w:lvlText w:val="B"/>
      <w:numFmt w:val="bullet"/>
      <w:start w:val="1"/>
    </w:lvl>
  </w:abstractNum>
  <w:abstractNum w:abstractNumId="42">
    <w:nsid w:val="7A6D8D3C"/>
    <w:multiLevelType w:val="hybridMultilevel"/>
    <w:lvl w:ilvl="0">
      <w:lvlJc w:val="left"/>
      <w:lvlText w:val="C"/>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A"/>
      <w:numFmt w:val="bullet"/>
      <w:start w:val="1"/>
    </w:lvl>
  </w:abstractNum>
  <w:abstractNum w:abstractNumId="46">
    <w:nsid w:val="38437FDB"/>
    <w:multiLevelType w:val="hybridMultilevel"/>
    <w:lvl w:ilvl="0">
      <w:lvlJc w:val="left"/>
      <w:lvlText w:val="B"/>
      <w:numFmt w:val="bullet"/>
      <w:start w:val="1"/>
    </w:lvl>
  </w:abstractNum>
  <w:abstractNum w:abstractNumId="47">
    <w:nsid w:val="7644A45C"/>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2019-12-05T16:43:14Z</dcterms:created>
  <dcterms:modified xsi:type="dcterms:W3CDTF">2019-12-05T16:43:14Z</dcterms:modified>
</cp:coreProperties>
</file>