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64" w:before="0" w:after="18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64" w:before="0" w:after="18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80" w:after="180"/>
        <w:jc w:val="center"/>
        <w:rPr>
          <w:rFonts w:ascii="Arial;sans-serif" w:hAnsi="Arial;sans-serif"/>
          <w:b/>
          <w:color w:val="000000"/>
          <w:sz w:val="36"/>
        </w:rPr>
      </w:pPr>
      <w:r>
        <w:rPr>
          <w:rFonts w:ascii="Arial;sans-serif" w:hAnsi="Arial;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64" w:before="100" w:after="240"/>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64" w:before="180" w:after="240"/>
        <w:jc w:val="center"/>
        <w:rPr/>
      </w:pPr>
      <w:r>
        <w:rPr>
          <w:rFonts w:ascii="Arial;sans-serif" w:hAnsi="Arial;sans-serif"/>
          <w:b/>
          <w:color w:val="000000"/>
          <w:sz w:val="24"/>
        </w:rPr>
        <w:t>Date of Report (Date of earliest event reported)</w:t>
      </w:r>
      <w:r>
        <w:rPr>
          <w:color w:val="000000"/>
        </w:rPr>
        <w:t xml:space="preserve"> </w:t>
      </w:r>
      <w:r>
        <w:rPr>
          <w:rFonts w:ascii="Arial;sans-serif" w:hAnsi="Arial;sans-serif"/>
          <w:b/>
          <w:color w:val="000000"/>
          <w:sz w:val="24"/>
          <w:u w:val="single"/>
        </w:rPr>
        <w:t xml:space="preserve">February 25, 2025 </w:t>
      </w:r>
    </w:p>
    <w:p>
      <w:pPr>
        <w:pStyle w:val="TextBody"/>
        <w:bidi w:val="0"/>
        <w:spacing w:lineRule="auto" w:line="264" w:before="100" w:after="180"/>
        <w:jc w:val="center"/>
        <w:rPr>
          <w:rFonts w:ascii="Arial;sans-serif" w:hAnsi="Arial;sans-serif"/>
          <w:b/>
          <w:color w:val="000000"/>
          <w:sz w:val="48"/>
        </w:rPr>
      </w:pPr>
      <w:r>
        <w:rPr>
          <w:rFonts w:ascii="Arial;sans-serif" w:hAnsi="Arial;sans-serif"/>
          <w:b/>
          <w:color w:val="000000"/>
          <w:sz w:val="48"/>
        </w:rPr>
        <w:t>GRAHAM HOLDINGS COMPANY</w:t>
      </w:r>
    </w:p>
    <w:p>
      <w:pPr>
        <w:pStyle w:val="TextBody"/>
        <w:bidi w:val="0"/>
        <w:spacing w:lineRule="auto" w:line="264" w:before="0" w:after="240"/>
        <w:jc w:val="center"/>
        <w:rPr/>
      </w:pPr>
      <w:r>
        <w:rPr>
          <w:rFonts w:ascii="Arial;sans-serif" w:hAnsi="Arial;sans-serif"/>
          <w:b/>
          <w:color w:val="000000"/>
          <w:sz w:val="20"/>
        </w:rPr>
        <w:t>(Exact name of registrant as specified in its charter)</w:t>
      </w:r>
      <w:r>
        <w:rPr>
          <w:color w:val="000000"/>
        </w:rPr>
        <w:t> </w:t>
      </w:r>
    </w:p>
    <w:tbl>
      <w:tblPr>
        <w:tblW w:w="6938" w:type="dxa"/>
        <w:jc w:val="center"/>
        <w:tblInd w:w="0" w:type="dxa"/>
        <w:tblLayout w:type="fixed"/>
        <w:tblCellMar>
          <w:top w:w="28" w:type="dxa"/>
          <w:left w:w="28" w:type="dxa"/>
          <w:bottom w:w="28" w:type="dxa"/>
          <w:right w:w="28" w:type="dxa"/>
        </w:tblCellMar>
      </w:tblPr>
      <w:tblGrid>
        <w:gridCol w:w="315"/>
        <w:gridCol w:w="277"/>
        <w:gridCol w:w="277"/>
        <w:gridCol w:w="277"/>
        <w:gridCol w:w="277"/>
        <w:gridCol w:w="277"/>
        <w:gridCol w:w="277"/>
        <w:gridCol w:w="277"/>
        <w:gridCol w:w="277"/>
        <w:gridCol w:w="277"/>
        <w:gridCol w:w="277"/>
        <w:gridCol w:w="277"/>
        <w:gridCol w:w="277"/>
        <w:gridCol w:w="277"/>
        <w:gridCol w:w="277"/>
        <w:gridCol w:w="389"/>
        <w:gridCol w:w="389"/>
        <w:gridCol w:w="393"/>
        <w:gridCol w:w="460"/>
        <w:gridCol w:w="460"/>
        <w:gridCol w:w="6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Delaware</w:t>
            </w:r>
          </w:p>
        </w:tc>
        <w:tc>
          <w:tcPr>
            <w:tcW w:w="117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001-06714</w:t>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53-0182885</w:t>
            </w:r>
          </w:p>
        </w:tc>
      </w:tr>
      <w:tr>
        <w:trPr/>
        <w:tc>
          <w:tcPr>
            <w:tcW w:w="419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incorporation)</w:t>
            </w:r>
          </w:p>
        </w:tc>
        <w:tc>
          <w:tcPr>
            <w:tcW w:w="117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(Commission</w:t>
            </w:r>
          </w:p>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File Number)</w:t>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Identification No.)</w:t>
            </w:r>
          </w:p>
        </w:tc>
      </w:tr>
      <w:tr>
        <w:trPr/>
        <w:tc>
          <w:tcPr>
            <w:tcW w:w="86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1812 North Moore Street, Arlington, Virginia</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22209</w:t>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64" w:before="80" w:after="180"/>
        <w:jc w:val="center"/>
        <w:rPr>
          <w:rFonts w:ascii="Arial;sans-serif" w:hAnsi="Arial;sans-serif"/>
          <w:b/>
          <w:color w:val="000000"/>
          <w:sz w:val="20"/>
        </w:rPr>
      </w:pPr>
      <w:r>
        <w:rPr>
          <w:rFonts w:ascii="Arial;sans-serif" w:hAnsi="Arial;sans-serif"/>
          <w:b/>
          <w:color w:val="000000"/>
          <w:sz w:val="20"/>
        </w:rPr>
        <w:t xml:space="preserve">(703) 345-6300 </w:t>
      </w:r>
    </w:p>
    <w:p>
      <w:pPr>
        <w:pStyle w:val="TextBody"/>
        <w:bidi w:val="0"/>
        <w:spacing w:lineRule="auto" w:line="264" w:before="0" w:after="180"/>
        <w:jc w:val="center"/>
        <w:rPr>
          <w:rFonts w:ascii="Arial;sans-serif" w:hAnsi="Arial;sans-serif"/>
          <w:b/>
          <w:color w:val="000000"/>
          <w:sz w:val="16"/>
        </w:rPr>
      </w:pPr>
      <w:r>
        <w:rPr>
          <w:rFonts w:ascii="Arial;sans-serif" w:hAnsi="Arial;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64" w:before="0" w:after="18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389" w:type="dxa"/>
        <w:jc w:val="left"/>
        <w:tblInd w:w="0" w:type="dxa"/>
        <w:tblLayout w:type="fixed"/>
        <w:tblCellMar>
          <w:top w:w="28" w:type="dxa"/>
          <w:left w:w="28" w:type="dxa"/>
          <w:bottom w:w="28" w:type="dxa"/>
          <w:right w:w="28" w:type="dxa"/>
        </w:tblCellMar>
      </w:tblPr>
      <w:tblGrid>
        <w:gridCol w:w="1532"/>
        <w:gridCol w:w="1346"/>
        <w:gridCol w:w="1352"/>
        <w:gridCol w:w="454"/>
        <w:gridCol w:w="454"/>
        <w:gridCol w:w="456"/>
        <w:gridCol w:w="1108"/>
        <w:gridCol w:w="1108"/>
        <w:gridCol w:w="1579"/>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Trading symbol</w:t>
            </w:r>
          </w:p>
        </w:tc>
        <w:tc>
          <w:tcPr>
            <w:tcW w:w="379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Class B Common Stock, par value $1.00 per share</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GHC</w:t>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64" w:before="80" w:after="1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(§240.12b-2 of this chapter).</w:t>
      </w:r>
    </w:p>
    <w:tbl>
      <w:tblPr>
        <w:tblW w:w="2682" w:type="dxa"/>
        <w:jc w:val="left"/>
        <w:tblInd w:w="0" w:type="dxa"/>
        <w:tblLayout w:type="fixed"/>
        <w:tblCellMar>
          <w:top w:w="28" w:type="dxa"/>
          <w:left w:w="28" w:type="dxa"/>
          <w:bottom w:w="28" w:type="dxa"/>
          <w:right w:w="28" w:type="dxa"/>
        </w:tblCellMar>
      </w:tblPr>
      <w:tblGrid>
        <w:gridCol w:w="837"/>
        <w:gridCol w:w="734"/>
        <w:gridCol w:w="73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r>
    </w:tbl>
    <w:p>
      <w:pPr>
        <w:pStyle w:val="TextBody"/>
        <w:bidi w:val="0"/>
        <w:spacing w:lineRule="auto" w:line="264" w:before="80" w:after="18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64" w:before="180" w:after="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February 25, 2025, Jack Markell was elected to the Board of Directors of Graham Holdings Company (the “Company”). Mr. Markell previously served as a Director of the Company from May 2017 through December 2021. The Board has not yet determined whether Mr. Markell will be a member of any committee of the Board. The Board determined that Mr. Markell qualifies as an "independent director" under New York Stock Exchange listing standards. There are no family relationships between Mr. Markell and any director or executive officer of the Company or any related party transactions involving Mr. Markell and the Company. There is no arrangement or understanding between Mr. Markell and any other person pursuant to which he was selected as a director. Mr. Markell’s compensation for service as a non-employee director will be consistent with that of the Company’s other non-employee directors, which consists of an annual cash retainer, a portion of which non-employee directors may elect to receive in the form of fully vested shares of the Company’s Class B common stock, and reimbursement of out-of-pocket expenses for the meetings that he attends. The Company's non-employee director compensation practices are described in the Proxy Statement for the Company's 2024 Annual Meeting of Stockholders filed with the Securities and Exchange Commission on March 26, 2024, under the heading "Director Compensation."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 copy of the Company's press release announcing the election of Mr. Markell is furnished as Exhibit 99.1 to the Form 8-K.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hanging="1440"/>
        <w:jc w:val="left"/>
        <w:rPr>
          <w:rFonts w:ascii="Arial;sans-serif" w:hAnsi="Arial;sans-serif"/>
          <w:b w:val="false"/>
          <w:color w:val="000000"/>
          <w:sz w:val="20"/>
        </w:rPr>
      </w:pPr>
      <w:r>
        <w:rPr>
          <w:rFonts w:ascii="Arial;sans-serif" w:hAnsi="Arial;sans-serif"/>
          <w:b w:val="false"/>
          <w:color w:val="000000"/>
          <w:sz w:val="20"/>
        </w:rPr>
        <w:t>Exhibit 99.1     Press release dated February 25, 2025.</w:t>
      </w:r>
    </w:p>
    <w:p>
      <w:pPr>
        <w:pStyle w:val="TextBody"/>
        <w:bidi w:val="0"/>
        <w:spacing w:before="0" w:after="0"/>
        <w:ind w:left="0" w:right="0" w:firstLine="4905"/>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29920"/>
                <wp:effectExtent l="0" t="0" r="0" b="0"/>
                <wp:wrapNone/>
                <wp:docPr id="2" name="Frame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Index</w:t>
      </w:r>
    </w:p>
    <w:p>
      <w:pPr>
        <w:pStyle w:val="TextBody"/>
        <w:bidi w:val="0"/>
        <w:spacing w:lineRule="auto" w:line="288" w:before="0" w:after="0"/>
        <w:jc w:val="left"/>
        <w:rPr>
          <w:color w:val="000000"/>
        </w:rPr>
      </w:pPr>
      <w:r>
        <w:rPr>
          <w:color w:val="000000"/>
        </w:rPr>
        <w:t>  </w:t>
      </w:r>
    </w:p>
    <w:tbl>
      <w:tblPr>
        <w:tblW w:w="8909" w:type="dxa"/>
        <w:jc w:val="left"/>
        <w:tblInd w:w="0" w:type="dxa"/>
        <w:tblLayout w:type="fixed"/>
        <w:tblCellMar>
          <w:top w:w="28" w:type="dxa"/>
          <w:left w:w="28" w:type="dxa"/>
          <w:bottom w:w="28" w:type="dxa"/>
          <w:right w:w="28" w:type="dxa"/>
        </w:tblCellMar>
      </w:tblPr>
      <w:tblGrid>
        <w:gridCol w:w="418"/>
        <w:gridCol w:w="367"/>
        <w:gridCol w:w="370"/>
        <w:gridCol w:w="2269"/>
        <w:gridCol w:w="2269"/>
        <w:gridCol w:w="3216"/>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Exhibit 99.1</w:t>
            </w:r>
          </w:p>
        </w:tc>
        <w:tc>
          <w:tcPr>
            <w:tcW w:w="77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02x25form8xkex991.htm">
              <w:r>
                <w:rPr>
                  <w:rStyle w:val="InternetLink"/>
                  <w:rFonts w:ascii="Arial;sans-serif" w:hAnsi="Arial;sans-serif"/>
                  <w:b w:val="false"/>
                  <w:color w:val="0000FF"/>
                  <w:sz w:val="20"/>
                  <w:u w:val="single"/>
                </w:rPr>
                <w:t>Press Release dated February 25, 2025.</w:t>
              </w:r>
            </w:hyperlink>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Exhibit 104</w:t>
            </w:r>
          </w:p>
        </w:tc>
        <w:tc>
          <w:tcPr>
            <w:tcW w:w="77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Cover Page Interactive Data File, formatted in Inline XBRL and included as Exhibit 101.</w:t>
            </w:r>
          </w:p>
        </w:tc>
      </w:tr>
    </w:tbl>
    <w:p>
      <w:pPr>
        <w:pStyle w:val="TextBody"/>
        <w:bidi w:val="0"/>
        <w:spacing w:before="0" w:after="0"/>
        <w:ind w:left="0" w:right="0" w:hanging="144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29920"/>
                <wp:effectExtent l="0" t="0" r="0" b="0"/>
                <wp:wrapNone/>
                <wp:docPr id="3" name="Frame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7105" w:type="dxa"/>
        <w:jc w:val="left"/>
        <w:tblInd w:w="0" w:type="dxa"/>
        <w:tblLayout w:type="fixed"/>
        <w:tblCellMar>
          <w:top w:w="28" w:type="dxa"/>
          <w:left w:w="28" w:type="dxa"/>
          <w:bottom w:w="28" w:type="dxa"/>
          <w:right w:w="28" w:type="dxa"/>
        </w:tblCellMar>
      </w:tblPr>
      <w:tblGrid>
        <w:gridCol w:w="803"/>
        <w:gridCol w:w="704"/>
        <w:gridCol w:w="712"/>
        <w:gridCol w:w="109"/>
        <w:gridCol w:w="109"/>
        <w:gridCol w:w="109"/>
        <w:gridCol w:w="1331"/>
        <w:gridCol w:w="1331"/>
        <w:gridCol w:w="1897"/>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55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Graham Holdings Company</w:t>
            </w:r>
          </w:p>
        </w:tc>
      </w:tr>
      <w:tr>
        <w:trPr/>
        <w:tc>
          <w:tcPr>
            <w:tcW w:w="221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(Registrant)</w:t>
            </w:r>
          </w:p>
        </w:tc>
      </w:tr>
      <w:tr>
        <w:trPr/>
        <w:tc>
          <w:tcPr>
            <w:tcW w:w="221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55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21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55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2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Date: February 25, 2025</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55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/s/ Nicole M. Maddrey</w:t>
            </w:r>
          </w:p>
        </w:tc>
      </w:tr>
      <w:tr>
        <w:trPr/>
        <w:tc>
          <w:tcPr>
            <w:tcW w:w="221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Nicole M. Maddrey,</w:t>
              <w:br/>
              <w:t>Senior Vice President, General Counsel,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29920"/>
                <wp:effectExtent l="0" t="0" r="0" b="0"/>
                <wp:wrapNone/>
                <wp:docPr id="4" name="Frame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64" w:before="0" w:after="20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Jack Markell Elected a Director of Graham Holdings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ARLINGTON, VA – February 25, 2025 – Graham Holdings Company (NYSE: GHC) announced today that Jack A. Markell has been elected to the Board of Directors. </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Markell rejoins the Board after previously serving as a Director of the Company from May 2017 through December 2021. Most recently, he was the US Ambassador to the Italian Republic and the Republic of San Marino. Prior to that, he served as the US Ambassador to the Organisation for Economic Co-operation and Development.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Arial;sans-serif" w:hAnsi="Arial;sans-serif"/>
          <w:b w:val="false"/>
          <w:color w:val="000000"/>
          <w:sz w:val="20"/>
        </w:rPr>
        <w:t>Elected as the 73</w:t>
      </w:r>
      <w:r>
        <w:rPr>
          <w:rFonts w:ascii="Arial;sans-serif" w:hAnsi="Arial;sans-serif"/>
          <w:b w:val="false"/>
          <w:color w:val="000000"/>
          <w:sz w:val="13"/>
        </w:rPr>
        <w:t>rd</w:t>
      </w:r>
      <w:r>
        <w:rPr>
          <w:color w:val="000000"/>
        </w:rPr>
        <w:t xml:space="preserve"> </w:t>
      </w:r>
      <w:r>
        <w:rPr>
          <w:rFonts w:ascii="Arial;sans-serif" w:hAnsi="Arial;sans-serif"/>
          <w:b w:val="false"/>
          <w:color w:val="000000"/>
          <w:sz w:val="20"/>
        </w:rPr>
        <w:t xml:space="preserve">Governor of Delaware in 2009, Markell served two terms. Before he was elected Governor, he was the Delaware State Treasurer for 10 years. Mr. Markell has also held several executive leadership roles in corporate development, investor relations, strategic management and consulting. </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Timothy J. O’Shaughnessy, president and chief executive officer of Graham Holdings Company, said: “We are thrilled to welcome Jack back to our Board. His previous contributions were immeasurable, and we are fortunate that he has agreed to return.”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Arial;sans-serif" w:hAnsi="Arial;sans-serif"/>
          <w:b w:val="false"/>
          <w:color w:val="000000"/>
          <w:sz w:val="20"/>
        </w:rPr>
        <w:t>Markell previously served on the boards of Upstream USA, Symbiont.io, FS Credit Real Estate Income Trust, Scientific Games Corporation, Vemo Education, Generation USA, High Resolves and on the National Board of Directors of Jobs for America’s Graduates. He also served as a Trustee of the Annie E. Casey Foundation, Strada Education Network and Delaware State University. He earned his undergraduate degree in economics and development studies from Brown University and an MBA from the University of Chicago.</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0" w:after="0"/>
        <w:jc w:val="left"/>
        <w:rPr/>
      </w:pPr>
      <w:r>
        <w:rPr/>
      </w:r>
    </w:p>
    <w:p>
      <w:pPr>
        <w:pStyle w:val="TextBody"/>
        <w:bidi w:val="0"/>
        <w:spacing w:before="0" w:after="0"/>
        <w:jc w:val="left"/>
        <w:rPr/>
      </w:pPr>
      <w:r>
        <w:rPr/>
      </w:r>
    </w:p>
    <w:tbl>
      <w:tblPr>
        <w:tblW w:w="3556" w:type="dxa"/>
        <w:jc w:val="left"/>
        <w:tblInd w:w="0" w:type="dxa"/>
        <w:tblLayout w:type="fixed"/>
        <w:tblCellMar>
          <w:top w:w="28" w:type="dxa"/>
          <w:left w:w="28" w:type="dxa"/>
          <w:bottom w:w="28" w:type="dxa"/>
          <w:right w:w="28" w:type="dxa"/>
        </w:tblCellMar>
      </w:tblPr>
      <w:tblGrid>
        <w:gridCol w:w="331"/>
        <w:gridCol w:w="291"/>
        <w:gridCol w:w="293"/>
        <w:gridCol w:w="772"/>
        <w:gridCol w:w="772"/>
        <w:gridCol w:w="1097"/>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 xml:space="preserve">Contact: </w:t>
            </w:r>
          </w:p>
        </w:tc>
        <w:tc>
          <w:tcPr>
            <w:tcW w:w="264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Sandy Stonesifer</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sandy.stonesifer@ghco.com</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(703) 345-6300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905</Words>
  <Characters>4990</Characters>
  <CharactersWithSpaces>5882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