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456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565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Dillon Veronica</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THE WASHINGTON POST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Graham Holdings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GHC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07/09/2014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3"/>
        <w:spacing w:after="0"/>
        <w:rPr>
          <w:sz w:val="20"/>
          <w:szCs w:val="20"/>
          <w:color w:val="auto"/>
        </w:rPr>
      </w:pPr>
      <w:r>
        <w:rPr>
          <w:rFonts w:ascii="Arial" w:cs="Arial" w:eastAsia="Arial" w:hAnsi="Arial"/>
          <w:sz w:val="17"/>
          <w:szCs w:val="17"/>
          <w:color w:val="0000FF"/>
        </w:rPr>
        <w:t>Sr. VP, GC &amp; Secretary</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WASHINGTON DC</w:t>
            </w:r>
          </w:p>
        </w:tc>
        <w:tc>
          <w:tcPr>
            <w:tcW w:w="1680" w:type="dxa"/>
            <w:vAlign w:val="bottom"/>
          </w:tcPr>
          <w:p>
            <w:pPr>
              <w:ind w:left="440"/>
              <w:spacing w:after="0"/>
              <w:rPr>
                <w:sz w:val="20"/>
                <w:szCs w:val="20"/>
                <w:color w:val="auto"/>
              </w:rPr>
            </w:pPr>
            <w:r>
              <w:rPr>
                <w:rFonts w:ascii="Arial" w:cs="Arial" w:eastAsia="Arial" w:hAnsi="Arial"/>
                <w:sz w:val="17"/>
                <w:szCs w:val="17"/>
                <w:color w:val="0000FF"/>
              </w:rPr>
              <w:t>20071</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jc w:val="center"/>
              <w:ind w:left="626"/>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Class B Common Stock</w:t>
            </w:r>
          </w:p>
        </w:tc>
        <w:tc>
          <w:tcPr>
            <w:tcW w:w="1800" w:type="dxa"/>
            <w:vAlign w:val="bottom"/>
          </w:tcPr>
          <w:p>
            <w:pPr>
              <w:jc w:val="center"/>
              <w:ind w:left="606"/>
              <w:spacing w:after="0"/>
              <w:rPr>
                <w:sz w:val="20"/>
                <w:szCs w:val="20"/>
                <w:color w:val="auto"/>
              </w:rPr>
            </w:pPr>
            <w:r>
              <w:rPr>
                <w:rFonts w:ascii="Arial" w:cs="Arial" w:eastAsia="Arial" w:hAnsi="Arial"/>
                <w:sz w:val="17"/>
                <w:szCs w:val="17"/>
                <w:color w:val="0000FF"/>
                <w:w w:val="93"/>
              </w:rPr>
              <w:t>07/09/2014</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6"/>
              <w:spacing w:after="0"/>
              <w:rPr>
                <w:sz w:val="20"/>
                <w:szCs w:val="20"/>
                <w:color w:val="auto"/>
              </w:rPr>
            </w:pPr>
            <w:r>
              <w:rPr>
                <w:rFonts w:ascii="Arial" w:cs="Arial" w:eastAsia="Arial" w:hAnsi="Arial"/>
                <w:sz w:val="17"/>
                <w:szCs w:val="17"/>
                <w:color w:val="0000FF"/>
                <w:w w:val="93"/>
              </w:rPr>
              <w:t>1,000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86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368.56</w:t>
            </w:r>
          </w:p>
        </w:tc>
        <w:tc>
          <w:tcPr>
            <w:tcW w:w="1160" w:type="dxa"/>
            <w:vAlign w:val="bottom"/>
          </w:tcPr>
          <w:p>
            <w:pPr>
              <w:ind w:left="400"/>
              <w:spacing w:after="0"/>
              <w:rPr>
                <w:sz w:val="20"/>
                <w:szCs w:val="20"/>
                <w:color w:val="auto"/>
              </w:rPr>
            </w:pPr>
            <w:r>
              <w:rPr>
                <w:rFonts w:ascii="Arial" w:cs="Arial" w:eastAsia="Arial" w:hAnsi="Arial"/>
                <w:sz w:val="17"/>
                <w:szCs w:val="17"/>
                <w:color w:val="0000FF"/>
              </w:rPr>
              <w:t>3,650</w:t>
            </w:r>
          </w:p>
        </w:tc>
        <w:tc>
          <w:tcPr>
            <w:tcW w:w="980" w:type="dxa"/>
            <w:vAlign w:val="bottom"/>
          </w:tcPr>
          <w:p>
            <w:pPr>
              <w:ind w:left="440"/>
              <w:spacing w:after="0"/>
              <w:rPr>
                <w:sz w:val="20"/>
                <w:szCs w:val="20"/>
                <w:color w:val="auto"/>
              </w:rPr>
            </w:pPr>
            <w:r>
              <w:rPr>
                <w:rFonts w:ascii="Arial" w:cs="Arial" w:eastAsia="Arial" w:hAnsi="Arial"/>
                <w:sz w:val="17"/>
                <w:szCs w:val="17"/>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B Common Stock</w:t>
            </w:r>
          </w:p>
        </w:tc>
        <w:tc>
          <w:tcPr>
            <w:tcW w:w="1800" w:type="dxa"/>
            <w:vAlign w:val="bottom"/>
            <w:tcBorders>
              <w:bottom w:val="single" w:sz="8" w:color="2C2C2C"/>
            </w:tcBorders>
          </w:tcPr>
          <w:p>
            <w:pPr>
              <w:jc w:val="center"/>
              <w:ind w:left="606"/>
              <w:spacing w:after="0"/>
              <w:rPr>
                <w:sz w:val="20"/>
                <w:szCs w:val="20"/>
                <w:color w:val="auto"/>
              </w:rPr>
            </w:pPr>
            <w:r>
              <w:rPr>
                <w:rFonts w:ascii="Arial" w:cs="Arial" w:eastAsia="Arial" w:hAnsi="Arial"/>
                <w:sz w:val="17"/>
                <w:szCs w:val="17"/>
                <w:color w:val="0000FF"/>
                <w:w w:val="93"/>
              </w:rPr>
              <w:t>07/09/2014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730.68</w:t>
            </w:r>
            <w:r>
              <w:rPr>
                <w:rFonts w:ascii="Arial" w:cs="Arial" w:eastAsia="Arial" w:hAnsi="Arial"/>
                <w:sz w:val="22"/>
                <w:szCs w:val="22"/>
                <w:color w:val="008000"/>
                <w:w w:val="88"/>
                <w:vertAlign w:val="superscript"/>
              </w:rPr>
              <w:t>(1)</w:t>
            </w:r>
          </w:p>
        </w:tc>
        <w:tc>
          <w:tcPr>
            <w:tcW w:w="116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3,050</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B Common Stock</w:t>
            </w:r>
          </w:p>
        </w:tc>
        <w:tc>
          <w:tcPr>
            <w:tcW w:w="1800" w:type="dxa"/>
            <w:vAlign w:val="bottom"/>
            <w:tcBorders>
              <w:bottom w:val="single" w:sz="8" w:color="2C2C2C"/>
            </w:tcBorders>
          </w:tcPr>
          <w:p>
            <w:pPr>
              <w:jc w:val="center"/>
              <w:ind w:left="606"/>
              <w:spacing w:after="0"/>
              <w:rPr>
                <w:sz w:val="20"/>
                <w:szCs w:val="20"/>
                <w:color w:val="auto"/>
              </w:rPr>
            </w:pPr>
            <w:r>
              <w:rPr>
                <w:rFonts w:ascii="Arial" w:cs="Arial" w:eastAsia="Arial" w:hAnsi="Arial"/>
                <w:sz w:val="17"/>
                <w:szCs w:val="17"/>
                <w:color w:val="0000FF"/>
                <w:w w:val="93"/>
              </w:rPr>
              <w:t>07/09/2014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733.21</w:t>
            </w:r>
            <w:r>
              <w:rPr>
                <w:rFonts w:ascii="Arial" w:cs="Arial" w:eastAsia="Arial" w:hAnsi="Arial"/>
                <w:sz w:val="22"/>
                <w:szCs w:val="22"/>
                <w:color w:val="008000"/>
                <w:w w:val="88"/>
                <w:vertAlign w:val="superscript"/>
              </w:rPr>
              <w:t>(2)</w:t>
            </w:r>
          </w:p>
        </w:tc>
        <w:tc>
          <w:tcPr>
            <w:tcW w:w="116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2,650</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Amount of</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ind w:left="80"/>
              <w:spacing w:after="0"/>
              <w:rPr>
                <w:sz w:val="20"/>
                <w:szCs w:val="20"/>
                <w:color w:val="auto"/>
              </w:rPr>
            </w:pPr>
            <w:r>
              <w:rPr>
                <w:rFonts w:ascii="Arial" w:cs="Arial" w:eastAsia="Arial" w:hAnsi="Arial"/>
                <w:sz w:val="13"/>
                <w:szCs w:val="13"/>
                <w:color w:val="0000FF"/>
              </w:rPr>
              <w:t>12/15/2009</w:t>
            </w:r>
            <w:r>
              <w:rPr>
                <w:rFonts w:ascii="Arial" w:cs="Arial" w:eastAsia="Arial" w:hAnsi="Arial"/>
                <w:sz w:val="22"/>
                <w:szCs w:val="22"/>
                <w:color w:val="008000"/>
                <w:vertAlign w:val="superscript"/>
              </w:rPr>
              <w:t>(3)</w:t>
            </w:r>
          </w:p>
        </w:tc>
        <w:tc>
          <w:tcPr>
            <w:tcW w:w="680" w:type="dxa"/>
            <w:vAlign w:val="bottom"/>
          </w:tcPr>
          <w:p>
            <w:pPr>
              <w:spacing w:after="0"/>
              <w:rPr>
                <w:sz w:val="16"/>
                <w:szCs w:val="16"/>
                <w:color w:val="auto"/>
              </w:rPr>
            </w:pPr>
          </w:p>
        </w:tc>
        <w:tc>
          <w:tcPr>
            <w:tcW w:w="700" w:type="dxa"/>
            <w:vAlign w:val="bottom"/>
          </w:tcPr>
          <w:p>
            <w:pPr>
              <w:ind w:left="120"/>
              <w:spacing w:after="0"/>
              <w:rPr>
                <w:sz w:val="20"/>
                <w:szCs w:val="20"/>
                <w:color w:val="auto"/>
              </w:rPr>
            </w:pPr>
            <w:r>
              <w:rPr>
                <w:rFonts w:ascii="Arial" w:cs="Arial" w:eastAsia="Arial" w:hAnsi="Arial"/>
                <w:sz w:val="13"/>
                <w:szCs w:val="13"/>
                <w:color w:val="0000FF"/>
              </w:rPr>
              <w:t>Class B</w:t>
            </w: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1,000</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ind w:left="2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368.56</w:t>
            </w:r>
          </w:p>
        </w:tc>
        <w:tc>
          <w:tcPr>
            <w:tcW w:w="1140" w:type="dxa"/>
            <w:vAlign w:val="bottom"/>
          </w:tcPr>
          <w:p>
            <w:pPr>
              <w:jc w:val="right"/>
              <w:ind w:right="198"/>
              <w:spacing w:after="0" w:line="148" w:lineRule="exact"/>
              <w:rPr>
                <w:sz w:val="20"/>
                <w:szCs w:val="20"/>
                <w:color w:val="auto"/>
              </w:rPr>
            </w:pPr>
            <w:r>
              <w:rPr>
                <w:rFonts w:ascii="Arial" w:cs="Arial" w:eastAsia="Arial" w:hAnsi="Arial"/>
                <w:sz w:val="13"/>
                <w:szCs w:val="13"/>
                <w:color w:val="0000FF"/>
              </w:rPr>
              <w:t>07/09/2014</w:t>
            </w:r>
          </w:p>
        </w:tc>
        <w:tc>
          <w:tcPr>
            <w:tcW w:w="1120" w:type="dxa"/>
            <w:vAlign w:val="bottom"/>
          </w:tcPr>
          <w:p>
            <w:pPr>
              <w:spacing w:after="0"/>
              <w:rPr>
                <w:sz w:val="12"/>
                <w:szCs w:val="12"/>
                <w:color w:val="auto"/>
              </w:rPr>
            </w:pPr>
          </w:p>
        </w:tc>
        <w:tc>
          <w:tcPr>
            <w:tcW w:w="840" w:type="dxa"/>
            <w:vAlign w:val="bottom"/>
          </w:tcPr>
          <w:p>
            <w:pPr>
              <w:ind w:left="160"/>
              <w:spacing w:after="0" w:line="148" w:lineRule="exact"/>
              <w:rPr>
                <w:sz w:val="20"/>
                <w:szCs w:val="20"/>
                <w:color w:val="auto"/>
              </w:rPr>
            </w:pPr>
            <w:r>
              <w:rPr>
                <w:rFonts w:ascii="Arial" w:cs="Arial" w:eastAsia="Arial" w:hAnsi="Arial"/>
                <w:sz w:val="13"/>
                <w:szCs w:val="13"/>
                <w:color w:val="0000FF"/>
              </w:rPr>
              <w:t>M</w:t>
            </w:r>
          </w:p>
        </w:tc>
        <w:tc>
          <w:tcPr>
            <w:tcW w:w="480" w:type="dxa"/>
            <w:vAlign w:val="bottom"/>
          </w:tcPr>
          <w:p>
            <w:pPr>
              <w:ind w:left="80"/>
              <w:spacing w:after="0" w:line="148" w:lineRule="exact"/>
              <w:rPr>
                <w:sz w:val="20"/>
                <w:szCs w:val="20"/>
                <w:color w:val="auto"/>
              </w:rPr>
            </w:pPr>
            <w:r>
              <w:rPr>
                <w:rFonts w:ascii="Arial" w:cs="Arial" w:eastAsia="Arial" w:hAnsi="Arial"/>
                <w:sz w:val="13"/>
                <w:szCs w:val="13"/>
                <w:color w:val="0000FF"/>
              </w:rPr>
              <w:t>1,000</w:t>
            </w:r>
          </w:p>
        </w:tc>
        <w:tc>
          <w:tcPr>
            <w:tcW w:w="2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680" w:type="dxa"/>
            <w:vAlign w:val="bottom"/>
          </w:tcPr>
          <w:p>
            <w:pPr>
              <w:spacing w:after="0" w:line="148" w:lineRule="exact"/>
              <w:rPr>
                <w:sz w:val="20"/>
                <w:szCs w:val="20"/>
                <w:color w:val="auto"/>
              </w:rPr>
            </w:pPr>
            <w:r>
              <w:rPr>
                <w:rFonts w:ascii="Arial" w:cs="Arial" w:eastAsia="Arial" w:hAnsi="Arial"/>
                <w:sz w:val="13"/>
                <w:szCs w:val="13"/>
                <w:color w:val="0000FF"/>
              </w:rPr>
              <w:t>12/15/2018</w:t>
            </w:r>
          </w:p>
        </w:tc>
        <w:tc>
          <w:tcPr>
            <w:tcW w:w="700" w:type="dxa"/>
            <w:vAlign w:val="bottom"/>
          </w:tcPr>
          <w:p>
            <w:pPr>
              <w:ind w:left="8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720" w:type="dxa"/>
            <w:vAlign w:val="bottom"/>
          </w:tcPr>
          <w:p>
            <w:pPr>
              <w:ind w:left="28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440"/>
              <w:spacing w:after="0" w:line="148" w:lineRule="exact"/>
              <w:rPr>
                <w:sz w:val="20"/>
                <w:szCs w:val="20"/>
                <w:color w:val="auto"/>
              </w:rPr>
            </w:pPr>
            <w:r>
              <w:rPr>
                <w:rFonts w:ascii="Arial" w:cs="Arial" w:eastAsia="Arial" w:hAnsi="Arial"/>
                <w:sz w:val="13"/>
                <w:szCs w:val="13"/>
                <w:color w:val="0000FF"/>
              </w:rPr>
              <w:t>0</w:t>
            </w:r>
          </w:p>
        </w:tc>
        <w:tc>
          <w:tcPr>
            <w:tcW w:w="76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$730.29 to $731.03, inclusive. The reporting person undertakes to provide to Graham Holdings Company, any security holder of Graham Holdings Company, or the staff of the Securities and Exchange Commission, upon request, full information regarding the shares sold.</w:t>
      </w:r>
    </w:p>
    <w:p>
      <w:pPr>
        <w:ind w:left="40" w:right="1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$733.14 to $733.31, inclusive. The reporting person undertakes to provide to Graham Holdings Company, any security holder of Graham Holdings Company, or the staff of the Securities and Exchange Commission, upon request, full information regarding the shares sold.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Employee Stock Option was granted on 12/15/2008, and vested annually over 4 years, 250 shares per year.</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Veronica Dillon</w:t>
            </w:r>
          </w:p>
        </w:tc>
        <w:tc>
          <w:tcPr>
            <w:tcW w:w="11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07/10/2014</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5044" TargetMode="External"/><Relationship Id="rId13"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2019-12-16T03:00:39Z</dcterms:created>
  <dcterms:modified xsi:type="dcterms:W3CDTF">2019-12-16T03:00:39Z</dcterms:modified>
</cp:coreProperties>
</file>