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Washington Post Company</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939640108</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96,115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337,855 shares (Shared)</w:t>
      </w:r>
    </w:p>
    <w:p>
      <w:pPr>
        <w:ind w:left="4860"/>
        <w:spacing w:after="0" w:line="238" w:lineRule="auto"/>
        <w:rPr>
          <w:sz w:val="20"/>
          <w:szCs w:val="20"/>
          <w:color w:val="auto"/>
        </w:rPr>
      </w:pPr>
      <w:r>
        <w:rPr>
          <w:rFonts w:ascii="Courier New" w:cs="Courier New" w:eastAsia="Courier New" w:hAnsi="Courier New"/>
          <w:sz w:val="18"/>
          <w:szCs w:val="18"/>
          <w:color w:val="auto"/>
        </w:rPr>
        <w:t>5,186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101,301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337,855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439,156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939640108</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rPr>
              <w:t>Investment Adviser registered under Section 203 of the</w:t>
            </w:r>
          </w:p>
        </w:tc>
        <w:tc>
          <w:tcPr>
            <w:tcW w:w="1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Investment Advisers Act of 1940.  This statement is being</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by Southeastern Asset Management, Inc. as a registered investment</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adviser. All of the securities covered by this report are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legally by Southeastern's investment advisory clients and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are owned directly or indirectly by Southeastern.  As permitted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by Rule 13d-4, the filing of this statement shall not be construed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as an admission that Southeastern Asset Management, Inc. is the</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beneficial owner of any of the securities covered by this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statement.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7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Parent Holding Company.  This statement is also being filed by</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Mr. O. Mason Hawkins, Chairman of the Board and C.E.O. of</w:t>
            </w:r>
          </w:p>
        </w:tc>
        <w:tc>
          <w:tcPr>
            <w:tcW w:w="1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Southeastern Asset Management, Inc. in the event he could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deemed to be a controlling person of that firm as the result of</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his official positions with or ownership of its voting securities.</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existence of such control is expressly disclaimed.  Mr. Hawkins</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does not own directly or indirectly any securities covered by</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statement for his own account.  As permitted by Rule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13d-4,</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the filing of this statement shall not be construed as an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admission</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Mr. Hawkins is the beneficial owner of any of the securities</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covered by this statement.</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12/31/09)</w:t>
      </w:r>
    </w:p>
    <w:p>
      <w:pPr>
        <w:ind w:left="1060"/>
        <w:spacing w:after="0" w:line="238" w:lineRule="auto"/>
        <w:rPr>
          <w:sz w:val="20"/>
          <w:szCs w:val="20"/>
          <w:color w:val="auto"/>
        </w:rPr>
      </w:pPr>
      <w:r>
        <w:rPr>
          <w:rFonts w:ascii="Courier New" w:cs="Courier New" w:eastAsia="Courier New" w:hAnsi="Courier New"/>
          <w:sz w:val="18"/>
          <w:szCs w:val="18"/>
          <w:color w:val="auto"/>
        </w:rPr>
        <w:t>439,156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5.4 %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8,108,303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96,115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- 337,855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36"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Longleaf Partners Small Cap Fund - 337,855</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- 5,186.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101,301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- 337,855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- 337,855</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2010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136" w:right="1440" w:bottom="0" w:gutter="0" w:footer="0" w:header="0"/>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5, 2010.</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WPO13G1.doc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2019-12-10T03:46:44Z</dcterms:created>
  <dcterms:modified xsi:type="dcterms:W3CDTF">2019-12-10T03:46:44Z</dcterms:modified>
</cp:coreProperties>
</file>