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Graham Holdings Co. Class B</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384637104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384637104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3,197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338,630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7,057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345,687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Graham Holdings Co. Class B</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1300 North 17th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Arlington, Virginia 22209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384637104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345,687</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3,197</w:t>
      </w:r>
    </w:p>
    <w:p>
      <w:pPr>
        <w:spacing w:after="0" w:line="223" w:lineRule="exact"/>
        <w:rPr>
          <w:rFonts w:ascii="Times New Roman" w:cs="Times New Roman" w:eastAsia="Times New Roman" w:hAnsi="Times New Roman"/>
          <w:sz w:val="17"/>
          <w:szCs w:val="17"/>
          <w:color w:val="auto"/>
        </w:rPr>
      </w:pPr>
    </w:p>
    <w:p>
      <w:pPr>
        <w:ind w:left="220" w:right="62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338,630 (iv) shared power to dispose or to direct the disposition of: 7,057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2021-02-10T10:05:46Z</dcterms:created>
  <dcterms:modified xsi:type="dcterms:W3CDTF">2021-02-10T10:05:46Z</dcterms:modified>
</cp:coreProperties>
</file>