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226695</wp:posOffset>
            </wp:positionV>
            <wp:extent cx="111061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0615"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245110</wp:posOffset>
            </wp:positionV>
            <wp:extent cx="111061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0615"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20)</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ectPr>
          <w:pgSz w:w="11900" w:h="16838" w:orient="portrait"/>
          <w:cols w:equalWidth="0" w:num="1">
            <w:col w:w="11400"/>
          </w:cols>
          <w:pgMar w:left="240" w:top="1134" w:right="259" w:bottom="1440" w:gutter="0" w:footer="0" w:header="0"/>
        </w:sectPr>
      </w:pPr>
    </w:p>
    <w:p>
      <w:pPr>
        <w:spacing w:after="0" w:line="232"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Class B Common Stock $1.00 par value</w:t>
      </w:r>
    </w:p>
    <w:p>
      <w:pPr>
        <w:spacing w:after="0" w:line="50"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939640 10 8</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sectPr>
          <w:pgSz w:w="11900" w:h="16838" w:orient="portrait"/>
          <w:cols w:equalWidth="0" w:num="2">
            <w:col w:w="7220" w:space="720"/>
            <w:col w:w="3460"/>
          </w:cols>
          <w:pgMar w:left="240" w:top="1134" w:right="259" w:bottom="1440" w:gutter="0" w:footer="0" w:header="0"/>
          <w:type w:val="continuous"/>
        </w:sectPr>
      </w:pPr>
    </w:p>
    <w:p>
      <w:pPr>
        <w:spacing w:after="0" w:line="2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Nicole M. Maddrey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Graham Holdings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1300 North 17th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Arlington, VA 22209</w:t>
      </w:r>
    </w:p>
    <w:p>
      <w:pPr>
        <w:spacing w:after="0" w:line="9" w:lineRule="exact"/>
        <w:rPr>
          <w:sz w:val="24"/>
          <w:szCs w:val="24"/>
          <w:color w:val="auto"/>
        </w:rPr>
      </w:pPr>
    </w:p>
    <w:p>
      <w:pPr>
        <w:jc w:val="both"/>
        <w:ind w:left="5140" w:right="5120" w:firstLine="12"/>
        <w:spacing w:after="0" w:line="587"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345-6300 with a copy to:</w:t>
      </w:r>
    </w:p>
    <w:p>
      <w:pPr>
        <w:jc w:val="center"/>
        <w:ind w:right="-39"/>
        <w:spacing w:after="0"/>
        <w:rPr>
          <w:sz w:val="20"/>
          <w:szCs w:val="20"/>
          <w:color w:val="auto"/>
        </w:rPr>
      </w:pPr>
      <w:r>
        <w:rPr>
          <w:rFonts w:ascii="Arial" w:cs="Arial" w:eastAsia="Arial" w:hAnsi="Arial"/>
          <w:sz w:val="18"/>
          <w:szCs w:val="18"/>
          <w:b w:val="1"/>
          <w:bCs w:val="1"/>
          <w:color w:val="auto"/>
        </w:rPr>
        <w:t>Eric L. Schiele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474-1000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12, 2015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[_].</w:t>
      </w:r>
    </w:p>
    <w:p>
      <w:pPr>
        <w:spacing w:after="0" w:line="19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720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1111885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34" w:right="259" w:bottom="1440" w:gutter="0" w:footer="0" w:header="0"/>
          <w:type w:val="continuous"/>
        </w:sectPr>
      </w:pPr>
    </w:p>
    <w:bookmarkStart w:id="1" w:name="page2"/>
    <w:bookmarkEnd w:id="1"/>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4"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6311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311900"/>
                    </a:xfrm>
                    <a:prstGeom prst="rect">
                      <a:avLst/>
                    </a:prstGeom>
                    <a:noFill/>
                  </pic:spPr>
                </pic:pic>
              </a:graphicData>
            </a:graphic>
          </wp:anchor>
        </w:drawing>
      </w:r>
    </w:p>
    <w:p>
      <w:pPr>
        <w:spacing w:after="0" w:line="7" w:lineRule="exact"/>
        <w:rPr>
          <w:sz w:val="20"/>
          <w:szCs w:val="20"/>
          <w:color w:val="auto"/>
        </w:rPr>
      </w:pPr>
    </w:p>
    <w:p>
      <w:pPr>
        <w:ind w:left="1380" w:right="4180" w:hanging="784"/>
        <w:spacing w:after="0" w:line="181" w:lineRule="auto"/>
        <w:tabs>
          <w:tab w:leader="none" w:pos="1344" w:val="left"/>
        </w:tabs>
        <w:numPr>
          <w:ilvl w:val="0"/>
          <w:numId w:val="2"/>
        </w:numPr>
        <w:rPr>
          <w:rFonts w:ascii="Arial" w:cs="Arial" w:eastAsia="Arial" w:hAnsi="Arial"/>
          <w:sz w:val="46"/>
          <w:szCs w:val="46"/>
          <w:b w:val="1"/>
          <w:bCs w:val="1"/>
          <w:color w:val="auto"/>
          <w:vertAlign w:val="subscript"/>
        </w:rPr>
      </w:pPr>
      <w:r>
        <w:rPr>
          <w:rFonts w:ascii="Arial" w:cs="Arial" w:eastAsia="Arial" w:hAnsi="Arial"/>
          <w:sz w:val="16"/>
          <w:szCs w:val="16"/>
          <w:b w:val="1"/>
          <w:bCs w:val="1"/>
          <w:color w:val="auto"/>
        </w:rPr>
        <w:t>I.R.S. IDENTIFICATION NOS. OF ABOVE PERSONS (ENTITIES ONLY) Donald E. Graham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560" w:type="dxa"/>
            <w:vAlign w:val="bottom"/>
            <w:tcBorders>
              <w:top w:val="single" w:sz="8" w:color="auto"/>
            </w:tcBorders>
            <w:gridSpan w:val="5"/>
          </w:tcPr>
          <w:p>
            <w:pPr>
              <w:spacing w:after="0" w:line="182" w:lineRule="exact"/>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1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w w:val="98"/>
              </w:rPr>
              <w:t>SEC USE ONLY</w:t>
            </w:r>
          </w:p>
        </w:tc>
        <w:tc>
          <w:tcPr>
            <w:tcW w:w="760" w:type="dxa"/>
            <w:vAlign w:val="bottom"/>
            <w:shd w:val="clear" w:color="auto" w:fill="BFBFBF"/>
          </w:tcPr>
          <w:p>
            <w:pPr>
              <w:spacing w:after="0"/>
              <w:rPr>
                <w:sz w:val="18"/>
                <w:szCs w:val="18"/>
                <w:color w:val="auto"/>
              </w:rPr>
            </w:pPr>
          </w:p>
        </w:tc>
        <w:tc>
          <w:tcPr>
            <w:tcW w:w="744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8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560" w:type="dxa"/>
            <w:vAlign w:val="bottom"/>
            <w:tcBorders>
              <w:right w:val="single" w:sz="8" w:color="BFBFBF"/>
            </w:tcBorders>
            <w:shd w:val="clear" w:color="auto" w:fill="BFBFBF"/>
          </w:tcPr>
          <w:p>
            <w:pPr>
              <w:spacing w:after="0"/>
              <w:rPr>
                <w:sz w:val="18"/>
                <w:szCs w:val="18"/>
                <w:color w:val="auto"/>
              </w:rPr>
            </w:pPr>
          </w:p>
        </w:tc>
        <w:tc>
          <w:tcPr>
            <w:tcW w:w="760" w:type="dxa"/>
            <w:vAlign w:val="bottom"/>
            <w:shd w:val="clear" w:color="auto" w:fill="BFBFBF"/>
          </w:tcPr>
          <w:p>
            <w:pPr>
              <w:spacing w:after="0"/>
              <w:rPr>
                <w:sz w:val="18"/>
                <w:szCs w:val="18"/>
                <w:color w:val="auto"/>
              </w:rPr>
            </w:pPr>
          </w:p>
        </w:tc>
        <w:tc>
          <w:tcPr>
            <w:tcW w:w="744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BFBFBF"/>
            </w:tcBorders>
            <w:shd w:val="clear" w:color="auto" w:fill="BFBFBF"/>
          </w:tcPr>
          <w:p>
            <w:pPr>
              <w:spacing w:after="0"/>
              <w:rPr>
                <w:sz w:val="18"/>
                <w:szCs w:val="18"/>
                <w:color w:val="auto"/>
              </w:rPr>
            </w:pPr>
          </w:p>
        </w:tc>
        <w:tc>
          <w:tcPr>
            <w:tcW w:w="680" w:type="dxa"/>
            <w:vAlign w:val="bottom"/>
            <w:tcBorders>
              <w:bottom w:val="single" w:sz="8" w:color="auto"/>
              <w:right w:val="single" w:sz="8" w:color="BFBFBF"/>
            </w:tcBorders>
            <w:gridSpan w:val="2"/>
            <w:shd w:val="clear" w:color="auto" w:fill="BFBFBF"/>
          </w:tcPr>
          <w:p>
            <w:pPr>
              <w:spacing w:after="0"/>
              <w:rPr>
                <w:sz w:val="18"/>
                <w:szCs w:val="18"/>
                <w:color w:val="auto"/>
              </w:rPr>
            </w:pPr>
          </w:p>
        </w:tc>
        <w:tc>
          <w:tcPr>
            <w:tcW w:w="8200" w:type="dxa"/>
            <w:vAlign w:val="bottom"/>
            <w:tcBorders>
              <w:bottom w:val="single" w:sz="8" w:color="auto"/>
            </w:tcBorders>
            <w:gridSpan w:val="2"/>
            <w:shd w:val="clear" w:color="auto" w:fill="BFBFBF"/>
          </w:tcPr>
          <w:p>
            <w:pPr>
              <w:spacing w:after="0"/>
              <w:rPr>
                <w:sz w:val="18"/>
                <w:szCs w:val="18"/>
                <w:color w:val="auto"/>
              </w:rPr>
            </w:pPr>
          </w:p>
        </w:tc>
        <w:tc>
          <w:tcPr>
            <w:tcW w:w="50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SOURCE OF FUNDS (SEE INSTRUCTIONS)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40" w:type="dxa"/>
            <w:vAlign w:val="bottom"/>
            <w:vMerge w:val="continue"/>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Not applicable</w:t>
            </w:r>
          </w:p>
        </w:tc>
        <w:tc>
          <w:tcPr>
            <w:tcW w:w="7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9560" w:type="dxa"/>
            <w:vAlign w:val="bottom"/>
            <w:tcBorders>
              <w:bottom w:val="single" w:sz="8" w:color="auto"/>
            </w:tcBorders>
            <w:gridSpan w:val="5"/>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5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340" w:type="dxa"/>
            <w:vAlign w:val="bottom"/>
            <w:tcBorders>
              <w:bottom w:val="single" w:sz="8" w:color="auto"/>
            </w:tcBorders>
          </w:tcPr>
          <w:p>
            <w:pPr>
              <w:spacing w:after="0"/>
              <w:rPr>
                <w:sz w:val="11"/>
                <w:szCs w:val="11"/>
                <w:color w:val="auto"/>
              </w:rPr>
            </w:pPr>
          </w:p>
        </w:tc>
        <w:tc>
          <w:tcPr>
            <w:tcW w:w="9560" w:type="dxa"/>
            <w:vAlign w:val="bottom"/>
            <w:tcBorders>
              <w:bottom w:val="single" w:sz="8" w:color="auto"/>
            </w:tcBorders>
            <w:gridSpan w:val="5"/>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40" w:type="dxa"/>
            <w:vAlign w:val="bottom"/>
            <w:vMerge w:val="continue"/>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United States</w:t>
            </w:r>
          </w:p>
        </w:tc>
        <w:tc>
          <w:tcPr>
            <w:tcW w:w="7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4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435,664</w:t>
            </w:r>
          </w:p>
        </w:tc>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2020" w:type="dxa"/>
            <w:vAlign w:val="bottom"/>
            <w:tcBorders>
              <w:right w:val="single" w:sz="8" w:color="auto"/>
            </w:tcBorders>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760" w:type="dxa"/>
            <w:vAlign w:val="bottom"/>
          </w:tcPr>
          <w:p>
            <w:pPr>
              <w:spacing w:after="0"/>
              <w:rPr>
                <w:sz w:val="7"/>
                <w:szCs w:val="7"/>
                <w:color w:val="auto"/>
              </w:rPr>
            </w:pPr>
          </w:p>
        </w:tc>
        <w:tc>
          <w:tcPr>
            <w:tcW w:w="7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685,834</w:t>
            </w:r>
          </w:p>
        </w:tc>
        <w:tc>
          <w:tcPr>
            <w:tcW w:w="7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2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20" w:type="dxa"/>
            <w:vAlign w:val="bottom"/>
          </w:tcPr>
          <w:p>
            <w:pPr>
              <w:spacing w:after="0"/>
              <w:rPr>
                <w:sz w:val="13"/>
                <w:szCs w:val="13"/>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2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2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760" w:type="dxa"/>
            <w:vAlign w:val="bottom"/>
          </w:tcPr>
          <w:p>
            <w:pPr>
              <w:spacing w:after="0"/>
              <w:rPr>
                <w:sz w:val="5"/>
                <w:szCs w:val="5"/>
                <w:color w:val="auto"/>
              </w:rPr>
            </w:pPr>
          </w:p>
        </w:tc>
        <w:tc>
          <w:tcPr>
            <w:tcW w:w="7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340" w:type="dxa"/>
            <w:vAlign w:val="bottom"/>
          </w:tcPr>
          <w:p>
            <w:pPr>
              <w:jc w:val="center"/>
              <w:ind w:left="548"/>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right w:val="single" w:sz="8" w:color="auto"/>
            </w:tcBorders>
            <w:vMerge w:val="continue"/>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328,089</w:t>
            </w:r>
          </w:p>
        </w:tc>
        <w:tc>
          <w:tcPr>
            <w:tcW w:w="7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4"/>
        </w:trPr>
        <w:tc>
          <w:tcPr>
            <w:tcW w:w="134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0" w:type="dxa"/>
            <w:vAlign w:val="bottom"/>
          </w:tcPr>
          <w:p>
            <w:pPr>
              <w:spacing w:after="0"/>
              <w:rPr>
                <w:sz w:val="20"/>
                <w:szCs w:val="20"/>
                <w:color w:val="auto"/>
              </w:rPr>
            </w:pPr>
            <w:r>
              <w:rPr>
                <w:rFonts w:ascii="Arial" w:cs="Arial" w:eastAsia="Arial" w:hAnsi="Arial"/>
                <w:sz w:val="20"/>
                <w:szCs w:val="20"/>
                <w:b w:val="1"/>
                <w:bCs w:val="1"/>
                <w:color w:val="auto"/>
                <w:w w:val="71"/>
                <w:vertAlign w:val="superscript"/>
              </w:rPr>
              <w:t>SHARED</w:t>
            </w:r>
            <w:r>
              <w:rPr>
                <w:rFonts w:ascii="Arial" w:cs="Arial" w:eastAsia="Arial" w:hAnsi="Arial"/>
                <w:sz w:val="13"/>
                <w:szCs w:val="13"/>
                <w:b w:val="1"/>
                <w:bCs w:val="1"/>
                <w:color w:val="auto"/>
                <w:w w:val="71"/>
              </w:rPr>
              <w:t>685,834</w:t>
            </w:r>
          </w:p>
        </w:tc>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DISPOSITIVE POWER</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gridSpan w:val="2"/>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AGGREGATE</w:t>
            </w: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40" w:type="dxa"/>
            <w:vAlign w:val="bottom"/>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1,121,498</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CHECK BOX IF THE AGGREGATE AMOUNT IN ROW (11) EXCLUDES CERTAIN SHARES (SEE INSTRUCTIONS)</w:t>
            </w:r>
          </w:p>
        </w:tc>
        <w:tc>
          <w:tcPr>
            <w:tcW w:w="5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PERCENT OF CLASS REPRESENTED BY AMOUNT IN ROW (11)</w:t>
      </w:r>
    </w:p>
    <w:p>
      <w:pPr>
        <w:ind w:left="1380"/>
        <w:spacing w:after="0" w:line="219" w:lineRule="auto"/>
        <w:rPr>
          <w:sz w:val="20"/>
          <w:szCs w:val="20"/>
          <w:color w:val="auto"/>
        </w:rPr>
      </w:pPr>
      <w:r>
        <w:rPr>
          <w:rFonts w:ascii="Arial" w:cs="Arial" w:eastAsia="Arial" w:hAnsi="Arial"/>
          <w:sz w:val="18"/>
          <w:szCs w:val="18"/>
          <w:color w:val="auto"/>
        </w:rPr>
        <w:t>19.27%</w:t>
      </w:r>
    </w:p>
    <w:p>
      <w:pPr>
        <w:spacing w:after="0" w:line="1" w:lineRule="exact"/>
        <w:rPr>
          <w:sz w:val="20"/>
          <w:szCs w:val="20"/>
          <w:color w:val="auto"/>
        </w:rPr>
      </w:pPr>
    </w:p>
    <w:p>
      <w:pPr>
        <w:ind w:left="1380" w:right="780" w:hanging="859"/>
        <w:spacing w:after="0" w:line="231" w:lineRule="auto"/>
        <w:tabs>
          <w:tab w:leader="none" w:pos="1360" w:val="left"/>
        </w:tabs>
        <w:rPr>
          <w:sz w:val="20"/>
          <w:szCs w:val="20"/>
          <w:color w:val="auto"/>
        </w:rPr>
      </w:pPr>
      <w:r>
        <w:rPr>
          <w:rFonts w:ascii="Arial" w:cs="Arial" w:eastAsia="Arial" w:hAnsi="Arial"/>
          <w:sz w:val="28"/>
          <w:szCs w:val="28"/>
          <w:b w:val="1"/>
          <w:bCs w:val="1"/>
          <w:color w:val="auto"/>
        </w:rPr>
        <w:t>13</w:t>
      </w:r>
      <w:r>
        <w:rPr>
          <w:sz w:val="20"/>
          <w:szCs w:val="20"/>
          <w:color w:val="auto"/>
        </w:rPr>
        <w:tab/>
      </w:r>
      <w:r>
        <w:rPr>
          <w:rFonts w:ascii="Arial" w:cs="Arial" w:eastAsia="Arial" w:hAnsi="Arial"/>
          <w:sz w:val="16"/>
          <w:szCs w:val="16"/>
          <w:b w:val="1"/>
          <w:bCs w:val="1"/>
          <w:color w:val="auto"/>
        </w:rPr>
        <w:t xml:space="preserve">Calculated based on 5,818,417 shares of Class B Common Stock outstanding (4,869,463 shares of Class B Common Stock reported by the Company as outstanding on May 11, 2015, </w:t>
      </w:r>
      <w:r>
        <w:rPr>
          <w:rFonts w:ascii="Arial" w:cs="Arial" w:eastAsia="Arial" w:hAnsi="Arial"/>
          <w:sz w:val="16"/>
          <w:szCs w:val="16"/>
          <w:i w:val="1"/>
          <w:iCs w:val="1"/>
          <w:color w:val="auto"/>
        </w:rPr>
        <w:t>plus</w:t>
      </w:r>
      <w:r>
        <w:rPr>
          <w:rFonts w:ascii="Arial" w:cs="Arial" w:eastAsia="Arial" w:hAnsi="Arial"/>
          <w:sz w:val="16"/>
          <w:szCs w:val="16"/>
          <w:b w:val="1"/>
          <w:bCs w:val="1"/>
          <w:color w:val="auto"/>
        </w:rPr>
        <w:t xml:space="preserve"> 948,954 shares issuable upon conversion of Class A Common Stock beneficially owned by Mr. Graham, share for share, into Class B Common Stock </w:t>
      </w:r>
      <w:r>
        <w:rPr>
          <w:rFonts w:ascii="Arial" w:cs="Arial" w:eastAsia="Arial" w:hAnsi="Arial"/>
          <w:sz w:val="16"/>
          <w:szCs w:val="16"/>
          <w:color w:val="auto"/>
        </w:rPr>
        <w:t>)</w:t>
      </w:r>
    </w:p>
    <w:p>
      <w:pPr>
        <w:ind w:left="1340"/>
        <w:spacing w:after="0" w:line="210" w:lineRule="auto"/>
        <w:rPr>
          <w:sz w:val="20"/>
          <w:szCs w:val="20"/>
          <w:color w:val="auto"/>
        </w:rPr>
      </w:pPr>
      <w:r>
        <w:rPr>
          <w:rFonts w:ascii="Arial" w:cs="Arial" w:eastAsia="Arial" w:hAnsi="Arial"/>
          <w:sz w:val="18"/>
          <w:szCs w:val="18"/>
          <w:b w:val="1"/>
          <w:bCs w:val="1"/>
          <w:color w:val="auto"/>
        </w:rPr>
        <w:t>TYPE OF REPORTING PERSON</w:t>
      </w:r>
    </w:p>
    <w:p>
      <w:pPr>
        <w:ind w:left="520"/>
        <w:spacing w:after="0" w:line="181" w:lineRule="auto"/>
        <w:tabs>
          <w:tab w:leader="none" w:pos="1360" w:val="left"/>
        </w:tabs>
        <w:rPr>
          <w:sz w:val="20"/>
          <w:szCs w:val="20"/>
          <w:color w:val="auto"/>
        </w:rPr>
      </w:pPr>
      <w:r>
        <w:rPr>
          <w:rFonts w:ascii="Arial" w:cs="Arial" w:eastAsia="Arial" w:hAnsi="Arial"/>
          <w:sz w:val="27"/>
          <w:szCs w:val="27"/>
          <w:b w:val="1"/>
          <w:bCs w:val="1"/>
          <w:color w:val="auto"/>
          <w:vertAlign w:val="superscript"/>
        </w:rPr>
        <w:t>14</w:t>
      </w:r>
      <w:r>
        <w:rPr>
          <w:sz w:val="20"/>
          <w:szCs w:val="20"/>
          <w:color w:val="auto"/>
        </w:rPr>
        <w:tab/>
      </w:r>
      <w:r>
        <w:rPr>
          <w:rFonts w:ascii="Arial" w:cs="Arial" w:eastAsia="Arial" w:hAnsi="Arial"/>
          <w:sz w:val="14"/>
          <w:szCs w:val="14"/>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763905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ind w:firstLine="810"/>
        <w:spacing w:after="0" w:line="269" w:lineRule="auto"/>
        <w:rPr>
          <w:sz w:val="20"/>
          <w:szCs w:val="20"/>
          <w:color w:val="auto"/>
        </w:rPr>
      </w:pPr>
      <w:r>
        <w:rPr>
          <w:rFonts w:ascii="Arial" w:cs="Arial" w:eastAsia="Arial" w:hAnsi="Arial"/>
          <w:sz w:val="17"/>
          <w:szCs w:val="17"/>
          <w:color w:val="auto"/>
        </w:rPr>
        <w:t>This Report relates to the Class B Common Stock, par value $1.00 per share (the “Class B Common Stock”), of Graham Holdings Company (formerly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October 19, 1994 (“Amendment No. 5”), January 27, 1998 (“Amendment No. 6”), March 8, 2001 (“Amendment No. 7”), August 30, 2001 (“Amendment No. 8”), September 21, 2001 (“Amendment No. 9”), September 12, 2002 (“Amendment No. 10”), October 26, 2007 (“Amendment No. 11”), March 5, 2009 (“Amendment No. 12”), August 25, 2010 (“Amendment No. 13”), June 15, 2011 (“Amendment No. 14”), July 26, 2013 (“Amendment No. 15”), July 2, 2014 (“Amendment No. 16”), March 2, 2015 (“Amendment No. 17”), June 12, 2015 (“Amendment No. 18”) and July 1, 2015 (“Amendment No. 19”), is hereby amended and supplemented as set forth below. The Original Report, as amended by Amendment No. 1, Amendment No. 2, Amendment No. 3, Amendment No. 4, Amendment No. 5, Amendment No. 6, Amendment No. 7, Amendment No. 8, Amendment No. 9, Amendment No. 10, Amendment No. 11, Amendment No. 12, Amendment No. 13, Amendment No. 14, Amendment No. 15, Amendment No. 16, Amendment No. 17, Amendment No. 18 and Amendment No. 19 is hereinafter referred to as the “Schedule 13D”. All capitalized terms not otherwise defined herein shall have the meanings ascribed to them in the Schedule 13D.</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amendment to the Schedule 13D is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left="820" w:right="380"/>
        <w:spacing w:after="0" w:line="277" w:lineRule="auto"/>
        <w:rPr>
          <w:sz w:val="20"/>
          <w:szCs w:val="20"/>
          <w:color w:val="auto"/>
        </w:rPr>
      </w:pPr>
      <w:r>
        <w:rPr>
          <w:rFonts w:ascii="Arial" w:cs="Arial" w:eastAsia="Arial" w:hAnsi="Arial"/>
          <w:sz w:val="18"/>
          <w:szCs w:val="18"/>
          <w:color w:val="auto"/>
        </w:rPr>
        <w:t>The description of the principal occupation of Mr. Graham set forth in Item 2 of the Schedule 13D is hereby amended in its entirety to read as follows:</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Mr. Graham’s present principal occupation is Chairman of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Donald E. Graham</w:t>
      </w:r>
    </w:p>
    <w:sectPr>
      <w:pgSz w:w="11900" w:h="16838" w:orient="portrait"/>
      <w:cols w:equalWidth="0" w:num="1">
        <w:col w:w="11280"/>
      </w:cols>
      <w:pgMar w:left="240" w:top="60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03"/>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2019-12-05T16:21:44Z</dcterms:created>
  <dcterms:modified xsi:type="dcterms:W3CDTF">2019-12-05T16:21:44Z</dcterms:modified>
</cp:coreProperties>
</file>