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50165</wp:posOffset>
            </wp:positionV>
            <wp:extent cx="6080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-231775</wp:posOffset>
            </wp:positionV>
            <wp:extent cx="6080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62" w:lineRule="exact"/>
        <w:rPr>
          <w:rFonts w:ascii="MS PGothic" w:cs="MS PGothic" w:eastAsia="MS PGothic" w:hAnsi="MS PGothic"/>
          <w:sz w:val="18"/>
          <w:szCs w:val="18"/>
          <w:color w:val="auto"/>
        </w:rPr>
      </w:pPr>
    </w:p>
    <w:p>
      <w:pPr>
        <w:ind w:left="35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2017</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9"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62"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1-671</w:t>
      </w: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-301625</wp:posOffset>
            </wp:positionV>
            <wp:extent cx="608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08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316" w:lineRule="exact"/>
        <w:rPr>
          <w:sz w:val="24"/>
          <w:szCs w:val="24"/>
          <w:color w:val="auto"/>
        </w:rPr>
      </w:pPr>
    </w:p>
    <w:tbl>
      <w:tblPr>
        <w:tblLayout w:type="fixed"/>
        <w:tblInd w:w="1080" w:type="dxa"/>
        <w:tblCellMar>
          <w:top w:w="0" w:type="dxa"/>
          <w:left w:w="0" w:type="dxa"/>
          <w:bottom w:w="0" w:type="dxa"/>
          <w:right w:w="0" w:type="dxa"/>
        </w:tblCellMar>
      </w:tblPr>
      <w:tr>
        <w:trPr>
          <w:trHeight w:val="253"/>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75"/>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Identification No.)</w:t>
            </w:r>
          </w:p>
        </w:tc>
      </w:tr>
      <w:tr>
        <w:trPr>
          <w:trHeight w:val="379"/>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14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6660" w:type="dxa"/>
            <w:vAlign w:val="bottom"/>
          </w:tcPr>
          <w:p>
            <w:pPr>
              <w:jc w:val="center"/>
              <w:ind w:right="302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(Zip Code)</w:t>
            </w:r>
          </w:p>
        </w:tc>
      </w:tr>
      <w:tr>
        <w:trPr>
          <w:trHeight w:val="554"/>
        </w:trPr>
        <w:tc>
          <w:tcPr>
            <w:tcW w:w="6660" w:type="dxa"/>
            <w:vAlign w:val="bottom"/>
          </w:tcPr>
          <w:p>
            <w:pPr>
              <w:jc w:val="right"/>
              <w:ind w:right="1340"/>
              <w:spacing w:after="0"/>
              <w:rPr>
                <w:sz w:val="20"/>
                <w:szCs w:val="20"/>
                <w:color w:val="auto"/>
              </w:rPr>
            </w:pPr>
            <w:r>
              <w:rPr>
                <w:rFonts w:ascii="Arial" w:cs="Arial" w:eastAsia="Arial" w:hAnsi="Arial"/>
                <w:sz w:val="18"/>
                <w:szCs w:val="18"/>
                <w:b w:val="1"/>
                <w:bCs w:val="1"/>
                <w:color w:val="auto"/>
              </w:rPr>
              <w:t>(703) 345-6300</w:t>
            </w:r>
          </w:p>
        </w:tc>
        <w:tc>
          <w:tcPr>
            <w:tcW w:w="1440" w:type="dxa"/>
            <w:vAlign w:val="bottom"/>
          </w:tcPr>
          <w:p>
            <w:pPr>
              <w:spacing w:after="0"/>
              <w:rPr>
                <w:sz w:val="24"/>
                <w:szCs w:val="24"/>
                <w:color w:val="auto"/>
              </w:rPr>
            </w:pPr>
          </w:p>
        </w:tc>
      </w:tr>
      <w:tr>
        <w:trPr>
          <w:trHeight w:val="229"/>
        </w:trPr>
        <w:tc>
          <w:tcPr>
            <w:tcW w:w="6660" w:type="dxa"/>
            <w:vAlign w:val="bottom"/>
          </w:tcPr>
          <w:p>
            <w:pPr>
              <w:jc w:val="center"/>
              <w:ind w:left="254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4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147320</wp:posOffset>
            </wp:positionV>
            <wp:extent cx="4913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243" w:lineRule="exact"/>
        <w:rPr>
          <w:sz w:val="24"/>
          <w:szCs w:val="24"/>
          <w:color w:val="auto"/>
        </w:rPr>
      </w:pPr>
    </w:p>
    <w:p>
      <w:pPr>
        <w:ind w:right="80"/>
        <w:spacing w:after="0" w:line="21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9" w:lineRule="exact"/>
        <w:rPr>
          <w:sz w:val="24"/>
          <w:szCs w:val="24"/>
          <w:color w:val="auto"/>
        </w:rPr>
      </w:pPr>
    </w:p>
    <w:p>
      <w:pPr>
        <w:ind w:right="60"/>
        <w:spacing w:after="0" w:line="21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52" w:lineRule="exact"/>
        <w:rPr>
          <w:sz w:val="24"/>
          <w:szCs w:val="24"/>
          <w:color w:val="auto"/>
        </w:rPr>
      </w:pPr>
    </w:p>
    <w:p>
      <w:pPr>
        <w:ind w:right="360"/>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 reporting company” and “emerging growth company” in Rule 12b-2 of the Exchange Act.</w:t>
      </w:r>
    </w:p>
    <w:p>
      <w:pPr>
        <w:spacing w:after="0" w:line="114" w:lineRule="exact"/>
        <w:rPr>
          <w:sz w:val="24"/>
          <w:szCs w:val="24"/>
          <w:color w:val="auto"/>
        </w:rPr>
      </w:pPr>
    </w:p>
    <w:tbl>
      <w:tblPr>
        <w:tblLayout w:type="fixed"/>
        <w:tblInd w:w="280" w:type="dxa"/>
        <w:tblCellMar>
          <w:top w:w="0" w:type="dxa"/>
          <w:left w:w="0" w:type="dxa"/>
          <w:bottom w:w="0" w:type="dxa"/>
          <w:right w:w="0" w:type="dxa"/>
        </w:tblCellMar>
      </w:tblPr>
      <w:tr>
        <w:trPr>
          <w:trHeight w:val="189"/>
        </w:trPr>
        <w:tc>
          <w:tcPr>
            <w:tcW w:w="1500" w:type="dxa"/>
            <w:vAlign w:val="bottom"/>
          </w:tcPr>
          <w:p>
            <w:pPr>
              <w:jc w:val="center"/>
              <w:ind w:right="119"/>
              <w:spacing w:after="0"/>
              <w:rPr>
                <w:sz w:val="20"/>
                <w:szCs w:val="20"/>
                <w:color w:val="auto"/>
              </w:rPr>
            </w:pPr>
            <w:r>
              <w:rPr>
                <w:rFonts w:ascii="Arial" w:cs="Arial" w:eastAsia="Arial" w:hAnsi="Arial"/>
                <w:sz w:val="16"/>
                <w:szCs w:val="16"/>
                <w:color w:val="auto"/>
              </w:rPr>
              <w:t>Large accelerated</w:t>
            </w:r>
          </w:p>
        </w:tc>
        <w:tc>
          <w:tcPr>
            <w:tcW w:w="7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2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2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7"/>
        </w:trPr>
        <w:tc>
          <w:tcPr>
            <w:tcW w:w="1500" w:type="dxa"/>
            <w:vAlign w:val="bottom"/>
          </w:tcPr>
          <w:p>
            <w:pPr>
              <w:jc w:val="center"/>
              <w:ind w:right="119"/>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filer</w:t>
            </w:r>
          </w:p>
        </w:tc>
        <w:tc>
          <w:tcPr>
            <w:tcW w:w="720" w:type="dxa"/>
            <w:vAlign w:val="bottom"/>
            <w:vMerge w:val="continue"/>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filer</w:t>
            </w:r>
          </w:p>
        </w:tc>
        <w:tc>
          <w:tcPr>
            <w:tcW w:w="620" w:type="dxa"/>
            <w:vAlign w:val="bottom"/>
            <w:vMerge w:val="continue"/>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600" w:type="dxa"/>
            <w:vAlign w:val="bottom"/>
            <w:vMerge w:val="continue"/>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company</w:t>
            </w: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14"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October 27, 2017:</w:t>
      </w:r>
    </w:p>
    <w:p>
      <w:pPr>
        <w:spacing w:after="0" w:line="158"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31"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4,567,815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840" w:type="dxa"/>
            <w:vAlign w:val="bottom"/>
          </w:tcPr>
          <w:p>
            <w:pPr>
              <w:spacing w:after="0"/>
              <w:rPr>
                <w:sz w:val="21"/>
                <w:szCs w:val="21"/>
                <w:color w:val="auto"/>
              </w:rPr>
            </w:pPr>
          </w:p>
        </w:tc>
        <w:tc>
          <w:tcPr>
            <w:tcW w:w="10340" w:type="dxa"/>
            <w:vAlign w:val="bottom"/>
          </w:tcPr>
          <w:p>
            <w:pPr>
              <w:ind w:left="3460"/>
              <w:spacing w:after="0"/>
              <w:rPr>
                <w:sz w:val="20"/>
                <w:szCs w:val="20"/>
                <w:color w:val="auto"/>
              </w:rPr>
            </w:pPr>
            <w:r>
              <w:rPr>
                <w:rFonts w:ascii="Arial" w:cs="Arial" w:eastAsia="Arial" w:hAnsi="Arial"/>
                <w:sz w:val="18"/>
                <w:szCs w:val="18"/>
                <w:b w:val="1"/>
                <w:bCs w:val="1"/>
                <w:color w:val="auto"/>
              </w:rPr>
              <w:t>GRAHAM HOLDINGS COMPANY</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97"/>
        </w:trPr>
        <w:tc>
          <w:tcPr>
            <w:tcW w:w="840" w:type="dxa"/>
            <w:vAlign w:val="bottom"/>
          </w:tcPr>
          <w:p>
            <w:pPr>
              <w:spacing w:after="0"/>
              <w:rPr>
                <w:sz w:val="24"/>
                <w:szCs w:val="24"/>
                <w:color w:val="auto"/>
              </w:rPr>
            </w:pPr>
          </w:p>
        </w:tc>
        <w:tc>
          <w:tcPr>
            <w:tcW w:w="10340" w:type="dxa"/>
            <w:vAlign w:val="bottom"/>
          </w:tcPr>
          <w:p>
            <w:pPr>
              <w:ind w:left="4020"/>
              <w:spacing w:after="0"/>
              <w:rPr>
                <w:sz w:val="20"/>
                <w:szCs w:val="20"/>
                <w:color w:val="auto"/>
              </w:rPr>
            </w:pPr>
            <w:r>
              <w:rPr>
                <w:rFonts w:ascii="Arial" w:cs="Arial" w:eastAsia="Arial" w:hAnsi="Arial"/>
                <w:sz w:val="18"/>
                <w:szCs w:val="18"/>
                <w:b w:val="1"/>
                <w:bCs w:val="1"/>
                <w:color w:val="auto"/>
              </w:rPr>
              <w:t>Index to 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11180" w:type="dxa"/>
            <w:vAlign w:val="bottom"/>
            <w:gridSpan w:val="2"/>
          </w:tcPr>
          <w:p>
            <w:pPr>
              <w:spacing w:after="0"/>
              <w:rPr>
                <w:sz w:val="20"/>
                <w:szCs w:val="20"/>
                <w:color w:val="auto"/>
              </w:rPr>
            </w:pPr>
            <w:r>
              <w:rPr>
                <w:rFonts w:ascii="Arial" w:cs="Arial" w:eastAsia="Arial" w:hAnsi="Arial"/>
                <w:sz w:val="16"/>
                <w:szCs w:val="16"/>
                <w:color w:val="auto"/>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840" w:type="dxa"/>
            <w:vAlign w:val="bottom"/>
          </w:tcPr>
          <w:p>
            <w:pPr>
              <w:spacing w:after="0"/>
              <w:rPr>
                <w:sz w:val="20"/>
                <w:szCs w:val="20"/>
                <w:color w:val="auto"/>
              </w:rPr>
            </w:pPr>
            <w:r>
              <w:rPr>
                <w:rFonts w:ascii="Arial" w:cs="Arial" w:eastAsia="Arial" w:hAnsi="Arial"/>
                <w:sz w:val="16"/>
                <w:szCs w:val="16"/>
                <w:color w:val="auto"/>
              </w:rPr>
              <w:t>Item 1.</w:t>
            </w:r>
          </w:p>
        </w:tc>
        <w:tc>
          <w:tcPr>
            <w:tcW w:w="10340" w:type="dxa"/>
            <w:vAlign w:val="bottom"/>
          </w:tcPr>
          <w:p>
            <w:pPr>
              <w:ind w:left="80"/>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7"/>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a. Condensed Consolidated Statements of Operations (Unaudited) for the Three and Nine Months Ended September 30, 2017 and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840" w:type="dxa"/>
            <w:vAlign w:val="bottom"/>
          </w:tcPr>
          <w:p>
            <w:pPr>
              <w:spacing w:after="0"/>
              <w:rPr>
                <w:sz w:val="15"/>
                <w:szCs w:val="15"/>
                <w:color w:val="auto"/>
              </w:rPr>
            </w:pPr>
          </w:p>
        </w:tc>
        <w:tc>
          <w:tcPr>
            <w:tcW w:w="10340" w:type="dxa"/>
            <w:vAlign w:val="bottom"/>
          </w:tcPr>
          <w:p>
            <w:pPr>
              <w:ind w:left="80"/>
              <w:spacing w:after="0" w:line="181" w:lineRule="exact"/>
              <w:rPr>
                <w:sz w:val="20"/>
                <w:szCs w:val="20"/>
                <w:color w:val="auto"/>
              </w:rPr>
            </w:pPr>
            <w:r>
              <w:rPr>
                <w:rFonts w:ascii="Arial" w:cs="Arial" w:eastAsia="Arial" w:hAnsi="Arial"/>
                <w:sz w:val="16"/>
                <w:szCs w:val="16"/>
                <w:color w:val="auto"/>
              </w:rPr>
              <w:t>2016</w:t>
            </w:r>
          </w:p>
        </w:tc>
        <w:tc>
          <w:tcPr>
            <w:tcW w:w="180" w:type="dxa"/>
            <w:vAlign w:val="bottom"/>
            <w:gridSpan w:val="2"/>
          </w:tcPr>
          <w:p>
            <w:pPr>
              <w:jc w:val="right"/>
              <w:spacing w:after="0" w:line="181" w:lineRule="exact"/>
              <w:rPr>
                <w:rFonts w:ascii="Arial" w:cs="Arial" w:eastAsia="Arial" w:hAnsi="Arial"/>
                <w:sz w:val="16"/>
                <w:szCs w:val="16"/>
                <w:color w:val="0000EE"/>
              </w:rPr>
            </w:pPr>
            <w:hyperlink w:anchor="page3">
              <w:r>
                <w:rPr>
                  <w:rFonts w:ascii="Arial" w:cs="Arial" w:eastAsia="Arial" w:hAnsi="Arial"/>
                  <w:sz w:val="16"/>
                  <w:szCs w:val="16"/>
                  <w:color w:val="0000EE"/>
                </w:rPr>
                <w:t>1</w:t>
              </w:r>
            </w:hyperlink>
          </w:p>
        </w:tc>
      </w:tr>
      <w:tr>
        <w:trPr>
          <w:trHeight w:val="475"/>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b. Condensed Consolidated Statements of Comprehensive Income (Unaudited) for the Three and Nine Months Ended September 30,</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80"/>
        </w:trPr>
        <w:tc>
          <w:tcPr>
            <w:tcW w:w="840" w:type="dxa"/>
            <w:vAlign w:val="bottom"/>
          </w:tcPr>
          <w:p>
            <w:pPr>
              <w:spacing w:after="0"/>
              <w:rPr>
                <w:sz w:val="15"/>
                <w:szCs w:val="15"/>
                <w:color w:val="auto"/>
              </w:rPr>
            </w:pPr>
          </w:p>
        </w:tc>
        <w:tc>
          <w:tcPr>
            <w:tcW w:w="10340" w:type="dxa"/>
            <w:vAlign w:val="bottom"/>
          </w:tcPr>
          <w:p>
            <w:pPr>
              <w:ind w:left="80"/>
              <w:spacing w:after="0" w:line="181" w:lineRule="exact"/>
              <w:rPr>
                <w:sz w:val="20"/>
                <w:szCs w:val="20"/>
                <w:color w:val="auto"/>
              </w:rPr>
            </w:pPr>
            <w:r>
              <w:rPr>
                <w:rFonts w:ascii="Arial" w:cs="Arial" w:eastAsia="Arial" w:hAnsi="Arial"/>
                <w:sz w:val="16"/>
                <w:szCs w:val="16"/>
                <w:color w:val="auto"/>
              </w:rPr>
              <w:t>2017 and 2016</w:t>
            </w:r>
          </w:p>
        </w:tc>
        <w:tc>
          <w:tcPr>
            <w:tcW w:w="80" w:type="dxa"/>
            <w:vAlign w:val="bottom"/>
          </w:tcPr>
          <w:p>
            <w:pPr>
              <w:spacing w:after="0"/>
              <w:rPr>
                <w:sz w:val="15"/>
                <w:szCs w:val="15"/>
                <w:color w:val="auto"/>
              </w:rPr>
            </w:pPr>
          </w:p>
        </w:tc>
        <w:tc>
          <w:tcPr>
            <w:tcW w:w="100" w:type="dxa"/>
            <w:vAlign w:val="bottom"/>
            <w:tcBorders>
              <w:bottom w:val="single" w:sz="8" w:color="0000EE"/>
            </w:tcBorders>
          </w:tcPr>
          <w:p>
            <w:pPr>
              <w:jc w:val="right"/>
              <w:spacing w:after="0" w:line="181" w:lineRule="exact"/>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c. Condensed Consolidated Balance Sheets at September 30, 2017 (Unaudited) and December 31, 2016</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d. Condensed Consolidated Statements of Cash Flows (Unaudited) for the Nine Months Ended September 30, 2017 and 2016</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4</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e. Notes to Condensed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5</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10340" w:type="dxa"/>
            <w:vAlign w:val="bottom"/>
          </w:tcPr>
          <w:p>
            <w:pPr>
              <w:ind w:left="8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7">
              <w:r>
                <w:rPr>
                  <w:rFonts w:ascii="Arial" w:cs="Arial" w:eastAsia="Arial" w:hAnsi="Arial"/>
                  <w:sz w:val="16"/>
                  <w:szCs w:val="16"/>
                  <w:color w:val="0000EE"/>
                  <w:w w:val="89"/>
                </w:rPr>
                <w:t>23</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3.</w:t>
            </w:r>
          </w:p>
        </w:tc>
        <w:tc>
          <w:tcPr>
            <w:tcW w:w="10340" w:type="dxa"/>
            <w:vAlign w:val="bottom"/>
          </w:tcPr>
          <w:p>
            <w:pPr>
              <w:ind w:left="80"/>
              <w:spacing w:after="0"/>
              <w:rPr>
                <w:sz w:val="20"/>
                <w:szCs w:val="20"/>
                <w:color w:val="auto"/>
              </w:rPr>
            </w:pPr>
            <w:r>
              <w:rPr>
                <w:rFonts w:ascii="Arial" w:cs="Arial" w:eastAsia="Arial" w:hAnsi="Arial"/>
                <w:sz w:val="16"/>
                <w:szCs w:val="16"/>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6">
              <w:r>
                <w:rPr>
                  <w:rFonts w:ascii="Arial" w:cs="Arial" w:eastAsia="Arial" w:hAnsi="Arial"/>
                  <w:sz w:val="16"/>
                  <w:szCs w:val="16"/>
                  <w:color w:val="0000EE"/>
                  <w:w w:val="89"/>
                </w:rPr>
                <w:t>32</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4.</w:t>
            </w:r>
          </w:p>
        </w:tc>
        <w:tc>
          <w:tcPr>
            <w:tcW w:w="10340" w:type="dxa"/>
            <w:vAlign w:val="bottom"/>
          </w:tcPr>
          <w:p>
            <w:pPr>
              <w:ind w:left="80"/>
              <w:spacing w:after="0"/>
              <w:rPr>
                <w:sz w:val="20"/>
                <w:szCs w:val="20"/>
                <w:color w:val="auto"/>
              </w:rPr>
            </w:pPr>
            <w:r>
              <w:rPr>
                <w:rFonts w:ascii="Arial" w:cs="Arial" w:eastAsia="Arial" w:hAnsi="Arial"/>
                <w:sz w:val="16"/>
                <w:szCs w:val="16"/>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6">
              <w:r>
                <w:rPr>
                  <w:rFonts w:ascii="Arial" w:cs="Arial" w:eastAsia="Arial" w:hAnsi="Arial"/>
                  <w:sz w:val="16"/>
                  <w:szCs w:val="16"/>
                  <w:color w:val="0000EE"/>
                  <w:w w:val="89"/>
                </w:rPr>
                <w:t>32</w:t>
              </w:r>
            </w:hyperlink>
          </w:p>
        </w:tc>
      </w:tr>
      <w:tr>
        <w:trPr>
          <w:trHeight w:val="505"/>
        </w:trPr>
        <w:tc>
          <w:tcPr>
            <w:tcW w:w="11180" w:type="dxa"/>
            <w:vAlign w:val="bottom"/>
            <w:gridSpan w:val="2"/>
          </w:tcPr>
          <w:p>
            <w:pPr>
              <w:spacing w:after="0"/>
              <w:rPr>
                <w:sz w:val="20"/>
                <w:szCs w:val="20"/>
                <w:color w:val="auto"/>
              </w:rPr>
            </w:pPr>
            <w:r>
              <w:rPr>
                <w:rFonts w:ascii="Arial" w:cs="Arial" w:eastAsia="Arial" w:hAnsi="Arial"/>
                <w:sz w:val="16"/>
                <w:szCs w:val="16"/>
                <w:color w:val="auto"/>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8"/>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10340" w:type="dxa"/>
            <w:vAlign w:val="bottom"/>
          </w:tcPr>
          <w:p>
            <w:pPr>
              <w:ind w:left="80"/>
              <w:spacing w:after="0"/>
              <w:rPr>
                <w:sz w:val="20"/>
                <w:szCs w:val="20"/>
                <w:color w:val="auto"/>
              </w:rPr>
            </w:pPr>
            <w:r>
              <w:rPr>
                <w:rFonts w:ascii="Arial" w:cs="Arial" w:eastAsia="Arial" w:hAnsi="Arial"/>
                <w:sz w:val="16"/>
                <w:szCs w:val="16"/>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7">
              <w:r>
                <w:rPr>
                  <w:rFonts w:ascii="Arial" w:cs="Arial" w:eastAsia="Arial" w:hAnsi="Arial"/>
                  <w:sz w:val="16"/>
                  <w:szCs w:val="16"/>
                  <w:color w:val="0000EE"/>
                  <w:w w:val="89"/>
                </w:rPr>
                <w:t>33</w:t>
              </w:r>
            </w:hyperlink>
          </w:p>
        </w:tc>
      </w:tr>
      <w:tr>
        <w:trPr>
          <w:trHeight w:val="520"/>
        </w:trPr>
        <w:tc>
          <w:tcPr>
            <w:tcW w:w="840" w:type="dxa"/>
            <w:vAlign w:val="bottom"/>
          </w:tcPr>
          <w:p>
            <w:pPr>
              <w:spacing w:after="0"/>
              <w:rPr>
                <w:sz w:val="20"/>
                <w:szCs w:val="20"/>
                <w:color w:val="auto"/>
              </w:rPr>
            </w:pPr>
            <w:r>
              <w:rPr>
                <w:rFonts w:ascii="Arial" w:cs="Arial" w:eastAsia="Arial" w:hAnsi="Arial"/>
                <w:sz w:val="16"/>
                <w:szCs w:val="16"/>
                <w:color w:val="auto"/>
              </w:rPr>
              <w:t>Item 6.</w:t>
            </w:r>
          </w:p>
        </w:tc>
        <w:tc>
          <w:tcPr>
            <w:tcW w:w="10340" w:type="dxa"/>
            <w:vAlign w:val="bottom"/>
          </w:tcPr>
          <w:p>
            <w:pPr>
              <w:ind w:left="80"/>
              <w:spacing w:after="0"/>
              <w:rPr>
                <w:sz w:val="20"/>
                <w:szCs w:val="20"/>
                <w:color w:val="auto"/>
              </w:rPr>
            </w:pPr>
            <w:r>
              <w:rPr>
                <w:rFonts w:ascii="Arial" w:cs="Arial" w:eastAsia="Arial" w:hAnsi="Arial"/>
                <w:sz w:val="16"/>
                <w:szCs w:val="16"/>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8">
              <w:r>
                <w:rPr>
                  <w:rFonts w:ascii="Arial" w:cs="Arial" w:eastAsia="Arial" w:hAnsi="Arial"/>
                  <w:sz w:val="16"/>
                  <w:szCs w:val="16"/>
                  <w:color w:val="0000EE"/>
                  <w:w w:val="89"/>
                </w:rPr>
                <w:t>34</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Signatures</w:t>
            </w:r>
          </w:p>
        </w:tc>
        <w:tc>
          <w:tcPr>
            <w:tcW w:w="103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9">
              <w:r>
                <w:rPr>
                  <w:rFonts w:ascii="Arial" w:cs="Arial" w:eastAsia="Arial" w:hAnsi="Arial"/>
                  <w:sz w:val="16"/>
                  <w:szCs w:val="16"/>
                  <w:color w:val="0000EE"/>
                  <w:w w:val="89"/>
                </w:rPr>
                <w:t>35</w:t>
              </w:r>
            </w:hyperlink>
          </w:p>
        </w:tc>
      </w:tr>
    </w:tbl>
    <w:p>
      <w:pPr>
        <w:sectPr>
          <w:pgSz w:w="11900" w:h="16838" w:orient="portrait"/>
          <w:cols w:equalWidth="0" w:num="1">
            <w:col w:w="11360"/>
          </w:cols>
          <w:pgMar w:left="280" w:top="709"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34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w w:val="96"/>
              </w:rPr>
              <w:t>2016</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377,033</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386,936</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1,136,706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1,207,086</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69,495</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86,531</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207,143</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225,590</w:t>
            </w:r>
          </w:p>
        </w:tc>
        <w:tc>
          <w:tcPr>
            <w:tcW w:w="0" w:type="dxa"/>
            <w:vAlign w:val="bottom"/>
          </w:tcPr>
          <w:p>
            <w:pPr>
              <w:spacing w:after="0"/>
              <w:rPr>
                <w:sz w:val="1"/>
                <w:szCs w:val="1"/>
                <w:color w:val="auto"/>
              </w:rPr>
            </w:pPr>
          </w:p>
        </w:tc>
      </w:tr>
      <w:tr>
        <w:trPr>
          <w:trHeight w:val="274"/>
        </w:trPr>
        <w:tc>
          <w:tcPr>
            <w:tcW w:w="6060" w:type="dxa"/>
            <w:vAlign w:val="bottom"/>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210,697</w:t>
            </w:r>
          </w:p>
        </w:tc>
        <w:tc>
          <w:tcPr>
            <w:tcW w:w="5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148,171</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572,180</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419,635</w:t>
            </w:r>
          </w:p>
        </w:tc>
        <w:tc>
          <w:tcPr>
            <w:tcW w:w="0" w:type="dxa"/>
            <w:vAlign w:val="bottom"/>
          </w:tcPr>
          <w:p>
            <w:pPr>
              <w:spacing w:after="0"/>
              <w:rPr>
                <w:sz w:val="1"/>
                <w:szCs w:val="1"/>
                <w:color w:val="auto"/>
              </w:rPr>
            </w:pPr>
          </w:p>
        </w:tc>
      </w:tr>
      <w:tr>
        <w:trPr>
          <w:trHeight w:val="261"/>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657,225</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621,638</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1,916,029</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1,852,311</w:t>
            </w:r>
          </w:p>
        </w:tc>
        <w:tc>
          <w:tcPr>
            <w:tcW w:w="0" w:type="dxa"/>
            <w:vAlign w:val="bottom"/>
          </w:tcPr>
          <w:p>
            <w:pPr>
              <w:spacing w:after="0"/>
              <w:rPr>
                <w:sz w:val="1"/>
                <w:szCs w:val="1"/>
                <w:color w:val="auto"/>
              </w:rPr>
            </w:pPr>
          </w:p>
        </w:tc>
      </w:tr>
      <w:tr>
        <w:trPr>
          <w:trHeight w:val="26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352,635</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293,194</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1,011,553</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880,859</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232,782</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237,694</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678,139</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709,344</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16,002</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16,097</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46,525</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48,903</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10,923</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6,620</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28,290</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19,160</w:t>
            </w:r>
          </w:p>
        </w:tc>
        <w:tc>
          <w:tcPr>
            <w:tcW w:w="0" w:type="dxa"/>
            <w:vAlign w:val="bottom"/>
          </w:tcPr>
          <w:p>
            <w:pPr>
              <w:spacing w:after="0"/>
              <w:rPr>
                <w:sz w:val="1"/>
                <w:szCs w:val="1"/>
                <w:color w:val="auto"/>
              </w:rPr>
            </w:pPr>
          </w:p>
        </w:tc>
      </w:tr>
      <w:tr>
        <w:trPr>
          <w:trHeight w:val="274"/>
        </w:trPr>
        <w:tc>
          <w:tcPr>
            <w:tcW w:w="6060" w:type="dxa"/>
            <w:vAlign w:val="bottom"/>
          </w:tcPr>
          <w:p>
            <w:pPr>
              <w:ind w:left="280"/>
              <w:spacing w:after="0"/>
              <w:rPr>
                <w:sz w:val="20"/>
                <w:szCs w:val="20"/>
                <w:color w:val="auto"/>
              </w:rPr>
            </w:pPr>
            <w:r>
              <w:rPr>
                <w:rFonts w:ascii="Arial" w:cs="Arial" w:eastAsia="Arial" w:hAnsi="Arial"/>
                <w:sz w:val="16"/>
                <w:szCs w:val="16"/>
                <w:color w:val="auto"/>
              </w:rPr>
              <w:t>Impairment of goodwill and other long-lived assets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312</w:t>
            </w:r>
          </w:p>
        </w:tc>
        <w:tc>
          <w:tcPr>
            <w:tcW w:w="5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9,536</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612,654</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553,605</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1,774,043</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1,658,266</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300" w:type="dxa"/>
            <w:vAlign w:val="bottom"/>
          </w:tcPr>
          <w:p>
            <w:pPr>
              <w:spacing w:after="0"/>
              <w:rPr>
                <w:sz w:val="22"/>
                <w:szCs w:val="22"/>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44,571</w:t>
            </w:r>
          </w:p>
        </w:tc>
        <w:tc>
          <w:tcPr>
            <w:tcW w:w="540" w:type="dxa"/>
            <w:vAlign w:val="bottom"/>
          </w:tcPr>
          <w:p>
            <w:pPr>
              <w:spacing w:after="0"/>
              <w:rPr>
                <w:sz w:val="22"/>
                <w:szCs w:val="22"/>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68,033</w:t>
            </w:r>
          </w:p>
        </w:tc>
        <w:tc>
          <w:tcPr>
            <w:tcW w:w="34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141,986</w:t>
            </w:r>
          </w:p>
        </w:tc>
        <w:tc>
          <w:tcPr>
            <w:tcW w:w="3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194,045</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Equity in (losses) earnings of affiliates, net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(532)</w:t>
            </w:r>
          </w:p>
        </w:tc>
        <w:tc>
          <w:tcPr>
            <w:tcW w:w="5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(1,008)</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1,448</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861</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740</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3,397</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(8,619)</w:t>
            </w:r>
          </w:p>
        </w:tc>
        <w:tc>
          <w:tcPr>
            <w:tcW w:w="5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(8,614)</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(25,783)</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(24,533)</w:t>
            </w:r>
          </w:p>
        </w:tc>
        <w:tc>
          <w:tcPr>
            <w:tcW w:w="0" w:type="dxa"/>
            <w:vAlign w:val="bottom"/>
          </w:tcPr>
          <w:p>
            <w:pPr>
              <w:spacing w:after="0"/>
              <w:rPr>
                <w:sz w:val="1"/>
                <w:szCs w:val="1"/>
                <w:color w:val="auto"/>
              </w:rPr>
            </w:pPr>
          </w:p>
        </w:tc>
      </w:tr>
      <w:tr>
        <w:trPr>
          <w:trHeight w:val="274"/>
        </w:trPr>
        <w:tc>
          <w:tcPr>
            <w:tcW w:w="606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1,963</w:t>
            </w:r>
          </w:p>
        </w:tc>
        <w:tc>
          <w:tcPr>
            <w:tcW w:w="5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(18,225)</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6,881</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15,871</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300" w:type="dxa"/>
            <w:vAlign w:val="bottom"/>
          </w:tcPr>
          <w:p>
            <w:pPr>
              <w:spacing w:after="0"/>
              <w:rPr>
                <w:sz w:val="22"/>
                <w:szCs w:val="22"/>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38,244</w:t>
            </w:r>
          </w:p>
        </w:tc>
        <w:tc>
          <w:tcPr>
            <w:tcW w:w="540" w:type="dxa"/>
            <w:vAlign w:val="bottom"/>
          </w:tcPr>
          <w:p>
            <w:pPr>
              <w:spacing w:after="0"/>
              <w:rPr>
                <w:sz w:val="22"/>
                <w:szCs w:val="22"/>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40,926</w:t>
            </w:r>
          </w:p>
        </w:tc>
        <w:tc>
          <w:tcPr>
            <w:tcW w:w="34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127,929</w:t>
            </w:r>
          </w:p>
        </w:tc>
        <w:tc>
          <w:tcPr>
            <w:tcW w:w="3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186,540</w:t>
            </w:r>
          </w:p>
        </w:tc>
        <w:tc>
          <w:tcPr>
            <w:tcW w:w="0" w:type="dxa"/>
            <w:vAlign w:val="bottom"/>
          </w:tcPr>
          <w:p>
            <w:pPr>
              <w:spacing w:after="0"/>
              <w:rPr>
                <w:sz w:val="1"/>
                <w:szCs w:val="1"/>
                <w:color w:val="auto"/>
              </w:rPr>
            </w:pPr>
          </w:p>
        </w:tc>
      </w:tr>
      <w:tr>
        <w:trPr>
          <w:trHeight w:val="27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13,400</w:t>
            </w:r>
          </w:p>
        </w:tc>
        <w:tc>
          <w:tcPr>
            <w:tcW w:w="5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7,800</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40,000</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54,000</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Pr>
          <w:p>
            <w:pPr>
              <w:spacing w:after="0"/>
              <w:rPr>
                <w:sz w:val="22"/>
                <w:szCs w:val="22"/>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24,844</w:t>
            </w:r>
          </w:p>
        </w:tc>
        <w:tc>
          <w:tcPr>
            <w:tcW w:w="540" w:type="dxa"/>
            <w:vAlign w:val="bottom"/>
          </w:tcPr>
          <w:p>
            <w:pPr>
              <w:spacing w:after="0"/>
              <w:rPr>
                <w:sz w:val="22"/>
                <w:szCs w:val="22"/>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33,126</w:t>
            </w:r>
          </w:p>
        </w:tc>
        <w:tc>
          <w:tcPr>
            <w:tcW w:w="34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87,929</w:t>
            </w:r>
          </w:p>
        </w:tc>
        <w:tc>
          <w:tcPr>
            <w:tcW w:w="3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132,540</w:t>
            </w:r>
          </w:p>
        </w:tc>
        <w:tc>
          <w:tcPr>
            <w:tcW w:w="0" w:type="dxa"/>
            <w:vAlign w:val="bottom"/>
          </w:tcPr>
          <w:p>
            <w:pPr>
              <w:spacing w:after="0"/>
              <w:rPr>
                <w:sz w:val="1"/>
                <w:szCs w:val="1"/>
                <w:color w:val="auto"/>
              </w:rPr>
            </w:pPr>
          </w:p>
        </w:tc>
      </w:tr>
      <w:tr>
        <w:trPr>
          <w:trHeight w:val="27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w:t>
            </w:r>
          </w:p>
        </w:tc>
        <w:tc>
          <w:tcPr>
            <w:tcW w:w="5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(63)</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182"/>
        </w:trPr>
        <w:tc>
          <w:tcPr>
            <w:tcW w:w="6060" w:type="dxa"/>
            <w:vAlign w:val="bottom"/>
          </w:tcPr>
          <w:p>
            <w:pPr>
              <w:ind w:left="40"/>
              <w:spacing w:after="0" w:line="183" w:lineRule="exact"/>
              <w:rPr>
                <w:sz w:val="20"/>
                <w:szCs w:val="20"/>
                <w:color w:val="auto"/>
              </w:rPr>
            </w:pPr>
            <w:r>
              <w:rPr>
                <w:rFonts w:ascii="Arial" w:cs="Arial" w:eastAsia="Arial" w:hAnsi="Arial"/>
                <w:sz w:val="16"/>
                <w:szCs w:val="16"/>
                <w:b w:val="1"/>
                <w:bCs w:val="1"/>
                <w:color w:val="auto"/>
              </w:rPr>
              <w:t>Net Income Attributable to Graham Holdings Company Common</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24,784</w:t>
            </w:r>
          </w:p>
        </w:tc>
        <w:tc>
          <w:tcPr>
            <w:tcW w:w="54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color w:val="auto"/>
              </w:rPr>
              <w:t>33,126</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87,866</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131,672</w:t>
            </w:r>
          </w:p>
        </w:tc>
        <w:tc>
          <w:tcPr>
            <w:tcW w:w="0" w:type="dxa"/>
            <w:vAlign w:val="bottom"/>
          </w:tcPr>
          <w:p>
            <w:pPr>
              <w:spacing w:after="0"/>
              <w:rPr>
                <w:sz w:val="1"/>
                <w:szCs w:val="1"/>
                <w:color w:val="auto"/>
              </w:rPr>
            </w:pPr>
          </w:p>
        </w:tc>
      </w:tr>
      <w:tr>
        <w:trPr>
          <w:trHeight w:val="228"/>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4.45</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5.90</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15.74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23.33</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5,518</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5,544</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5,530</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5,570</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4.42</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5.87</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15.64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23.21</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5,554</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5,574</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5,567</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5,600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9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2220" w:type="dxa"/>
            <w:vAlign w:val="bottom"/>
            <w:gridSpan w:val="2"/>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980" w:type="dxa"/>
            <w:vAlign w:val="bottom"/>
          </w:tcPr>
          <w:p>
            <w:pPr>
              <w:spacing w:after="0"/>
              <w:rPr>
                <w:sz w:val="17"/>
                <w:szCs w:val="17"/>
                <w:color w:val="auto"/>
              </w:rPr>
            </w:pPr>
          </w:p>
        </w:tc>
        <w:tc>
          <w:tcPr>
            <w:tcW w:w="222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September 30</w:t>
            </w:r>
          </w:p>
        </w:tc>
        <w:tc>
          <w:tcPr>
            <w:tcW w:w="222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2017</w:t>
            </w: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2016</w:t>
            </w: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2016</w:t>
            </w:r>
          </w:p>
        </w:tc>
      </w:tr>
    </w:tbl>
    <w:p>
      <w:pPr>
        <w:spacing w:after="0" w:line="34" w:lineRule="exact"/>
        <w:rPr>
          <w:sz w:val="20"/>
          <w:szCs w:val="20"/>
          <w:color w:val="auto"/>
        </w:rPr>
      </w:pPr>
    </w:p>
    <w:p>
      <w:pPr>
        <w:sectPr>
          <w:pgSz w:w="11900" w:h="16838" w:orient="portrait"/>
          <w:cols w:equalWidth="0" w:num="1">
            <w:col w:w="11420"/>
          </w:cols>
          <w:pgMar w:left="240" w:top="709"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Before Tax</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Unrealized gains for the period, net</w:t>
      </w:r>
    </w:p>
    <w:p>
      <w:pPr>
        <w:spacing w:after="0" w:line="59" w:lineRule="exact"/>
        <w:rPr>
          <w:sz w:val="20"/>
          <w:szCs w:val="20"/>
          <w:color w:val="auto"/>
        </w:rPr>
      </w:pPr>
    </w:p>
    <w:p>
      <w:pPr>
        <w:ind w:left="440" w:hanging="161"/>
        <w:spacing w:after="0" w:line="291" w:lineRule="auto"/>
        <w:rPr>
          <w:sz w:val="20"/>
          <w:szCs w:val="20"/>
          <w:color w:val="auto"/>
        </w:rPr>
      </w:pPr>
      <w:r>
        <w:rPr>
          <w:rFonts w:ascii="Arial" w:cs="Arial" w:eastAsia="Arial" w:hAnsi="Arial"/>
          <w:sz w:val="16"/>
          <w:szCs w:val="16"/>
          <w:color w:val="auto"/>
        </w:rPr>
        <w:t>Reclassification of realized gain on sale of available-for-sale securities included in net income</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280" w:right="1660"/>
        <w:spacing w:after="0" w:line="397" w:lineRule="auto"/>
        <w:rPr>
          <w:sz w:val="20"/>
          <w:szCs w:val="20"/>
          <w:color w:val="auto"/>
        </w:rPr>
      </w:pPr>
      <w:r>
        <w:rPr>
          <w:rFonts w:ascii="Arial" w:cs="Arial" w:eastAsia="Arial" w:hAnsi="Arial"/>
          <w:sz w:val="16"/>
          <w:szCs w:val="16"/>
          <w:color w:val="auto"/>
        </w:rPr>
        <w:t>Amortization of net prior service cost included in net income Amortization of net actuarial (gain) loss included in net income</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flow hedge (loss) gain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Before Tax</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 expense related to items of other comprehensive income</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24,844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33,126</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87,929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132,540</w:t>
            </w:r>
          </w:p>
        </w:tc>
      </w:tr>
      <w:tr>
        <w:trPr>
          <w:trHeight w:val="810"/>
        </w:trPr>
        <w:tc>
          <w:tcPr>
            <w:tcW w:w="24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11,470</w:t>
            </w:r>
          </w:p>
        </w:tc>
        <w:tc>
          <w:tcPr>
            <w:tcW w:w="34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(353)</w:t>
            </w:r>
          </w:p>
        </w:tc>
        <w:tc>
          <w:tcPr>
            <w:tcW w:w="280" w:type="dxa"/>
            <w:vAlign w:val="bottom"/>
          </w:tcPr>
          <w:p>
            <w:pPr>
              <w:spacing w:after="0"/>
              <w:rPr>
                <w:sz w:val="24"/>
                <w:szCs w:val="24"/>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34,776</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(1,629)</w:t>
            </w:r>
          </w:p>
        </w:tc>
      </w:tr>
      <w:tr>
        <w:trPr>
          <w:trHeight w:val="540"/>
        </w:trPr>
        <w:tc>
          <w:tcPr>
            <w:tcW w:w="24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47,836</w:t>
            </w:r>
          </w:p>
        </w:tc>
        <w:tc>
          <w:tcPr>
            <w:tcW w:w="34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12,154</w:t>
            </w:r>
          </w:p>
        </w:tc>
        <w:tc>
          <w:tcPr>
            <w:tcW w:w="280" w:type="dxa"/>
            <w:vAlign w:val="bottom"/>
          </w:tcPr>
          <w:p>
            <w:pPr>
              <w:spacing w:after="0"/>
              <w:rPr>
                <w:sz w:val="24"/>
                <w:szCs w:val="24"/>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71,370</w:t>
            </w:r>
          </w:p>
        </w:tc>
        <w:tc>
          <w:tcPr>
            <w:tcW w:w="30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7,190</w:t>
            </w:r>
          </w:p>
        </w:tc>
      </w:tr>
      <w:tr>
        <w:trPr>
          <w:trHeight w:val="436"/>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(6,256)</w:t>
            </w:r>
          </w:p>
        </w:tc>
      </w:tr>
      <w:tr>
        <w:trPr>
          <w:trHeight w:val="260"/>
        </w:trPr>
        <w:tc>
          <w:tcPr>
            <w:tcW w:w="240" w:type="dxa"/>
            <w:vAlign w:val="bottom"/>
          </w:tcPr>
          <w:p>
            <w:pPr>
              <w:spacing w:after="0"/>
              <w:rPr>
                <w:sz w:val="22"/>
                <w:szCs w:val="22"/>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47,836</w:t>
            </w:r>
          </w:p>
        </w:tc>
        <w:tc>
          <w:tcPr>
            <w:tcW w:w="340" w:type="dxa"/>
            <w:vAlign w:val="bottom"/>
          </w:tcPr>
          <w:p>
            <w:pPr>
              <w:spacing w:after="0"/>
              <w:rPr>
                <w:sz w:val="22"/>
                <w:szCs w:val="22"/>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12,154</w:t>
            </w:r>
          </w:p>
        </w:tc>
        <w:tc>
          <w:tcPr>
            <w:tcW w:w="28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71,370</w:t>
            </w:r>
          </w:p>
        </w:tc>
        <w:tc>
          <w:tcPr>
            <w:tcW w:w="30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934</w:t>
            </w:r>
          </w:p>
        </w:tc>
      </w:tr>
      <w:tr>
        <w:trPr>
          <w:trHeight w:val="540"/>
        </w:trPr>
        <w:tc>
          <w:tcPr>
            <w:tcW w:w="24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118</w:t>
            </w:r>
          </w:p>
        </w:tc>
        <w:tc>
          <w:tcPr>
            <w:tcW w:w="34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105</w:t>
            </w:r>
          </w:p>
        </w:tc>
        <w:tc>
          <w:tcPr>
            <w:tcW w:w="280" w:type="dxa"/>
            <w:vAlign w:val="bottom"/>
          </w:tcPr>
          <w:p>
            <w:pPr>
              <w:spacing w:after="0"/>
              <w:rPr>
                <w:sz w:val="24"/>
                <w:szCs w:val="24"/>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358</w:t>
            </w:r>
          </w:p>
        </w:tc>
        <w:tc>
          <w:tcPr>
            <w:tcW w:w="30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314</w:t>
            </w:r>
          </w:p>
        </w:tc>
      </w:tr>
      <w:tr>
        <w:trPr>
          <w:trHeight w:val="274"/>
        </w:trPr>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(1,567)</w:t>
            </w: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289</w:t>
            </w: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(4,958)</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868</w:t>
            </w:r>
          </w:p>
        </w:tc>
      </w:tr>
      <w:tr>
        <w:trPr>
          <w:trHeight w:val="260"/>
        </w:trPr>
        <w:tc>
          <w:tcPr>
            <w:tcW w:w="24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(1,449)</w:t>
            </w:r>
          </w:p>
        </w:tc>
        <w:tc>
          <w:tcPr>
            <w:tcW w:w="340" w:type="dxa"/>
            <w:vAlign w:val="bottom"/>
          </w:tcPr>
          <w:p>
            <w:pPr>
              <w:spacing w:after="0"/>
              <w:rPr>
                <w:sz w:val="22"/>
                <w:szCs w:val="22"/>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394</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(4,600)</w:t>
            </w:r>
          </w:p>
        </w:tc>
        <w:tc>
          <w:tcPr>
            <w:tcW w:w="30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1,182</w:t>
            </w:r>
          </w:p>
        </w:tc>
      </w:tr>
      <w:tr>
        <w:trPr>
          <w:trHeight w:val="274"/>
        </w:trPr>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(72)</w:t>
            </w: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w:t>
            </w: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w:t>
            </w:r>
          </w:p>
        </w:tc>
      </w:tr>
      <w:tr>
        <w:trPr>
          <w:trHeight w:val="260"/>
        </w:trPr>
        <w:tc>
          <w:tcPr>
            <w:tcW w:w="240" w:type="dxa"/>
            <w:vAlign w:val="bottom"/>
          </w:tcPr>
          <w:p>
            <w:pPr>
              <w:spacing w:after="0"/>
              <w:rPr>
                <w:sz w:val="22"/>
                <w:szCs w:val="22"/>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57,785</w:t>
            </w:r>
          </w:p>
        </w:tc>
        <w:tc>
          <w:tcPr>
            <w:tcW w:w="340" w:type="dxa"/>
            <w:vAlign w:val="bottom"/>
          </w:tcPr>
          <w:p>
            <w:pPr>
              <w:spacing w:after="0"/>
              <w:rPr>
                <w:sz w:val="22"/>
                <w:szCs w:val="22"/>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12,244</w:t>
            </w:r>
          </w:p>
        </w:tc>
        <w:tc>
          <w:tcPr>
            <w:tcW w:w="28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101,331</w:t>
            </w:r>
          </w:p>
        </w:tc>
        <w:tc>
          <w:tcPr>
            <w:tcW w:w="30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536</w:t>
            </w:r>
          </w:p>
        </w:tc>
      </w:tr>
      <w:tr>
        <w:trPr>
          <w:trHeight w:val="274"/>
        </w:trPr>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(18,540)</w:t>
            </w: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(5,039)</w:t>
            </w: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(26,665)</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w:t>
            </w:r>
          </w:p>
        </w:tc>
      </w:tr>
      <w:tr>
        <w:trPr>
          <w:trHeight w:val="264"/>
        </w:trPr>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39,245</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7,205</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74,666</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r>
      <w:tr>
        <w:trPr>
          <w:trHeight w:val="260"/>
        </w:trPr>
        <w:tc>
          <w:tcPr>
            <w:tcW w:w="240" w:type="dxa"/>
            <w:vAlign w:val="bottom"/>
          </w:tcPr>
          <w:p>
            <w:pPr>
              <w:spacing w:after="0"/>
              <w:rPr>
                <w:sz w:val="22"/>
                <w:szCs w:val="22"/>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64,089</w:t>
            </w:r>
          </w:p>
        </w:tc>
        <w:tc>
          <w:tcPr>
            <w:tcW w:w="340" w:type="dxa"/>
            <w:vAlign w:val="bottom"/>
          </w:tcPr>
          <w:p>
            <w:pPr>
              <w:spacing w:after="0"/>
              <w:rPr>
                <w:sz w:val="22"/>
                <w:szCs w:val="22"/>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40,331</w:t>
            </w:r>
          </w:p>
        </w:tc>
        <w:tc>
          <w:tcPr>
            <w:tcW w:w="28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162,595</w:t>
            </w:r>
          </w:p>
        </w:tc>
        <w:tc>
          <w:tcPr>
            <w:tcW w:w="30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132,210</w:t>
            </w:r>
          </w:p>
        </w:tc>
      </w:tr>
      <w:tr>
        <w:trPr>
          <w:trHeight w:val="274"/>
        </w:trPr>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(60)</w:t>
            </w: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r>
      <w:tr>
        <w:trPr>
          <w:trHeight w:val="264"/>
        </w:trPr>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64,029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40,331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162,532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131,342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400" w:space="580"/>
            <w:col w:w="4440"/>
          </w:cols>
          <w:pgMar w:left="240" w:top="709"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1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260" w:type="dxa"/>
            <w:vAlign w:val="bottom"/>
          </w:tcPr>
          <w:p>
            <w:pPr>
              <w:jc w:val="right"/>
              <w:ind w:right="21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63"/>
        </w:trPr>
        <w:tc>
          <w:tcPr>
            <w:tcW w:w="8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center"/>
              <w:ind w:right="14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395,009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648,885</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21,403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21,931</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519,586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448,241</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525,779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615,101</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28,108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41,635</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62,531</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34,818</w:t>
            </w:r>
          </w:p>
        </w:tc>
        <w:tc>
          <w:tcPr>
            <w:tcW w:w="0" w:type="dxa"/>
            <w:vAlign w:val="bottom"/>
          </w:tcPr>
          <w:p>
            <w:pPr>
              <w:spacing w:after="0"/>
              <w:rPr>
                <w:sz w:val="1"/>
                <w:szCs w:val="1"/>
                <w:color w:val="auto"/>
              </w:rPr>
            </w:pPr>
          </w:p>
        </w:tc>
      </w:tr>
      <w:tr>
        <w:trPr>
          <w:trHeight w:val="274"/>
        </w:trPr>
        <w:tc>
          <w:tcPr>
            <w:tcW w:w="832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65,443</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60,735</w:t>
            </w:r>
          </w:p>
        </w:tc>
        <w:tc>
          <w:tcPr>
            <w:tcW w:w="0" w:type="dxa"/>
            <w:vAlign w:val="bottom"/>
          </w:tcPr>
          <w:p>
            <w:pPr>
              <w:spacing w:after="0"/>
              <w:rPr>
                <w:sz w:val="1"/>
                <w:szCs w:val="1"/>
                <w:color w:val="auto"/>
              </w:rPr>
            </w:pPr>
          </w:p>
        </w:tc>
      </w:tr>
      <w:tr>
        <w:trPr>
          <w:trHeight w:val="260"/>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22"/>
                <w:szCs w:val="22"/>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1,617,859</w:t>
            </w:r>
          </w:p>
        </w:tc>
        <w:tc>
          <w:tcPr>
            <w:tcW w:w="2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1,871,346</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259,809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233,664</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122,166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58,806</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1,299,226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1,122,954</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 Net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109,901</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66,026</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239,152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107,939</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863,098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881,593</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15,820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17,246</w:t>
            </w:r>
          </w:p>
        </w:tc>
        <w:tc>
          <w:tcPr>
            <w:tcW w:w="0" w:type="dxa"/>
            <w:vAlign w:val="bottom"/>
          </w:tcPr>
          <w:p>
            <w:pPr>
              <w:spacing w:after="0"/>
              <w:rPr>
                <w:sz w:val="1"/>
                <w:szCs w:val="1"/>
                <w:color w:val="auto"/>
              </w:rPr>
            </w:pPr>
          </w:p>
        </w:tc>
      </w:tr>
      <w:tr>
        <w:trPr>
          <w:trHeight w:val="27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92,884</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73,096</w:t>
            </w:r>
          </w:p>
        </w:tc>
        <w:tc>
          <w:tcPr>
            <w:tcW w:w="0" w:type="dxa"/>
            <w:vAlign w:val="bottom"/>
          </w:tcPr>
          <w:p>
            <w:pPr>
              <w:spacing w:after="0"/>
              <w:rPr>
                <w:sz w:val="1"/>
                <w:szCs w:val="1"/>
                <w:color w:val="auto"/>
              </w:rPr>
            </w:pPr>
          </w:p>
        </w:tc>
      </w:tr>
      <w:tr>
        <w:trPr>
          <w:trHeight w:val="267"/>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4,619,915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4,432,670</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446,076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500,726</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353,367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312,107</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6,713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6,128</w:t>
            </w:r>
          </w:p>
        </w:tc>
        <w:tc>
          <w:tcPr>
            <w:tcW w:w="0" w:type="dxa"/>
            <w:vAlign w:val="bottom"/>
          </w:tcPr>
          <w:p>
            <w:pPr>
              <w:spacing w:after="0"/>
              <w:rPr>
                <w:sz w:val="1"/>
                <w:szCs w:val="1"/>
                <w:color w:val="auto"/>
              </w:rPr>
            </w:pPr>
          </w:p>
        </w:tc>
      </w:tr>
      <w:tr>
        <w:trPr>
          <w:trHeight w:val="274"/>
        </w:trPr>
        <w:tc>
          <w:tcPr>
            <w:tcW w:w="8320" w:type="dxa"/>
            <w:vAlign w:val="bottom"/>
          </w:tcPr>
          <w:p>
            <w:pPr>
              <w:ind w:left="280"/>
              <w:spacing w:after="0"/>
              <w:rPr>
                <w:sz w:val="20"/>
                <w:szCs w:val="20"/>
                <w:color w:val="auto"/>
              </w:rPr>
            </w:pPr>
            <w:r>
              <w:rPr>
                <w:rFonts w:ascii="Arial" w:cs="Arial" w:eastAsia="Arial" w:hAnsi="Arial"/>
                <w:sz w:val="16"/>
                <w:szCs w:val="16"/>
                <w:color w:val="auto"/>
              </w:rPr>
              <w:t>Dividends declared</w:t>
            </w: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7,025</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Pr>
          <w:p>
            <w:pPr>
              <w:spacing w:after="0"/>
              <w:rPr>
                <w:sz w:val="22"/>
                <w:szCs w:val="22"/>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813,181</w:t>
            </w:r>
          </w:p>
        </w:tc>
        <w:tc>
          <w:tcPr>
            <w:tcW w:w="2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818,961</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Postretirement Benefits Other Than Pensions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22,929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21,859</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198,907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195,910</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67,589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65,554</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454,027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379,092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12,584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12,584</w:t>
            </w:r>
          </w:p>
        </w:tc>
        <w:tc>
          <w:tcPr>
            <w:tcW w:w="0" w:type="dxa"/>
            <w:vAlign w:val="bottom"/>
          </w:tcPr>
          <w:p>
            <w:pPr>
              <w:spacing w:after="0"/>
              <w:rPr>
                <w:sz w:val="1"/>
                <w:szCs w:val="1"/>
                <w:color w:val="auto"/>
              </w:rPr>
            </w:pPr>
          </w:p>
        </w:tc>
      </w:tr>
      <w:tr>
        <w:trPr>
          <w:trHeight w:val="27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486,242</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485,719</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2,055,459</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1,979,679</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3,779</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61"/>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20,000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Capital in excess of par value</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368,505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364,363</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5,648,479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5,588,942</w:t>
            </w:r>
          </w:p>
        </w:tc>
        <w:tc>
          <w:tcPr>
            <w:tcW w:w="0" w:type="dxa"/>
            <w:vAlign w:val="bottom"/>
          </w:tcPr>
          <w:p>
            <w:pPr>
              <w:spacing w:after="0"/>
              <w:rPr>
                <w:sz w:val="1"/>
                <w:szCs w:val="1"/>
                <w:color w:val="auto"/>
              </w:rPr>
            </w:pPr>
          </w:p>
        </w:tc>
      </w:tr>
      <w:tr>
        <w:trPr>
          <w:trHeight w:val="262"/>
        </w:trPr>
        <w:tc>
          <w:tcPr>
            <w:tcW w:w="832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(loss), net of tax</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320" w:type="dxa"/>
            <w:vAlign w:val="bottom"/>
          </w:tcPr>
          <w:p>
            <w:pPr>
              <w:ind w:left="480"/>
              <w:spacing w:after="0"/>
              <w:rPr>
                <w:sz w:val="20"/>
                <w:szCs w:val="20"/>
                <w:color w:val="auto"/>
              </w:rPr>
            </w:pPr>
            <w:r>
              <w:rPr>
                <w:rFonts w:ascii="Arial" w:cs="Arial" w:eastAsia="Arial" w:hAnsi="Arial"/>
                <w:sz w:val="16"/>
                <w:szCs w:val="16"/>
                <w:color w:val="auto"/>
              </w:rPr>
              <w:t>Cumulative foreign currency translation adjustment</w:t>
            </w:r>
          </w:p>
        </w:tc>
        <w:tc>
          <w:tcPr>
            <w:tcW w:w="180" w:type="dxa"/>
            <w:vAlign w:val="bottom"/>
          </w:tcPr>
          <w:p>
            <w:pPr>
              <w:spacing w:after="0"/>
              <w:rPr>
                <w:sz w:val="24"/>
                <w:szCs w:val="24"/>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7,778</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(26,998)</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available-for-sale securities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135,753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92,931</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pensions and other postretirement plans</w:t>
            </w:r>
          </w:p>
        </w:tc>
        <w:tc>
          <w:tcPr>
            <w:tcW w:w="180" w:type="dxa"/>
            <w:vAlign w:val="bottom"/>
          </w:tcPr>
          <w:p>
            <w:pPr>
              <w:spacing w:after="0"/>
              <w:rPr>
                <w:sz w:val="23"/>
                <w:szCs w:val="23"/>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b w:val="1"/>
                <w:bCs w:val="1"/>
                <w:color w:val="auto"/>
              </w:rPr>
              <w:t>168,070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170,830</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Cash flow hedge</w:t>
            </w: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(449)</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74"/>
        </w:trPr>
        <w:tc>
          <w:tcPr>
            <w:tcW w:w="8320" w:type="dxa"/>
            <w:vAlign w:val="bottom"/>
          </w:tcPr>
          <w:p>
            <w:pPr>
              <w:ind w:left="280"/>
              <w:spacing w:after="0"/>
              <w:rPr>
                <w:sz w:val="20"/>
                <w:szCs w:val="20"/>
                <w:color w:val="auto"/>
              </w:rPr>
            </w:pPr>
            <w:r>
              <w:rPr>
                <w:rFonts w:ascii="Arial" w:cs="Arial" w:eastAsia="Arial" w:hAnsi="Arial"/>
                <w:sz w:val="16"/>
                <w:szCs w:val="16"/>
                <w:color w:val="auto"/>
              </w:rPr>
              <w:t>Cost of Class B common stock held in treasury</w:t>
            </w: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(3,787,459)</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(3,756,850)</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2,560,677</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2,452,941</w:t>
            </w:r>
          </w:p>
        </w:tc>
        <w:tc>
          <w:tcPr>
            <w:tcW w:w="0" w:type="dxa"/>
            <w:vAlign w:val="bottom"/>
          </w:tcPr>
          <w:p>
            <w:pPr>
              <w:spacing w:after="0"/>
              <w:rPr>
                <w:sz w:val="1"/>
                <w:szCs w:val="1"/>
                <w:color w:val="auto"/>
              </w:rPr>
            </w:pPr>
          </w:p>
        </w:tc>
      </w:tr>
      <w:tr>
        <w:trPr>
          <w:trHeight w:val="267"/>
        </w:trPr>
        <w:tc>
          <w:tcPr>
            <w:tcW w:w="8320" w:type="dxa"/>
            <w:vAlign w:val="bottom"/>
          </w:tcPr>
          <w:p>
            <w:pPr>
              <w:ind w:left="70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4,619,915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4,432,670</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00"/>
          </w:cols>
          <w:pgMar w:left="240" w:top="695" w:right="259" w:bottom="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695" w:right="259" w:bottom="0" w:gutter="0" w:footer="0" w:header="0"/>
          <w:type w:val="continuous"/>
        </w:sectPr>
      </w:pPr>
    </w:p>
    <w:bookmarkStart w:id="5" w:name="page6"/>
    <w:bookmarkEnd w:id="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7"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Nine Months Ended</w:t>
      </w:r>
    </w:p>
    <w:p>
      <w:pPr>
        <w:spacing w:after="0" w:line="21"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14605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5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2016</w:t>
            </w:r>
          </w:p>
        </w:tc>
      </w:tr>
    </w:tbl>
    <w:p>
      <w:pPr>
        <w:spacing w:after="0" w:line="34" w:lineRule="exact"/>
        <w:rPr>
          <w:sz w:val="20"/>
          <w:szCs w:val="20"/>
          <w:color w:val="auto"/>
        </w:rPr>
      </w:pPr>
    </w:p>
    <w:p>
      <w:pPr>
        <w:sectPr>
          <w:pgSz w:w="11900" w:h="16838" w:orient="portrait"/>
          <w:cols w:equalWidth="0" w:num="1">
            <w:col w:w="11420"/>
          </w:cols>
          <w:pgMar w:left="240" w:top="709"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amortization and goodwill and other long-lived asset impairment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pension benefit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Early retirement program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Stock-based compensation expense,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Loss (gain) on disposition of businesses, property, plant and equipment, investments and other assets,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Foreign exchange (gain) loss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Write-down of cost method investments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Equity in (earnings) losses of affiliates, net of distributions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Provision (benefit) for deferred income taxes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Change in operating assets and liabilities: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Income taxes receivable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assets and other liabilities,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Cash Provided by Operating Activities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Investments in certain businesses, net of cash acquired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Investments in equity affiliates, cost method and other investments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Purchases of property, plant and equipment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Disbursement of loan to affiliate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Return of investment in equity affiliate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proceeds from disposition of businesses, property, plant and equipment, investments and other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Proceeds from sales of marketable equity securities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Purchases of marketable equity securities</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Cash Used in Investing Activities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Common shares repurchased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Dividends paid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Repayments of borrowings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Deferred payments of acquisition and noncontrolling interest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Issuance of borrowings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Purchase of noncontrolling interest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Payments of financing costs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Cash Used in Financing Activities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Effect of Currency Exchange Rate Change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Decrease in Cash and Cash Equivalents and Restricted Cash</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Beginning Cash and Cash Equivalents and Restricted Cash</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Ending Cash and Cash Equivalents and Restricted Cash</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tabs>
          <w:tab w:leader="none" w:pos="500" w:val="left"/>
          <w:tab w:leader="none" w:pos="1240" w:val="left"/>
          <w:tab w:leader="none" w:pos="16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87,929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132,540</w:t>
      </w:r>
    </w:p>
    <w:p>
      <w:pPr>
        <w:spacing w:after="0" w:line="356" w:lineRule="exact"/>
        <w:rPr>
          <w:sz w:val="20"/>
          <w:szCs w:val="20"/>
          <w:color w:val="auto"/>
        </w:rPr>
      </w:pPr>
    </w:p>
    <w:p>
      <w:pPr>
        <w:ind w:left="520"/>
        <w:spacing w:after="0"/>
        <w:tabs>
          <w:tab w:leader="none" w:pos="1740" w:val="left"/>
        </w:tabs>
        <w:rPr>
          <w:sz w:val="20"/>
          <w:szCs w:val="20"/>
          <w:color w:val="auto"/>
        </w:rPr>
      </w:pPr>
      <w:r>
        <w:rPr>
          <w:rFonts w:ascii="Arial" w:cs="Arial" w:eastAsia="Arial" w:hAnsi="Arial"/>
          <w:sz w:val="16"/>
          <w:szCs w:val="16"/>
          <w:b w:val="1"/>
          <w:bCs w:val="1"/>
          <w:color w:val="auto"/>
        </w:rPr>
        <w:t>84,351</w:t>
      </w:r>
      <w:r>
        <w:rPr>
          <w:sz w:val="20"/>
          <w:szCs w:val="20"/>
          <w:color w:val="auto"/>
        </w:rPr>
        <w:tab/>
      </w:r>
      <w:r>
        <w:rPr>
          <w:rFonts w:ascii="Arial" w:cs="Arial" w:eastAsia="Arial" w:hAnsi="Arial"/>
          <w:sz w:val="16"/>
          <w:szCs w:val="16"/>
          <w:color w:val="auto"/>
        </w:rPr>
        <w:t>68,063</w:t>
      </w:r>
    </w:p>
    <w:p>
      <w:pPr>
        <w:spacing w:after="0" w:line="86" w:lineRule="exact"/>
        <w:rPr>
          <w:sz w:val="20"/>
          <w:szCs w:val="20"/>
          <w:color w:val="auto"/>
        </w:rPr>
      </w:pPr>
    </w:p>
    <w:p>
      <w:pPr>
        <w:jc w:val="both"/>
        <w:ind w:left="460"/>
        <w:spacing w:after="0"/>
        <w:tabs>
          <w:tab w:leader="none" w:pos="1680" w:val="left"/>
        </w:tabs>
        <w:rPr>
          <w:sz w:val="20"/>
          <w:szCs w:val="20"/>
          <w:color w:val="auto"/>
        </w:rPr>
      </w:pPr>
      <w:r>
        <w:rPr>
          <w:rFonts w:ascii="Arial" w:cs="Arial" w:eastAsia="Arial" w:hAnsi="Arial"/>
          <w:sz w:val="16"/>
          <w:szCs w:val="16"/>
          <w:b w:val="1"/>
          <w:bCs w:val="1"/>
          <w:color w:val="auto"/>
        </w:rPr>
        <w:t>(44,281)</w:t>
      </w:r>
      <w:r>
        <w:rPr>
          <w:sz w:val="20"/>
          <w:szCs w:val="20"/>
          <w:color w:val="auto"/>
        </w:rPr>
        <w:tab/>
      </w:r>
      <w:r>
        <w:rPr>
          <w:rFonts w:ascii="Arial" w:cs="Arial" w:eastAsia="Arial" w:hAnsi="Arial"/>
          <w:sz w:val="16"/>
          <w:szCs w:val="16"/>
          <w:color w:val="auto"/>
        </w:rPr>
        <w:t>(36,714)</w:t>
      </w:r>
    </w:p>
    <w:p>
      <w:pPr>
        <w:spacing w:after="0" w:line="88" w:lineRule="exact"/>
        <w:rPr>
          <w:sz w:val="20"/>
          <w:szCs w:val="20"/>
          <w:color w:val="auto"/>
        </w:rPr>
      </w:pPr>
    </w:p>
    <w:p>
      <w:pPr>
        <w:ind w:left="2080" w:hanging="1341"/>
        <w:spacing w:after="0"/>
        <w:tabs>
          <w:tab w:leader="none" w:pos="208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84"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6"/>
          <w:szCs w:val="16"/>
          <w:b w:val="1"/>
          <w:bCs w:val="1"/>
          <w:color w:val="auto"/>
        </w:rPr>
        <w:t>7,528</w:t>
      </w:r>
      <w:r>
        <w:rPr>
          <w:sz w:val="20"/>
          <w:szCs w:val="20"/>
          <w:color w:val="auto"/>
        </w:rPr>
        <w:tab/>
      </w:r>
      <w:r>
        <w:rPr>
          <w:rFonts w:ascii="Arial" w:cs="Arial" w:eastAsia="Arial" w:hAnsi="Arial"/>
          <w:sz w:val="16"/>
          <w:szCs w:val="16"/>
          <w:color w:val="auto"/>
        </w:rPr>
        <w:t>10,319</w:t>
      </w:r>
    </w:p>
    <w:p>
      <w:pPr>
        <w:spacing w:after="0" w:line="88" w:lineRule="exact"/>
        <w:rPr>
          <w:sz w:val="20"/>
          <w:szCs w:val="20"/>
          <w:color w:val="auto"/>
        </w:rPr>
      </w:pPr>
    </w:p>
    <w:p>
      <w:pPr>
        <w:ind w:left="1700" w:hanging="961"/>
        <w:spacing w:after="0"/>
        <w:tabs>
          <w:tab w:leader="none" w:pos="17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(62,132)</w:t>
      </w:r>
    </w:p>
    <w:p>
      <w:pPr>
        <w:spacing w:after="0" w:line="84"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16"/>
          <w:szCs w:val="16"/>
          <w:b w:val="1"/>
          <w:bCs w:val="1"/>
          <w:color w:val="auto"/>
        </w:rPr>
        <w:t>(6,608)</w:t>
      </w:r>
      <w:r>
        <w:rPr>
          <w:sz w:val="20"/>
          <w:szCs w:val="20"/>
          <w:color w:val="auto"/>
        </w:rPr>
        <w:tab/>
      </w:r>
      <w:r>
        <w:rPr>
          <w:rFonts w:ascii="Arial" w:cs="Arial" w:eastAsia="Arial" w:hAnsi="Arial"/>
          <w:sz w:val="16"/>
          <w:szCs w:val="16"/>
          <w:color w:val="auto"/>
        </w:rPr>
        <w:t>33,324</w:t>
      </w:r>
    </w:p>
    <w:p>
      <w:pPr>
        <w:spacing w:after="0" w:line="88" w:lineRule="exact"/>
        <w:rPr>
          <w:sz w:val="20"/>
          <w:szCs w:val="20"/>
          <w:color w:val="auto"/>
        </w:rPr>
      </w:pPr>
    </w:p>
    <w:p>
      <w:pPr>
        <w:ind w:left="1760" w:hanging="1021"/>
        <w:spacing w:after="0"/>
        <w:tabs>
          <w:tab w:leader="none" w:pos="17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15,161</w:t>
      </w:r>
    </w:p>
    <w:p>
      <w:pPr>
        <w:spacing w:after="0" w:line="84"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(1,434)</w:t>
      </w:r>
      <w:r>
        <w:rPr>
          <w:rFonts w:ascii="Arial" w:cs="Arial" w:eastAsia="Arial" w:hAnsi="Arial"/>
          <w:sz w:val="16"/>
          <w:szCs w:val="16"/>
          <w:color w:val="auto"/>
        </w:rPr>
        <w:t>895</w:t>
      </w:r>
    </w:p>
    <w:p>
      <w:pPr>
        <w:spacing w:after="0" w:line="86" w:lineRule="exact"/>
        <w:rPr>
          <w:rFonts w:ascii="Arial" w:cs="Arial" w:eastAsia="Arial" w:hAnsi="Arial"/>
          <w:sz w:val="16"/>
          <w:szCs w:val="16"/>
          <w:b w:val="1"/>
          <w:bCs w:val="1"/>
          <w:color w:val="auto"/>
        </w:rPr>
      </w:pPr>
    </w:p>
    <w:p>
      <w:pPr>
        <w:ind w:left="5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16,306</w:t>
      </w:r>
      <w:r>
        <w:rPr>
          <w:rFonts w:ascii="Arial" w:cs="Arial" w:eastAsia="Arial" w:hAnsi="Arial"/>
          <w:sz w:val="16"/>
          <w:szCs w:val="16"/>
          <w:color w:val="auto"/>
        </w:rPr>
        <w:t>(17,281)</w:t>
      </w:r>
    </w:p>
    <w:p>
      <w:pPr>
        <w:spacing w:after="0" w:line="356" w:lineRule="exact"/>
        <w:rPr>
          <w:sz w:val="20"/>
          <w:szCs w:val="20"/>
          <w:color w:val="auto"/>
        </w:rPr>
      </w:pPr>
    </w:p>
    <w:p>
      <w:pPr>
        <w:ind w:left="420"/>
        <w:spacing w:after="0"/>
        <w:tabs>
          <w:tab w:leader="none" w:pos="1820" w:val="left"/>
        </w:tabs>
        <w:rPr>
          <w:sz w:val="20"/>
          <w:szCs w:val="20"/>
          <w:color w:val="auto"/>
        </w:rPr>
      </w:pPr>
      <w:r>
        <w:rPr>
          <w:rFonts w:ascii="Arial" w:cs="Arial" w:eastAsia="Arial" w:hAnsi="Arial"/>
          <w:sz w:val="16"/>
          <w:szCs w:val="16"/>
          <w:b w:val="1"/>
          <w:bCs w:val="1"/>
          <w:color w:val="auto"/>
        </w:rPr>
        <w:t>106,230</w:t>
      </w:r>
      <w:r>
        <w:rPr>
          <w:sz w:val="20"/>
          <w:szCs w:val="20"/>
          <w:color w:val="auto"/>
        </w:rPr>
        <w:tab/>
      </w:r>
      <w:r>
        <w:rPr>
          <w:rFonts w:ascii="Arial" w:cs="Arial" w:eastAsia="Arial" w:hAnsi="Arial"/>
          <w:sz w:val="16"/>
          <w:szCs w:val="16"/>
          <w:color w:val="auto"/>
        </w:rPr>
        <w:t>5,980</w:t>
      </w:r>
    </w:p>
    <w:p>
      <w:pPr>
        <w:spacing w:after="0" w:line="86" w:lineRule="exact"/>
        <w:rPr>
          <w:sz w:val="20"/>
          <w:szCs w:val="20"/>
          <w:color w:val="auto"/>
        </w:rPr>
      </w:pPr>
    </w:p>
    <w:p>
      <w:pPr>
        <w:jc w:val="both"/>
        <w:ind w:left="460"/>
        <w:spacing w:after="0"/>
        <w:tabs>
          <w:tab w:leader="none" w:pos="1680" w:val="left"/>
        </w:tabs>
        <w:rPr>
          <w:sz w:val="20"/>
          <w:szCs w:val="20"/>
          <w:color w:val="auto"/>
        </w:rPr>
      </w:pPr>
      <w:r>
        <w:rPr>
          <w:rFonts w:ascii="Arial" w:cs="Arial" w:eastAsia="Arial" w:hAnsi="Arial"/>
          <w:sz w:val="16"/>
          <w:szCs w:val="16"/>
          <w:b w:val="1"/>
          <w:bCs w:val="1"/>
          <w:color w:val="auto"/>
        </w:rPr>
        <w:t>(63,255)</w:t>
      </w:r>
      <w:r>
        <w:rPr>
          <w:sz w:val="20"/>
          <w:szCs w:val="20"/>
          <w:color w:val="auto"/>
        </w:rPr>
        <w:tab/>
      </w:r>
      <w:r>
        <w:rPr>
          <w:rFonts w:ascii="Arial" w:cs="Arial" w:eastAsia="Arial" w:hAnsi="Arial"/>
          <w:sz w:val="16"/>
          <w:szCs w:val="16"/>
          <w:color w:val="auto"/>
        </w:rPr>
        <w:t>(38,099)</w:t>
      </w:r>
    </w:p>
    <w:p>
      <w:pPr>
        <w:spacing w:after="0" w:line="86" w:lineRule="exact"/>
        <w:rPr>
          <w:sz w:val="20"/>
          <w:szCs w:val="20"/>
          <w:color w:val="auto"/>
        </w:rPr>
      </w:pPr>
    </w:p>
    <w:p>
      <w:pPr>
        <w:ind w:left="520"/>
        <w:spacing w:after="0"/>
        <w:tabs>
          <w:tab w:leader="none" w:pos="1740" w:val="left"/>
        </w:tabs>
        <w:rPr>
          <w:sz w:val="20"/>
          <w:szCs w:val="20"/>
          <w:color w:val="auto"/>
        </w:rPr>
      </w:pPr>
      <w:r>
        <w:rPr>
          <w:rFonts w:ascii="Arial" w:cs="Arial" w:eastAsia="Arial" w:hAnsi="Arial"/>
          <w:sz w:val="16"/>
          <w:szCs w:val="16"/>
          <w:b w:val="1"/>
          <w:bCs w:val="1"/>
          <w:color w:val="auto"/>
        </w:rPr>
        <w:t>27,254</w:t>
      </w:r>
      <w:r>
        <w:rPr>
          <w:sz w:val="20"/>
          <w:szCs w:val="20"/>
          <w:color w:val="auto"/>
        </w:rPr>
        <w:tab/>
      </w:r>
      <w:r>
        <w:rPr>
          <w:rFonts w:ascii="Arial" w:cs="Arial" w:eastAsia="Arial" w:hAnsi="Arial"/>
          <w:sz w:val="16"/>
          <w:szCs w:val="16"/>
          <w:color w:val="auto"/>
        </w:rPr>
        <w:t>28,014</w:t>
      </w:r>
    </w:p>
    <w:p>
      <w:pPr>
        <w:spacing w:after="0" w:line="86" w:lineRule="exact"/>
        <w:rPr>
          <w:sz w:val="20"/>
          <w:szCs w:val="20"/>
          <w:color w:val="auto"/>
        </w:rPr>
      </w:pPr>
    </w:p>
    <w:p>
      <w:pPr>
        <w:ind w:left="520"/>
        <w:spacing w:after="0"/>
        <w:tabs>
          <w:tab w:leader="none" w:pos="1740" w:val="left"/>
        </w:tabs>
        <w:rPr>
          <w:sz w:val="20"/>
          <w:szCs w:val="20"/>
          <w:color w:val="auto"/>
        </w:rPr>
      </w:pPr>
      <w:r>
        <w:rPr>
          <w:rFonts w:ascii="Arial" w:cs="Arial" w:eastAsia="Arial" w:hAnsi="Arial"/>
          <w:sz w:val="16"/>
          <w:szCs w:val="16"/>
          <w:b w:val="1"/>
          <w:bCs w:val="1"/>
          <w:color w:val="auto"/>
        </w:rPr>
        <w:t>14,477</w:t>
      </w:r>
      <w:r>
        <w:rPr>
          <w:sz w:val="20"/>
          <w:szCs w:val="20"/>
          <w:color w:val="auto"/>
        </w:rPr>
        <w:tab/>
      </w:r>
      <w:r>
        <w:rPr>
          <w:rFonts w:ascii="Arial" w:cs="Arial" w:eastAsia="Arial" w:hAnsi="Arial"/>
          <w:sz w:val="16"/>
          <w:szCs w:val="16"/>
          <w:color w:val="auto"/>
        </w:rPr>
        <w:t>27,206</w:t>
      </w:r>
    </w:p>
    <w:p>
      <w:pPr>
        <w:spacing w:after="0" w:line="86" w:lineRule="exact"/>
        <w:rPr>
          <w:sz w:val="20"/>
          <w:szCs w:val="20"/>
          <w:color w:val="auto"/>
        </w:rPr>
      </w:pPr>
    </w:p>
    <w:p>
      <w:pPr>
        <w:jc w:val="both"/>
        <w:ind w:left="560"/>
        <w:spacing w:after="0"/>
        <w:tabs>
          <w:tab w:leader="none" w:pos="1680" w:val="left"/>
        </w:tabs>
        <w:rPr>
          <w:sz w:val="20"/>
          <w:szCs w:val="20"/>
          <w:color w:val="auto"/>
        </w:rPr>
      </w:pPr>
      <w:r>
        <w:rPr>
          <w:rFonts w:ascii="Arial" w:cs="Arial" w:eastAsia="Arial" w:hAnsi="Arial"/>
          <w:sz w:val="16"/>
          <w:szCs w:val="16"/>
          <w:b w:val="1"/>
          <w:bCs w:val="1"/>
          <w:color w:val="auto"/>
        </w:rPr>
        <w:t>(9,795)</w:t>
      </w:r>
      <w:r>
        <w:rPr>
          <w:sz w:val="20"/>
          <w:szCs w:val="20"/>
          <w:color w:val="auto"/>
        </w:rPr>
        <w:tab/>
      </w:r>
      <w:r>
        <w:rPr>
          <w:rFonts w:ascii="Arial" w:cs="Arial" w:eastAsia="Arial" w:hAnsi="Arial"/>
          <w:sz w:val="16"/>
          <w:szCs w:val="16"/>
          <w:color w:val="auto"/>
        </w:rPr>
        <w:t>(16,492)</w:t>
      </w:r>
    </w:p>
    <w:p>
      <w:pPr>
        <w:spacing w:after="0" w:line="88" w:lineRule="exact"/>
        <w:rPr>
          <w:sz w:val="20"/>
          <w:szCs w:val="20"/>
          <w:color w:val="auto"/>
        </w:rPr>
      </w:pPr>
    </w:p>
    <w:p>
      <w:pPr>
        <w:ind w:left="1980" w:hanging="1241"/>
        <w:spacing w:after="0"/>
        <w:tabs>
          <w:tab w:leader="none" w:pos="19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671</w:t>
      </w:r>
    </w:p>
    <w:p>
      <w:pPr>
        <w:spacing w:after="0" w:line="97" w:lineRule="exact"/>
        <w:rPr>
          <w:rFonts w:ascii="Arial" w:cs="Arial" w:eastAsia="Arial" w:hAnsi="Arial"/>
          <w:sz w:val="16"/>
          <w:szCs w:val="16"/>
          <w:b w:val="1"/>
          <w:bCs w:val="1"/>
          <w:color w:val="auto"/>
        </w:rPr>
      </w:pPr>
    </w:p>
    <w:p>
      <w:pPr>
        <w:ind w:left="4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220,857</w:t>
      </w:r>
      <w:r>
        <w:rPr>
          <w:rFonts w:ascii="Arial" w:cs="Arial" w:eastAsia="Arial" w:hAnsi="Arial"/>
          <w:sz w:val="16"/>
          <w:szCs w:val="16"/>
          <w:color w:val="auto"/>
        </w:rPr>
        <w:t>151,455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-146050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0" w:lineRule="exact"/>
        <w:rPr>
          <w:sz w:val="20"/>
          <w:szCs w:val="20"/>
          <w:color w:val="auto"/>
        </w:rPr>
      </w:pPr>
    </w:p>
    <w:tbl>
      <w:tblPr>
        <w:tblLayout w:type="fixed"/>
        <w:tblInd w:w="360" w:type="dxa"/>
        <w:tblCellMar>
          <w:top w:w="0" w:type="dxa"/>
          <w:left w:w="0" w:type="dxa"/>
          <w:bottom w:w="0" w:type="dxa"/>
          <w:right w:w="0" w:type="dxa"/>
        </w:tblCellMar>
      </w:tblPr>
      <w:tr>
        <w:trPr>
          <w:trHeight w:val="229"/>
        </w:trPr>
        <w:tc>
          <w:tcPr>
            <w:tcW w:w="98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(299,938)</w:t>
            </w:r>
          </w:p>
        </w:tc>
        <w:tc>
          <w:tcPr>
            <w:tcW w:w="960" w:type="dxa"/>
            <w:vAlign w:val="bottom"/>
          </w:tcPr>
          <w:p>
            <w:pPr>
              <w:jc w:val="right"/>
              <w:spacing w:after="0"/>
              <w:rPr>
                <w:sz w:val="20"/>
                <w:szCs w:val="20"/>
                <w:color w:val="auto"/>
              </w:rPr>
            </w:pPr>
            <w:r>
              <w:rPr>
                <w:rFonts w:ascii="Arial" w:cs="Arial" w:eastAsia="Arial" w:hAnsi="Arial"/>
                <w:sz w:val="16"/>
                <w:szCs w:val="16"/>
                <w:color w:val="auto"/>
              </w:rPr>
              <w:t>(242,472)</w:t>
            </w:r>
          </w:p>
        </w:tc>
      </w:tr>
      <w:tr>
        <w:trPr>
          <w:trHeight w:val="270"/>
        </w:trPr>
        <w:tc>
          <w:tcPr>
            <w:tcW w:w="980" w:type="dxa"/>
            <w:vAlign w:val="bottom"/>
          </w:tcPr>
          <w:p>
            <w:pPr>
              <w:jc w:val="right"/>
              <w:ind w:right="199"/>
              <w:spacing w:after="0"/>
              <w:rPr>
                <w:sz w:val="20"/>
                <w:szCs w:val="20"/>
                <w:color w:val="auto"/>
              </w:rPr>
            </w:pPr>
            <w:r>
              <w:rPr>
                <w:rFonts w:ascii="Arial" w:cs="Arial" w:eastAsia="Arial" w:hAnsi="Arial"/>
                <w:sz w:val="16"/>
                <w:szCs w:val="16"/>
                <w:b w:val="1"/>
                <w:bCs w:val="1"/>
                <w:color w:val="auto"/>
              </w:rPr>
              <w:t>(66,097)</w:t>
            </w:r>
          </w:p>
        </w:tc>
        <w:tc>
          <w:tcPr>
            <w:tcW w:w="960" w:type="dxa"/>
            <w:vAlign w:val="bottom"/>
          </w:tcPr>
          <w:p>
            <w:pPr>
              <w:jc w:val="right"/>
              <w:spacing w:after="0"/>
              <w:rPr>
                <w:sz w:val="20"/>
                <w:szCs w:val="20"/>
                <w:color w:val="auto"/>
              </w:rPr>
            </w:pPr>
            <w:r>
              <w:rPr>
                <w:rFonts w:ascii="Arial" w:cs="Arial" w:eastAsia="Arial" w:hAnsi="Arial"/>
                <w:sz w:val="16"/>
                <w:szCs w:val="16"/>
                <w:color w:val="auto"/>
              </w:rPr>
              <w:t>(4,550)</w:t>
            </w:r>
          </w:p>
        </w:tc>
      </w:tr>
      <w:tr>
        <w:trPr>
          <w:trHeight w:val="270"/>
        </w:trPr>
        <w:tc>
          <w:tcPr>
            <w:tcW w:w="980" w:type="dxa"/>
            <w:vAlign w:val="bottom"/>
          </w:tcPr>
          <w:p>
            <w:pPr>
              <w:jc w:val="right"/>
              <w:ind w:right="199"/>
              <w:spacing w:after="0"/>
              <w:rPr>
                <w:sz w:val="20"/>
                <w:szCs w:val="20"/>
                <w:color w:val="auto"/>
              </w:rPr>
            </w:pPr>
            <w:r>
              <w:rPr>
                <w:rFonts w:ascii="Arial" w:cs="Arial" w:eastAsia="Arial" w:hAnsi="Arial"/>
                <w:sz w:val="16"/>
                <w:szCs w:val="16"/>
                <w:b w:val="1"/>
                <w:bCs w:val="1"/>
                <w:color w:val="auto"/>
              </w:rPr>
              <w:t>(43,863)</w:t>
            </w:r>
          </w:p>
        </w:tc>
        <w:tc>
          <w:tcPr>
            <w:tcW w:w="960" w:type="dxa"/>
            <w:vAlign w:val="bottom"/>
          </w:tcPr>
          <w:p>
            <w:pPr>
              <w:jc w:val="right"/>
              <w:spacing w:after="0"/>
              <w:rPr>
                <w:sz w:val="20"/>
                <w:szCs w:val="20"/>
                <w:color w:val="auto"/>
              </w:rPr>
            </w:pPr>
            <w:r>
              <w:rPr>
                <w:rFonts w:ascii="Arial" w:cs="Arial" w:eastAsia="Arial" w:hAnsi="Arial"/>
                <w:sz w:val="16"/>
                <w:szCs w:val="16"/>
                <w:color w:val="auto"/>
              </w:rPr>
              <w:t>(41,373)</w:t>
            </w:r>
          </w:p>
        </w:tc>
      </w:tr>
      <w:tr>
        <w:trPr>
          <w:trHeight w:val="270"/>
        </w:trPr>
        <w:tc>
          <w:tcPr>
            <w:tcW w:w="980" w:type="dxa"/>
            <w:vAlign w:val="bottom"/>
          </w:tcPr>
          <w:p>
            <w:pPr>
              <w:jc w:val="right"/>
              <w:ind w:right="199"/>
              <w:spacing w:after="0"/>
              <w:rPr>
                <w:sz w:val="20"/>
                <w:szCs w:val="20"/>
                <w:color w:val="auto"/>
              </w:rPr>
            </w:pPr>
            <w:r>
              <w:rPr>
                <w:rFonts w:ascii="Arial" w:cs="Arial" w:eastAsia="Arial" w:hAnsi="Arial"/>
                <w:sz w:val="16"/>
                <w:szCs w:val="16"/>
                <w:b w:val="1"/>
                <w:bCs w:val="1"/>
                <w:color w:val="auto"/>
              </w:rPr>
              <w:t>(6,771)</w:t>
            </w:r>
          </w:p>
        </w:tc>
        <w:tc>
          <w:tcPr>
            <w:tcW w:w="960" w:type="dxa"/>
            <w:vAlign w:val="bottom"/>
          </w:tcPr>
          <w:p>
            <w:pPr>
              <w:jc w:val="right"/>
              <w:spacing w:after="0"/>
              <w:rPr>
                <w:sz w:val="20"/>
                <w:szCs w:val="20"/>
                <w:color w:val="auto"/>
              </w:rPr>
            </w:pPr>
            <w:r>
              <w:rPr>
                <w:rFonts w:ascii="Arial" w:cs="Arial" w:eastAsia="Arial" w:hAnsi="Arial"/>
                <w:sz w:val="16"/>
                <w:szCs w:val="16"/>
                <w:color w:val="auto"/>
              </w:rPr>
              <w:t>(7,730)</w:t>
            </w:r>
          </w:p>
        </w:tc>
      </w:tr>
      <w:tr>
        <w:trPr>
          <w:trHeight w:val="270"/>
        </w:trPr>
        <w:tc>
          <w:tcPr>
            <w:tcW w:w="980" w:type="dxa"/>
            <w:vAlign w:val="bottom"/>
          </w:tcPr>
          <w:p>
            <w:pPr>
              <w:jc w:val="right"/>
              <w:ind w:right="259"/>
              <w:spacing w:after="0"/>
              <w:rPr>
                <w:sz w:val="20"/>
                <w:szCs w:val="20"/>
                <w:color w:val="auto"/>
              </w:rPr>
            </w:pPr>
            <w:r>
              <w:rPr>
                <w:rFonts w:ascii="Arial" w:cs="Arial" w:eastAsia="Arial" w:hAnsi="Arial"/>
                <w:sz w:val="16"/>
                <w:szCs w:val="16"/>
                <w:b w:val="1"/>
                <w:bCs w:val="1"/>
                <w:color w:val="auto"/>
              </w:rPr>
              <w:t>3,527</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980" w:type="dxa"/>
            <w:vAlign w:val="bottom"/>
          </w:tcPr>
          <w:p>
            <w:pPr>
              <w:jc w:val="right"/>
              <w:ind w:right="259"/>
              <w:spacing w:after="0"/>
              <w:rPr>
                <w:sz w:val="20"/>
                <w:szCs w:val="20"/>
                <w:color w:val="auto"/>
              </w:rPr>
            </w:pPr>
            <w:r>
              <w:rPr>
                <w:rFonts w:ascii="Arial" w:cs="Arial" w:eastAsia="Arial" w:hAnsi="Arial"/>
                <w:sz w:val="16"/>
                <w:szCs w:val="16"/>
                <w:b w:val="1"/>
                <w:bCs w:val="1"/>
                <w:color w:val="auto"/>
              </w:rPr>
              <w:t>2,672</w:t>
            </w:r>
          </w:p>
        </w:tc>
        <w:tc>
          <w:tcPr>
            <w:tcW w:w="960" w:type="dxa"/>
            <w:vAlign w:val="bottom"/>
          </w:tcPr>
          <w:p>
            <w:pPr>
              <w:jc w:val="right"/>
              <w:spacing w:after="0"/>
              <w:rPr>
                <w:sz w:val="20"/>
                <w:szCs w:val="20"/>
                <w:color w:val="auto"/>
              </w:rPr>
            </w:pPr>
            <w:r>
              <w:rPr>
                <w:rFonts w:ascii="Arial" w:cs="Arial" w:eastAsia="Arial" w:hAnsi="Arial"/>
                <w:sz w:val="16"/>
                <w:szCs w:val="16"/>
                <w:color w:val="auto"/>
              </w:rPr>
              <w:t>36,777</w:t>
            </w:r>
          </w:p>
        </w:tc>
      </w:tr>
    </w:tbl>
    <w:p>
      <w:pPr>
        <w:spacing w:after="0" w:line="4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22,837</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(48,265)</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(410,470)</w:t>
      </w:r>
      <w:r>
        <w:rPr>
          <w:rFonts w:ascii="Arial" w:cs="Arial" w:eastAsia="Arial" w:hAnsi="Arial"/>
          <w:sz w:val="15"/>
          <w:szCs w:val="15"/>
          <w:color w:val="auto"/>
        </w:rPr>
        <w:t>(284,776)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-146050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0" w:lineRule="exact"/>
        <w:rPr>
          <w:sz w:val="20"/>
          <w:szCs w:val="20"/>
          <w:color w:val="auto"/>
        </w:rPr>
      </w:pPr>
    </w:p>
    <w:p>
      <w:pPr>
        <w:jc w:val="both"/>
        <w:ind w:left="460"/>
        <w:spacing w:after="0"/>
        <w:tabs>
          <w:tab w:leader="none" w:pos="1680" w:val="left"/>
        </w:tabs>
        <w:rPr>
          <w:sz w:val="20"/>
          <w:szCs w:val="20"/>
          <w:color w:val="auto"/>
        </w:rPr>
      </w:pPr>
      <w:r>
        <w:rPr>
          <w:rFonts w:ascii="Arial" w:cs="Arial" w:eastAsia="Arial" w:hAnsi="Arial"/>
          <w:sz w:val="16"/>
          <w:szCs w:val="16"/>
          <w:b w:val="1"/>
          <w:bCs w:val="1"/>
          <w:color w:val="auto"/>
        </w:rPr>
        <w:t>(35,394)</w:t>
      </w:r>
      <w:r>
        <w:rPr>
          <w:sz w:val="20"/>
          <w:szCs w:val="20"/>
          <w:color w:val="auto"/>
        </w:rPr>
        <w:tab/>
      </w:r>
      <w:r>
        <w:rPr>
          <w:rFonts w:ascii="Arial" w:cs="Arial" w:eastAsia="Arial" w:hAnsi="Arial"/>
          <w:sz w:val="16"/>
          <w:szCs w:val="16"/>
          <w:color w:val="auto"/>
        </w:rPr>
        <w:t>(90,328)</w:t>
      </w:r>
    </w:p>
    <w:p>
      <w:pPr>
        <w:spacing w:after="0" w:line="86" w:lineRule="exact"/>
        <w:rPr>
          <w:sz w:val="20"/>
          <w:szCs w:val="20"/>
          <w:color w:val="auto"/>
        </w:rPr>
      </w:pPr>
    </w:p>
    <w:p>
      <w:pPr>
        <w:jc w:val="both"/>
        <w:ind w:left="460"/>
        <w:spacing w:after="0"/>
        <w:tabs>
          <w:tab w:leader="none" w:pos="1680" w:val="left"/>
        </w:tabs>
        <w:rPr>
          <w:sz w:val="20"/>
          <w:szCs w:val="20"/>
          <w:color w:val="auto"/>
        </w:rPr>
      </w:pPr>
      <w:r>
        <w:rPr>
          <w:rFonts w:ascii="Arial" w:cs="Arial" w:eastAsia="Arial" w:hAnsi="Arial"/>
          <w:sz w:val="16"/>
          <w:szCs w:val="16"/>
          <w:b w:val="1"/>
          <w:bCs w:val="1"/>
          <w:color w:val="auto"/>
        </w:rPr>
        <w:t>(21,304)</w:t>
      </w:r>
      <w:r>
        <w:rPr>
          <w:sz w:val="20"/>
          <w:szCs w:val="20"/>
          <w:color w:val="auto"/>
        </w:rPr>
        <w:tab/>
      </w:r>
      <w:r>
        <w:rPr>
          <w:rFonts w:ascii="Arial" w:cs="Arial" w:eastAsia="Arial" w:hAnsi="Arial"/>
          <w:sz w:val="16"/>
          <w:szCs w:val="16"/>
          <w:color w:val="auto"/>
        </w:rPr>
        <w:t>(20,532)</w:t>
      </w:r>
    </w:p>
    <w:p>
      <w:pPr>
        <w:spacing w:after="0" w:line="86" w:lineRule="exact"/>
        <w:rPr>
          <w:sz w:val="20"/>
          <w:szCs w:val="20"/>
          <w:color w:val="auto"/>
        </w:rPr>
      </w:pPr>
    </w:p>
    <w:p>
      <w:pPr>
        <w:ind w:left="560"/>
        <w:spacing w:after="0"/>
        <w:tabs>
          <w:tab w:leader="none" w:pos="2060" w:val="left"/>
        </w:tabs>
        <w:rPr>
          <w:sz w:val="20"/>
          <w:szCs w:val="20"/>
          <w:color w:val="auto"/>
        </w:rPr>
      </w:pPr>
      <w:r>
        <w:rPr>
          <w:rFonts w:ascii="Arial" w:cs="Arial" w:eastAsia="Arial" w:hAnsi="Arial"/>
          <w:sz w:val="16"/>
          <w:szCs w:val="16"/>
          <w:b w:val="1"/>
          <w:bCs w:val="1"/>
          <w:color w:val="auto"/>
        </w:rPr>
        <w:t>(7,712)</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560"/>
        <w:spacing w:after="0"/>
        <w:tabs>
          <w:tab w:leader="none" w:pos="2060" w:val="left"/>
        </w:tabs>
        <w:rPr>
          <w:sz w:val="20"/>
          <w:szCs w:val="20"/>
          <w:color w:val="auto"/>
        </w:rPr>
      </w:pPr>
      <w:r>
        <w:rPr>
          <w:rFonts w:ascii="Arial" w:cs="Arial" w:eastAsia="Arial" w:hAnsi="Arial"/>
          <w:sz w:val="16"/>
          <w:szCs w:val="16"/>
          <w:b w:val="1"/>
          <w:bCs w:val="1"/>
          <w:color w:val="auto"/>
        </w:rPr>
        <w:t>(5,187)</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98,610</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(21,000)</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(648)</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(4,962)</w:t>
      </w:r>
      <w:r>
        <w:rPr>
          <w:rFonts w:ascii="Arial" w:cs="Arial" w:eastAsia="Arial" w:hAnsi="Arial"/>
          <w:sz w:val="16"/>
          <w:szCs w:val="16"/>
          <w:color w:val="auto"/>
        </w:rPr>
        <w:t>16,608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jc w:val="both"/>
        <w:ind w:left="460"/>
        <w:spacing w:after="0"/>
        <w:tabs>
          <w:tab w:leader="none" w:pos="1680" w:val="left"/>
        </w:tabs>
        <w:rPr>
          <w:sz w:val="20"/>
          <w:szCs w:val="20"/>
          <w:color w:val="auto"/>
        </w:rPr>
      </w:pPr>
      <w:r>
        <w:rPr>
          <w:rFonts w:ascii="Arial" w:cs="Arial" w:eastAsia="Arial" w:hAnsi="Arial"/>
          <w:sz w:val="16"/>
          <w:szCs w:val="16"/>
          <w:b w:val="1"/>
          <w:bCs w:val="1"/>
          <w:color w:val="auto"/>
        </w:rPr>
        <w:t>(74,559)</w:t>
      </w:r>
      <w:r>
        <w:rPr>
          <w:sz w:val="20"/>
          <w:szCs w:val="20"/>
          <w:color w:val="auto"/>
        </w:rPr>
        <w:tab/>
      </w:r>
      <w:r>
        <w:rPr>
          <w:rFonts w:ascii="Arial" w:cs="Arial" w:eastAsia="Arial" w:hAnsi="Arial"/>
          <w:sz w:val="16"/>
          <w:szCs w:val="16"/>
          <w:color w:val="auto"/>
        </w:rPr>
        <w:t>(17,290)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jc w:val="both"/>
        <w:ind w:left="600"/>
        <w:spacing w:after="0"/>
        <w:tabs>
          <w:tab w:leader="none" w:pos="1780" w:val="left"/>
        </w:tabs>
        <w:rPr>
          <w:sz w:val="20"/>
          <w:szCs w:val="20"/>
          <w:color w:val="auto"/>
        </w:rPr>
      </w:pPr>
      <w:r>
        <w:rPr>
          <w:rFonts w:ascii="Arial" w:cs="Arial" w:eastAsia="Arial" w:hAnsi="Arial"/>
          <w:sz w:val="16"/>
          <w:szCs w:val="16"/>
          <w:b w:val="1"/>
          <w:bCs w:val="1"/>
          <w:color w:val="auto"/>
        </w:rPr>
        <w:t>9,768</w:t>
      </w:r>
      <w:r>
        <w:rPr>
          <w:sz w:val="20"/>
          <w:szCs w:val="20"/>
          <w:color w:val="auto"/>
        </w:rPr>
        <w:tab/>
      </w:r>
      <w:r>
        <w:rPr>
          <w:rFonts w:ascii="Arial" w:cs="Arial" w:eastAsia="Arial" w:hAnsi="Arial"/>
          <w:sz w:val="16"/>
          <w:szCs w:val="16"/>
          <w:color w:val="auto"/>
        </w:rPr>
        <w:t>(3,147)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jc w:val="both"/>
        <w:ind w:left="360"/>
        <w:spacing w:after="0"/>
        <w:tabs>
          <w:tab w:leader="none" w:pos="1600" w:val="left"/>
        </w:tabs>
        <w:rPr>
          <w:sz w:val="20"/>
          <w:szCs w:val="20"/>
          <w:color w:val="auto"/>
        </w:rPr>
      </w:pPr>
      <w:r>
        <w:rPr>
          <w:rFonts w:ascii="Arial" w:cs="Arial" w:eastAsia="Arial" w:hAnsi="Arial"/>
          <w:sz w:val="16"/>
          <w:szCs w:val="16"/>
          <w:b w:val="1"/>
          <w:bCs w:val="1"/>
          <w:color w:val="auto"/>
        </w:rPr>
        <w:t>(254,404)</w:t>
      </w:r>
      <w:r>
        <w:rPr>
          <w:sz w:val="20"/>
          <w:szCs w:val="20"/>
          <w:color w:val="auto"/>
        </w:rPr>
        <w:tab/>
      </w:r>
      <w:r>
        <w:rPr>
          <w:rFonts w:ascii="Arial" w:cs="Arial" w:eastAsia="Arial" w:hAnsi="Arial"/>
          <w:sz w:val="16"/>
          <w:szCs w:val="16"/>
          <w:color w:val="auto"/>
        </w:rPr>
        <w:t>(153,758)</w:t>
      </w:r>
    </w:p>
    <w:p>
      <w:pPr>
        <w:spacing w:after="0" w:line="86" w:lineRule="exact"/>
        <w:rPr>
          <w:sz w:val="20"/>
          <w:szCs w:val="20"/>
          <w:color w:val="auto"/>
        </w:rPr>
      </w:pPr>
    </w:p>
    <w:p>
      <w:pPr>
        <w:ind w:left="420"/>
        <w:spacing w:after="0"/>
        <w:tabs>
          <w:tab w:leader="none" w:pos="1640" w:val="left"/>
        </w:tabs>
        <w:rPr>
          <w:sz w:val="20"/>
          <w:szCs w:val="20"/>
          <w:color w:val="auto"/>
        </w:rPr>
      </w:pPr>
      <w:r>
        <w:rPr>
          <w:rFonts w:ascii="Arial" w:cs="Arial" w:eastAsia="Arial" w:hAnsi="Arial"/>
          <w:sz w:val="16"/>
          <w:szCs w:val="16"/>
          <w:b w:val="1"/>
          <w:bCs w:val="1"/>
          <w:color w:val="auto"/>
        </w:rPr>
        <w:t>670,816</w:t>
      </w:r>
      <w:r>
        <w:rPr>
          <w:sz w:val="20"/>
          <w:szCs w:val="20"/>
          <w:color w:val="auto"/>
        </w:rPr>
        <w:tab/>
      </w:r>
      <w:r>
        <w:rPr>
          <w:rFonts w:ascii="Arial" w:cs="Arial" w:eastAsia="Arial" w:hAnsi="Arial"/>
          <w:sz w:val="16"/>
          <w:szCs w:val="16"/>
          <w:color w:val="auto"/>
        </w:rPr>
        <w:t>774,952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spacing w:after="0"/>
        <w:tabs>
          <w:tab w:leader="none" w:pos="400" w:val="left"/>
          <w:tab w:leader="none" w:pos="1240" w:val="left"/>
          <w:tab w:leader="none" w:pos="16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416,412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621,194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50165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62" w:lineRule="exact"/>
        <w:rPr>
          <w:sz w:val="20"/>
          <w:szCs w:val="20"/>
          <w:color w:val="auto"/>
        </w:rPr>
      </w:pPr>
    </w:p>
    <w:p>
      <w:pPr>
        <w:sectPr>
          <w:pgSz w:w="11900" w:h="16838" w:orient="portrait"/>
          <w:cols w:equalWidth="0" w:num="2">
            <w:col w:w="8340" w:space="720"/>
            <w:col w:w="2360"/>
          </w:cols>
          <w:pgMar w:left="240" w:top="709" w:right="239" w:bottom="1440" w:gutter="0" w:footer="0" w:header="0"/>
          <w:type w:val="continuous"/>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09" w:right="239" w:bottom="1440" w:gutter="0" w:footer="0" w:header="0"/>
          <w:type w:val="continuous"/>
        </w:sectPr>
      </w:pPr>
    </w:p>
    <w:bookmarkStart w:id="7" w:name="page8"/>
    <w:bookmarkEnd w:id="7"/>
    <w:p>
      <w:pPr>
        <w:ind w:left="4340"/>
        <w:spacing w:after="0"/>
        <w:rPr>
          <w:sz w:val="20"/>
          <w:szCs w:val="20"/>
          <w:color w:val="auto"/>
        </w:rPr>
      </w:pPr>
      <w:r>
        <w:rPr>
          <w:rFonts w:ascii="Arial" w:cs="Arial" w:eastAsia="Arial" w:hAnsi="Arial"/>
          <w:sz w:val="18"/>
          <w:szCs w:val="18"/>
          <w:b w:val="1"/>
          <w:bCs w:val="1"/>
          <w:color w:val="auto"/>
        </w:rPr>
        <w:t>GRAHAM HOLDINGS COMPANY</w:t>
      </w:r>
    </w:p>
    <w:p>
      <w:pPr>
        <w:spacing w:after="0" w:line="14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46"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seven television broadcasting stations, several websites and print publications, and a marketing solutions provider. The Company’s other business operations include manufacturing and home health and hospice services.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ind w:left="220" w:hanging="212"/>
        <w:spacing w:after="0" w:line="226"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w:t>
      </w:r>
    </w:p>
    <w:p>
      <w:pPr>
        <w:ind w:right="200"/>
        <w:spacing w:after="0" w:line="222" w:lineRule="auto"/>
        <w:rPr>
          <w:rFonts w:ascii="Arial" w:cs="Arial" w:eastAsia="Arial" w:hAnsi="Arial"/>
          <w:sz w:val="18"/>
          <w:szCs w:val="18"/>
          <w:color w:val="auto"/>
        </w:rPr>
      </w:pPr>
      <w:r>
        <w:rPr>
          <w:rFonts w:ascii="Arial" w:cs="Arial" w:eastAsia="Arial" w:hAnsi="Arial"/>
          <w:sz w:val="18"/>
          <w:szCs w:val="18"/>
          <w:color w:val="auto"/>
        </w:rPr>
        <w:t>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nine months ended September 30, 2017 and 2016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2016.</w:t>
      </w:r>
    </w:p>
    <w:p>
      <w:pPr>
        <w:spacing w:after="0" w:line="116"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90" w:lineRule="exact"/>
        <w:rPr>
          <w:sz w:val="20"/>
          <w:szCs w:val="20"/>
          <w:color w:val="auto"/>
        </w:rPr>
      </w:pPr>
    </w:p>
    <w:p>
      <w:pPr>
        <w:ind w:right="220"/>
        <w:spacing w:after="0" w:line="233" w:lineRule="auto"/>
        <w:rPr>
          <w:sz w:val="20"/>
          <w:szCs w:val="20"/>
          <w:color w:val="auto"/>
        </w:rPr>
      </w:pPr>
      <w:r>
        <w:rPr>
          <w:rFonts w:ascii="Arial" w:cs="Arial" w:eastAsia="Arial" w:hAnsi="Arial"/>
          <w:sz w:val="18"/>
          <w:szCs w:val="18"/>
          <w:b w:val="1"/>
          <w:bCs w:val="1"/>
          <w:color w:val="auto"/>
        </w:rPr>
        <w:t xml:space="preserve">Out of Period Adjustment </w:t>
      </w:r>
      <w:r>
        <w:rPr>
          <w:rFonts w:ascii="Arial" w:cs="Arial" w:eastAsia="Arial" w:hAnsi="Arial"/>
          <w:sz w:val="18"/>
          <w:szCs w:val="18"/>
          <w:color w:val="auto"/>
        </w:rPr>
        <w:t>– In the second quarter of 2016, the Company benefited from a favorable $5.6 million out of period adjustment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 for deferred income taxes related to the $248.6 million goodwill impairment at the KHE reporting unit in the third quarter of</w:t>
      </w:r>
    </w:p>
    <w:p>
      <w:pPr>
        <w:ind w:right="20"/>
        <w:spacing w:after="0" w:line="237" w:lineRule="auto"/>
        <w:rPr>
          <w:sz w:val="20"/>
          <w:szCs w:val="20"/>
          <w:color w:val="auto"/>
        </w:rPr>
      </w:pPr>
      <w:r>
        <w:rPr>
          <w:rFonts w:ascii="Arial" w:cs="Arial" w:eastAsia="Arial" w:hAnsi="Arial"/>
          <w:sz w:val="18"/>
          <w:szCs w:val="18"/>
          <w:color w:val="auto"/>
        </w:rPr>
        <w:t>2015. With respect to this error, the Company has concluded that it was not material to the Company’s financial position or results of operations for 2016 and the related interim periods, based on its consideration of quantitative and qualitative factors.</w:t>
      </w:r>
    </w:p>
    <w:p>
      <w:pPr>
        <w:spacing w:after="0" w:line="107"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0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May 2014,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new guidance that supersedes all existing revenue recognition guidance. In August 2015, the FASB issued an amendment to the guidance that defers the effective date by one year. The new guidance requires revenue to be recognized when the Company transfers promised goods or services to customers in an amount that reflects the consideration to which the Company expects to be entitled in exchange for those goods or services. The new guidance also significantly expands the disclosure requirements for revenue recognition. The guidance is effective for interim and fiscal years beginning after December 15, 2017. Early adoption is permitted only as of annual reporting periods beginning after December 15, 2016. The standard permits two implementation approaches, full retrospective, requiring retrospective application of the new guidance with a restatement of prior years, or modified retrospective, requiring prospective application of the new guidance with disclosure of results under the old guidance in the first year of adoption. The Company will adopt the new guidance on January 1, 2018 using the modified retrospective approach.</w:t>
      </w:r>
    </w:p>
    <w:p>
      <w:pPr>
        <w:spacing w:after="0" w:line="114"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The Company is in the process of completing the evaluation of the impact of adopting the new guidance, as well as assessing the need for any potential changes to the Company’s accounting policies and internal control structure. The evaluation of contracts at the Company’s television broadcasting and other businesses is substantially complete, and based upon the results of the work performed to date, the Company does not expect the application of the new guidance to have a material impact to the Company’s Consolidated Statement of Operations or Balance Sheet, either at initial implementation or on an ongoing basis. The Company is continuing its evaluation of contracts at the education division and is not yet able to estimate the anticipated impact of these arrangements to the Company’s Consolidated Financial Statements. The Company expects adoption of the new guidance will result in a</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5" w:right="239" w:bottom="1440" w:gutter="0" w:footer="0" w:header="0"/>
        </w:sectPr>
      </w:pPr>
    </w:p>
    <w:bookmarkStart w:id="8" w:name="page9"/>
    <w:bookmarkEnd w:id="8"/>
    <w:p>
      <w:pPr>
        <w:ind w:right="340"/>
        <w:spacing w:after="0" w:line="231" w:lineRule="auto"/>
        <w:rPr>
          <w:sz w:val="20"/>
          <w:szCs w:val="20"/>
          <w:color w:val="auto"/>
        </w:rPr>
      </w:pPr>
      <w:r>
        <w:rPr>
          <w:rFonts w:ascii="Arial" w:cs="Arial" w:eastAsia="Arial" w:hAnsi="Arial"/>
          <w:sz w:val="18"/>
          <w:szCs w:val="18"/>
          <w:color w:val="auto"/>
        </w:rPr>
        <w:t>change to its current treatment of certain commissions paid to employees and agents at the education division. The Company currently expenses such commissions as incurred. Under the new guidance, the Company expects to capitalize certain commission costs as an incremental cost of obtaining a contract and subsequently amortize the cost as the tuition services are delivered to students. The Company expects to complete its evaluation of the impact of the new guidance in the fourth quarter of 2017. The Company is also evaluating the new disclosures required by the guidance to determine additional information that will need to be disclosed.</w:t>
      </w:r>
    </w:p>
    <w:p>
      <w:pPr>
        <w:spacing w:after="0" w:line="11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 January 2016, the FASB issued new guidance that substantially revises the recognition, measurement and presentation of financial assets and financial liabilities. The new guidance, among other things, requires, (i) equity investments (except those accounted for under the equity method of accounting or those that result in consolidation of the investee) to be measured at fair value with changes in fair value recognized in net income, with some exceptions, (ii) simplifies the impairment assessment of equity investments without readily determinable fair values by requiring a qualitative assessment to identify impairment, (iii) requires public business entities to use the exit price notion when measuring the fair value of financial instruments for disclosure purposes, (iv) requires separate presentation of financial assets and financial liabilities by measurement category and form of financial asset on the balance sheet or the accompanying notes to the financial statements, and (v) clarifies that an entity should evaluate the need for a valuation allowance on a deferred tax asset related to available-for-sale securities in combination with the entity’s other deferred tax assets. The guidance is effective for interim and fiscal years beginning after December 15, 2017. Early adoption is not permitted. The Company is in the process of evaluating the impact of this new guidance on its Condensed Consolidated Financial Statements.</w:t>
      </w:r>
    </w:p>
    <w:p>
      <w:pPr>
        <w:spacing w:after="0" w:line="11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February 2016, the FASB issued new guidance that requires, among other things, a lessee to recognize a right-of-use asset representing an entity’s right to use the underlying asset for the lease term and a liability for lease payments on its balance sheet, regardless of classification of a lease as operating or financing. For leases with a term of twelve months or less, a lessee is permitted to make an accounting policy election by class of underlying asset not to recognize lease assets and liabilities and account for the lease similar to existing guidance for operating leases today. This new guidance supersedes all prior guidance. The guidance is effective for interim and fiscal years beginning after December 15, 2018. Early adoption is permitted. The standard requires lessees and lessors to recognize and measure leases at the beginning of the earliest period presented using a modified retrospective approach. The Company is in the process of evaluating the impact of this new guidance on its Condensed Consolidated Financial Statements.</w:t>
      </w:r>
    </w:p>
    <w:p>
      <w:pPr>
        <w:spacing w:after="0" w:line="108"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In March 2016, the FASB issued new guidance that simplifies the accounting for stock-based compensation. The new guidance (i) requires all excess tax benefits and tax deficiencies to be recognized in the income statement with the tax effects of vested or exercised awards treated as discrete items. Additionally, excess tax benefits will be recognized regardless of whether the benefit reduces taxes payable in the current period, effectively eliminating the APIC pool, (ii) concludes excess tax benefits should be classified as an operating activity in the statement of cash flows, (iii) requires an entity to make an entity-wide accounting policy election to either estimate a forfeiture rate for awards or account for forfeitures as they occur, (iv) changes the threshold for equity classification for cash settlements of awards for withholding requirements to the maximum statutory tax rate in the applicable jurisdiction and (v) concludes cash paid by an employer when directly withholding shares for tax-withholding purposes should be classified as a financing activity in the statement of cash flows. The guidance is effective for interim and fiscal years beginning after December 15, 2016. The Company adopted the new guidance as of January 1, 2017. As a result of adoption, the Company recognized a $5.9 million excess tax benefit as a discrete item in its tax provision related to the vesting of restricted stock awards in the first quarter of 2017. This tax benefit is classified as an operating activity on the Condensed Consolidated Statement of Cash Flows. Additionally, the Company elected to account for forfeitures of stock awards as they occur and not estimate a forfeiture rate. The Company does not expect the forfeiture rate election to have a material impact on its financial statements.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697" w:right="259" w:bottom="1440" w:gutter="0" w:footer="0" w:header="0"/>
        </w:sectPr>
      </w:pPr>
    </w:p>
    <w:bookmarkStart w:id="9" w:name="page10"/>
    <w:bookmarkEnd w:id="9"/>
    <w:p>
      <w:pPr>
        <w:ind w:right="20"/>
        <w:spacing w:after="0" w:line="229" w:lineRule="auto"/>
        <w:rPr>
          <w:sz w:val="20"/>
          <w:szCs w:val="20"/>
          <w:color w:val="auto"/>
        </w:rPr>
      </w:pPr>
      <w:r>
        <w:rPr>
          <w:rFonts w:ascii="Arial" w:cs="Arial" w:eastAsia="Arial" w:hAnsi="Arial"/>
          <w:sz w:val="18"/>
          <w:szCs w:val="18"/>
          <w:color w:val="auto"/>
        </w:rPr>
        <w:t>In November 2016, the FASB issued new guidance that clarifies how restricted cash and restricted cash equivalents should be presented in the statement of cash flows. The guidance requires the cash flow statement to show changes in the total of cash, cash equivalents, restricted cash and restricted cash equivalents, which eliminates the presentation of transfers between cash and cash equivalents and restricted cash and cash equivalents. The guidance is effective for interim and fiscal years beginning after December 15, 2017, with early adoption permitted. The Company adopted the new guidance retrospectively as of December 31, 2016. The prior period has been adjusted to reflect this adoption, as detailed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5"/>
          </w:tcPr>
          <w:p>
            <w:pPr>
              <w:jc w:val="right"/>
              <w:ind w:right="542"/>
              <w:spacing w:after="0"/>
              <w:rPr>
                <w:sz w:val="20"/>
                <w:szCs w:val="20"/>
                <w:color w:val="auto"/>
              </w:rPr>
            </w:pPr>
            <w:r>
              <w:rPr>
                <w:rFonts w:ascii="Arial" w:cs="Arial" w:eastAsia="Arial" w:hAnsi="Arial"/>
                <w:sz w:val="14"/>
                <w:szCs w:val="14"/>
                <w:b w:val="1"/>
                <w:bCs w:val="1"/>
                <w:color w:val="auto"/>
              </w:rPr>
              <w:t>Nine Months Ended September 30, 2016</w:t>
            </w:r>
          </w:p>
        </w:tc>
      </w:tr>
      <w:tr>
        <w:trPr>
          <w:trHeight w:val="263"/>
        </w:trPr>
        <w:tc>
          <w:tcPr>
            <w:tcW w:w="7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center"/>
              <w:ind w:right="143"/>
              <w:spacing w:after="0"/>
              <w:rPr>
                <w:sz w:val="20"/>
                <w:szCs w:val="20"/>
                <w:color w:val="auto"/>
              </w:rPr>
            </w:pPr>
            <w:r>
              <w:rPr>
                <w:rFonts w:ascii="Arial" w:cs="Arial" w:eastAsia="Arial" w:hAnsi="Arial"/>
                <w:sz w:val="14"/>
                <w:szCs w:val="14"/>
                <w:b w:val="1"/>
                <w:bCs w:val="1"/>
                <w:color w:val="auto"/>
              </w:rPr>
              <w:t>As</w:t>
            </w: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63"/>
              <w:spacing w:after="0"/>
              <w:rPr>
                <w:sz w:val="20"/>
                <w:szCs w:val="20"/>
                <w:color w:val="auto"/>
              </w:rPr>
            </w:pPr>
            <w:r>
              <w:rPr>
                <w:rFonts w:ascii="Arial" w:cs="Arial" w:eastAsia="Arial" w:hAnsi="Arial"/>
                <w:sz w:val="14"/>
                <w:szCs w:val="14"/>
                <w:b w:val="1"/>
                <w:bCs w:val="1"/>
                <w:color w:val="auto"/>
              </w:rPr>
              <w:t>Previously</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462"/>
              <w:spacing w:after="0"/>
              <w:rPr>
                <w:sz w:val="20"/>
                <w:szCs w:val="20"/>
                <w:color w:val="auto"/>
              </w:rPr>
            </w:pPr>
            <w:r>
              <w:rPr>
                <w:rFonts w:ascii="Arial" w:cs="Arial" w:eastAsia="Arial" w:hAnsi="Arial"/>
                <w:sz w:val="14"/>
                <w:szCs w:val="14"/>
                <w:b w:val="1"/>
                <w:bCs w:val="1"/>
                <w:color w:val="auto"/>
              </w:rPr>
              <w:t>As</w:t>
            </w:r>
          </w:p>
        </w:tc>
      </w:tr>
      <w:tr>
        <w:trPr>
          <w:trHeight w:val="322"/>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Reported</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Adjustment</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Adopted</w:t>
            </w: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2"/>
        </w:trPr>
        <w:tc>
          <w:tcPr>
            <w:tcW w:w="7440" w:type="dxa"/>
            <w:vAlign w:val="bottom"/>
          </w:tcPr>
          <w:p>
            <w:pPr>
              <w:ind w:left="180"/>
              <w:spacing w:after="0"/>
              <w:rPr>
                <w:sz w:val="20"/>
                <w:szCs w:val="20"/>
                <w:color w:val="auto"/>
              </w:rPr>
            </w:pPr>
            <w:r>
              <w:rPr>
                <w:rFonts w:ascii="Arial" w:cs="Arial" w:eastAsia="Arial" w:hAnsi="Arial"/>
                <w:sz w:val="16"/>
                <w:szCs w:val="16"/>
                <w:color w:val="auto"/>
              </w:rPr>
              <w:t>Increase in Restricted Cash</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(7,266)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7,266</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70"/>
        </w:trPr>
        <w:tc>
          <w:tcPr>
            <w:tcW w:w="7440" w:type="dxa"/>
            <w:vAlign w:val="bottom"/>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Pr>
          <w:p>
            <w:pPr>
              <w:spacing w:after="0"/>
              <w:rPr>
                <w:sz w:val="23"/>
                <w:szCs w:val="23"/>
                <w:color w:val="auto"/>
              </w:rPr>
            </w:pPr>
          </w:p>
        </w:tc>
        <w:tc>
          <w:tcPr>
            <w:tcW w:w="1120" w:type="dxa"/>
            <w:vAlign w:val="bottom"/>
          </w:tcPr>
          <w:p>
            <w:pPr>
              <w:jc w:val="right"/>
              <w:ind w:right="83"/>
              <w:spacing w:after="0"/>
              <w:rPr>
                <w:sz w:val="20"/>
                <w:szCs w:val="20"/>
                <w:color w:val="auto"/>
              </w:rPr>
            </w:pPr>
            <w:r>
              <w:rPr>
                <w:rFonts w:ascii="Arial" w:cs="Arial" w:eastAsia="Arial" w:hAnsi="Arial"/>
                <w:sz w:val="16"/>
                <w:szCs w:val="16"/>
                <w:color w:val="auto"/>
              </w:rPr>
              <w:t>144,189</w:t>
            </w:r>
          </w:p>
        </w:tc>
        <w:tc>
          <w:tcPr>
            <w:tcW w:w="240" w:type="dxa"/>
            <w:vAlign w:val="bottom"/>
          </w:tcPr>
          <w:p>
            <w:pPr>
              <w:spacing w:after="0"/>
              <w:rPr>
                <w:sz w:val="23"/>
                <w:szCs w:val="23"/>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7,266</w:t>
            </w:r>
          </w:p>
        </w:tc>
        <w:tc>
          <w:tcPr>
            <w:tcW w:w="340" w:type="dxa"/>
            <w:vAlign w:val="bottom"/>
          </w:tcPr>
          <w:p>
            <w:pPr>
              <w:spacing w:after="0"/>
              <w:rPr>
                <w:sz w:val="23"/>
                <w:szCs w:val="23"/>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151,455</w:t>
            </w:r>
          </w:p>
        </w:tc>
      </w:tr>
      <w:tr>
        <w:trPr>
          <w:trHeight w:val="513"/>
        </w:trPr>
        <w:tc>
          <w:tcPr>
            <w:tcW w:w="744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 and Restricted Cash</w:t>
            </w:r>
          </w:p>
        </w:tc>
        <w:tc>
          <w:tcPr>
            <w:tcW w:w="180" w:type="dxa"/>
            <w:vAlign w:val="bottom"/>
          </w:tcPr>
          <w:p>
            <w:pPr>
              <w:spacing w:after="0"/>
              <w:rPr>
                <w:sz w:val="24"/>
                <w:szCs w:val="24"/>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(161,024)</w:t>
            </w:r>
          </w:p>
        </w:tc>
        <w:tc>
          <w:tcPr>
            <w:tcW w:w="240" w:type="dxa"/>
            <w:vAlign w:val="bottom"/>
          </w:tcPr>
          <w:p>
            <w:pPr>
              <w:spacing w:after="0"/>
              <w:rPr>
                <w:sz w:val="24"/>
                <w:szCs w:val="24"/>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7,266</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(153,758)</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180" w:type="dxa"/>
            <w:vAlign w:val="bottom"/>
          </w:tcPr>
          <w:p>
            <w:pPr>
              <w:spacing w:after="0"/>
              <w:rPr>
                <w:sz w:val="23"/>
                <w:szCs w:val="23"/>
                <w:color w:val="auto"/>
              </w:rPr>
            </w:pPr>
          </w:p>
        </w:tc>
        <w:tc>
          <w:tcPr>
            <w:tcW w:w="1120" w:type="dxa"/>
            <w:vAlign w:val="bottom"/>
          </w:tcPr>
          <w:p>
            <w:pPr>
              <w:jc w:val="right"/>
              <w:ind w:right="83"/>
              <w:spacing w:after="0"/>
              <w:rPr>
                <w:sz w:val="20"/>
                <w:szCs w:val="20"/>
                <w:color w:val="auto"/>
              </w:rPr>
            </w:pPr>
            <w:r>
              <w:rPr>
                <w:rFonts w:ascii="Arial" w:cs="Arial" w:eastAsia="Arial" w:hAnsi="Arial"/>
                <w:sz w:val="16"/>
                <w:szCs w:val="16"/>
                <w:color w:val="auto"/>
              </w:rPr>
              <w:t>754,207</w:t>
            </w:r>
          </w:p>
        </w:tc>
        <w:tc>
          <w:tcPr>
            <w:tcW w:w="240" w:type="dxa"/>
            <w:vAlign w:val="bottom"/>
          </w:tcPr>
          <w:p>
            <w:pPr>
              <w:spacing w:after="0"/>
              <w:rPr>
                <w:sz w:val="23"/>
                <w:szCs w:val="23"/>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20,745</w:t>
            </w:r>
          </w:p>
        </w:tc>
        <w:tc>
          <w:tcPr>
            <w:tcW w:w="340" w:type="dxa"/>
            <w:vAlign w:val="bottom"/>
          </w:tcPr>
          <w:p>
            <w:pPr>
              <w:spacing w:after="0"/>
              <w:rPr>
                <w:sz w:val="23"/>
                <w:szCs w:val="23"/>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774,952</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Cash and Cash Equivalents and Restricted Cash at End of Period</w:t>
            </w:r>
          </w:p>
        </w:tc>
        <w:tc>
          <w:tcPr>
            <w:tcW w:w="180" w:type="dxa"/>
            <w:vAlign w:val="bottom"/>
          </w:tcPr>
          <w:p>
            <w:pPr>
              <w:spacing w:after="0"/>
              <w:rPr>
                <w:sz w:val="23"/>
                <w:szCs w:val="23"/>
                <w:color w:val="auto"/>
              </w:rPr>
            </w:pPr>
          </w:p>
        </w:tc>
        <w:tc>
          <w:tcPr>
            <w:tcW w:w="1120" w:type="dxa"/>
            <w:vAlign w:val="bottom"/>
          </w:tcPr>
          <w:p>
            <w:pPr>
              <w:jc w:val="right"/>
              <w:ind w:right="83"/>
              <w:spacing w:after="0"/>
              <w:rPr>
                <w:sz w:val="20"/>
                <w:szCs w:val="20"/>
                <w:color w:val="auto"/>
              </w:rPr>
            </w:pPr>
            <w:r>
              <w:rPr>
                <w:rFonts w:ascii="Arial" w:cs="Arial" w:eastAsia="Arial" w:hAnsi="Arial"/>
                <w:sz w:val="16"/>
                <w:szCs w:val="16"/>
                <w:color w:val="auto"/>
              </w:rPr>
              <w:t>593,183</w:t>
            </w:r>
          </w:p>
        </w:tc>
        <w:tc>
          <w:tcPr>
            <w:tcW w:w="240" w:type="dxa"/>
            <w:vAlign w:val="bottom"/>
          </w:tcPr>
          <w:p>
            <w:pPr>
              <w:spacing w:after="0"/>
              <w:rPr>
                <w:sz w:val="23"/>
                <w:szCs w:val="23"/>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28,011</w:t>
            </w:r>
          </w:p>
        </w:tc>
        <w:tc>
          <w:tcPr>
            <w:tcW w:w="340" w:type="dxa"/>
            <w:vAlign w:val="bottom"/>
          </w:tcPr>
          <w:p>
            <w:pPr>
              <w:spacing w:after="0"/>
              <w:rPr>
                <w:sz w:val="23"/>
                <w:szCs w:val="23"/>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621,194</w:t>
            </w:r>
          </w:p>
        </w:tc>
      </w:tr>
    </w:tbl>
    <w:p>
      <w:pPr>
        <w:spacing w:after="0" w:line="14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January 2017, the FASB issued new guidance which simplifies the subsequent measurement of goodwill. The new guidance eliminates Step 2 from the goodwill impairment test, which required entities to determine the implied fair value of goodwill as of the test date to measure a goodwill impairment charge. Instead, an entity should continue to test goodwill for impairment by comparing the fair value of a reporting unit with its carrying amount (Step 1), and an impairment charge will be recognized for the amount by which the carrying amount exceeds the reporting unit’s fair value. The guidance is effective for interim and fiscal years beginning after December 15, 2019, with early adoption permitted. The Company early adopted this guidance in the second quarter of 2017.</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97" w:right="239" w:bottom="1440" w:gutter="0" w:footer="0" w:header="0"/>
        </w:sectPr>
      </w:pPr>
    </w:p>
    <w:bookmarkStart w:id="10" w:name="page11"/>
    <w:bookmarkEnd w:id="10"/>
    <w:p>
      <w:pPr>
        <w:ind w:right="100"/>
        <w:spacing w:after="0" w:line="227" w:lineRule="auto"/>
        <w:rPr>
          <w:sz w:val="20"/>
          <w:szCs w:val="20"/>
          <w:color w:val="auto"/>
        </w:rPr>
      </w:pPr>
      <w:r>
        <w:rPr>
          <w:rFonts w:ascii="Arial" w:cs="Arial" w:eastAsia="Arial" w:hAnsi="Arial"/>
          <w:sz w:val="18"/>
          <w:szCs w:val="18"/>
          <w:color w:val="auto"/>
        </w:rPr>
        <w:t>In March 2017, the FASB issued new guidance that changes the presentation of net periodic pension cost and net periodic postretirement benefit cost for defined benefit plans. The guidance requires an issuer to disaggregate the service cost component of net periodic pension and postretirement benefit cost from other components. Under the new guidance, service cost will be included in the same line item(s) as other compensation costs arising from services rendered by employees during the period, while the other components will be recognized after income from operations. The guidance is effective for interim and fiscal years beginning after December 15, 2017. The guidance must be applied retrospectively; however, a practical expedient is available which permits an employer to use amounts previously disclosed in its pension and postretirement plans footnote for the prior comparative periods. The Company will adopt the new standard in the first quarter of 2018, and expects the following changes to its financial statements upon adoption, as detailed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180"/>
              <w:spacing w:after="0"/>
              <w:rPr>
                <w:sz w:val="20"/>
                <w:szCs w:val="20"/>
                <w:color w:val="auto"/>
              </w:rPr>
            </w:pPr>
            <w:r>
              <w:rPr>
                <w:rFonts w:ascii="Arial" w:cs="Arial" w:eastAsia="Arial" w:hAnsi="Arial"/>
                <w:sz w:val="14"/>
                <w:szCs w:val="14"/>
                <w:b w:val="1"/>
                <w:bCs w:val="1"/>
                <w:color w:val="auto"/>
              </w:rPr>
              <w:t>Non-operating</w:t>
            </w: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4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180"/>
              <w:spacing w:after="0"/>
              <w:rPr>
                <w:sz w:val="20"/>
                <w:szCs w:val="20"/>
                <w:color w:val="auto"/>
              </w:rPr>
            </w:pPr>
            <w:r>
              <w:rPr>
                <w:rFonts w:ascii="Arial" w:cs="Arial" w:eastAsia="Arial" w:hAnsi="Arial"/>
                <w:sz w:val="14"/>
                <w:szCs w:val="14"/>
                <w:b w:val="1"/>
                <w:bCs w:val="1"/>
                <w:color w:val="auto"/>
              </w:rPr>
              <w:t>pension and</w:t>
            </w: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4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jc w:val="right"/>
              <w:ind w:right="340"/>
              <w:spacing w:after="0"/>
              <w:rPr>
                <w:sz w:val="20"/>
                <w:szCs w:val="20"/>
                <w:color w:val="auto"/>
              </w:rPr>
            </w:pPr>
            <w:r>
              <w:rPr>
                <w:rFonts w:ascii="Arial" w:cs="Arial" w:eastAsia="Arial" w:hAnsi="Arial"/>
                <w:sz w:val="14"/>
                <w:szCs w:val="14"/>
                <w:b w:val="1"/>
                <w:bCs w:val="1"/>
                <w:color w:val="auto"/>
              </w:rPr>
              <w:t>Income from</w:t>
            </w: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postretirement benefit</w:t>
            </w:r>
          </w:p>
        </w:tc>
        <w:tc>
          <w:tcPr>
            <w:tcW w:w="280" w:type="dxa"/>
            <w:vAlign w:val="bottom"/>
          </w:tcPr>
          <w:p>
            <w:pPr>
              <w:spacing w:after="0"/>
              <w:rPr>
                <w:sz w:val="14"/>
                <w:szCs w:val="14"/>
                <w:color w:val="auto"/>
              </w:rPr>
            </w:pPr>
          </w:p>
        </w:tc>
        <w:tc>
          <w:tcPr>
            <w:tcW w:w="1380" w:type="dxa"/>
            <w:vAlign w:val="bottom"/>
          </w:tcPr>
          <w:p>
            <w:pPr>
              <w:jc w:val="right"/>
              <w:ind w:right="220"/>
              <w:spacing w:after="0"/>
              <w:rPr>
                <w:sz w:val="20"/>
                <w:szCs w:val="20"/>
                <w:color w:val="auto"/>
              </w:rPr>
            </w:pPr>
            <w:r>
              <w:rPr>
                <w:rFonts w:ascii="Arial" w:cs="Arial" w:eastAsia="Arial" w:hAnsi="Arial"/>
                <w:sz w:val="14"/>
                <w:szCs w:val="14"/>
                <w:b w:val="1"/>
                <w:bCs w:val="1"/>
                <w:color w:val="auto"/>
              </w:rPr>
              <w:t>Income Before</w:t>
            </w:r>
          </w:p>
        </w:tc>
      </w:tr>
      <w:tr>
        <w:trPr>
          <w:trHeight w:val="203"/>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Operations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income</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Income Taxes</w:t>
            </w:r>
          </w:p>
        </w:tc>
      </w:tr>
      <w:tr>
        <w:trPr>
          <w:trHeight w:val="257"/>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Three Months Ended September 30, 2017</w:t>
            </w:r>
          </w:p>
        </w:tc>
        <w:tc>
          <w:tcPr>
            <w:tcW w:w="18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62"/>
        </w:trPr>
        <w:tc>
          <w:tcPr>
            <w:tcW w:w="4840" w:type="dxa"/>
            <w:vAlign w:val="bottom"/>
          </w:tcPr>
          <w:p>
            <w:pPr>
              <w:ind w:left="180"/>
              <w:spacing w:after="0"/>
              <w:rPr>
                <w:sz w:val="20"/>
                <w:szCs w:val="20"/>
                <w:color w:val="auto"/>
              </w:rPr>
            </w:pPr>
            <w:r>
              <w:rPr>
                <w:rFonts w:ascii="Arial" w:cs="Arial" w:eastAsia="Arial" w:hAnsi="Arial"/>
                <w:sz w:val="16"/>
                <w:szCs w:val="16"/>
                <w:color w:val="auto"/>
              </w:rPr>
              <w:t>As Reported</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44,571</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38,244</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Adjustment</w:t>
            </w:r>
          </w:p>
        </w:tc>
        <w:tc>
          <w:tcPr>
            <w:tcW w:w="182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(17,621)</w:t>
            </w:r>
          </w:p>
        </w:tc>
        <w:tc>
          <w:tcPr>
            <w:tcW w:w="280" w:type="dxa"/>
            <w:vAlign w:val="bottom"/>
          </w:tcPr>
          <w:p>
            <w:pPr>
              <w:spacing w:after="0"/>
              <w:rPr>
                <w:sz w:val="23"/>
                <w:szCs w:val="23"/>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17,621</w:t>
            </w:r>
          </w:p>
        </w:tc>
        <w:tc>
          <w:tcPr>
            <w:tcW w:w="28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Upon Adoption</w:t>
            </w:r>
          </w:p>
        </w:tc>
        <w:tc>
          <w:tcPr>
            <w:tcW w:w="1820" w:type="dxa"/>
            <w:vAlign w:val="bottom"/>
          </w:tcPr>
          <w:p>
            <w:pPr>
              <w:spacing w:after="0"/>
              <w:rPr>
                <w:sz w:val="23"/>
                <w:szCs w:val="23"/>
                <w:color w:val="auto"/>
              </w:rPr>
            </w:pP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26,950</w:t>
            </w:r>
          </w:p>
        </w:tc>
        <w:tc>
          <w:tcPr>
            <w:tcW w:w="280" w:type="dxa"/>
            <w:vAlign w:val="bottom"/>
          </w:tcPr>
          <w:p>
            <w:pPr>
              <w:spacing w:after="0"/>
              <w:rPr>
                <w:sz w:val="23"/>
                <w:szCs w:val="23"/>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17,621</w:t>
            </w:r>
          </w:p>
        </w:tc>
        <w:tc>
          <w:tcPr>
            <w:tcW w:w="28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38,244</w:t>
            </w:r>
          </w:p>
        </w:tc>
      </w:tr>
      <w:tr>
        <w:trPr>
          <w:trHeight w:val="494"/>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Three Months Ended September 30, 2016</w:t>
            </w:r>
          </w:p>
        </w:tc>
        <w:tc>
          <w:tcPr>
            <w:tcW w:w="1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2"/>
        </w:trPr>
        <w:tc>
          <w:tcPr>
            <w:tcW w:w="4840" w:type="dxa"/>
            <w:vAlign w:val="bottom"/>
          </w:tcPr>
          <w:p>
            <w:pPr>
              <w:ind w:left="180"/>
              <w:spacing w:after="0"/>
              <w:rPr>
                <w:sz w:val="20"/>
                <w:szCs w:val="20"/>
                <w:color w:val="auto"/>
              </w:rPr>
            </w:pPr>
            <w:r>
              <w:rPr>
                <w:rFonts w:ascii="Arial" w:cs="Arial" w:eastAsia="Arial" w:hAnsi="Arial"/>
                <w:sz w:val="16"/>
                <w:szCs w:val="16"/>
                <w:color w:val="auto"/>
              </w:rPr>
              <w:t>As Reported</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68,033</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40,926</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Adjustment</w:t>
            </w:r>
          </w:p>
        </w:tc>
        <w:tc>
          <w:tcPr>
            <w:tcW w:w="182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(15,705)</w:t>
            </w:r>
          </w:p>
        </w:tc>
        <w:tc>
          <w:tcPr>
            <w:tcW w:w="280" w:type="dxa"/>
            <w:vAlign w:val="bottom"/>
          </w:tcPr>
          <w:p>
            <w:pPr>
              <w:spacing w:after="0"/>
              <w:rPr>
                <w:sz w:val="23"/>
                <w:szCs w:val="23"/>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15,705</w:t>
            </w:r>
          </w:p>
        </w:tc>
        <w:tc>
          <w:tcPr>
            <w:tcW w:w="28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Upon Adoption</w:t>
            </w:r>
          </w:p>
        </w:tc>
        <w:tc>
          <w:tcPr>
            <w:tcW w:w="1820" w:type="dxa"/>
            <w:vAlign w:val="bottom"/>
          </w:tcPr>
          <w:p>
            <w:pPr>
              <w:spacing w:after="0"/>
              <w:rPr>
                <w:sz w:val="23"/>
                <w:szCs w:val="23"/>
                <w:color w:val="auto"/>
              </w:rPr>
            </w:pP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52,328</w:t>
            </w:r>
          </w:p>
        </w:tc>
        <w:tc>
          <w:tcPr>
            <w:tcW w:w="280" w:type="dxa"/>
            <w:vAlign w:val="bottom"/>
          </w:tcPr>
          <w:p>
            <w:pPr>
              <w:spacing w:after="0"/>
              <w:rPr>
                <w:sz w:val="23"/>
                <w:szCs w:val="23"/>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15,705</w:t>
            </w:r>
          </w:p>
        </w:tc>
        <w:tc>
          <w:tcPr>
            <w:tcW w:w="28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40,926</w:t>
            </w:r>
          </w:p>
        </w:tc>
      </w:tr>
      <w:tr>
        <w:trPr>
          <w:trHeight w:val="494"/>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Nine Months Ended September 30, 2017</w:t>
            </w:r>
          </w:p>
        </w:tc>
        <w:tc>
          <w:tcPr>
            <w:tcW w:w="1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2"/>
        </w:trPr>
        <w:tc>
          <w:tcPr>
            <w:tcW w:w="4840" w:type="dxa"/>
            <w:vAlign w:val="bottom"/>
          </w:tcPr>
          <w:p>
            <w:pPr>
              <w:ind w:left="180"/>
              <w:spacing w:after="0"/>
              <w:rPr>
                <w:sz w:val="20"/>
                <w:szCs w:val="20"/>
                <w:color w:val="auto"/>
              </w:rPr>
            </w:pPr>
            <w:r>
              <w:rPr>
                <w:rFonts w:ascii="Arial" w:cs="Arial" w:eastAsia="Arial" w:hAnsi="Arial"/>
                <w:sz w:val="16"/>
                <w:szCs w:val="16"/>
                <w:color w:val="auto"/>
              </w:rPr>
              <w:t>As Reported</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141,986</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127,929</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Adjustment</w:t>
            </w:r>
          </w:p>
        </w:tc>
        <w:tc>
          <w:tcPr>
            <w:tcW w:w="182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(55,042)</w:t>
            </w:r>
          </w:p>
        </w:tc>
        <w:tc>
          <w:tcPr>
            <w:tcW w:w="280" w:type="dxa"/>
            <w:vAlign w:val="bottom"/>
          </w:tcPr>
          <w:p>
            <w:pPr>
              <w:spacing w:after="0"/>
              <w:rPr>
                <w:sz w:val="23"/>
                <w:szCs w:val="23"/>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55,042</w:t>
            </w:r>
          </w:p>
        </w:tc>
        <w:tc>
          <w:tcPr>
            <w:tcW w:w="28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Upon Adoption</w:t>
            </w:r>
          </w:p>
        </w:tc>
        <w:tc>
          <w:tcPr>
            <w:tcW w:w="1820" w:type="dxa"/>
            <w:vAlign w:val="bottom"/>
          </w:tcPr>
          <w:p>
            <w:pPr>
              <w:spacing w:after="0"/>
              <w:rPr>
                <w:sz w:val="23"/>
                <w:szCs w:val="23"/>
                <w:color w:val="auto"/>
              </w:rPr>
            </w:pP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86,944</w:t>
            </w:r>
          </w:p>
        </w:tc>
        <w:tc>
          <w:tcPr>
            <w:tcW w:w="280" w:type="dxa"/>
            <w:vAlign w:val="bottom"/>
          </w:tcPr>
          <w:p>
            <w:pPr>
              <w:spacing w:after="0"/>
              <w:rPr>
                <w:sz w:val="23"/>
                <w:szCs w:val="23"/>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55,042</w:t>
            </w:r>
          </w:p>
        </w:tc>
        <w:tc>
          <w:tcPr>
            <w:tcW w:w="28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127,929</w:t>
            </w:r>
          </w:p>
        </w:tc>
      </w:tr>
      <w:tr>
        <w:trPr>
          <w:trHeight w:val="521"/>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Nine Months Ended September 30, 2016</w:t>
            </w:r>
          </w:p>
        </w:tc>
        <w:tc>
          <w:tcPr>
            <w:tcW w:w="1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2"/>
        </w:trPr>
        <w:tc>
          <w:tcPr>
            <w:tcW w:w="4840" w:type="dxa"/>
            <w:vAlign w:val="bottom"/>
          </w:tcPr>
          <w:p>
            <w:pPr>
              <w:ind w:left="180"/>
              <w:spacing w:after="0"/>
              <w:rPr>
                <w:sz w:val="20"/>
                <w:szCs w:val="20"/>
                <w:color w:val="auto"/>
              </w:rPr>
            </w:pPr>
            <w:r>
              <w:rPr>
                <w:rFonts w:ascii="Arial" w:cs="Arial" w:eastAsia="Arial" w:hAnsi="Arial"/>
                <w:sz w:val="16"/>
                <w:szCs w:val="16"/>
                <w:color w:val="auto"/>
              </w:rPr>
              <w:t>As Reported</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194,045</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186,540</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Adjustment</w:t>
            </w:r>
          </w:p>
        </w:tc>
        <w:tc>
          <w:tcPr>
            <w:tcW w:w="182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(46,966)</w:t>
            </w:r>
          </w:p>
        </w:tc>
        <w:tc>
          <w:tcPr>
            <w:tcW w:w="280" w:type="dxa"/>
            <w:vAlign w:val="bottom"/>
          </w:tcPr>
          <w:p>
            <w:pPr>
              <w:spacing w:after="0"/>
              <w:rPr>
                <w:sz w:val="23"/>
                <w:szCs w:val="23"/>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46,966</w:t>
            </w:r>
          </w:p>
        </w:tc>
        <w:tc>
          <w:tcPr>
            <w:tcW w:w="28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Upon Adoption</w:t>
            </w:r>
          </w:p>
        </w:tc>
        <w:tc>
          <w:tcPr>
            <w:tcW w:w="1820" w:type="dxa"/>
            <w:vAlign w:val="bottom"/>
          </w:tcPr>
          <w:p>
            <w:pPr>
              <w:spacing w:after="0"/>
              <w:rPr>
                <w:sz w:val="23"/>
                <w:szCs w:val="23"/>
                <w:color w:val="auto"/>
              </w:rPr>
            </w:pP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147,079</w:t>
            </w:r>
          </w:p>
        </w:tc>
        <w:tc>
          <w:tcPr>
            <w:tcW w:w="280" w:type="dxa"/>
            <w:vAlign w:val="bottom"/>
          </w:tcPr>
          <w:p>
            <w:pPr>
              <w:spacing w:after="0"/>
              <w:rPr>
                <w:sz w:val="23"/>
                <w:szCs w:val="23"/>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46,966</w:t>
            </w:r>
          </w:p>
        </w:tc>
        <w:tc>
          <w:tcPr>
            <w:tcW w:w="28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186,540</w:t>
            </w:r>
          </w:p>
        </w:tc>
      </w:tr>
      <w:tr>
        <w:trPr>
          <w:trHeight w:val="521"/>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Twelve Months Ended December 31, 2016</w:t>
            </w:r>
          </w:p>
        </w:tc>
        <w:tc>
          <w:tcPr>
            <w:tcW w:w="1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2"/>
        </w:trPr>
        <w:tc>
          <w:tcPr>
            <w:tcW w:w="4840" w:type="dxa"/>
            <w:vAlign w:val="bottom"/>
          </w:tcPr>
          <w:p>
            <w:pPr>
              <w:ind w:left="180"/>
              <w:spacing w:after="0"/>
              <w:rPr>
                <w:sz w:val="20"/>
                <w:szCs w:val="20"/>
                <w:color w:val="auto"/>
              </w:rPr>
            </w:pPr>
            <w:r>
              <w:rPr>
                <w:rFonts w:ascii="Arial" w:cs="Arial" w:eastAsia="Arial" w:hAnsi="Arial"/>
                <w:sz w:val="16"/>
                <w:szCs w:val="16"/>
                <w:color w:val="auto"/>
              </w:rPr>
              <w:t>As Reported</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303,534</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250,658</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Adjustment</w:t>
            </w:r>
          </w:p>
        </w:tc>
        <w:tc>
          <w:tcPr>
            <w:tcW w:w="182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(80,665)</w:t>
            </w:r>
          </w:p>
        </w:tc>
        <w:tc>
          <w:tcPr>
            <w:tcW w:w="280" w:type="dxa"/>
            <w:vAlign w:val="bottom"/>
          </w:tcPr>
          <w:p>
            <w:pPr>
              <w:spacing w:after="0"/>
              <w:rPr>
                <w:sz w:val="23"/>
                <w:szCs w:val="23"/>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80,665</w:t>
            </w:r>
          </w:p>
        </w:tc>
        <w:tc>
          <w:tcPr>
            <w:tcW w:w="28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Upon Adoption</w:t>
            </w:r>
          </w:p>
        </w:tc>
        <w:tc>
          <w:tcPr>
            <w:tcW w:w="1820" w:type="dxa"/>
            <w:vAlign w:val="bottom"/>
          </w:tcPr>
          <w:p>
            <w:pPr>
              <w:spacing w:after="0"/>
              <w:rPr>
                <w:sz w:val="23"/>
                <w:szCs w:val="23"/>
                <w:color w:val="auto"/>
              </w:rPr>
            </w:pP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222,869</w:t>
            </w:r>
          </w:p>
        </w:tc>
        <w:tc>
          <w:tcPr>
            <w:tcW w:w="280" w:type="dxa"/>
            <w:vAlign w:val="bottom"/>
          </w:tcPr>
          <w:p>
            <w:pPr>
              <w:spacing w:after="0"/>
              <w:rPr>
                <w:sz w:val="23"/>
                <w:szCs w:val="23"/>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80,665</w:t>
            </w:r>
          </w:p>
        </w:tc>
        <w:tc>
          <w:tcPr>
            <w:tcW w:w="28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250,658</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4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As of September 30, 2017 and December 31, 2016, the Company had commercial paper and money market investments of $205.8 million and $485.1 million, respectively, that are classified as cash, cash equivalents and restricted cash in the Company’s Condensed Consolidated Balance Sheets.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comprised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0"/>
        </w:trPr>
        <w:tc>
          <w:tcPr>
            <w:tcW w:w="8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143"/>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1200" w:type="dxa"/>
            <w:vAlign w:val="bottom"/>
          </w:tcPr>
          <w:p>
            <w:pPr>
              <w:jc w:val="right"/>
              <w:ind w:right="163"/>
              <w:spacing w:after="0"/>
              <w:rPr>
                <w:sz w:val="20"/>
                <w:szCs w:val="20"/>
                <w:color w:val="auto"/>
              </w:rPr>
            </w:pPr>
            <w:r>
              <w:rPr>
                <w:rFonts w:ascii="Arial" w:cs="Arial" w:eastAsia="Arial" w:hAnsi="Arial"/>
                <w:sz w:val="14"/>
                <w:szCs w:val="14"/>
                <w:color w:val="auto"/>
              </w:rPr>
              <w:t>December 31,</w:t>
            </w:r>
          </w:p>
        </w:tc>
      </w:tr>
      <w:tr>
        <w:trPr>
          <w:trHeight w:val="203"/>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2016</w:t>
            </w:r>
          </w:p>
        </w:tc>
      </w:tr>
      <w:tr>
        <w:trPr>
          <w:trHeight w:val="257"/>
        </w:trPr>
        <w:tc>
          <w:tcPr>
            <w:tcW w:w="858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6"/>
                <w:szCs w:val="16"/>
                <w:b w:val="1"/>
                <w:bCs w:val="1"/>
                <w:color w:val="auto"/>
              </w:rPr>
              <w:t>269,343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269,343</w:t>
            </w:r>
          </w:p>
        </w:tc>
      </w:tr>
      <w:tr>
        <w:trPr>
          <w:trHeight w:val="274"/>
        </w:trPr>
        <w:tc>
          <w:tcPr>
            <w:tcW w:w="8580" w:type="dxa"/>
            <w:vAlign w:val="bottom"/>
          </w:tcPr>
          <w:p>
            <w:pPr>
              <w:ind w:left="40"/>
              <w:spacing w:after="0"/>
              <w:rPr>
                <w:sz w:val="20"/>
                <w:szCs w:val="20"/>
                <w:color w:val="auto"/>
              </w:rPr>
            </w:pPr>
            <w:r>
              <w:rPr>
                <w:rFonts w:ascii="Arial" w:cs="Arial" w:eastAsia="Arial" w:hAnsi="Arial"/>
                <w:sz w:val="16"/>
                <w:szCs w:val="16"/>
                <w:color w:val="auto"/>
              </w:rPr>
              <w:t>Gross unrealized gains</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226,256</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154,886</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495,599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424,229</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There were no purchases of marketable equity securities during the first nine months of 2017. The Company settled on $ 48.3 million of marketable equity securities purchases during the first nine months of 2016, of which $47.9 million was purchased in the first nine months of 2016.</w:t>
      </w:r>
    </w:p>
    <w:p>
      <w:pPr>
        <w:spacing w:after="0" w:line="108"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There were no sales of marketable equity securities for the first nine months of 2017. The total proceeds from the sales of marketable equity securities for the first nine months of 2016 were $22.8 million, with realized gains of $6.3 million.</w:t>
      </w:r>
    </w:p>
    <w:p>
      <w:pPr>
        <w:spacing w:after="0" w:line="92"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In September 2017, the Company acquired approximately 10% of Intersection Holdings, LLC, a company that provides digital marketing and advertising services and products for cities, transit systems, airports, and other public and private spaces, which is accounted for as an investment in affiliate. As of September 30, 2017, the Company held interests in several affiliates; Residential Healthcare (Residential) held a 40% interest in Residential Home</w:t>
      </w:r>
    </w:p>
    <w:p>
      <w:pPr>
        <w:sectPr>
          <w:pgSz w:w="11900" w:h="16838" w:orient="portrait"/>
          <w:cols w:equalWidth="0" w:num="1">
            <w:col w:w="11420"/>
          </w:cols>
          <w:pgMar w:left="240" w:top="697" w:right="239" w:bottom="889"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697" w:right="239" w:bottom="889" w:gutter="0" w:footer="0" w:header="0"/>
          <w:type w:val="continuous"/>
        </w:sectPr>
      </w:pPr>
    </w:p>
    <w:bookmarkStart w:id="11" w:name="page12"/>
    <w:bookmarkEnd w:id="11"/>
    <w:p>
      <w:pPr>
        <w:ind w:right="520"/>
        <w:spacing w:after="0" w:line="234" w:lineRule="auto"/>
        <w:rPr>
          <w:sz w:val="20"/>
          <w:szCs w:val="20"/>
          <w:color w:val="auto"/>
        </w:rPr>
      </w:pPr>
      <w:r>
        <w:rPr>
          <w:rFonts w:ascii="Arial" w:cs="Arial" w:eastAsia="Arial" w:hAnsi="Arial"/>
          <w:sz w:val="18"/>
          <w:szCs w:val="18"/>
          <w:color w:val="auto"/>
        </w:rPr>
        <w:t>Health Illinois, a 42.5% interest in Residential Hospice Illinois and a 40% interest in the joint venture formed between Residential and a Michigan hospital; and Celtic Healthcare (Celtic) held a 40% interest in the joint venture formed between Celtic Healthcare and Allegheny Health Network (AHN). For the three and nine months ended September 30, 2017, the Company recorded $4.5 million and $14.1 million, respectively, in revenue for services provided to the affiliates of Celtic and Residential.</w:t>
      </w:r>
    </w:p>
    <w:p>
      <w:pPr>
        <w:spacing w:after="0" w:line="111"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Additionally, Kaplan International Holdings Limited (KIHL) held a 45% interest in a joint venture formed with York University. KIHL agreed to loan the joint venture £25 million, of which, £11.0 million was advanced in 2016 and £5.0 million was advanced in 2017. The loan will be repayable over 25 years at an interest rate of 7% and the loan is guaranteed by the University of York.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DISPOSITIONS OF BUSINESSES</w:t>
      </w:r>
    </w:p>
    <w:p>
      <w:pPr>
        <w:spacing w:after="0" w:line="144"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In the first nine months of 2017, the Company acquired six businesses, two in its education division, two in its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broadcasting division and two in other businesses for $318.7 million in cash and contingent consideration, and the assumption of $59.1 million in certain pension and postretirement obligations.</w:t>
      </w:r>
    </w:p>
    <w:p>
      <w:pPr>
        <w:spacing w:after="0" w:line="108"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At the end of June 2017, Graham Healthcare Group (GHG) acquired a 100% interest in Hometown Home Health and Hospice, a Lapeer, MI-based healthcare services provider by purchasing all of its issued and outstanding shares. This acquisition expands GHG’s service area in Michigan. GHG is included in other businesses.</w:t>
      </w:r>
    </w:p>
    <w:p>
      <w:pPr>
        <w:spacing w:after="0" w:line="108"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In April 2017, the Company acquired 97.72% of the issued and outstanding shares of Hoover Treated Wood Products, Inc., a Thomson, GA-based supplier of pressure impregnated kiln-dried lumber and plywood products for fire retardant and preservative applications for $206.8 million, net of cash acquired. The fair value of the redeemable noncontrolling interest in Hoover was $3.7 million at the acquisition date, determined using a market approach. The minority shareholders have an option to put some of their shares to the Company starting in 2019 and the remaining shares starting in 2021. The Company has an option to buy the shares of minority shareholders starting in 2027. This acquisition is consistent with the Company’s ongoing strategy of investing in companies with a history of profitability and strong management. Hoover is included in other businesses.</w:t>
      </w:r>
    </w:p>
    <w:p>
      <w:pPr>
        <w:spacing w:after="0" w:line="10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February 2017, Kaplan acquired a 100% interest in Genesis Training Institute, a Dubai-based provider of professional development training in the United Arab Emirates, by purchasing all of its issued and outstanding shares. Additionally, Kaplan acquired a 100% interest in Red Marker Pty Ltd, an Australia-based regulatory technology company by purchasing all of its outstanding shares. These acquisitions are expected to provide certain strategic benefits in the future.</w:t>
      </w:r>
    </w:p>
    <w:p>
      <w:pPr>
        <w:spacing w:after="0" w:line="11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the assets of WCWJ, a CW affiliate television station in Jacksonville, FL and WSLS, an NBC affiliate television station in Roanoke, VA for cash and the assumption of certain pension obligations. The acquisition of WCWJ and WSLS will complement the other stations that GMG operates.</w:t>
      </w:r>
    </w:p>
    <w:p>
      <w:pPr>
        <w:spacing w:after="0" w:line="108"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During 2016, the Company acquired five businesses, three businesses included in its education division and two businesses in other businesses. In January 2016, Kaplan acquired a 100% interest in Mander Portman Woodward, a leading provider of high-quality, bespoke education to UK and international students in London, Cambridge and Birmingham, by purchasing all of its issued and outstanding shares. In February 2016, Kaplan acquired a 100% interest in Osborne Books, an educational publisher of learning resources for accounting qualifications in the UK, by purchasing all of its issued and outstanding shares. The primary rationale for these acquisitions was based on several strategic benefits expected to be realized in the future. Both of these acquisitions are included in Kaplan International.</w:t>
      </w:r>
    </w:p>
    <w:p>
      <w:pPr>
        <w:spacing w:after="0" w:line="112"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In September 2016, Group Dekko, Inc. (Dekko) acquired a 100% interest in Electri-Cable Assemblies (ECA), a Shelton, CT-based manufacturer of power, data and electrical solutions for the office furniture industry, by purchasing all of its issued and outstanding shares. Dekko’s primary reasons for the acquisition were to complement existing product offerings and provide opportunities for synergies across the businesses. Dekko is included in other businesses.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7" w:right="239" w:bottom="1440" w:gutter="0" w:footer="0" w:header="0"/>
        </w:sectPr>
      </w:pPr>
    </w:p>
    <w:bookmarkStart w:id="12" w:name="page13"/>
    <w:bookmarkEnd w:id="12"/>
    <w:p>
      <w:pPr>
        <w:ind w:right="360"/>
        <w:spacing w:after="0" w:line="260" w:lineRule="auto"/>
        <w:rPr>
          <w:sz w:val="20"/>
          <w:szCs w:val="20"/>
          <w:color w:val="auto"/>
        </w:rPr>
      </w:pPr>
      <w:r>
        <w:rPr>
          <w:rFonts w:ascii="Arial" w:cs="Arial" w:eastAsia="Arial" w:hAnsi="Arial"/>
          <w:sz w:val="18"/>
          <w:szCs w:val="18"/>
          <w:color w:val="auto"/>
        </w:rPr>
        <w:t>Acquisition-related costs of $3.5 million related to these 2017 acquisitions were expensed as incurred. The aggregate purchase price of the 2017 and 2016 acquisitions was allocated as follows (2017 on a preliminary 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Purchase Price Allocation</w:t>
            </w:r>
          </w:p>
        </w:tc>
        <w:tc>
          <w:tcPr>
            <w:tcW w:w="700" w:type="dxa"/>
            <w:vAlign w:val="bottom"/>
            <w:tcBorders>
              <w:bottom w:val="single" w:sz="8" w:color="auto"/>
            </w:tcBorders>
          </w:tcPr>
          <w:p>
            <w:pPr>
              <w:spacing w:after="0"/>
              <w:rPr>
                <w:sz w:val="17"/>
                <w:szCs w:val="17"/>
                <w:color w:val="auto"/>
              </w:rPr>
            </w:pPr>
          </w:p>
        </w:tc>
      </w:tr>
      <w:tr>
        <w:trPr>
          <w:trHeight w:val="250"/>
        </w:trPr>
        <w:tc>
          <w:tcPr>
            <w:tcW w:w="8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21"/>
                <w:szCs w:val="21"/>
                <w:color w:val="auto"/>
              </w:rPr>
            </w:pPr>
          </w:p>
        </w:tc>
      </w:tr>
      <w:tr>
        <w:trPr>
          <w:trHeight w:val="247"/>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September 30, 2017</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2016</w:t>
            </w: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4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b w:val="1"/>
                <w:bCs w:val="1"/>
                <w:color w:val="auto"/>
              </w:rPr>
              <w:t>12,502</w:t>
            </w: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8,538</w:t>
            </w:r>
          </w:p>
        </w:tc>
      </w:tr>
      <w:tr>
        <w:trPr>
          <w:trHeight w:val="270"/>
        </w:trPr>
        <w:tc>
          <w:tcPr>
            <w:tcW w:w="8240" w:type="dxa"/>
            <w:vAlign w:val="bottom"/>
          </w:tcPr>
          <w:p>
            <w:pPr>
              <w:ind w:left="40"/>
              <w:spacing w:after="0"/>
              <w:rPr>
                <w:sz w:val="20"/>
                <w:szCs w:val="20"/>
                <w:color w:val="auto"/>
              </w:rPr>
            </w:pPr>
            <w:r>
              <w:rPr>
                <w:rFonts w:ascii="Arial" w:cs="Arial" w:eastAsia="Arial" w:hAnsi="Arial"/>
                <w:sz w:val="16"/>
                <w:szCs w:val="16"/>
                <w:color w:val="auto"/>
              </w:rPr>
              <w:t>Inventory</w:t>
            </w:r>
          </w:p>
        </w:tc>
        <w:tc>
          <w:tcPr>
            <w:tcW w:w="42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b w:val="1"/>
                <w:bCs w:val="1"/>
                <w:color w:val="auto"/>
              </w:rPr>
              <w:t>25,253</w:t>
            </w:r>
          </w:p>
        </w:tc>
        <w:tc>
          <w:tcPr>
            <w:tcW w:w="9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878</w:t>
            </w:r>
          </w:p>
        </w:tc>
      </w:tr>
      <w:tr>
        <w:trPr>
          <w:trHeight w:val="270"/>
        </w:trPr>
        <w:tc>
          <w:tcPr>
            <w:tcW w:w="824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42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b w:val="1"/>
                <w:bCs w:val="1"/>
                <w:color w:val="auto"/>
              </w:rPr>
              <w:t>593</w:t>
            </w:r>
          </w:p>
        </w:tc>
        <w:tc>
          <w:tcPr>
            <w:tcW w:w="9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1,420</w:t>
            </w:r>
          </w:p>
        </w:tc>
      </w:tr>
      <w:tr>
        <w:trPr>
          <w:trHeight w:val="270"/>
        </w:trPr>
        <w:tc>
          <w:tcPr>
            <w:tcW w:w="824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42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b w:val="1"/>
                <w:bCs w:val="1"/>
                <w:color w:val="auto"/>
              </w:rPr>
              <w:t>30,961</w:t>
            </w:r>
          </w:p>
        </w:tc>
        <w:tc>
          <w:tcPr>
            <w:tcW w:w="9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3,940</w:t>
            </w:r>
          </w:p>
        </w:tc>
      </w:tr>
      <w:tr>
        <w:trPr>
          <w:trHeight w:val="270"/>
        </w:trPr>
        <w:tc>
          <w:tcPr>
            <w:tcW w:w="8240" w:type="dxa"/>
            <w:vAlign w:val="bottom"/>
          </w:tcPr>
          <w:p>
            <w:pPr>
              <w:ind w:left="40"/>
              <w:spacing w:after="0"/>
              <w:rPr>
                <w:sz w:val="20"/>
                <w:szCs w:val="20"/>
                <w:color w:val="auto"/>
              </w:rPr>
            </w:pPr>
            <w:r>
              <w:rPr>
                <w:rFonts w:ascii="Arial" w:cs="Arial" w:eastAsia="Arial" w:hAnsi="Arial"/>
                <w:sz w:val="16"/>
                <w:szCs w:val="16"/>
                <w:color w:val="auto"/>
              </w:rPr>
              <w:t>Goodwill</w:t>
            </w:r>
          </w:p>
        </w:tc>
        <w:tc>
          <w:tcPr>
            <w:tcW w:w="42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b w:val="1"/>
                <w:bCs w:val="1"/>
                <w:color w:val="auto"/>
              </w:rPr>
              <w:t>143,433</w:t>
            </w:r>
          </w:p>
        </w:tc>
        <w:tc>
          <w:tcPr>
            <w:tcW w:w="9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184,118</w:t>
            </w:r>
          </w:p>
        </w:tc>
      </w:tr>
      <w:tr>
        <w:trPr>
          <w:trHeight w:val="270"/>
        </w:trPr>
        <w:tc>
          <w:tcPr>
            <w:tcW w:w="824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42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b w:val="1"/>
                <w:bCs w:val="1"/>
                <w:color w:val="auto"/>
              </w:rPr>
              <w:t>41,600</w:t>
            </w:r>
          </w:p>
        </w:tc>
        <w:tc>
          <w:tcPr>
            <w:tcW w:w="9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53,110</w:t>
            </w:r>
          </w:p>
        </w:tc>
      </w:tr>
      <w:tr>
        <w:trPr>
          <w:trHeight w:val="270"/>
        </w:trPr>
        <w:tc>
          <w:tcPr>
            <w:tcW w:w="8240" w:type="dxa"/>
            <w:vAlign w:val="bottom"/>
          </w:tcPr>
          <w:p>
            <w:pPr>
              <w:ind w:left="40"/>
              <w:spacing w:after="0"/>
              <w:rPr>
                <w:sz w:val="20"/>
                <w:szCs w:val="20"/>
                <w:color w:val="auto"/>
              </w:rPr>
            </w:pPr>
            <w:r>
              <w:rPr>
                <w:rFonts w:ascii="Arial" w:cs="Arial" w:eastAsia="Arial" w:hAnsi="Arial"/>
                <w:sz w:val="16"/>
                <w:szCs w:val="16"/>
                <w:color w:val="auto"/>
              </w:rPr>
              <w:t>Amortized intangible assets</w:t>
            </w:r>
          </w:p>
        </w:tc>
        <w:tc>
          <w:tcPr>
            <w:tcW w:w="42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b w:val="1"/>
                <w:bCs w:val="1"/>
                <w:color w:val="auto"/>
              </w:rPr>
              <w:t>158,907</w:t>
            </w:r>
          </w:p>
        </w:tc>
        <w:tc>
          <w:tcPr>
            <w:tcW w:w="9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28,267</w:t>
            </w:r>
          </w:p>
        </w:tc>
      </w:tr>
      <w:tr>
        <w:trPr>
          <w:trHeight w:val="270"/>
        </w:trPr>
        <w:tc>
          <w:tcPr>
            <w:tcW w:w="8240" w:type="dxa"/>
            <w:vAlign w:val="bottom"/>
          </w:tcPr>
          <w:p>
            <w:pPr>
              <w:ind w:left="40"/>
              <w:spacing w:after="0"/>
              <w:rPr>
                <w:sz w:val="20"/>
                <w:szCs w:val="20"/>
                <w:color w:val="auto"/>
              </w:rPr>
            </w:pPr>
            <w:r>
              <w:rPr>
                <w:rFonts w:ascii="Arial" w:cs="Arial" w:eastAsia="Arial" w:hAnsi="Arial"/>
                <w:sz w:val="16"/>
                <w:szCs w:val="16"/>
                <w:color w:val="auto"/>
              </w:rPr>
              <w:t>Pension and other postretirement benefits liabilities</w:t>
            </w:r>
          </w:p>
        </w:tc>
        <w:tc>
          <w:tcPr>
            <w:tcW w:w="4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(59,116)</w:t>
            </w:r>
          </w:p>
        </w:tc>
        <w:tc>
          <w:tcPr>
            <w:tcW w:w="9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4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4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(10,822)</w:t>
            </w:r>
          </w:p>
        </w:tc>
        <w:tc>
          <w:tcPr>
            <w:tcW w:w="9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(21,892)</w:t>
            </w:r>
          </w:p>
        </w:tc>
      </w:tr>
      <w:tr>
        <w:trPr>
          <w:trHeight w:val="270"/>
        </w:trPr>
        <w:tc>
          <w:tcPr>
            <w:tcW w:w="82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4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(34,875)</w:t>
            </w:r>
          </w:p>
        </w:tc>
        <w:tc>
          <w:tcPr>
            <w:tcW w:w="9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(11,009)</w:t>
            </w:r>
          </w:p>
        </w:tc>
      </w:tr>
      <w:tr>
        <w:trPr>
          <w:trHeight w:val="274"/>
        </w:trPr>
        <w:tc>
          <w:tcPr>
            <w:tcW w:w="8240" w:type="dxa"/>
            <w:vAlign w:val="bottom"/>
          </w:tcPr>
          <w:p>
            <w:pPr>
              <w:ind w:left="40"/>
              <w:spacing w:after="0"/>
              <w:rPr>
                <w:sz w:val="20"/>
                <w:szCs w:val="20"/>
                <w:color w:val="auto"/>
              </w:rPr>
            </w:pPr>
            <w:r>
              <w:rPr>
                <w:rFonts w:ascii="Arial" w:cs="Arial" w:eastAsia="Arial" w:hAnsi="Arial"/>
                <w:sz w:val="16"/>
                <w:szCs w:val="16"/>
                <w:color w:val="auto"/>
              </w:rPr>
              <w:t>Redeemable noncontrolling interest</w:t>
            </w:r>
          </w:p>
        </w:tc>
        <w:tc>
          <w:tcPr>
            <w:tcW w:w="4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(3,666)</w:t>
            </w:r>
          </w:p>
        </w:tc>
        <w:tc>
          <w:tcPr>
            <w:tcW w:w="9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9"/>
        </w:trPr>
        <w:tc>
          <w:tcPr>
            <w:tcW w:w="8240" w:type="dxa"/>
            <w:vAlign w:val="bottom"/>
          </w:tcPr>
          <w:p>
            <w:pPr>
              <w:ind w:left="40"/>
              <w:spacing w:after="0"/>
              <w:rPr>
                <w:sz w:val="20"/>
                <w:szCs w:val="20"/>
                <w:color w:val="auto"/>
              </w:rPr>
            </w:pPr>
            <w:r>
              <w:rPr>
                <w:rFonts w:ascii="Arial" w:cs="Arial" w:eastAsia="Arial" w:hAnsi="Arial"/>
                <w:sz w:val="16"/>
                <w:szCs w:val="16"/>
                <w:color w:val="auto"/>
              </w:rPr>
              <w:t>Aggregate purchase price, net of cash acquired</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304,770</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247,370</w:t>
            </w:r>
          </w:p>
        </w:tc>
      </w:tr>
      <w:tr>
        <w:trPr>
          <w:trHeight w:val="20"/>
        </w:trPr>
        <w:tc>
          <w:tcPr>
            <w:tcW w:w="8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The 2017 fair values recorded were based upon preliminary valuations and the estimates and assumptions used in such valuations are subject to change, which could be significant, within the measurement period (up to one year from the acquisition date). The recording of deferred tax assets or liabilities, working capital and the final amount of residual goodwill and other intangibles are not yet finalized.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$11.0 million and $22.2 million of goodwill for income tax purposes for the acquisitions completed in 2017 and 2016, respectively.</w:t>
      </w:r>
    </w:p>
    <w:p>
      <w:pPr>
        <w:spacing w:after="0" w:line="109"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Condensed Consolidated Statements of Operations include aggregate revenues and operating income for the companies acquired in 2017 of $64.9 million and $4.0 million, respectively, for the third quarter of 2017, and aggregate revenues and operating income of $133.8 million and $3.8 million, respectively, for the first nine months of 2017. The following unaudited pro forma financial information presents the Company’s results as if the 2017 acquisitions had occurred at the beginning of 2016. The unaudited pro forma information also includes the 2016 acquisitions as if they occurred at the beginning of 2015: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3"/>
          </w:tcPr>
          <w:p>
            <w:pPr>
              <w:jc w:val="right"/>
              <w:ind w:right="66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52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2016</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2016</w:t>
            </w:r>
          </w:p>
        </w:tc>
      </w:tr>
      <w:tr>
        <w:trPr>
          <w:trHeight w:val="257"/>
        </w:trPr>
        <w:tc>
          <w:tcPr>
            <w:tcW w:w="562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4"/>
              <w:spacing w:after="0"/>
              <w:rPr>
                <w:sz w:val="20"/>
                <w:szCs w:val="20"/>
                <w:color w:val="auto"/>
              </w:rPr>
            </w:pPr>
            <w:r>
              <w:rPr>
                <w:rFonts w:ascii="Arial" w:cs="Arial" w:eastAsia="Arial" w:hAnsi="Arial"/>
                <w:sz w:val="16"/>
                <w:szCs w:val="16"/>
                <w:b w:val="1"/>
                <w:bCs w:val="1"/>
                <w:color w:val="auto"/>
              </w:rPr>
              <w:t>657,225</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696,767</w:t>
            </w:r>
          </w:p>
        </w:tc>
        <w:tc>
          <w:tcPr>
            <w:tcW w:w="4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1,979,784</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2,058,571</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spacing w:after="0"/>
              <w:rPr>
                <w:sz w:val="23"/>
                <w:szCs w:val="23"/>
                <w:color w:val="auto"/>
              </w:rPr>
            </w:pPr>
          </w:p>
        </w:tc>
        <w:tc>
          <w:tcPr>
            <w:tcW w:w="1080" w:type="dxa"/>
            <w:vAlign w:val="bottom"/>
          </w:tcPr>
          <w:p>
            <w:pPr>
              <w:jc w:val="right"/>
              <w:ind w:right="44"/>
              <w:spacing w:after="0"/>
              <w:rPr>
                <w:sz w:val="20"/>
                <w:szCs w:val="20"/>
                <w:color w:val="auto"/>
              </w:rPr>
            </w:pPr>
            <w:r>
              <w:rPr>
                <w:rFonts w:ascii="Arial" w:cs="Arial" w:eastAsia="Arial" w:hAnsi="Arial"/>
                <w:sz w:val="16"/>
                <w:szCs w:val="16"/>
                <w:b w:val="1"/>
                <w:bCs w:val="1"/>
                <w:color w:val="auto"/>
              </w:rPr>
              <w:t>24,735</w:t>
            </w:r>
          </w:p>
        </w:tc>
        <w:tc>
          <w:tcPr>
            <w:tcW w:w="580" w:type="dxa"/>
            <w:vAlign w:val="bottom"/>
          </w:tcPr>
          <w:p>
            <w:pPr>
              <w:spacing w:after="0"/>
              <w:rPr>
                <w:sz w:val="23"/>
                <w:szCs w:val="23"/>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36,250</w:t>
            </w:r>
          </w:p>
        </w:tc>
        <w:tc>
          <w:tcPr>
            <w:tcW w:w="420" w:type="dxa"/>
            <w:vAlign w:val="bottom"/>
          </w:tcPr>
          <w:p>
            <w:pPr>
              <w:spacing w:after="0"/>
              <w:rPr>
                <w:sz w:val="23"/>
                <w:szCs w:val="23"/>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96,065</w:t>
            </w:r>
          </w:p>
        </w:tc>
        <w:tc>
          <w:tcPr>
            <w:tcW w:w="58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137,967</w:t>
            </w:r>
          </w:p>
        </w:tc>
      </w:tr>
    </w:tbl>
    <w:p>
      <w:pPr>
        <w:spacing w:after="0" w:line="133"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February 2017, GHG completed the sale of Celtic Healthcare of Maryland.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 January 2016, Kaplan completed the sale of Colloquy, which was included in Kaplan Corporate and Other.</w:t>
      </w:r>
    </w:p>
    <w:p>
      <w:pPr>
        <w:spacing w:after="0" w:line="142"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June 2016, Residential and a Michigan hospital formed a joint venture to provide home health services to patients in western</w:t>
      </w:r>
      <w:r>
        <w:rPr>
          <w:rFonts w:ascii="Arial" w:cs="Arial" w:eastAsia="Arial" w:hAnsi="Arial"/>
          <w:sz w:val="18"/>
          <w:szCs w:val="18"/>
          <w:b w:val="1"/>
          <w:bCs w:val="1"/>
          <w:color w:val="auto"/>
        </w:rPr>
        <w:t xml:space="preserve"> </w:t>
      </w:r>
      <w:r>
        <w:rPr>
          <w:rFonts w:ascii="Arial" w:cs="Arial" w:eastAsia="Arial" w:hAnsi="Arial"/>
          <w:sz w:val="18"/>
          <w:szCs w:val="18"/>
          <w:color w:val="auto"/>
        </w:rPr>
        <w:t>Michigan. In connection with this transaction, Residential contributed its western Michigan home health operations to the joint venture and then sold 60% of the newly formed venture to its Michigan hospital partner. Although Residential manages the operations of the joint venture, Residential holds a 40% interest in the joint venture, so the operating results of the joint venture are not consolidated and the pro rata operating results are included in the Company’s equity in earnings of affiliates.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7" w:right="239" w:bottom="1440" w:gutter="0" w:footer="0" w:header="0"/>
        </w:sectPr>
      </w:pPr>
    </w:p>
    <w:bookmarkStart w:id="13" w:name="page14"/>
    <w:bookmarkEnd w:id="13"/>
    <w:p>
      <w:pPr>
        <w:ind w:right="100"/>
        <w:spacing w:after="0" w:line="224" w:lineRule="auto"/>
        <w:rPr>
          <w:sz w:val="20"/>
          <w:szCs w:val="20"/>
          <w:color w:val="auto"/>
        </w:rPr>
      </w:pPr>
      <w:r>
        <w:rPr>
          <w:rFonts w:ascii="Arial" w:cs="Arial" w:eastAsia="Arial" w:hAnsi="Arial"/>
          <w:sz w:val="18"/>
          <w:szCs w:val="18"/>
          <w:color w:val="auto"/>
        </w:rPr>
        <w:t>In June 2016, the Company purchased the outstanding 20% redeemable noncontrolling interest in Residential. At that time, the Company recorded an increase to redeemable noncontrolling interest of $3.0 million, with a corresponding decrease to capital in excess of par value, to reflect the redemption value of the redeemable noncontrolling interest at $24.0 million. Following this transaction, Celtic and Residential combined their business operations to form GHG. The redeemable noncontrolling interest shareholders in Celtic exchanged their 20% interest in Celtic for a 10% mandatorily redeemable noncontrolling interest in the combined entity and the Company recorded a $4.1 million net increase to the mandatorily redeemable noncontrolling interest to reflect the estimated fair value of the mandatorily redeemable noncontrolling interest. The minority shareholders have an option to put their shares to the Company starting in 2020, and are required to put a percentage of their shares in 2022 and 2024, with the remaining shares required to be put by the minority shareholders in 2026. The redemption value is based on an EBITDA multiple, adjusted for working capital and other items, computed annually, with no limit on the amount payable. The Company now owns 90% of GHG. Because the noncontrolling interest is now mandatorily redeemable by the Company by 2026, it is reported as a noncurrent liability at September 30, 2017.</w:t>
      </w:r>
    </w:p>
    <w:p>
      <w:pPr>
        <w:spacing w:after="0" w:line="115"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b w:val="1"/>
          <w:bCs w:val="1"/>
          <w:color w:val="auto"/>
        </w:rPr>
        <w:t xml:space="preserve">Kaplan University Transaction. </w:t>
      </w:r>
      <w:r>
        <w:rPr>
          <w:rFonts w:ascii="Arial" w:cs="Arial" w:eastAsia="Arial" w:hAnsi="Arial"/>
          <w:sz w:val="18"/>
          <w:szCs w:val="18"/>
          <w:color w:val="auto"/>
        </w:rPr>
        <w:t>On April 27, 2017, certain Kaplan subsidiaries entered into a Contribution and Transfer Agreement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contribute Kaplan University (KU), its institutional assets and operations to a new, nonprofit, public-benefit corporation (New University) affiliated with Purdue University (Purdue) in exchange for a Transition and Operations Support Agreement (TOSA) to provide key non-academic operations support to New University for an initial term of 30 years with a buy-out option after six years. The transfer does not include any of the assets of Kaplan University School of Professional and Continuing Education (KU-PACE), which provides professional training and exam preparation for professional certifications and licensures, nor does it include the transfer of other Kaplan businesses such as Kaplan Test Preparation and Kaplan International.</w:t>
      </w:r>
    </w:p>
    <w:p>
      <w:pPr>
        <w:spacing w:after="0" w:line="111" w:lineRule="exact"/>
        <w:rPr>
          <w:sz w:val="20"/>
          <w:szCs w:val="20"/>
          <w:color w:val="auto"/>
        </w:rPr>
      </w:pPr>
    </w:p>
    <w:p>
      <w:pPr>
        <w:ind w:right="200"/>
        <w:spacing w:after="0" w:line="228" w:lineRule="auto"/>
        <w:rPr>
          <w:sz w:val="20"/>
          <w:szCs w:val="20"/>
          <w:color w:val="auto"/>
        </w:rPr>
      </w:pPr>
      <w:r>
        <w:rPr>
          <w:rFonts w:ascii="Arial" w:cs="Arial" w:eastAsia="Arial" w:hAnsi="Arial"/>
          <w:sz w:val="18"/>
          <w:szCs w:val="18"/>
          <w:color w:val="auto"/>
        </w:rPr>
        <w:t>Consummation of the transactions contemplated by the Transfer Agreement is subject to various closing conditions, including, among others, regulatory approvals from the U.S. Department of Education (ED), the Indiana Commission for Higher Education (ICHE) and Higher Learning Commissions (HLC), which is the regional accreditor of both Purdue and KU, and certain other state educational agencies and accreditors of programs. In the third quarter of 2017, ICHE granted its approval and the ED provided preliminary approval based on its review of a pre-acquisition application, subject to certain conditions. Kaplan is unable to predict with certainty when and if HLC approval will be obtained; however, such approval is not expected to be received until the first quarter of 2018. If the transaction is not consummated by April 30, 2018, either party may terminate the Transfer Agreement.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146"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In the second quarter of 2017, as a result of a challenging operating environment, the Forney reporting unit recorded a goodwill and other long-lived asset impairment charge of $9.2 million. The Company performed an interim review of the goodwill and other long-lived assets of the reporting unit by utilizing a discounted cash flow model to estimate the fair value. The carrying value of the reporting unit exceeded the estimated fair value, resulting in a goodwill impairment charge for the amount by which the carrying value exceeded the reporting unit’s estimated fair value.</w:t>
      </w:r>
    </w:p>
    <w:p>
      <w:pPr>
        <w:spacing w:after="0" w:line="111"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Amortization of intangible assets for the three months ended September 30, 2017 and 2016 was $10.9 million and $6.6 million, respectively. Amortization of intangible assets for the nine months ended September 30, 2017 and 2016 was $28.3 million and $19.2 million, respectively. Amortization of intangible assets is estimated to be approximately $10 million for the remainder of 2017, $38 million in 2018, $37 million in 2019, $33 million in 2020, $28 million in 2021 and $93 million thereafter.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260"/>
              <w:spacing w:after="0"/>
              <w:rPr>
                <w:sz w:val="20"/>
                <w:szCs w:val="20"/>
                <w:color w:val="auto"/>
              </w:rPr>
            </w:pPr>
            <w:r>
              <w:rPr>
                <w:rFonts w:ascii="Arial" w:cs="Arial" w:eastAsia="Arial" w:hAnsi="Arial"/>
                <w:sz w:val="14"/>
                <w:szCs w:val="14"/>
                <w:b w:val="1"/>
                <w:bCs w:val="1"/>
                <w:color w:val="auto"/>
              </w:rPr>
              <w:t>Television</w:t>
            </w:r>
          </w:p>
        </w:tc>
        <w:tc>
          <w:tcPr>
            <w:tcW w:w="300" w:type="dxa"/>
            <w:vAlign w:val="bottom"/>
          </w:tcPr>
          <w:p>
            <w:pPr>
              <w:spacing w:after="0"/>
              <w:rPr>
                <w:sz w:val="14"/>
                <w:szCs w:val="14"/>
                <w:color w:val="auto"/>
              </w:rPr>
            </w:pPr>
          </w:p>
        </w:tc>
        <w:tc>
          <w:tcPr>
            <w:tcW w:w="1200" w:type="dxa"/>
            <w:vAlign w:val="bottom"/>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3"/>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Broadcasting</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Businesses</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49"/>
        </w:trPr>
        <w:tc>
          <w:tcPr>
            <w:tcW w:w="5620" w:type="dxa"/>
            <w:vAlign w:val="bottom"/>
          </w:tcPr>
          <w:p>
            <w:pPr>
              <w:ind w:left="40"/>
              <w:spacing w:after="0"/>
              <w:rPr>
                <w:sz w:val="20"/>
                <w:szCs w:val="20"/>
                <w:color w:val="auto"/>
              </w:rPr>
            </w:pPr>
            <w:r>
              <w:rPr>
                <w:rFonts w:ascii="Arial" w:cs="Arial" w:eastAsia="Arial" w:hAnsi="Arial"/>
                <w:sz w:val="16"/>
                <w:szCs w:val="16"/>
                <w:color w:val="auto"/>
              </w:rPr>
              <w:t>Balance as of December 31, 2016</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1,111,003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168,345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202,141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1,481,489</w:t>
            </w:r>
          </w:p>
        </w:tc>
      </w:tr>
      <w:tr>
        <w:trPr>
          <w:trHeight w:val="279"/>
        </w:trPr>
        <w:tc>
          <w:tcPr>
            <w:tcW w:w="56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(350,850)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(7,685)</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(358,535)</w:t>
            </w:r>
          </w:p>
        </w:tc>
      </w:tr>
      <w:tr>
        <w:trPr>
          <w:trHeight w:val="255"/>
        </w:trPr>
        <w:tc>
          <w:tcPr>
            <w:tcW w:w="5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760,153</w:t>
            </w:r>
          </w:p>
        </w:tc>
        <w:tc>
          <w:tcPr>
            <w:tcW w:w="24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168,345</w:t>
            </w:r>
          </w:p>
        </w:tc>
        <w:tc>
          <w:tcPr>
            <w:tcW w:w="300" w:type="dxa"/>
            <w:vAlign w:val="bottom"/>
          </w:tcPr>
          <w:p>
            <w:pPr>
              <w:spacing w:after="0"/>
              <w:rPr>
                <w:sz w:val="22"/>
                <w:szCs w:val="22"/>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194,456</w:t>
            </w:r>
          </w:p>
        </w:tc>
        <w:tc>
          <w:tcPr>
            <w:tcW w:w="40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1,122,954</w:t>
            </w:r>
          </w:p>
        </w:tc>
      </w:tr>
      <w:tr>
        <w:trPr>
          <w:trHeight w:val="278"/>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20" w:type="dxa"/>
            <w:vAlign w:val="bottom"/>
          </w:tcPr>
          <w:p>
            <w:pPr>
              <w:spacing w:after="0"/>
              <w:rPr>
                <w:sz w:val="24"/>
                <w:szCs w:val="24"/>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18,986</w:t>
            </w:r>
          </w:p>
        </w:tc>
        <w:tc>
          <w:tcPr>
            <w:tcW w:w="240" w:type="dxa"/>
            <w:vAlign w:val="bottom"/>
          </w:tcPr>
          <w:p>
            <w:pPr>
              <w:spacing w:after="0"/>
              <w:rPr>
                <w:sz w:val="24"/>
                <w:szCs w:val="24"/>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24,256</w:t>
            </w:r>
          </w:p>
        </w:tc>
        <w:tc>
          <w:tcPr>
            <w:tcW w:w="300" w:type="dxa"/>
            <w:vAlign w:val="bottom"/>
          </w:tcPr>
          <w:p>
            <w:pPr>
              <w:spacing w:after="0"/>
              <w:rPr>
                <w:sz w:val="24"/>
                <w:szCs w:val="24"/>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100,191</w:t>
            </w:r>
          </w:p>
        </w:tc>
        <w:tc>
          <w:tcPr>
            <w:tcW w:w="40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143,433</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Impairment</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(7,616)</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(7,616)</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(412)</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(412)</w:t>
            </w:r>
          </w:p>
        </w:tc>
      </w:tr>
      <w:tr>
        <w:trPr>
          <w:trHeight w:val="27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40,867</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40,867</w:t>
            </w:r>
          </w:p>
        </w:tc>
      </w:tr>
      <w:tr>
        <w:trPr>
          <w:trHeight w:val="26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Balance as of September 30, 2017</w:t>
            </w: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1,170,856</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192,601</w:t>
            </w:r>
          </w:p>
        </w:tc>
        <w:tc>
          <w:tcPr>
            <w:tcW w:w="30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301,920</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1,665,377</w:t>
            </w:r>
          </w:p>
        </w:tc>
      </w:tr>
      <w:tr>
        <w:trPr>
          <w:trHeight w:val="274"/>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(350,850)</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(15,301)</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(366,151)</w:t>
            </w: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820,006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192,601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286,619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1,299,226</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421"/>
              <w:spacing w:after="0"/>
              <w:rPr>
                <w:sz w:val="20"/>
                <w:szCs w:val="20"/>
                <w:color w:val="auto"/>
              </w:rPr>
            </w:pPr>
            <w:r>
              <w:rPr>
                <w:rFonts w:ascii="Arial" w:cs="Arial" w:eastAsia="Arial" w:hAnsi="Arial"/>
                <w:sz w:val="14"/>
                <w:szCs w:val="14"/>
                <w:b w:val="1"/>
                <w:bCs w:val="1"/>
                <w:color w:val="auto"/>
              </w:rPr>
              <w:t>Higher</w:t>
            </w:r>
          </w:p>
        </w:tc>
        <w:tc>
          <w:tcPr>
            <w:tcW w:w="280" w:type="dxa"/>
            <w:vAlign w:val="bottom"/>
          </w:tcPr>
          <w:p>
            <w:pPr>
              <w:spacing w:after="0"/>
              <w:rPr>
                <w:sz w:val="14"/>
                <w:szCs w:val="14"/>
                <w:color w:val="auto"/>
              </w:rPr>
            </w:pPr>
          </w:p>
        </w:tc>
        <w:tc>
          <w:tcPr>
            <w:tcW w:w="1200" w:type="dxa"/>
            <w:vAlign w:val="bottom"/>
          </w:tcPr>
          <w:p>
            <w:pPr>
              <w:jc w:val="right"/>
              <w:ind w:right="501"/>
              <w:spacing w:after="0"/>
              <w:rPr>
                <w:sz w:val="20"/>
                <w:szCs w:val="20"/>
                <w:color w:val="auto"/>
              </w:rPr>
            </w:pPr>
            <w:r>
              <w:rPr>
                <w:rFonts w:ascii="Arial" w:cs="Arial" w:eastAsia="Arial" w:hAnsi="Arial"/>
                <w:sz w:val="14"/>
                <w:szCs w:val="14"/>
                <w:b w:val="1"/>
                <w:bCs w:val="1"/>
                <w:color w:val="auto"/>
              </w:rPr>
              <w:t>Test</w:t>
            </w:r>
          </w:p>
        </w:tc>
        <w:tc>
          <w:tcPr>
            <w:tcW w:w="240" w:type="dxa"/>
            <w:vAlign w:val="bottom"/>
          </w:tcPr>
          <w:p>
            <w:pPr>
              <w:spacing w:after="0"/>
              <w:rPr>
                <w:sz w:val="14"/>
                <w:szCs w:val="14"/>
                <w:color w:val="auto"/>
              </w:rPr>
            </w:pPr>
          </w:p>
        </w:tc>
        <w:tc>
          <w:tcPr>
            <w:tcW w:w="1200" w:type="dxa"/>
            <w:vAlign w:val="bottom"/>
          </w:tcPr>
          <w:p>
            <w:pPr>
              <w:jc w:val="right"/>
              <w:ind w:right="381"/>
              <w:spacing w:after="0"/>
              <w:rPr>
                <w:sz w:val="20"/>
                <w:szCs w:val="20"/>
                <w:color w:val="auto"/>
              </w:rPr>
            </w:pPr>
            <w:r>
              <w:rPr>
                <w:rFonts w:ascii="Arial" w:cs="Arial" w:eastAsia="Arial" w:hAnsi="Arial"/>
                <w:sz w:val="14"/>
                <w:szCs w:val="14"/>
                <w:b w:val="1"/>
                <w:bCs w:val="1"/>
                <w:color w:val="auto"/>
              </w:rPr>
              <w:t>Kaplan</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3"/>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Education</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Preparation</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International</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49"/>
        </w:trPr>
        <w:tc>
          <w:tcPr>
            <w:tcW w:w="5620" w:type="dxa"/>
            <w:vAlign w:val="bottom"/>
          </w:tcPr>
          <w:p>
            <w:pPr>
              <w:ind w:left="40"/>
              <w:spacing w:after="0"/>
              <w:rPr>
                <w:sz w:val="20"/>
                <w:szCs w:val="20"/>
                <w:color w:val="auto"/>
              </w:rPr>
            </w:pPr>
            <w:r>
              <w:rPr>
                <w:rFonts w:ascii="Arial" w:cs="Arial" w:eastAsia="Arial" w:hAnsi="Arial"/>
                <w:sz w:val="16"/>
                <w:szCs w:val="16"/>
                <w:color w:val="auto"/>
              </w:rPr>
              <w:t>Balance as of December 31, 2016</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389,720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166,098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555,185</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1,111,003</w:t>
            </w:r>
          </w:p>
        </w:tc>
      </w:tr>
      <w:tr>
        <w:trPr>
          <w:trHeight w:val="279"/>
        </w:trPr>
        <w:tc>
          <w:tcPr>
            <w:tcW w:w="56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(248,591)</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(102,259)</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(350,850)</w:t>
            </w:r>
          </w:p>
        </w:tc>
      </w:tr>
      <w:tr>
        <w:trPr>
          <w:trHeight w:val="255"/>
        </w:trPr>
        <w:tc>
          <w:tcPr>
            <w:tcW w:w="5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141,129</w:t>
            </w:r>
          </w:p>
        </w:tc>
        <w:tc>
          <w:tcPr>
            <w:tcW w:w="280" w:type="dxa"/>
            <w:vAlign w:val="bottom"/>
          </w:tcPr>
          <w:p>
            <w:pPr>
              <w:spacing w:after="0"/>
              <w:rPr>
                <w:sz w:val="22"/>
                <w:szCs w:val="22"/>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63,839</w:t>
            </w:r>
          </w:p>
        </w:tc>
        <w:tc>
          <w:tcPr>
            <w:tcW w:w="240" w:type="dxa"/>
            <w:vAlign w:val="bottom"/>
          </w:tcPr>
          <w:p>
            <w:pPr>
              <w:spacing w:after="0"/>
              <w:rPr>
                <w:sz w:val="22"/>
                <w:szCs w:val="22"/>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555,185</w:t>
            </w:r>
          </w:p>
        </w:tc>
        <w:tc>
          <w:tcPr>
            <w:tcW w:w="4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760,153</w:t>
            </w:r>
          </w:p>
        </w:tc>
      </w:tr>
      <w:tr>
        <w:trPr>
          <w:trHeight w:val="278"/>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20" w:type="dxa"/>
            <w:vAlign w:val="bottom"/>
          </w:tcPr>
          <w:p>
            <w:pPr>
              <w:spacing w:after="0"/>
              <w:rPr>
                <w:sz w:val="24"/>
                <w:szCs w:val="24"/>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4"/>
                <w:szCs w:val="24"/>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18,986</w:t>
            </w:r>
          </w:p>
        </w:tc>
        <w:tc>
          <w:tcPr>
            <w:tcW w:w="42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18,986</w:t>
            </w:r>
          </w:p>
        </w:tc>
      </w:tr>
      <w:tr>
        <w:trPr>
          <w:trHeight w:val="27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154</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40,713</w:t>
            </w: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40,867</w:t>
            </w:r>
          </w:p>
        </w:tc>
      </w:tr>
      <w:tr>
        <w:trPr>
          <w:trHeight w:val="26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Balance as of September 30, 2017</w:t>
            </w: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389,874</w:t>
            </w:r>
          </w:p>
        </w:tc>
        <w:tc>
          <w:tcPr>
            <w:tcW w:w="280" w:type="dxa"/>
            <w:vAlign w:val="bottom"/>
          </w:tcPr>
          <w:p>
            <w:pPr>
              <w:spacing w:after="0"/>
              <w:rPr>
                <w:sz w:val="23"/>
                <w:szCs w:val="23"/>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b w:val="1"/>
                <w:bCs w:val="1"/>
                <w:color w:val="auto"/>
              </w:rPr>
              <w:t>166,098</w:t>
            </w:r>
          </w:p>
        </w:tc>
        <w:tc>
          <w:tcPr>
            <w:tcW w:w="24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614,884</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1,170,856</w:t>
            </w:r>
          </w:p>
        </w:tc>
      </w:tr>
      <w:tr>
        <w:trPr>
          <w:trHeight w:val="274"/>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(248,591)</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(102,259)</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(350,850)</w:t>
            </w: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141,283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63,839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614,884</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820,006</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center"/>
              <w:ind w:left="601"/>
              <w:spacing w:after="0"/>
              <w:rPr>
                <w:sz w:val="20"/>
                <w:szCs w:val="20"/>
                <w:color w:val="auto"/>
              </w:rPr>
            </w:pPr>
            <w:r>
              <w:rPr>
                <w:rFonts w:ascii="Arial" w:cs="Arial" w:eastAsia="Arial" w:hAnsi="Arial"/>
                <w:sz w:val="14"/>
                <w:szCs w:val="14"/>
                <w:b w:val="1"/>
                <w:bCs w:val="1"/>
                <w:color w:val="auto"/>
              </w:rPr>
              <w:t>As of September 30, 2017</w:t>
            </w: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2016</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520" w:type="dxa"/>
            <w:vAlign w:val="bottom"/>
          </w:tcPr>
          <w:p>
            <w:pPr>
              <w:jc w:val="center"/>
              <w:ind w:right="141"/>
              <w:spacing w:after="0"/>
              <w:rPr>
                <w:sz w:val="20"/>
                <w:szCs w:val="20"/>
                <w:color w:val="auto"/>
              </w:rPr>
            </w:pPr>
            <w:r>
              <w:rPr>
                <w:rFonts w:ascii="Arial" w:cs="Arial" w:eastAsia="Arial" w:hAnsi="Arial"/>
                <w:sz w:val="14"/>
                <w:szCs w:val="14"/>
                <w:b w:val="1"/>
                <w:bCs w:val="1"/>
                <w:color w:val="auto"/>
              </w:rPr>
              <w:t>Useful Life</w:t>
            </w:r>
          </w:p>
        </w:tc>
        <w:tc>
          <w:tcPr>
            <w:tcW w:w="18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b w:val="1"/>
                <w:bCs w:val="1"/>
                <w:color w:val="auto"/>
              </w:rPr>
              <w:t>Accumulated</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4"/>
                <w:szCs w:val="14"/>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4"/>
                <w:szCs w:val="14"/>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03"/>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Range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7"/>
        </w:trPr>
        <w:tc>
          <w:tcPr>
            <w:tcW w:w="284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1–10 years (1)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224,872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74,304</w:t>
            </w:r>
          </w:p>
        </w:tc>
        <w:tc>
          <w:tcPr>
            <w:tcW w:w="3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150,568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129,616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55,863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73,753</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58,917</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33,143</w:t>
            </w:r>
          </w:p>
        </w:tc>
        <w:tc>
          <w:tcPr>
            <w:tcW w:w="30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25,774</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55,240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29,670</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25,570</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Network affiliation agreements</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15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42,600</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2,067</w:t>
            </w:r>
          </w:p>
        </w:tc>
        <w:tc>
          <w:tcPr>
            <w:tcW w:w="30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40,533</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3–6 years (1)</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19,583</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4,173</w:t>
            </w:r>
          </w:p>
        </w:tc>
        <w:tc>
          <w:tcPr>
            <w:tcW w:w="30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15,410</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5,601</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4,368</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2–5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2,080</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1,549</w:t>
            </w:r>
          </w:p>
        </w:tc>
        <w:tc>
          <w:tcPr>
            <w:tcW w:w="30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531</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1,730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1,404</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74"/>
        </w:trPr>
        <w:tc>
          <w:tcPr>
            <w:tcW w:w="2840" w:type="dxa"/>
            <w:vAlign w:val="bottom"/>
          </w:tcPr>
          <w:p>
            <w:pPr>
              <w:ind w:left="180"/>
              <w:spacing w:after="0"/>
              <w:rPr>
                <w:sz w:val="20"/>
                <w:szCs w:val="20"/>
                <w:color w:val="auto"/>
              </w:rPr>
            </w:pPr>
            <w:r>
              <w:rPr>
                <w:rFonts w:ascii="Arial" w:cs="Arial" w:eastAsia="Arial" w:hAnsi="Arial"/>
                <w:sz w:val="16"/>
                <w:szCs w:val="16"/>
                <w:color w:val="auto"/>
              </w:rPr>
              <w:t>Other</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1–8 years</w:t>
            </w: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13,430</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7,094</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6,336</w:t>
            </w: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12,030</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4,973</w:t>
            </w: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7,057</w:t>
            </w:r>
          </w:p>
        </w:tc>
        <w:tc>
          <w:tcPr>
            <w:tcW w:w="0" w:type="dxa"/>
            <w:vAlign w:val="bottom"/>
          </w:tcPr>
          <w:p>
            <w:pPr>
              <w:spacing w:after="0"/>
              <w:rPr>
                <w:sz w:val="1"/>
                <w:szCs w:val="1"/>
                <w:color w:val="auto"/>
              </w:rPr>
            </w:pPr>
          </w:p>
        </w:tc>
      </w:tr>
      <w:tr>
        <w:trPr>
          <w:trHeight w:val="261"/>
        </w:trPr>
        <w:tc>
          <w:tcPr>
            <w:tcW w:w="28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361,482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122,330</w:t>
            </w:r>
          </w:p>
        </w:tc>
        <w:tc>
          <w:tcPr>
            <w:tcW w:w="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239,152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204,217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96,278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107,939</w:t>
            </w:r>
          </w:p>
        </w:tc>
        <w:tc>
          <w:tcPr>
            <w:tcW w:w="0" w:type="dxa"/>
            <w:vAlign w:val="bottom"/>
          </w:tcPr>
          <w:p>
            <w:pPr>
              <w:spacing w:after="0"/>
              <w:rPr>
                <w:sz w:val="1"/>
                <w:szCs w:val="1"/>
                <w:color w:val="auto"/>
              </w:rPr>
            </w:pPr>
          </w:p>
        </w:tc>
      </w:tr>
      <w:tr>
        <w:trPr>
          <w:trHeight w:val="20"/>
        </w:trPr>
        <w:tc>
          <w:tcPr>
            <w:tcW w:w="28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vMerge w:val="continue"/>
          </w:tcPr>
          <w:p>
            <w:pPr>
              <w:spacing w:after="0"/>
              <w:rPr>
                <w:sz w:val="21"/>
                <w:szCs w:val="21"/>
                <w:color w:val="auto"/>
              </w:rPr>
            </w:pPr>
          </w:p>
        </w:tc>
        <w:tc>
          <w:tcPr>
            <w:tcW w:w="1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82,651</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65,192</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FCC licenses</w:t>
            </w:r>
          </w:p>
        </w:tc>
        <w:tc>
          <w:tcPr>
            <w:tcW w:w="1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26,600</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84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5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650</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834</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2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109,901</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66,026</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5080</wp:posOffset>
            </wp:positionV>
            <wp:extent cx="6515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22225</wp:posOffset>
            </wp:positionV>
            <wp:extent cx="6515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5080</wp:posOffset>
            </wp:positionV>
            <wp:extent cx="668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22225</wp:posOffset>
            </wp:positionV>
            <wp:extent cx="668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63"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of December 31, 2016, the student and customer relationships’ minimum useful life was 2 years and the databases and technology’s maximum useful life was 5 years.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8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62"/>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4"/>
                <w:szCs w:val="24"/>
                <w:color w:val="auto"/>
              </w:rPr>
            </w:pPr>
          </w:p>
        </w:tc>
        <w:tc>
          <w:tcPr>
            <w:tcW w:w="1200" w:type="dxa"/>
            <w:vAlign w:val="bottom"/>
          </w:tcPr>
          <w:p>
            <w:pPr>
              <w:jc w:val="right"/>
              <w:ind w:right="16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3"/>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99"/>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7.25% unsecured notes due February 1, 2019 </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62"/>
              <w:spacing w:after="0"/>
              <w:rPr>
                <w:sz w:val="20"/>
                <w:szCs w:val="20"/>
                <w:color w:val="auto"/>
              </w:rPr>
            </w:pPr>
            <w:r>
              <w:rPr>
                <w:rFonts w:ascii="Arial" w:cs="Arial" w:eastAsia="Arial" w:hAnsi="Arial"/>
                <w:sz w:val="16"/>
                <w:szCs w:val="16"/>
                <w:b w:val="1"/>
                <w:bCs w:val="1"/>
                <w:color w:val="auto"/>
              </w:rPr>
              <w:t>399,393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399,052</w:t>
            </w:r>
          </w:p>
        </w:tc>
        <w:tc>
          <w:tcPr>
            <w:tcW w:w="0" w:type="dxa"/>
            <w:vAlign w:val="bottom"/>
          </w:tcPr>
          <w:p>
            <w:pPr>
              <w:spacing w:after="0"/>
              <w:rPr>
                <w:sz w:val="1"/>
                <w:szCs w:val="1"/>
                <w:color w:val="auto"/>
              </w:rPr>
            </w:pP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UK Credit facility </w:t>
            </w:r>
            <w:r>
              <w:rPr>
                <w:rFonts w:ascii="Arial" w:cs="Arial" w:eastAsia="Arial" w:hAnsi="Arial"/>
                <w:sz w:val="21"/>
                <w:szCs w:val="21"/>
                <w:color w:val="auto"/>
                <w:vertAlign w:val="superscript"/>
              </w:rPr>
              <w:t>(2)</w:t>
            </w:r>
          </w:p>
        </w:tc>
        <w:tc>
          <w:tcPr>
            <w:tcW w:w="1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b w:val="1"/>
                <w:bCs w:val="1"/>
                <w:color w:val="auto"/>
              </w:rPr>
              <w:t>93,450</w:t>
            </w:r>
          </w:p>
        </w:tc>
        <w:tc>
          <w:tcPr>
            <w:tcW w:w="240" w:type="dxa"/>
            <w:vAlign w:val="bottom"/>
          </w:tcPr>
          <w:p>
            <w:pPr>
              <w:spacing w:after="0"/>
              <w:rPr>
                <w:sz w:val="23"/>
                <w:szCs w:val="23"/>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91,316</w:t>
            </w:r>
          </w:p>
        </w:tc>
        <w:tc>
          <w:tcPr>
            <w:tcW w:w="0" w:type="dxa"/>
            <w:vAlign w:val="bottom"/>
          </w:tcPr>
          <w:p>
            <w:pPr>
              <w:spacing w:after="0"/>
              <w:rPr>
                <w:sz w:val="1"/>
                <w:szCs w:val="1"/>
                <w:color w:val="auto"/>
              </w:rPr>
            </w:pPr>
          </w:p>
        </w:tc>
      </w:tr>
      <w:tr>
        <w:trPr>
          <w:trHeight w:val="232"/>
        </w:trPr>
        <w:tc>
          <w:tcPr>
            <w:tcW w:w="858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112</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62"/>
              <w:spacing w:after="0"/>
              <w:rPr>
                <w:sz w:val="20"/>
                <w:szCs w:val="20"/>
                <w:color w:val="auto"/>
              </w:rPr>
            </w:pPr>
            <w:r>
              <w:rPr>
                <w:rFonts w:ascii="Arial" w:cs="Arial" w:eastAsia="Arial" w:hAnsi="Arial"/>
                <w:sz w:val="16"/>
                <w:szCs w:val="16"/>
                <w:b w:val="1"/>
                <w:bCs w:val="1"/>
                <w:color w:val="auto"/>
              </w:rPr>
              <w:t>492,955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491,847</w:t>
            </w:r>
          </w:p>
        </w:tc>
        <w:tc>
          <w:tcPr>
            <w:tcW w:w="0" w:type="dxa"/>
            <w:vAlign w:val="bottom"/>
          </w:tcPr>
          <w:p>
            <w:pPr>
              <w:spacing w:after="0"/>
              <w:rPr>
                <w:sz w:val="1"/>
                <w:szCs w:val="1"/>
                <w:color w:val="auto"/>
              </w:rPr>
            </w:pPr>
          </w:p>
        </w:tc>
      </w:tr>
      <w:tr>
        <w:trPr>
          <w:trHeight w:val="274"/>
        </w:trPr>
        <w:tc>
          <w:tcPr>
            <w:tcW w:w="858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(6,713)</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(6,128)</w:t>
            </w:r>
          </w:p>
        </w:tc>
        <w:tc>
          <w:tcPr>
            <w:tcW w:w="0" w:type="dxa"/>
            <w:vAlign w:val="bottom"/>
          </w:tcPr>
          <w:p>
            <w:pPr>
              <w:spacing w:after="0"/>
              <w:rPr>
                <w:sz w:val="1"/>
                <w:szCs w:val="1"/>
                <w:color w:val="auto"/>
              </w:rPr>
            </w:pP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486,242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485,719</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September 30, 2017 and December 31, 2016, respectively.</w:t>
      </w:r>
    </w:p>
    <w:p>
      <w:pPr>
        <w:spacing w:after="0" w:line="41" w:lineRule="exact"/>
        <w:rPr>
          <w:rFonts w:ascii="Arial" w:cs="Arial" w:eastAsia="Arial" w:hAnsi="Arial"/>
          <w:sz w:val="14"/>
          <w:szCs w:val="14"/>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carrying value is net of $0.4 million and $0.5 million of unamortized debt issuance costs as of September 30, 2017 and December 31, 2016,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September 30, 2017 is at an interest rate of 2% and matures in 2025.</w:t>
      </w:r>
    </w:p>
    <w:p>
      <w:pPr>
        <w:spacing w:after="0" w:line="14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On July 14, 2016, Kaplan entered into a Facility Agreement (the Kaplan Credit Agreement) among Kaplan International Holdings Limited, as borrower, the lenders party thereto, HSBC BANK PLC as Facility Agent, and other agents party thereto. The Kaplan Credit Agreement provides for a four-year credit facility in an aggregate principal amount of £75 million. Borrowings bear interest at a rate per annum of LIBOR plus an applicable interest rate margin between 1.25% and 1.75%, in each case determined on a quarterly basis by reference to a pricing grid</w:t>
      </w:r>
    </w:p>
    <w:p>
      <w:pPr>
        <w:sectPr>
          <w:pgSz w:w="11900" w:h="16838" w:orient="portrait"/>
          <w:cols w:equalWidth="0" w:num="1">
            <w:col w:w="11420"/>
          </w:cols>
          <w:pgMar w:left="240" w:top="697" w:right="239" w:bottom="754"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697" w:right="239" w:bottom="754" w:gutter="0" w:footer="0" w:header="0"/>
          <w:type w:val="continuous"/>
        </w:sectPr>
      </w:pPr>
    </w:p>
    <w:bookmarkStart w:id="15" w:name="page16"/>
    <w:bookmarkEnd w:id="15"/>
    <w:p>
      <w:pPr>
        <w:spacing w:after="0" w:line="229" w:lineRule="auto"/>
        <w:rPr>
          <w:sz w:val="20"/>
          <w:szCs w:val="20"/>
          <w:color w:val="auto"/>
        </w:rPr>
      </w:pPr>
      <w:r>
        <w:rPr>
          <w:rFonts w:ascii="Arial" w:cs="Arial" w:eastAsia="Arial" w:hAnsi="Arial"/>
          <w:sz w:val="18"/>
          <w:szCs w:val="18"/>
          <w:color w:val="auto"/>
        </w:rPr>
        <w:t>based upon the Company’s total leverage ratio. The Kaplan Credit Agreement requires that 6.66% of the amount of the loan be repaid on the first three anniversaries of funding, with the remaining balance due on July 1, 2020. The Kaplan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Kaplan Credit Agreement. As of September 30, 2017, the Company is in compliance with all financial covenants.</w:t>
      </w:r>
    </w:p>
    <w:p>
      <w:pPr>
        <w:spacing w:after="0" w:line="11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 2020. The interest rate swap agreement will pay Kaplan variable interest on the £75 million notional amount at the three-month LIBOR, and Kaplan will pay the counterparties a fixed rate of 0.51%, effectively resulting in a total fixed interest rate of 2.01% on the outstanding borrowings at the current applicable margin of 1.50%.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changes in the fair value of the interest rate swap are recorded in other comprehensive income on the accompanying Condensed Consolidated Balance Sheets until earnings are affected by the variability of cash flows.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2017 and 2016, the Company had average borrowings outstanding of approximately $492.4 million and $473.7 million, respectively, at average annual interest rates of approximately 6.3% and 6.2%, respectively. During the three months ended September 30, 2017 and 2016, the Company incurred net interest expense of $7.8 million and $7.9 million, respectively.</w:t>
      </w:r>
    </w:p>
    <w:p>
      <w:pPr>
        <w:spacing w:after="0" w:line="10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During the nine months ended September 30, 2017 and 2016, the Company had average borrowings outstanding of approximately $493.5 million and $429.4 million, respectively, at average annual interest rates of approximately 6.3% and 6.9%, respectively. During the nine months ended September 30, 2017 and 2016, the Company incurred net interest expense of $22.4 million and $22.5 million, respectively.</w:t>
      </w:r>
    </w:p>
    <w:p>
      <w:pPr>
        <w:spacing w:after="0" w:line="108"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At September 30, 2017, the fair value of the Company’s 7.25% unsecured notes, based on quoted market prices (Level 2 fair value assessment), totaled $424.1 million, compared with the carrying amount of $399.4 million. At December 31, 2016, the fair value of the Company’s 7.25% unsecured notes, based on quoted market prices (Level 2 fair value assessment), totaled $438.7 million, compared with the carrying amount of $399.1 million. The carrying value of the Company’s other unsecured debt at September 30, 2017 approximates fair value.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697"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6. FAIR VALUE MEASUREMENTS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September 30, 2017</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2"/>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205,845</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205,845</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(3)</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495,599</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495,599</w:t>
            </w:r>
          </w:p>
        </w:tc>
        <w:tc>
          <w:tcPr>
            <w:tcW w:w="0" w:type="dxa"/>
            <w:vAlign w:val="bottom"/>
          </w:tcPr>
          <w:p>
            <w:pPr>
              <w:spacing w:after="0"/>
              <w:rPr>
                <w:sz w:val="1"/>
                <w:szCs w:val="1"/>
                <w:color w:val="auto"/>
              </w:rPr>
            </w:pPr>
          </w:p>
        </w:tc>
      </w:tr>
      <w:tr>
        <w:trPr>
          <w:trHeight w:val="236"/>
        </w:trPr>
        <w:tc>
          <w:tcPr>
            <w:tcW w:w="6520" w:type="dxa"/>
            <w:vAlign w:val="bottom"/>
          </w:tcPr>
          <w:p>
            <w:pPr>
              <w:ind w:left="40"/>
              <w:spacing w:after="0" w:line="236"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(4)</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9,948</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14,039</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23,987</w:t>
            </w:r>
          </w:p>
        </w:tc>
        <w:tc>
          <w:tcPr>
            <w:tcW w:w="0" w:type="dxa"/>
            <w:vAlign w:val="bottom"/>
          </w:tcPr>
          <w:p>
            <w:pPr>
              <w:spacing w:after="0"/>
              <w:rPr>
                <w:sz w:val="1"/>
                <w:szCs w:val="1"/>
                <w:color w:val="auto"/>
              </w:rPr>
            </w:pPr>
          </w:p>
        </w:tc>
      </w:tr>
      <w:tr>
        <w:trPr>
          <w:trHeight w:val="264"/>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505,547</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219,884</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725,431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1"/>
                <w:szCs w:val="21"/>
                <w:b w:val="1"/>
                <w:bCs w:val="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43,575</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43,575</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(6)</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595</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595</w:t>
            </w:r>
          </w:p>
        </w:tc>
        <w:tc>
          <w:tcPr>
            <w:tcW w:w="0" w:type="dxa"/>
            <w:vAlign w:val="bottom"/>
          </w:tcPr>
          <w:p>
            <w:pPr>
              <w:spacing w:after="0"/>
              <w:rPr>
                <w:sz w:val="1"/>
                <w:szCs w:val="1"/>
                <w:color w:val="auto"/>
              </w:rPr>
            </w:pPr>
          </w:p>
        </w:tc>
      </w:tr>
      <w:tr>
        <w:trPr>
          <w:trHeight w:val="236"/>
        </w:trPr>
        <w:tc>
          <w:tcPr>
            <w:tcW w:w="6520" w:type="dxa"/>
            <w:vAlign w:val="bottom"/>
          </w:tcPr>
          <w:p>
            <w:pPr>
              <w:ind w:left="40"/>
              <w:spacing w:after="0" w:line="236"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(7)</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12,584</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12,584</w:t>
            </w:r>
          </w:p>
        </w:tc>
        <w:tc>
          <w:tcPr>
            <w:tcW w:w="0" w:type="dxa"/>
            <w:vAlign w:val="bottom"/>
          </w:tcPr>
          <w:p>
            <w:pPr>
              <w:spacing w:after="0"/>
              <w:rPr>
                <w:sz w:val="1"/>
                <w:szCs w:val="1"/>
                <w:color w:val="auto"/>
              </w:rPr>
            </w:pPr>
          </w:p>
        </w:tc>
      </w:tr>
      <w:tr>
        <w:trPr>
          <w:trHeight w:val="264"/>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44,170</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12,584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56,754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 2016</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435,258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435,258</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Commercial paper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49,882</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49,882</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424,229</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424,229</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(4)</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6,957</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17,055</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24,012</w:t>
            </w:r>
          </w:p>
        </w:tc>
        <w:tc>
          <w:tcPr>
            <w:tcW w:w="0" w:type="dxa"/>
            <w:vAlign w:val="bottom"/>
          </w:tcPr>
          <w:p>
            <w:pPr>
              <w:spacing w:after="0"/>
              <w:rPr>
                <w:sz w:val="1"/>
                <w:szCs w:val="1"/>
                <w:color w:val="auto"/>
              </w:rPr>
            </w:pPr>
          </w:p>
        </w:tc>
      </w:tr>
      <w:tr>
        <w:trPr>
          <w:trHeight w:val="264"/>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481,068</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452,313</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933,381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4"/>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46,300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46,300</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(6)</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365</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(7)</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12,584</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12,584</w:t>
            </w:r>
          </w:p>
        </w:tc>
        <w:tc>
          <w:tcPr>
            <w:tcW w:w="0" w:type="dxa"/>
            <w:vAlign w:val="bottom"/>
          </w:tcPr>
          <w:p>
            <w:pPr>
              <w:spacing w:after="0"/>
              <w:rPr>
                <w:sz w:val="1"/>
                <w:szCs w:val="1"/>
                <w:color w:val="auto"/>
              </w:rPr>
            </w:pPr>
          </w:p>
        </w:tc>
      </w:tr>
      <w:tr>
        <w:trPr>
          <w:trHeight w:val="264"/>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46,665</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12,584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59,249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cash equivalents and restricted cash and the value considers the liquidity of the counterparty.</w:t>
      </w:r>
    </w:p>
    <w:p>
      <w:pPr>
        <w:spacing w:after="0" w:line="41" w:lineRule="exact"/>
        <w:rPr>
          <w:rFonts w:ascii="Arial" w:cs="Arial" w:eastAsia="Arial" w:hAnsi="Arial"/>
          <w:sz w:val="14"/>
          <w:szCs w:val="14"/>
          <w:color w:val="auto"/>
        </w:rPr>
      </w:pPr>
    </w:p>
    <w:p>
      <w:pPr>
        <w:ind w:left="420" w:hanging="412"/>
        <w:spacing w:after="0"/>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Company’s commercial paper investments with original maturities of three months or less are included in cash and cash equivalents.</w:t>
      </w:r>
    </w:p>
    <w:p>
      <w:pPr>
        <w:spacing w:after="0" w:line="41" w:lineRule="exact"/>
        <w:rPr>
          <w:rFonts w:ascii="Arial" w:cs="Arial" w:eastAsia="Arial" w:hAnsi="Arial"/>
          <w:sz w:val="14"/>
          <w:szCs w:val="14"/>
          <w:color w:val="auto"/>
        </w:rPr>
      </w:pPr>
    </w:p>
    <w:p>
      <w:pPr>
        <w:ind w:left="420" w:hanging="412"/>
        <w:spacing w:after="0"/>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classified as available-for-sale.</w:t>
      </w:r>
    </w:p>
    <w:p>
      <w:pPr>
        <w:spacing w:after="0" w:line="41" w:lineRule="exact"/>
        <w:rPr>
          <w:rFonts w:ascii="Arial" w:cs="Arial" w:eastAsia="Arial" w:hAnsi="Arial"/>
          <w:sz w:val="14"/>
          <w:szCs w:val="14"/>
          <w:color w:val="auto"/>
        </w:rPr>
      </w:pPr>
    </w:p>
    <w:p>
      <w:pPr>
        <w:ind w:left="420" w:right="420" w:hanging="412"/>
        <w:spacing w:after="0" w:line="261" w:lineRule="auto"/>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valuation hierarchy.</w:t>
      </w:r>
    </w:p>
    <w:p>
      <w:pPr>
        <w:ind w:left="420" w:right="40" w:hanging="412"/>
        <w:spacing w:after="0"/>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152" w:lineRule="exact"/>
        <w:rPr>
          <w:rFonts w:ascii="Arial" w:cs="Arial" w:eastAsia="Arial" w:hAnsi="Arial"/>
          <w:sz w:val="14"/>
          <w:szCs w:val="14"/>
          <w:color w:val="auto"/>
        </w:rPr>
      </w:pPr>
    </w:p>
    <w:p>
      <w:pPr>
        <w:ind w:left="420" w:right="160" w:hanging="412"/>
        <w:spacing w:after="0" w:line="261" w:lineRule="auto"/>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ind w:left="420" w:right="180" w:hanging="412"/>
        <w:spacing w:after="0" w:line="271" w:lineRule="auto"/>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an EBITDA multiple, adjusted for working capital and other items, which approximates fair value.</w:t>
      </w:r>
    </w:p>
    <w:p>
      <w:pPr>
        <w:spacing w:after="0" w:line="140" w:lineRule="exact"/>
        <w:rPr>
          <w:sz w:val="20"/>
          <w:szCs w:val="20"/>
          <w:color w:val="auto"/>
        </w:rPr>
      </w:pPr>
    </w:p>
    <w:p>
      <w:pPr>
        <w:ind w:right="580"/>
        <w:spacing w:after="0" w:line="231" w:lineRule="auto"/>
        <w:rPr>
          <w:sz w:val="20"/>
          <w:szCs w:val="20"/>
          <w:color w:val="auto"/>
        </w:rPr>
      </w:pPr>
      <w:r>
        <w:rPr>
          <w:rFonts w:ascii="Arial" w:cs="Arial" w:eastAsia="Arial" w:hAnsi="Arial"/>
          <w:sz w:val="18"/>
          <w:szCs w:val="18"/>
          <w:color w:val="auto"/>
        </w:rPr>
        <w:t>In the second quarter of 2017, the Company recorded a goodwill and other long-lived asset impairment charge of $9.2 million. The remeasurement of the goodwill and other long-lived assets is classified as a Level 3 fair value assessment due to the significance of unobservable inputs developed in the determination of the fair value. The Company used a discounted cash flow model to determine the estimated fair value of the reporting unit and made estimates and assumptions regarding future cash flows, discount rates and long-term growth rates.</w:t>
      </w:r>
    </w:p>
    <w:p>
      <w:pPr>
        <w:spacing w:after="0" w:line="111"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In the third quarter of 2016, the Company recorded an impairment charge of $15.0 million to its preferred equity interest in a vocational school company due to a decline in business conditions. The measurement of the preferred equity interest is classified as a Level 3 fair value assessment due to the significance of unobservable inputs developed in the determination of the fair value. The Company used a discounted cash flow model to determine the estimated fair value of the preferred equity interest and made estimates and assumptions regarding future cash flows, discount rates, long-term growth rates and market values to determine the estimated fair value.</w:t>
      </w:r>
    </w:p>
    <w:p>
      <w:pPr>
        <w:sectPr>
          <w:pgSz w:w="11900" w:h="16838" w:orient="portrait"/>
          <w:cols w:equalWidth="0" w:num="1">
            <w:col w:w="11420"/>
          </w:cols>
          <w:pgMar w:left="240" w:top="695" w:right="239"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695"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7. EARNINGS PER SHARE</w:t>
      </w:r>
    </w:p>
    <w:p>
      <w:pPr>
        <w:spacing w:after="0" w:line="14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11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2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49"/>
        </w:trPr>
        <w:tc>
          <w:tcPr>
            <w:tcW w:w="6320" w:type="dxa"/>
            <w:vAlign w:val="bottom"/>
          </w:tcPr>
          <w:p>
            <w:pPr>
              <w:ind w:left="4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320" w:type="dxa"/>
            <w:vAlign w:val="bottom"/>
          </w:tcPr>
          <w:p>
            <w:pPr>
              <w:ind w:left="1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320" w:type="dxa"/>
            <w:vAlign w:val="bottom"/>
          </w:tcPr>
          <w:p>
            <w:pPr>
              <w:ind w:left="28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24,784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33,126</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87,866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131,672</w:t>
            </w:r>
          </w:p>
        </w:tc>
        <w:tc>
          <w:tcPr>
            <w:tcW w:w="0" w:type="dxa"/>
            <w:vAlign w:val="bottom"/>
          </w:tcPr>
          <w:p>
            <w:pPr>
              <w:spacing w:after="0"/>
              <w:rPr>
                <w:sz w:val="1"/>
                <w:szCs w:val="1"/>
                <w:color w:val="auto"/>
              </w:rPr>
            </w:pPr>
          </w:p>
        </w:tc>
      </w:tr>
      <w:tr>
        <w:trPr>
          <w:trHeight w:val="274"/>
        </w:trPr>
        <w:tc>
          <w:tcPr>
            <w:tcW w:w="6320" w:type="dxa"/>
            <w:vAlign w:val="bottom"/>
          </w:tcPr>
          <w:p>
            <w:pPr>
              <w:ind w:left="28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(7,047)</w:t>
            </w: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(6,796)</w:t>
            </w: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(28,329)</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(27,329)</w:t>
            </w:r>
          </w:p>
        </w:tc>
        <w:tc>
          <w:tcPr>
            <w:tcW w:w="0" w:type="dxa"/>
            <w:vAlign w:val="bottom"/>
          </w:tcPr>
          <w:p>
            <w:pPr>
              <w:spacing w:after="0"/>
              <w:rPr>
                <w:sz w:val="1"/>
                <w:szCs w:val="1"/>
                <w:color w:val="auto"/>
              </w:rPr>
            </w:pPr>
          </w:p>
        </w:tc>
      </w:tr>
      <w:tr>
        <w:trPr>
          <w:trHeight w:val="260"/>
        </w:trPr>
        <w:tc>
          <w:tcPr>
            <w:tcW w:w="6320" w:type="dxa"/>
            <w:vAlign w:val="bottom"/>
          </w:tcPr>
          <w:p>
            <w:pPr>
              <w:ind w:left="280"/>
              <w:spacing w:after="0"/>
              <w:rPr>
                <w:sz w:val="20"/>
                <w:szCs w:val="20"/>
                <w:color w:val="auto"/>
              </w:rPr>
            </w:pPr>
            <w:r>
              <w:rPr>
                <w:rFonts w:ascii="Arial" w:cs="Arial" w:eastAsia="Arial" w:hAnsi="Arial"/>
                <w:sz w:val="16"/>
                <w:szCs w:val="16"/>
                <w:color w:val="auto"/>
              </w:rPr>
              <w:t>Undistributed earnings</w:t>
            </w:r>
          </w:p>
        </w:tc>
        <w:tc>
          <w:tcPr>
            <w:tcW w:w="280" w:type="dxa"/>
            <w:vAlign w:val="bottom"/>
          </w:tcPr>
          <w:p>
            <w:pPr>
              <w:spacing w:after="0"/>
              <w:rPr>
                <w:sz w:val="22"/>
                <w:szCs w:val="22"/>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17,737</w:t>
            </w:r>
          </w:p>
        </w:tc>
        <w:tc>
          <w:tcPr>
            <w:tcW w:w="340" w:type="dxa"/>
            <w:vAlign w:val="bottom"/>
          </w:tcPr>
          <w:p>
            <w:pPr>
              <w:spacing w:after="0"/>
              <w:rPr>
                <w:sz w:val="22"/>
                <w:szCs w:val="22"/>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26,330</w:t>
            </w:r>
          </w:p>
        </w:tc>
        <w:tc>
          <w:tcPr>
            <w:tcW w:w="340" w:type="dxa"/>
            <w:vAlign w:val="bottom"/>
          </w:tcPr>
          <w:p>
            <w:pPr>
              <w:spacing w:after="0"/>
              <w:rPr>
                <w:sz w:val="22"/>
                <w:szCs w:val="22"/>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59,537</w:t>
            </w:r>
          </w:p>
        </w:tc>
        <w:tc>
          <w:tcPr>
            <w:tcW w:w="340" w:type="dxa"/>
            <w:vAlign w:val="bottom"/>
          </w:tcPr>
          <w:p>
            <w:pPr>
              <w:spacing w:after="0"/>
              <w:rPr>
                <w:sz w:val="22"/>
                <w:szCs w:val="22"/>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104,343</w:t>
            </w:r>
          </w:p>
        </w:tc>
        <w:tc>
          <w:tcPr>
            <w:tcW w:w="0" w:type="dxa"/>
            <w:vAlign w:val="bottom"/>
          </w:tcPr>
          <w:p>
            <w:pPr>
              <w:spacing w:after="0"/>
              <w:rPr>
                <w:sz w:val="1"/>
                <w:szCs w:val="1"/>
                <w:color w:val="auto"/>
              </w:rPr>
            </w:pPr>
          </w:p>
        </w:tc>
      </w:tr>
      <w:tr>
        <w:trPr>
          <w:trHeight w:val="274"/>
        </w:trPr>
        <w:tc>
          <w:tcPr>
            <w:tcW w:w="6320" w:type="dxa"/>
            <w:vAlign w:val="bottom"/>
          </w:tcPr>
          <w:p>
            <w:pPr>
              <w:ind w:left="280"/>
              <w:spacing w:after="0"/>
              <w:rPr>
                <w:sz w:val="20"/>
                <w:szCs w:val="20"/>
                <w:color w:val="auto"/>
              </w:rPr>
            </w:pPr>
            <w:r>
              <w:rPr>
                <w:rFonts w:ascii="Arial" w:cs="Arial" w:eastAsia="Arial" w:hAnsi="Arial"/>
                <w:sz w:val="16"/>
                <w:szCs w:val="16"/>
                <w:color w:val="auto"/>
              </w:rPr>
              <w:t>Percent allocated to common stockholders</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99.07%</w:t>
            </w: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98.70%</w:t>
            </w: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99.07%</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98.70%</w:t>
            </w:r>
          </w:p>
        </w:tc>
        <w:tc>
          <w:tcPr>
            <w:tcW w:w="0" w:type="dxa"/>
            <w:vAlign w:val="bottom"/>
          </w:tcPr>
          <w:p>
            <w:pPr>
              <w:spacing w:after="0"/>
              <w:rPr>
                <w:sz w:val="1"/>
                <w:szCs w:val="1"/>
                <w:color w:val="auto"/>
              </w:rPr>
            </w:pPr>
          </w:p>
        </w:tc>
      </w:tr>
      <w:tr>
        <w:trPr>
          <w:trHeight w:val="260"/>
        </w:trPr>
        <w:tc>
          <w:tcPr>
            <w:tcW w:w="6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17,572</w:t>
            </w:r>
          </w:p>
        </w:tc>
        <w:tc>
          <w:tcPr>
            <w:tcW w:w="340" w:type="dxa"/>
            <w:vAlign w:val="bottom"/>
          </w:tcPr>
          <w:p>
            <w:pPr>
              <w:spacing w:after="0"/>
              <w:rPr>
                <w:sz w:val="22"/>
                <w:szCs w:val="22"/>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25,987</w:t>
            </w:r>
          </w:p>
        </w:tc>
        <w:tc>
          <w:tcPr>
            <w:tcW w:w="340" w:type="dxa"/>
            <w:vAlign w:val="bottom"/>
          </w:tcPr>
          <w:p>
            <w:pPr>
              <w:spacing w:after="0"/>
              <w:rPr>
                <w:sz w:val="22"/>
                <w:szCs w:val="22"/>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58,981</w:t>
            </w:r>
          </w:p>
        </w:tc>
        <w:tc>
          <w:tcPr>
            <w:tcW w:w="340" w:type="dxa"/>
            <w:vAlign w:val="bottom"/>
          </w:tcPr>
          <w:p>
            <w:pPr>
              <w:spacing w:after="0"/>
              <w:rPr>
                <w:sz w:val="22"/>
                <w:szCs w:val="22"/>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102,987</w:t>
            </w:r>
          </w:p>
        </w:tc>
        <w:tc>
          <w:tcPr>
            <w:tcW w:w="0" w:type="dxa"/>
            <w:vAlign w:val="bottom"/>
          </w:tcPr>
          <w:p>
            <w:pPr>
              <w:spacing w:after="0"/>
              <w:rPr>
                <w:sz w:val="1"/>
                <w:szCs w:val="1"/>
                <w:color w:val="auto"/>
              </w:rPr>
            </w:pPr>
          </w:p>
        </w:tc>
      </w:tr>
      <w:tr>
        <w:trPr>
          <w:trHeight w:val="274"/>
        </w:trPr>
        <w:tc>
          <w:tcPr>
            <w:tcW w:w="6320" w:type="dxa"/>
            <w:vAlign w:val="bottom"/>
          </w:tcPr>
          <w:p>
            <w:pPr>
              <w:ind w:left="280"/>
              <w:spacing w:after="0"/>
              <w:rPr>
                <w:sz w:val="20"/>
                <w:szCs w:val="20"/>
                <w:color w:val="auto"/>
              </w:rPr>
            </w:pPr>
            <w:r>
              <w:rPr>
                <w:rFonts w:ascii="Arial" w:cs="Arial" w:eastAsia="Arial" w:hAnsi="Arial"/>
                <w:sz w:val="16"/>
                <w:szCs w:val="16"/>
                <w:color w:val="auto"/>
              </w:rPr>
              <w:t>Add: Dividends paid-common stock outstanding</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6,981</w:t>
            </w: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6,708</w:t>
            </w: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28,066</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26,976</w:t>
            </w:r>
          </w:p>
        </w:tc>
        <w:tc>
          <w:tcPr>
            <w:tcW w:w="0" w:type="dxa"/>
            <w:vAlign w:val="bottom"/>
          </w:tcPr>
          <w:p>
            <w:pPr>
              <w:spacing w:after="0"/>
              <w:rPr>
                <w:sz w:val="1"/>
                <w:szCs w:val="1"/>
                <w:color w:val="auto"/>
              </w:rPr>
            </w:pPr>
          </w:p>
        </w:tc>
      </w:tr>
      <w:tr>
        <w:trPr>
          <w:trHeight w:val="266"/>
        </w:trPr>
        <w:tc>
          <w:tcPr>
            <w:tcW w:w="6320" w:type="dxa"/>
            <w:vAlign w:val="bottom"/>
          </w:tcPr>
          <w:p>
            <w:pPr>
              <w:ind w:left="2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24,553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32,695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87,047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129,963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20" w:type="dxa"/>
            <w:vAlign w:val="bottom"/>
          </w:tcPr>
          <w:p>
            <w:pPr>
              <w:ind w:left="28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w:t>
            </w: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4</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5"/>
        </w:trPr>
        <w:tc>
          <w:tcPr>
            <w:tcW w:w="6320" w:type="dxa"/>
            <w:vAlign w:val="bottom"/>
          </w:tcPr>
          <w:p>
            <w:pPr>
              <w:ind w:left="180"/>
              <w:spacing w:after="0"/>
              <w:rPr>
                <w:sz w:val="20"/>
                <w:szCs w:val="20"/>
                <w:color w:val="auto"/>
              </w:rPr>
            </w:pPr>
            <w:r>
              <w:rPr>
                <w:rFonts w:ascii="Arial" w:cs="Arial" w:eastAsia="Arial" w:hAnsi="Arial"/>
                <w:sz w:val="16"/>
                <w:szCs w:val="16"/>
                <w:color w:val="auto"/>
              </w:rPr>
              <w:t>Numerator for 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24,554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32,697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87,051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129,970</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40"/>
              <w:spacing w:after="0"/>
              <w:rPr>
                <w:sz w:val="20"/>
                <w:szCs w:val="20"/>
                <w:color w:val="auto"/>
              </w:rPr>
            </w:pPr>
            <w:r>
              <w:rPr>
                <w:rFonts w:ascii="Arial" w:cs="Arial" w:eastAsia="Arial" w:hAnsi="Arial"/>
                <w:sz w:val="16"/>
                <w:szCs w:val="16"/>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20" w:type="dxa"/>
            <w:vAlign w:val="bottom"/>
          </w:tcPr>
          <w:p>
            <w:pPr>
              <w:ind w:left="180"/>
              <w:spacing w:after="0"/>
              <w:rPr>
                <w:sz w:val="20"/>
                <w:szCs w:val="20"/>
                <w:color w:val="auto"/>
              </w:rPr>
            </w:pPr>
            <w:r>
              <w:rPr>
                <w:rFonts w:ascii="Arial" w:cs="Arial" w:eastAsia="Arial" w:hAnsi="Arial"/>
                <w:sz w:val="16"/>
                <w:szCs w:val="16"/>
                <w:color w:val="auto"/>
              </w:rPr>
              <w:t>Denominator for basic earnings per share: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320" w:type="dxa"/>
            <w:vAlign w:val="bottom"/>
          </w:tcPr>
          <w:p>
            <w:pPr>
              <w:ind w:left="28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4"/>
                <w:szCs w:val="24"/>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5,518</w:t>
            </w:r>
          </w:p>
        </w:tc>
        <w:tc>
          <w:tcPr>
            <w:tcW w:w="340" w:type="dxa"/>
            <w:vAlign w:val="bottom"/>
          </w:tcPr>
          <w:p>
            <w:pPr>
              <w:spacing w:after="0"/>
              <w:rPr>
                <w:sz w:val="24"/>
                <w:szCs w:val="24"/>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5,544</w:t>
            </w:r>
          </w:p>
        </w:tc>
        <w:tc>
          <w:tcPr>
            <w:tcW w:w="340" w:type="dxa"/>
            <w:vAlign w:val="bottom"/>
          </w:tcPr>
          <w:p>
            <w:pPr>
              <w:spacing w:after="0"/>
              <w:rPr>
                <w:sz w:val="24"/>
                <w:szCs w:val="24"/>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5,530</w:t>
            </w:r>
          </w:p>
        </w:tc>
        <w:tc>
          <w:tcPr>
            <w:tcW w:w="340" w:type="dxa"/>
            <w:vAlign w:val="bottom"/>
          </w:tcPr>
          <w:p>
            <w:pPr>
              <w:spacing w:after="0"/>
              <w:rPr>
                <w:sz w:val="24"/>
                <w:szCs w:val="24"/>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5,570</w:t>
            </w:r>
          </w:p>
        </w:tc>
        <w:tc>
          <w:tcPr>
            <w:tcW w:w="0" w:type="dxa"/>
            <w:vAlign w:val="bottom"/>
          </w:tcPr>
          <w:p>
            <w:pPr>
              <w:spacing w:after="0"/>
              <w:rPr>
                <w:sz w:val="1"/>
                <w:szCs w:val="1"/>
                <w:color w:val="auto"/>
              </w:rPr>
            </w:pPr>
          </w:p>
        </w:tc>
      </w:tr>
      <w:tr>
        <w:trPr>
          <w:trHeight w:val="274"/>
        </w:trPr>
        <w:tc>
          <w:tcPr>
            <w:tcW w:w="6320" w:type="dxa"/>
            <w:vAlign w:val="bottom"/>
          </w:tcPr>
          <w:p>
            <w:pPr>
              <w:ind w:left="280"/>
              <w:spacing w:after="0"/>
              <w:rPr>
                <w:sz w:val="20"/>
                <w:szCs w:val="20"/>
                <w:color w:val="auto"/>
              </w:rPr>
            </w:pPr>
            <w:r>
              <w:rPr>
                <w:rFonts w:ascii="Arial" w:cs="Arial" w:eastAsia="Arial" w:hAnsi="Arial"/>
                <w:sz w:val="16"/>
                <w:szCs w:val="16"/>
                <w:color w:val="auto"/>
              </w:rPr>
              <w:t>Add: Effect of dilutive stock options</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36</w:t>
            </w: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30</w:t>
            </w: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37</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65"/>
        </w:trPr>
        <w:tc>
          <w:tcPr>
            <w:tcW w:w="6320" w:type="dxa"/>
            <w:vAlign w:val="bottom"/>
          </w:tcPr>
          <w:p>
            <w:pPr>
              <w:ind w:left="180"/>
              <w:spacing w:after="0"/>
              <w:rPr>
                <w:sz w:val="20"/>
                <w:szCs w:val="20"/>
                <w:color w:val="auto"/>
              </w:rPr>
            </w:pPr>
            <w:r>
              <w:rPr>
                <w:rFonts w:ascii="Arial" w:cs="Arial" w:eastAsia="Arial" w:hAnsi="Arial"/>
                <w:sz w:val="16"/>
                <w:szCs w:val="16"/>
                <w:color w:val="auto"/>
              </w:rPr>
              <w:t>Denominator for diluted earnings per share</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5,554</w:t>
            </w: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5,574</w:t>
            </w: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5,567</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5,600</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3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320" w:type="dxa"/>
            <w:vAlign w:val="bottom"/>
          </w:tcPr>
          <w:p>
            <w:pPr>
              <w:ind w:left="180"/>
              <w:spacing w:after="0"/>
              <w:rPr>
                <w:sz w:val="20"/>
                <w:szCs w:val="20"/>
                <w:color w:val="auto"/>
              </w:rPr>
            </w:pPr>
            <w:r>
              <w:rPr>
                <w:rFonts w:ascii="Arial" w:cs="Arial" w:eastAsia="Arial" w:hAnsi="Arial"/>
                <w:sz w:val="16"/>
                <w:szCs w:val="16"/>
                <w:b w:val="1"/>
                <w:bCs w:val="1"/>
                <w:color w:val="auto"/>
              </w:rPr>
              <w:t>Basic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4.45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5.90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15.74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23.33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320" w:type="dxa"/>
            <w:vAlign w:val="bottom"/>
          </w:tcPr>
          <w:p>
            <w:pPr>
              <w:ind w:left="180"/>
              <w:spacing w:after="0"/>
              <w:rPr>
                <w:sz w:val="20"/>
                <w:szCs w:val="20"/>
                <w:color w:val="auto"/>
              </w:rPr>
            </w:pPr>
            <w:r>
              <w:rPr>
                <w:rFonts w:ascii="Arial" w:cs="Arial" w:eastAsia="Arial" w:hAnsi="Arial"/>
                <w:sz w:val="16"/>
                <w:szCs w:val="16"/>
                <w:b w:val="1"/>
                <w:bCs w:val="1"/>
                <w:color w:val="auto"/>
              </w:rPr>
              <w:t>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4.42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5.87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15.64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23.21</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2400" w:type="dxa"/>
            <w:vAlign w:val="bottom"/>
            <w:gridSpan w:val="2"/>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gridSpan w:val="2"/>
          </w:tcPr>
          <w:p>
            <w:pPr>
              <w:jc w:val="right"/>
              <w:ind w:right="383"/>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860" w:type="dxa"/>
            <w:vAlign w:val="bottom"/>
          </w:tcPr>
          <w:p>
            <w:pPr>
              <w:spacing w:after="0"/>
              <w:rPr>
                <w:sz w:val="17"/>
                <w:szCs w:val="17"/>
                <w:color w:val="auto"/>
              </w:rPr>
            </w:pPr>
          </w:p>
        </w:tc>
        <w:tc>
          <w:tcPr>
            <w:tcW w:w="240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September 30</w:t>
            </w:r>
          </w:p>
        </w:tc>
        <w:tc>
          <w:tcPr>
            <w:tcW w:w="2160" w:type="dxa"/>
            <w:vAlign w:val="bottom"/>
            <w:tcBorders>
              <w:bottom w:val="single" w:sz="8" w:color="auto"/>
            </w:tcBorders>
            <w:gridSpan w:val="2"/>
          </w:tcPr>
          <w:p>
            <w:pPr>
              <w:jc w:val="right"/>
              <w:ind w:right="543"/>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2017</w:t>
            </w: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color w:val="auto"/>
              </w:rPr>
              <w:t>2016</w:t>
            </w:r>
          </w:p>
        </w:tc>
        <w:tc>
          <w:tcPr>
            <w:tcW w:w="122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2016</w:t>
            </w:r>
          </w:p>
        </w:tc>
      </w:tr>
      <w:tr>
        <w:trPr>
          <w:trHeight w:val="257"/>
        </w:trPr>
        <w:tc>
          <w:tcPr>
            <w:tcW w:w="686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1220" w:type="dxa"/>
            <w:vAlign w:val="bottom"/>
          </w:tcPr>
          <w:p>
            <w:pPr>
              <w:jc w:val="right"/>
              <w:ind w:right="226"/>
              <w:spacing w:after="0"/>
              <w:rPr>
                <w:sz w:val="20"/>
                <w:szCs w:val="20"/>
                <w:color w:val="auto"/>
              </w:rPr>
            </w:pPr>
            <w:r>
              <w:rPr>
                <w:rFonts w:ascii="Arial" w:cs="Arial" w:eastAsia="Arial" w:hAnsi="Arial"/>
                <w:sz w:val="16"/>
                <w:szCs w:val="16"/>
                <w:b w:val="1"/>
                <w:bCs w:val="1"/>
                <w:color w:val="auto"/>
              </w:rPr>
              <w:t>30</w:t>
            </w:r>
          </w:p>
        </w:tc>
        <w:tc>
          <w:tcPr>
            <w:tcW w:w="1180" w:type="dxa"/>
            <w:vAlign w:val="bottom"/>
          </w:tcPr>
          <w:p>
            <w:pPr>
              <w:jc w:val="right"/>
              <w:ind w:right="243"/>
              <w:spacing w:after="0"/>
              <w:rPr>
                <w:sz w:val="20"/>
                <w:szCs w:val="20"/>
                <w:color w:val="auto"/>
              </w:rPr>
            </w:pPr>
            <w:r>
              <w:rPr>
                <w:rFonts w:ascii="Arial" w:cs="Arial" w:eastAsia="Arial" w:hAnsi="Arial"/>
                <w:sz w:val="16"/>
                <w:szCs w:val="16"/>
                <w:color w:val="auto"/>
              </w:rPr>
              <w:t>42</w:t>
            </w:r>
          </w:p>
        </w:tc>
        <w:tc>
          <w:tcPr>
            <w:tcW w:w="1220" w:type="dxa"/>
            <w:vAlign w:val="bottom"/>
          </w:tcPr>
          <w:p>
            <w:pPr>
              <w:jc w:val="right"/>
              <w:ind w:right="206"/>
              <w:spacing w:after="0"/>
              <w:rPr>
                <w:sz w:val="20"/>
                <w:szCs w:val="20"/>
                <w:color w:val="auto"/>
              </w:rPr>
            </w:pPr>
            <w:r>
              <w:rPr>
                <w:rFonts w:ascii="Arial" w:cs="Arial" w:eastAsia="Arial" w:hAnsi="Arial"/>
                <w:sz w:val="16"/>
                <w:szCs w:val="16"/>
                <w:b w:val="1"/>
                <w:bCs w:val="1"/>
                <w:color w:val="auto"/>
              </w:rPr>
              <w:t>29</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40</w:t>
            </w:r>
          </w:p>
        </w:tc>
      </w:tr>
    </w:tbl>
    <w:p>
      <w:pPr>
        <w:spacing w:after="0" w:line="133"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diluted earnings per share amounts for the three and nine months ended September 30, 2017 and September 30, 2016 exclude the effects of 104,000 and 102,000 stock options outstanding, as their inclusion would have been antidilutive due to a market condition. The diluted earnings per share amounts for the three and nine months ended September 30, 2017 and September 30, 2016 exclude the effects of 5,250 and 6,100 restricted stock awards, respectively, as their inclusion would have been antidilutive due to a performance condition.</w:t>
      </w:r>
    </w:p>
    <w:p>
      <w:pPr>
        <w:spacing w:after="0" w:line="111" w:lineRule="exact"/>
        <w:rPr>
          <w:sz w:val="20"/>
          <w:szCs w:val="20"/>
          <w:color w:val="auto"/>
        </w:rPr>
      </w:pPr>
    </w:p>
    <w:p>
      <w:pPr>
        <w:jc w:val="both"/>
        <w:ind w:right="480"/>
        <w:spacing w:after="0"/>
        <w:rPr>
          <w:sz w:val="20"/>
          <w:szCs w:val="20"/>
          <w:color w:val="auto"/>
        </w:rPr>
      </w:pPr>
      <w:r>
        <w:rPr>
          <w:rFonts w:ascii="Arial" w:cs="Arial" w:eastAsia="Arial" w:hAnsi="Arial"/>
          <w:sz w:val="18"/>
          <w:szCs w:val="18"/>
          <w:color w:val="auto"/>
        </w:rPr>
        <w:t>In the three and nine months ended September 30, 2017, the Company declared regular dividends totaling $ 1.27 and $ 5.08 per common share, respectively. In the three and nine months ended September 30, 2016, the Company declared regular dividends totaling $1.21 and $4.84 per common share, respectively.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8. PENSION AND POSTRETIREMENT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2016</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2016</w:t>
            </w:r>
          </w:p>
        </w:tc>
      </w:tr>
      <w:tr>
        <w:trPr>
          <w:trHeight w:val="257"/>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4,591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5,040</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14,096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15,422</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11,980</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12,845</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35,945</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38,763</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18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(30,338)</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(30,348)</w:t>
            </w:r>
          </w:p>
        </w:tc>
        <w:tc>
          <w:tcPr>
            <w:tcW w:w="26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(91,078)</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(91,122)</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1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42</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74</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128</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223</w:t>
            </w:r>
          </w:p>
        </w:tc>
      </w:tr>
      <w:tr>
        <w:trPr>
          <w:trHeight w:val="274"/>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(1,039)</w:t>
            </w: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(3,372)</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18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(14,764)</w:t>
            </w:r>
          </w:p>
        </w:tc>
        <w:tc>
          <w:tcPr>
            <w:tcW w:w="40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(12,389)</w:t>
            </w:r>
          </w:p>
        </w:tc>
        <w:tc>
          <w:tcPr>
            <w:tcW w:w="260" w:type="dxa"/>
            <w:vAlign w:val="bottom"/>
          </w:tcPr>
          <w:p>
            <w:pPr>
              <w:spacing w:after="0"/>
              <w:rPr>
                <w:sz w:val="22"/>
                <w:szCs w:val="22"/>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(44,281)</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(36,714)</w:t>
            </w:r>
          </w:p>
        </w:tc>
      </w:tr>
      <w:tr>
        <w:trPr>
          <w:trHeight w:val="274"/>
        </w:trPr>
        <w:tc>
          <w:tcPr>
            <w:tcW w:w="5620" w:type="dxa"/>
            <w:vAlign w:val="bottom"/>
          </w:tcPr>
          <w:p>
            <w:pPr>
              <w:ind w:left="40"/>
              <w:spacing w:after="0"/>
              <w:rPr>
                <w:sz w:val="20"/>
                <w:szCs w:val="20"/>
                <w:color w:val="auto"/>
              </w:rPr>
            </w:pPr>
            <w:r>
              <w:rPr>
                <w:rFonts w:ascii="Arial" w:cs="Arial" w:eastAsia="Arial" w:hAnsi="Arial"/>
                <w:sz w:val="16"/>
                <w:szCs w:val="16"/>
                <w:color w:val="auto"/>
              </w:rPr>
              <w:t>Special separation benefit expense</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932</w:t>
            </w: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932</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Total Benefit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(13,832)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(12,389)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(43,349)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(36,714)</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the third quarter of 2017, the Company recorded $0.9 million related to a Separation Incentive Program for certain Forney employees, which will be funded from the assets of the Company's pension plan.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2016</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2016</w:t>
            </w:r>
          </w:p>
        </w:tc>
      </w:tr>
      <w:tr>
        <w:trPr>
          <w:trHeight w:val="257"/>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42"/>
              <w:spacing w:after="0"/>
              <w:rPr>
                <w:sz w:val="20"/>
                <w:szCs w:val="20"/>
                <w:color w:val="auto"/>
              </w:rPr>
            </w:pPr>
            <w:r>
              <w:rPr>
                <w:rFonts w:ascii="Arial" w:cs="Arial" w:eastAsia="Arial" w:hAnsi="Arial"/>
                <w:sz w:val="16"/>
                <w:szCs w:val="16"/>
                <w:b w:val="1"/>
                <w:bCs w:val="1"/>
                <w:color w:val="auto"/>
              </w:rPr>
              <w:t>214</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246</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b w:val="1"/>
                <w:bCs w:val="1"/>
                <w:color w:val="auto"/>
              </w:rPr>
              <w:t>643</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738</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3"/>
                <w:szCs w:val="23"/>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b w:val="1"/>
                <w:bCs w:val="1"/>
                <w:color w:val="auto"/>
              </w:rPr>
              <w:t>1,059</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1,096</w:t>
            </w:r>
          </w:p>
        </w:tc>
        <w:tc>
          <w:tcPr>
            <w:tcW w:w="300" w:type="dxa"/>
            <w:vAlign w:val="bottom"/>
          </w:tcPr>
          <w:p>
            <w:pPr>
              <w:spacing w:after="0"/>
              <w:rPr>
                <w:sz w:val="23"/>
                <w:szCs w:val="23"/>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b w:val="1"/>
                <w:bCs w:val="1"/>
                <w:color w:val="auto"/>
              </w:rPr>
              <w:t>3,175</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3,288</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180" w:type="dxa"/>
            <w:vAlign w:val="bottom"/>
          </w:tcPr>
          <w:p>
            <w:pPr>
              <w:spacing w:after="0"/>
              <w:rPr>
                <w:sz w:val="23"/>
                <w:szCs w:val="23"/>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b w:val="1"/>
                <w:bCs w:val="1"/>
                <w:color w:val="auto"/>
              </w:rPr>
              <w:t>114</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114</w:t>
            </w:r>
          </w:p>
        </w:tc>
        <w:tc>
          <w:tcPr>
            <w:tcW w:w="300" w:type="dxa"/>
            <w:vAlign w:val="bottom"/>
          </w:tcPr>
          <w:p>
            <w:pPr>
              <w:spacing w:after="0"/>
              <w:rPr>
                <w:sz w:val="23"/>
                <w:szCs w:val="23"/>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b w:val="1"/>
                <w:bCs w:val="1"/>
                <w:color w:val="auto"/>
              </w:rPr>
              <w:t>342</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342</w:t>
            </w:r>
          </w:p>
        </w:tc>
      </w:tr>
      <w:tr>
        <w:trPr>
          <w:trHeight w:val="274"/>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444</w:t>
            </w: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665</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1,331</w:t>
            </w: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1,995</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1,831</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2,121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5,491</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6,363</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right="400"/>
        <w:spacing w:after="0" w:line="241"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U.S. stock index</w:t>
      </w:r>
      <w:r>
        <w:rPr>
          <w:rFonts w:ascii="Arial" w:cs="Arial" w:eastAsia="Arial" w:hAnsi="Arial"/>
          <w:sz w:val="18"/>
          <w:szCs w:val="18"/>
          <w:b w:val="1"/>
          <w:bCs w:val="1"/>
          <w:color w:val="auto"/>
        </w:rPr>
        <w:t xml:space="preserve"> </w:t>
      </w:r>
      <w:r>
        <w:rPr>
          <w:rFonts w:ascii="Arial" w:cs="Arial" w:eastAsia="Arial" w:hAnsi="Arial"/>
          <w:sz w:val="18"/>
          <w:szCs w:val="18"/>
          <w:color w:val="auto"/>
        </w:rPr>
        <w:t>fund, a relatively small number of stocks and high-quality fixed-income securities that are held by a third-party trustee. The assets of the Company’s pension plan were allocated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8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7"/>
                <w:szCs w:val="17"/>
                <w:color w:val="auto"/>
              </w:rPr>
            </w:pPr>
          </w:p>
        </w:tc>
      </w:tr>
      <w:tr>
        <w:trPr>
          <w:trHeight w:val="330"/>
        </w:trPr>
        <w:tc>
          <w:tcPr>
            <w:tcW w:w="8480" w:type="dxa"/>
            <w:vAlign w:val="bottom"/>
          </w:tcPr>
          <w:p>
            <w:pPr>
              <w:spacing w:after="0"/>
              <w:rPr>
                <w:sz w:val="24"/>
                <w:szCs w:val="24"/>
                <w:color w:val="auto"/>
              </w:rPr>
            </w:pPr>
          </w:p>
        </w:tc>
        <w:tc>
          <w:tcPr>
            <w:tcW w:w="1720" w:type="dxa"/>
            <w:vAlign w:val="bottom"/>
          </w:tcPr>
          <w:p>
            <w:pPr>
              <w:jc w:val="right"/>
              <w:ind w:right="462"/>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Pr>
          <w:p>
            <w:pPr>
              <w:jc w:val="right"/>
              <w:ind w:right="202"/>
              <w:spacing w:after="0"/>
              <w:rPr>
                <w:sz w:val="20"/>
                <w:szCs w:val="20"/>
                <w:color w:val="auto"/>
              </w:rPr>
            </w:pPr>
            <w:r>
              <w:rPr>
                <w:rFonts w:ascii="Arial" w:cs="Arial" w:eastAsia="Arial" w:hAnsi="Arial"/>
                <w:sz w:val="14"/>
                <w:szCs w:val="14"/>
                <w:color w:val="auto"/>
              </w:rPr>
              <w:t>December 31,</w:t>
            </w:r>
          </w:p>
        </w:tc>
      </w:tr>
      <w:tr>
        <w:trPr>
          <w:trHeight w:val="203"/>
        </w:trPr>
        <w:tc>
          <w:tcPr>
            <w:tcW w:w="8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2017</w:t>
            </w: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2016</w:t>
            </w:r>
          </w:p>
        </w:tc>
      </w:tr>
      <w:tr>
        <w:trPr>
          <w:trHeight w:val="257"/>
        </w:trPr>
        <w:tc>
          <w:tcPr>
            <w:tcW w:w="848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51%</w:t>
            </w: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stock index fund</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32%</w:t>
            </w:r>
          </w:p>
        </w:tc>
        <w:tc>
          <w:tcPr>
            <w:tcW w:w="12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11%</w:t>
            </w: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4"/>
        </w:trPr>
        <w:tc>
          <w:tcPr>
            <w:tcW w:w="848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64"/>
        </w:trPr>
        <w:tc>
          <w:tcPr>
            <w:tcW w:w="8480" w:type="dxa"/>
            <w:vAlign w:val="bottom"/>
          </w:tcPr>
          <w:p>
            <w:pPr>
              <w:spacing w:after="0"/>
              <w:rPr>
                <w:sz w:val="22"/>
                <w:szCs w:val="22"/>
                <w:color w:val="auto"/>
              </w:rPr>
            </w:pPr>
          </w:p>
        </w:tc>
        <w:tc>
          <w:tcPr>
            <w:tcW w:w="1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100%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The Company manages approximately 45% of the pension assets internally, of which the majority is invested in a U.S. stock index fund with the remaining investments in Berkshire Hathaway stock and short-term fixed income securities. The remaining 55% of plan assets are managed by two investment companies. The goal for the investments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from the Plan administrator. As of September 30, 2017, the investment managers can invest no more than 23% of the assets they manage in specified international exchanges, at the time the investment is made, and no less than 10% of the assets could be invested in fixed-income securities.</w:t>
      </w:r>
    </w:p>
    <w:p>
      <w:pPr>
        <w:spacing w:after="0" w:line="110" w:lineRule="exact"/>
        <w:rPr>
          <w:sz w:val="20"/>
          <w:szCs w:val="20"/>
          <w:color w:val="auto"/>
        </w:rPr>
      </w:pPr>
    </w:p>
    <w:p>
      <w:pPr>
        <w:ind w:right="720"/>
        <w:spacing w:after="0"/>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0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September 30, 2017. Types of concentrations that were evaluated include, but are not limited to, investment concentrations in a single entity, type</w:t>
      </w:r>
    </w:p>
    <w:p>
      <w:pPr>
        <w:sectPr>
          <w:pgSz w:w="11900" w:h="16838" w:orient="portrait"/>
          <w:cols w:equalWidth="0" w:num="1">
            <w:col w:w="11420"/>
          </w:cols>
          <w:pgMar w:left="240" w:top="695" w:right="2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695" w:right="239" w:bottom="1440" w:gutter="0" w:footer="0" w:header="0"/>
          <w:type w:val="continuous"/>
        </w:sectPr>
      </w:pPr>
    </w:p>
    <w:bookmarkStart w:id="19" w:name="page20"/>
    <w:bookmarkEnd w:id="19"/>
    <w:p>
      <w:pPr>
        <w:ind w:right="120"/>
        <w:spacing w:after="0" w:line="261" w:lineRule="auto"/>
        <w:rPr>
          <w:sz w:val="20"/>
          <w:szCs w:val="20"/>
          <w:color w:val="auto"/>
        </w:rPr>
      </w:pPr>
      <w:r>
        <w:rPr>
          <w:rFonts w:ascii="Arial" w:cs="Arial" w:eastAsia="Arial" w:hAnsi="Arial"/>
          <w:sz w:val="17"/>
          <w:szCs w:val="17"/>
          <w:color w:val="auto"/>
        </w:rPr>
        <w:t>of industry, foreign country and individual fund. At September 30, 2017 and December 31, 2016, the pension plan held investments in one common stock and one U.S. stock index fund that exceeded 10% of total plan assets. These investments were valued at $ 1,057.5 million and $978.8 million at September 30, 2017 and December 31, 2016, respectively, or approximately 47% and 48%, respectively, of total plan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arising from the Company’s other postretirement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2016</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2016</w:t>
            </w:r>
          </w:p>
        </w:tc>
      </w:tr>
      <w:tr>
        <w:trPr>
          <w:trHeight w:val="257"/>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62"/>
              <w:spacing w:after="0"/>
              <w:rPr>
                <w:sz w:val="20"/>
                <w:szCs w:val="20"/>
                <w:color w:val="auto"/>
              </w:rPr>
            </w:pPr>
            <w:r>
              <w:rPr>
                <w:rFonts w:ascii="Arial" w:cs="Arial" w:eastAsia="Arial" w:hAnsi="Arial"/>
                <w:sz w:val="16"/>
                <w:szCs w:val="16"/>
                <w:b w:val="1"/>
                <w:bCs w:val="1"/>
                <w:color w:val="auto"/>
              </w:rPr>
              <w:t>257</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346</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62"/>
              <w:spacing w:after="0"/>
              <w:rPr>
                <w:sz w:val="20"/>
                <w:szCs w:val="20"/>
                <w:color w:val="auto"/>
              </w:rPr>
            </w:pPr>
            <w:r>
              <w:rPr>
                <w:rFonts w:ascii="Arial" w:cs="Arial" w:eastAsia="Arial" w:hAnsi="Arial"/>
                <w:sz w:val="16"/>
                <w:szCs w:val="16"/>
                <w:b w:val="1"/>
                <w:bCs w:val="1"/>
                <w:color w:val="auto"/>
              </w:rPr>
              <w:t>771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1,039</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3"/>
                <w:szCs w:val="23"/>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b w:val="1"/>
                <w:bCs w:val="1"/>
                <w:color w:val="auto"/>
              </w:rPr>
              <w:t>195</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308</w:t>
            </w:r>
          </w:p>
        </w:tc>
        <w:tc>
          <w:tcPr>
            <w:tcW w:w="260" w:type="dxa"/>
            <w:vAlign w:val="bottom"/>
          </w:tcPr>
          <w:p>
            <w:pPr>
              <w:spacing w:after="0"/>
              <w:rPr>
                <w:sz w:val="23"/>
                <w:szCs w:val="23"/>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b w:val="1"/>
                <w:bCs w:val="1"/>
                <w:color w:val="auto"/>
              </w:rPr>
              <w:t>584</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923</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180" w:type="dxa"/>
            <w:vAlign w:val="bottom"/>
          </w:tcPr>
          <w:p>
            <w:pPr>
              <w:spacing w:after="0"/>
              <w:rPr>
                <w:sz w:val="23"/>
                <w:szCs w:val="23"/>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b w:val="1"/>
                <w:bCs w:val="1"/>
                <w:color w:val="auto"/>
              </w:rPr>
              <w:t>(38)</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(83)</w:t>
            </w:r>
          </w:p>
        </w:tc>
        <w:tc>
          <w:tcPr>
            <w:tcW w:w="26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(112)</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74"/>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(972)</w:t>
            </w: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(376)</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(2,917)</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(558)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(1,674)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584</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NON-OPERATING INCOME (EXPENSE)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12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September 30</w:t>
            </w:r>
          </w:p>
        </w:tc>
      </w:tr>
      <w:tr>
        <w:trPr>
          <w:trHeight w:val="261"/>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95"/>
              </w:rPr>
              <w:t>2016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2016</w:t>
            </w:r>
          </w:p>
        </w:tc>
      </w:tr>
      <w:tr>
        <w:trPr>
          <w:trHeight w:val="260"/>
        </w:trPr>
        <w:tc>
          <w:tcPr>
            <w:tcW w:w="6280" w:type="dxa"/>
            <w:vAlign w:val="bottom"/>
          </w:tcPr>
          <w:p>
            <w:pPr>
              <w:ind w:left="40"/>
              <w:spacing w:after="0"/>
              <w:rPr>
                <w:sz w:val="20"/>
                <w:szCs w:val="20"/>
                <w:color w:val="auto"/>
              </w:rPr>
            </w:pPr>
            <w:r>
              <w:rPr>
                <w:rFonts w:ascii="Arial" w:cs="Arial" w:eastAsia="Arial" w:hAnsi="Arial"/>
                <w:sz w:val="16"/>
                <w:szCs w:val="16"/>
                <w:color w:val="auto"/>
              </w:rPr>
              <w:t>Foreign currency gain (loss), net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1,414</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(3,797)</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6,608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(33,324)</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(Loss) gain on sales of businesses</w:t>
            </w:r>
          </w:p>
        </w:tc>
        <w:tc>
          <w:tcPr>
            <w:tcW w:w="30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(342)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18,931</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Loss on write-downs of cost method investments</w:t>
            </w:r>
          </w:p>
        </w:tc>
        <w:tc>
          <w:tcPr>
            <w:tcW w:w="30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(200)</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320" w:type="dxa"/>
            <w:vAlign w:val="bottom"/>
          </w:tcPr>
          <w:p>
            <w:pPr>
              <w:spacing w:after="0"/>
              <w:rPr>
                <w:sz w:val="23"/>
                <w:szCs w:val="23"/>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(200)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(15,161)</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sale of land</w:t>
            </w:r>
          </w:p>
        </w:tc>
        <w:tc>
          <w:tcPr>
            <w:tcW w:w="30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34,072</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sales of marketable equity securities (see Note 2)</w:t>
            </w:r>
          </w:p>
        </w:tc>
        <w:tc>
          <w:tcPr>
            <w:tcW w:w="30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6,256</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the formation of a joint venture</w:t>
            </w:r>
          </w:p>
        </w:tc>
        <w:tc>
          <w:tcPr>
            <w:tcW w:w="30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3,232</w:t>
            </w:r>
          </w:p>
        </w:tc>
      </w:tr>
      <w:tr>
        <w:trPr>
          <w:trHeight w:val="274"/>
        </w:trPr>
        <w:tc>
          <w:tcPr>
            <w:tcW w:w="62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749</w:t>
            </w:r>
          </w:p>
        </w:tc>
        <w:tc>
          <w:tcPr>
            <w:tcW w:w="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572</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815</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1,865</w:t>
            </w:r>
          </w:p>
        </w:tc>
      </w:tr>
      <w:tr>
        <w:trPr>
          <w:trHeight w:val="26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Other Non-Operating Income (Expense)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1,963</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(18,225)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6,881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15,871</w:t>
            </w: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In the third quarter of 2016, the Company recorded an impairment of $15.0 million to the preferred equity interest in a vocational school company.</w:t>
      </w:r>
    </w:p>
    <w:p>
      <w:pPr>
        <w:spacing w:after="0" w:line="92"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In the second quarter of 2016, the Company sold the remaining portion of the Robinson Terminal real estate retained from the sale of the Publishing Subsidiaries, for a gain of $34.1 million.</w:t>
      </w:r>
    </w:p>
    <w:p>
      <w:pPr>
        <w:spacing w:after="0" w:line="9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In June 2016, Residential contributed assets to a joint venture entered into with a Michigan hospital in exchange for a 40% equity interest and other assets, resulting in a $3.2 million gain (see Note 3). The Company used an income and market approach to value the equity interest. The measurement of the equity interest in the joint venture is classified as a Level 3 fair value assessment due to the significance of unobservable inputs developed in the determination of the fair value.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2016, Kaplan sold Colloquy, which was a part of Kaplan corporate and other, for a gain of $18.9 million.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10. ACCUMULATED OTHER COMPREHENSIVE INCOME (LOSS)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consists of the following components: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6"/>
          </w:tcPr>
          <w:p>
            <w:pPr>
              <w:ind w:left="660"/>
              <w:spacing w:after="0"/>
              <w:rPr>
                <w:sz w:val="20"/>
                <w:szCs w:val="20"/>
                <w:color w:val="auto"/>
              </w:rPr>
            </w:pPr>
            <w:r>
              <w:rPr>
                <w:rFonts w:ascii="Arial" w:cs="Arial" w:eastAsia="Arial" w:hAnsi="Arial"/>
                <w:sz w:val="14"/>
                <w:szCs w:val="14"/>
                <w:b w:val="1"/>
                <w:bCs w:val="1"/>
                <w:color w:val="auto"/>
              </w:rPr>
              <w:t>Three Months Ended September 30</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9"/>
        </w:trPr>
        <w:tc>
          <w:tcPr>
            <w:tcW w:w="5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rPr>
              <w:t>2016</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63"/>
        </w:trPr>
        <w:tc>
          <w:tcPr>
            <w:tcW w:w="5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center"/>
              <w:ind w:right="102"/>
              <w:spacing w:after="0"/>
              <w:rPr>
                <w:sz w:val="20"/>
                <w:szCs w:val="20"/>
                <w:color w:val="auto"/>
              </w:rPr>
            </w:pPr>
            <w:r>
              <w:rPr>
                <w:rFonts w:ascii="Arial" w:cs="Arial" w:eastAsia="Arial" w:hAnsi="Arial"/>
                <w:sz w:val="14"/>
                <w:szCs w:val="14"/>
                <w:b w:val="1"/>
                <w:bCs w:val="1"/>
                <w:color w:val="auto"/>
              </w:rPr>
              <w:t>Before-Tax</w:t>
            </w:r>
          </w:p>
        </w:tc>
        <w:tc>
          <w:tcPr>
            <w:tcW w:w="240" w:type="dxa"/>
            <w:vAlign w:val="bottom"/>
          </w:tcPr>
          <w:p>
            <w:pPr>
              <w:spacing w:after="0"/>
              <w:rPr>
                <w:sz w:val="22"/>
                <w:szCs w:val="22"/>
                <w:color w:val="auto"/>
              </w:rPr>
            </w:pPr>
          </w:p>
        </w:tc>
        <w:tc>
          <w:tcPr>
            <w:tcW w:w="700" w:type="dxa"/>
            <w:vAlign w:val="bottom"/>
          </w:tcPr>
          <w:p>
            <w:pPr>
              <w:ind w:left="40"/>
              <w:spacing w:after="0"/>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22"/>
                <w:szCs w:val="22"/>
                <w:color w:val="auto"/>
              </w:rPr>
            </w:pPr>
          </w:p>
        </w:tc>
        <w:tc>
          <w:tcPr>
            <w:tcW w:w="820" w:type="dxa"/>
            <w:vAlign w:val="bottom"/>
          </w:tcPr>
          <w:p>
            <w:pPr>
              <w:jc w:val="center"/>
              <w:ind w:right="82"/>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22"/>
                <w:szCs w:val="22"/>
                <w:color w:val="auto"/>
              </w:rPr>
            </w:pPr>
          </w:p>
        </w:tc>
        <w:tc>
          <w:tcPr>
            <w:tcW w:w="1020" w:type="dxa"/>
            <w:vAlign w:val="bottom"/>
          </w:tcPr>
          <w:p>
            <w:pPr>
              <w:jc w:val="center"/>
              <w:ind w:right="182"/>
              <w:spacing w:after="0"/>
              <w:rPr>
                <w:sz w:val="20"/>
                <w:szCs w:val="20"/>
                <w:color w:val="auto"/>
              </w:rPr>
            </w:pPr>
            <w:r>
              <w:rPr>
                <w:rFonts w:ascii="Arial" w:cs="Arial" w:eastAsia="Arial" w:hAnsi="Arial"/>
                <w:sz w:val="14"/>
                <w:szCs w:val="14"/>
                <w:color w:val="auto"/>
                <w:w w:val="98"/>
              </w:rPr>
              <w:t>Before-Tax</w:t>
            </w:r>
          </w:p>
        </w:tc>
        <w:tc>
          <w:tcPr>
            <w:tcW w:w="140" w:type="dxa"/>
            <w:vAlign w:val="bottom"/>
          </w:tcPr>
          <w:p>
            <w:pPr>
              <w:spacing w:after="0"/>
              <w:rPr>
                <w:sz w:val="22"/>
                <w:szCs w:val="22"/>
                <w:color w:val="auto"/>
              </w:rPr>
            </w:pPr>
          </w:p>
        </w:tc>
        <w:tc>
          <w:tcPr>
            <w:tcW w:w="780" w:type="dxa"/>
            <w:vAlign w:val="bottom"/>
          </w:tcPr>
          <w:p>
            <w:pPr>
              <w:jc w:val="center"/>
              <w:ind w:right="123"/>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22"/>
                <w:szCs w:val="22"/>
                <w:color w:val="auto"/>
              </w:rPr>
            </w:pPr>
          </w:p>
        </w:tc>
        <w:tc>
          <w:tcPr>
            <w:tcW w:w="860" w:type="dxa"/>
            <w:vAlign w:val="bottom"/>
          </w:tcPr>
          <w:p>
            <w:pPr>
              <w:jc w:val="center"/>
              <w:ind w:right="82"/>
              <w:spacing w:after="0"/>
              <w:rPr>
                <w:sz w:val="20"/>
                <w:szCs w:val="20"/>
                <w:color w:val="auto"/>
              </w:rPr>
            </w:pPr>
            <w:r>
              <w:rPr>
                <w:rFonts w:ascii="Arial" w:cs="Arial" w:eastAsia="Arial" w:hAnsi="Arial"/>
                <w:sz w:val="14"/>
                <w:szCs w:val="14"/>
                <w:color w:val="auto"/>
              </w:rPr>
              <w:t>After-Tax</w:t>
            </w:r>
          </w:p>
        </w:tc>
      </w:tr>
      <w:tr>
        <w:trPr>
          <w:trHeight w:val="26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Tax</w:t>
            </w: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color w:val="auto"/>
                <w:w w:val="99"/>
              </w:rPr>
              <w:t>Amount</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w w:val="94"/>
              </w:rPr>
              <w:t>Tax</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r>
      <w:tr>
        <w:trPr>
          <w:trHeight w:val="252"/>
        </w:trPr>
        <w:tc>
          <w:tcPr>
            <w:tcW w:w="504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8"/>
        </w:trPr>
        <w:tc>
          <w:tcPr>
            <w:tcW w:w="5040" w:type="dxa"/>
            <w:vAlign w:val="bottom"/>
          </w:tcPr>
          <w:p>
            <w:pPr>
              <w:ind w:left="18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82"/>
              <w:spacing w:after="0"/>
              <w:rPr>
                <w:sz w:val="20"/>
                <w:szCs w:val="20"/>
                <w:color w:val="auto"/>
              </w:rPr>
            </w:pPr>
            <w:r>
              <w:rPr>
                <w:rFonts w:ascii="Arial" w:cs="Arial" w:eastAsia="Arial" w:hAnsi="Arial"/>
                <w:sz w:val="16"/>
                <w:szCs w:val="16"/>
                <w:b w:val="1"/>
                <w:bCs w:val="1"/>
                <w:color w:val="auto"/>
              </w:rPr>
              <w:t>11,470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2"/>
              <w:spacing w:after="0"/>
              <w:rPr>
                <w:sz w:val="20"/>
                <w:szCs w:val="20"/>
                <w:color w:val="auto"/>
              </w:rPr>
            </w:pPr>
            <w:r>
              <w:rPr>
                <w:rFonts w:ascii="Arial" w:cs="Arial" w:eastAsia="Arial" w:hAnsi="Arial"/>
                <w:sz w:val="16"/>
                <w:szCs w:val="16"/>
                <w:b w:val="1"/>
                <w:bCs w:val="1"/>
                <w:color w:val="auto"/>
              </w:rPr>
              <w:t>11,470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(353)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262"/>
        </w:trPr>
        <w:tc>
          <w:tcPr>
            <w:tcW w:w="5040" w:type="dxa"/>
            <w:vAlign w:val="bottom"/>
          </w:tcPr>
          <w:p>
            <w:pPr>
              <w:ind w:left="40"/>
              <w:spacing w:after="0"/>
              <w:rPr>
                <w:sz w:val="20"/>
                <w:szCs w:val="20"/>
                <w:color w:val="auto"/>
              </w:rPr>
            </w:pPr>
            <w:r>
              <w:rPr>
                <w:rFonts w:ascii="Arial" w:cs="Arial" w:eastAsia="Arial" w:hAnsi="Arial"/>
                <w:sz w:val="16"/>
                <w:szCs w:val="16"/>
                <w:color w:val="auto"/>
              </w:rPr>
              <w:t>Unrealized gains on available-for-sale securities:</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8"/>
        </w:trPr>
        <w:tc>
          <w:tcPr>
            <w:tcW w:w="5040" w:type="dxa"/>
            <w:vAlign w:val="bottom"/>
          </w:tcPr>
          <w:p>
            <w:pPr>
              <w:ind w:left="180"/>
              <w:spacing w:after="0"/>
              <w:rPr>
                <w:sz w:val="20"/>
                <w:szCs w:val="20"/>
                <w:color w:val="auto"/>
              </w:rPr>
            </w:pPr>
            <w:r>
              <w:rPr>
                <w:rFonts w:ascii="Arial" w:cs="Arial" w:eastAsia="Arial" w:hAnsi="Arial"/>
                <w:sz w:val="16"/>
                <w:szCs w:val="16"/>
                <w:color w:val="auto"/>
              </w:rPr>
              <w:t>Unrealized gains for the period, net</w:t>
            </w:r>
          </w:p>
        </w:tc>
        <w:tc>
          <w:tcPr>
            <w:tcW w:w="140" w:type="dxa"/>
            <w:vAlign w:val="bottom"/>
          </w:tcPr>
          <w:p>
            <w:pPr>
              <w:spacing w:after="0"/>
              <w:rPr>
                <w:sz w:val="24"/>
                <w:szCs w:val="24"/>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b w:val="1"/>
                <w:bCs w:val="1"/>
                <w:color w:val="auto"/>
              </w:rPr>
              <w:t>47,836</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(19,134)</w:t>
            </w:r>
          </w:p>
        </w:tc>
        <w:tc>
          <w:tcPr>
            <w:tcW w:w="280" w:type="dxa"/>
            <w:vAlign w:val="bottom"/>
          </w:tcPr>
          <w:p>
            <w:pPr>
              <w:spacing w:after="0"/>
              <w:rPr>
                <w:sz w:val="24"/>
                <w:szCs w:val="24"/>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b w:val="1"/>
                <w:bCs w:val="1"/>
                <w:color w:val="auto"/>
              </w:rPr>
              <w:t>28,702</w:t>
            </w:r>
          </w:p>
        </w:tc>
        <w:tc>
          <w:tcPr>
            <w:tcW w:w="200" w:type="dxa"/>
            <w:vAlign w:val="bottom"/>
          </w:tcPr>
          <w:p>
            <w:pPr>
              <w:spacing w:after="0"/>
              <w:rPr>
                <w:sz w:val="24"/>
                <w:szCs w:val="24"/>
                <w:color w:val="auto"/>
              </w:rPr>
            </w:pPr>
          </w:p>
        </w:tc>
        <w:tc>
          <w:tcPr>
            <w:tcW w:w="1020" w:type="dxa"/>
            <w:vAlign w:val="bottom"/>
          </w:tcPr>
          <w:p>
            <w:pPr>
              <w:jc w:val="right"/>
              <w:ind w:right="162"/>
              <w:spacing w:after="0"/>
              <w:rPr>
                <w:sz w:val="20"/>
                <w:szCs w:val="20"/>
                <w:color w:val="auto"/>
              </w:rPr>
            </w:pPr>
            <w:r>
              <w:rPr>
                <w:rFonts w:ascii="Arial" w:cs="Arial" w:eastAsia="Arial" w:hAnsi="Arial"/>
                <w:sz w:val="16"/>
                <w:szCs w:val="16"/>
                <w:color w:val="auto"/>
              </w:rPr>
              <w:t>12,154</w:t>
            </w:r>
          </w:p>
        </w:tc>
        <w:tc>
          <w:tcPr>
            <w:tcW w:w="14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(4,862)</w:t>
            </w:r>
          </w:p>
        </w:tc>
        <w:tc>
          <w:tcPr>
            <w:tcW w:w="240" w:type="dxa"/>
            <w:vAlign w:val="bottom"/>
          </w:tcPr>
          <w:p>
            <w:pPr>
              <w:spacing w:after="0"/>
              <w:rPr>
                <w:sz w:val="24"/>
                <w:szCs w:val="24"/>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7,292</w:t>
            </w:r>
          </w:p>
        </w:tc>
      </w:tr>
      <w:tr>
        <w:trPr>
          <w:trHeight w:val="262"/>
        </w:trPr>
        <w:tc>
          <w:tcPr>
            <w:tcW w:w="5040" w:type="dxa"/>
            <w:vAlign w:val="bottom"/>
          </w:tcPr>
          <w:p>
            <w:pPr>
              <w:ind w:left="40"/>
              <w:spacing w:after="0"/>
              <w:rPr>
                <w:sz w:val="20"/>
                <w:szCs w:val="20"/>
                <w:color w:val="auto"/>
              </w:rPr>
            </w:pPr>
            <w:r>
              <w:rPr>
                <w:rFonts w:ascii="Arial" w:cs="Arial" w:eastAsia="Arial" w:hAnsi="Arial"/>
                <w:sz w:val="16"/>
                <w:szCs w:val="16"/>
                <w:color w:val="auto"/>
              </w:rPr>
              <w:t>Pension and other postretirement plans:</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8"/>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prior service cost included in net income</w:t>
            </w:r>
          </w:p>
        </w:tc>
        <w:tc>
          <w:tcPr>
            <w:tcW w:w="140" w:type="dxa"/>
            <w:vAlign w:val="bottom"/>
          </w:tcPr>
          <w:p>
            <w:pPr>
              <w:spacing w:after="0"/>
              <w:rPr>
                <w:sz w:val="24"/>
                <w:szCs w:val="24"/>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b w:val="1"/>
                <w:bCs w:val="1"/>
                <w:color w:val="auto"/>
              </w:rPr>
              <w:t>118</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280" w:type="dxa"/>
            <w:vAlign w:val="bottom"/>
          </w:tcPr>
          <w:p>
            <w:pPr>
              <w:spacing w:after="0"/>
              <w:rPr>
                <w:sz w:val="24"/>
                <w:szCs w:val="24"/>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b w:val="1"/>
                <w:bCs w:val="1"/>
                <w:color w:val="auto"/>
              </w:rPr>
              <w:t>71</w:t>
            </w:r>
          </w:p>
        </w:tc>
        <w:tc>
          <w:tcPr>
            <w:tcW w:w="200" w:type="dxa"/>
            <w:vAlign w:val="bottom"/>
          </w:tcPr>
          <w:p>
            <w:pPr>
              <w:spacing w:after="0"/>
              <w:rPr>
                <w:sz w:val="24"/>
                <w:szCs w:val="24"/>
                <w:color w:val="auto"/>
              </w:rPr>
            </w:pPr>
          </w:p>
        </w:tc>
        <w:tc>
          <w:tcPr>
            <w:tcW w:w="1020" w:type="dxa"/>
            <w:vAlign w:val="bottom"/>
          </w:tcPr>
          <w:p>
            <w:pPr>
              <w:jc w:val="right"/>
              <w:ind w:right="162"/>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24"/>
                <w:szCs w:val="24"/>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64</w:t>
            </w:r>
          </w:p>
        </w:tc>
      </w:tr>
      <w:tr>
        <w:trPr>
          <w:trHeight w:val="274"/>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actuarial (gain) loss included in net income</w:t>
            </w: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(1,567)</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627</w:t>
            </w: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(940)</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289</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(116)</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173</w:t>
            </w:r>
          </w:p>
        </w:tc>
      </w:tr>
      <w:tr>
        <w:trPr>
          <w:trHeight w:val="261"/>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(1,449)</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580</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(869)</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394</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(157)</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237</w:t>
            </w:r>
          </w:p>
        </w:tc>
      </w:tr>
      <w:tr>
        <w:trPr>
          <w:trHeight w:val="255"/>
        </w:trPr>
        <w:tc>
          <w:tcPr>
            <w:tcW w:w="5040" w:type="dxa"/>
            <w:vAlign w:val="bottom"/>
          </w:tcPr>
          <w:p>
            <w:pPr>
              <w:ind w:left="40"/>
              <w:spacing w:after="0"/>
              <w:rPr>
                <w:sz w:val="20"/>
                <w:szCs w:val="20"/>
                <w:color w:val="auto"/>
              </w:rPr>
            </w:pPr>
            <w:r>
              <w:rPr>
                <w:rFonts w:ascii="Arial" w:cs="Arial" w:eastAsia="Arial" w:hAnsi="Arial"/>
                <w:sz w:val="16"/>
                <w:szCs w:val="16"/>
                <w:color w:val="auto"/>
              </w:rPr>
              <w:t>Cash flow hedge:</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82"/>
        </w:trPr>
        <w:tc>
          <w:tcPr>
            <w:tcW w:w="5040" w:type="dxa"/>
            <w:vAlign w:val="bottom"/>
          </w:tcPr>
          <w:p>
            <w:pPr>
              <w:ind w:left="180"/>
              <w:spacing w:after="0"/>
              <w:rPr>
                <w:sz w:val="20"/>
                <w:szCs w:val="20"/>
                <w:color w:val="auto"/>
              </w:rPr>
            </w:pPr>
            <w:r>
              <w:rPr>
                <w:rFonts w:ascii="Arial" w:cs="Arial" w:eastAsia="Arial" w:hAnsi="Arial"/>
                <w:sz w:val="16"/>
                <w:szCs w:val="16"/>
                <w:color w:val="auto"/>
              </w:rPr>
              <w:t>(Loss) gain for the period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(72)</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(58)</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49</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29</w:t>
            </w:r>
          </w:p>
        </w:tc>
      </w:tr>
      <w:tr>
        <w:trPr>
          <w:trHeight w:val="26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57,785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(18,540)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39,245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12,244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(5,039)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7,205</w:t>
            </w: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31"/>
        </w:trPr>
        <w:tc>
          <w:tcPr>
            <w:tcW w:w="5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rPr>
              <w:t>2016</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63"/>
        </w:trPr>
        <w:tc>
          <w:tcPr>
            <w:tcW w:w="5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center"/>
              <w:ind w:right="102"/>
              <w:spacing w:after="0"/>
              <w:rPr>
                <w:sz w:val="20"/>
                <w:szCs w:val="20"/>
                <w:color w:val="auto"/>
              </w:rPr>
            </w:pPr>
            <w:r>
              <w:rPr>
                <w:rFonts w:ascii="Arial" w:cs="Arial" w:eastAsia="Arial" w:hAnsi="Arial"/>
                <w:sz w:val="14"/>
                <w:szCs w:val="14"/>
                <w:b w:val="1"/>
                <w:bCs w:val="1"/>
                <w:color w:val="auto"/>
              </w:rPr>
              <w:t>Before-Tax</w:t>
            </w:r>
          </w:p>
        </w:tc>
        <w:tc>
          <w:tcPr>
            <w:tcW w:w="240" w:type="dxa"/>
            <w:vAlign w:val="bottom"/>
          </w:tcPr>
          <w:p>
            <w:pPr>
              <w:spacing w:after="0"/>
              <w:rPr>
                <w:sz w:val="22"/>
                <w:szCs w:val="22"/>
                <w:color w:val="auto"/>
              </w:rPr>
            </w:pPr>
          </w:p>
        </w:tc>
        <w:tc>
          <w:tcPr>
            <w:tcW w:w="700" w:type="dxa"/>
            <w:vAlign w:val="bottom"/>
          </w:tcPr>
          <w:p>
            <w:pPr>
              <w:ind w:left="40"/>
              <w:spacing w:after="0"/>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22"/>
                <w:szCs w:val="22"/>
                <w:color w:val="auto"/>
              </w:rPr>
            </w:pPr>
          </w:p>
        </w:tc>
        <w:tc>
          <w:tcPr>
            <w:tcW w:w="820" w:type="dxa"/>
            <w:vAlign w:val="bottom"/>
          </w:tcPr>
          <w:p>
            <w:pPr>
              <w:jc w:val="center"/>
              <w:ind w:right="82"/>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22"/>
                <w:szCs w:val="22"/>
                <w:color w:val="auto"/>
              </w:rPr>
            </w:pPr>
          </w:p>
        </w:tc>
        <w:tc>
          <w:tcPr>
            <w:tcW w:w="1020" w:type="dxa"/>
            <w:vAlign w:val="bottom"/>
          </w:tcPr>
          <w:p>
            <w:pPr>
              <w:jc w:val="center"/>
              <w:ind w:right="182"/>
              <w:spacing w:after="0"/>
              <w:rPr>
                <w:sz w:val="20"/>
                <w:szCs w:val="20"/>
                <w:color w:val="auto"/>
              </w:rPr>
            </w:pPr>
            <w:r>
              <w:rPr>
                <w:rFonts w:ascii="Arial" w:cs="Arial" w:eastAsia="Arial" w:hAnsi="Arial"/>
                <w:sz w:val="14"/>
                <w:szCs w:val="14"/>
                <w:color w:val="auto"/>
                <w:w w:val="98"/>
              </w:rPr>
              <w:t>Before-Tax</w:t>
            </w:r>
          </w:p>
        </w:tc>
        <w:tc>
          <w:tcPr>
            <w:tcW w:w="140" w:type="dxa"/>
            <w:vAlign w:val="bottom"/>
          </w:tcPr>
          <w:p>
            <w:pPr>
              <w:spacing w:after="0"/>
              <w:rPr>
                <w:sz w:val="22"/>
                <w:szCs w:val="22"/>
                <w:color w:val="auto"/>
              </w:rPr>
            </w:pPr>
          </w:p>
        </w:tc>
        <w:tc>
          <w:tcPr>
            <w:tcW w:w="780" w:type="dxa"/>
            <w:vAlign w:val="bottom"/>
          </w:tcPr>
          <w:p>
            <w:pPr>
              <w:jc w:val="center"/>
              <w:ind w:right="123"/>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22"/>
                <w:szCs w:val="22"/>
                <w:color w:val="auto"/>
              </w:rPr>
            </w:pPr>
          </w:p>
        </w:tc>
        <w:tc>
          <w:tcPr>
            <w:tcW w:w="860" w:type="dxa"/>
            <w:vAlign w:val="bottom"/>
          </w:tcPr>
          <w:p>
            <w:pPr>
              <w:jc w:val="center"/>
              <w:ind w:right="82"/>
              <w:spacing w:after="0"/>
              <w:rPr>
                <w:sz w:val="20"/>
                <w:szCs w:val="20"/>
                <w:color w:val="auto"/>
              </w:rPr>
            </w:pPr>
            <w:r>
              <w:rPr>
                <w:rFonts w:ascii="Arial" w:cs="Arial" w:eastAsia="Arial" w:hAnsi="Arial"/>
                <w:sz w:val="14"/>
                <w:szCs w:val="14"/>
                <w:color w:val="auto"/>
              </w:rPr>
              <w:t>After-Tax</w:t>
            </w:r>
          </w:p>
        </w:tc>
      </w:tr>
      <w:tr>
        <w:trPr>
          <w:trHeight w:val="26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Tax</w:t>
            </w: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color w:val="auto"/>
                <w:w w:val="99"/>
              </w:rPr>
              <w:t>Amount</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w w:val="94"/>
              </w:rPr>
              <w:t>Tax</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r>
    </w:tbl>
    <w:p>
      <w:pPr>
        <w:spacing w:after="0" w:line="36" w:lineRule="exact"/>
        <w:rPr>
          <w:sz w:val="20"/>
          <w:szCs w:val="20"/>
          <w:color w:val="auto"/>
        </w:rPr>
      </w:pPr>
    </w:p>
    <w:p>
      <w:pPr>
        <w:sectPr>
          <w:pgSz w:w="11900" w:h="16838" w:orient="portrait"/>
          <w:cols w:equalWidth="0" w:num="1">
            <w:col w:w="11420"/>
          </w:cols>
          <w:pgMar w:left="240" w:top="695" w:right="239" w:bottom="144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for the period, net</w:t>
      </w:r>
    </w:p>
    <w:p>
      <w:pPr>
        <w:spacing w:after="0" w:line="59" w:lineRule="exact"/>
        <w:rPr>
          <w:sz w:val="20"/>
          <w:szCs w:val="20"/>
          <w:color w:val="auto"/>
        </w:rPr>
      </w:pPr>
    </w:p>
    <w:p>
      <w:pPr>
        <w:ind w:left="340" w:right="160" w:hanging="161"/>
        <w:spacing w:after="0" w:line="291" w:lineRule="auto"/>
        <w:rPr>
          <w:sz w:val="20"/>
          <w:szCs w:val="20"/>
          <w:color w:val="auto"/>
        </w:rPr>
      </w:pPr>
      <w:r>
        <w:rPr>
          <w:rFonts w:ascii="Arial" w:cs="Arial" w:eastAsia="Arial" w:hAnsi="Arial"/>
          <w:sz w:val="16"/>
          <w:szCs w:val="16"/>
          <w:color w:val="auto"/>
        </w:rPr>
        <w:t>Reclassification of realized gain on sale of available-for-sale securities included in net income</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line="397" w:lineRule="auto"/>
        <w:rPr>
          <w:sz w:val="20"/>
          <w:szCs w:val="20"/>
          <w:color w:val="auto"/>
        </w:rPr>
      </w:pPr>
      <w:r>
        <w:rPr>
          <w:rFonts w:ascii="Arial" w:cs="Arial" w:eastAsia="Arial" w:hAnsi="Arial"/>
          <w:sz w:val="16"/>
          <w:szCs w:val="16"/>
          <w:color w:val="auto"/>
        </w:rPr>
        <w:t>Amortization of net prior service cost included in net income Amortization of net actuarial (gain) loss included in net income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(Loss) gain for the period</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34,776</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34,776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(1,629)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(1,629)</w:t>
            </w:r>
          </w:p>
        </w:tc>
      </w:tr>
      <w:tr>
        <w:trPr>
          <w:trHeight w:val="540"/>
        </w:trPr>
        <w:tc>
          <w:tcPr>
            <w:tcW w:w="24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71,370</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(28,548)</w:t>
            </w:r>
          </w:p>
        </w:tc>
        <w:tc>
          <w:tcPr>
            <w:tcW w:w="280" w:type="dxa"/>
            <w:vAlign w:val="bottom"/>
          </w:tcPr>
          <w:p>
            <w:pPr>
              <w:spacing w:after="0"/>
              <w:rPr>
                <w:sz w:val="24"/>
                <w:szCs w:val="24"/>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42,822</w:t>
            </w:r>
          </w:p>
        </w:tc>
        <w:tc>
          <w:tcPr>
            <w:tcW w:w="36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7,190</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(2,876)</w:t>
            </w:r>
          </w:p>
        </w:tc>
        <w:tc>
          <w:tcPr>
            <w:tcW w:w="3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4,314</w:t>
            </w:r>
          </w:p>
        </w:tc>
      </w:tr>
      <w:tr>
        <w:trPr>
          <w:trHeight w:val="436"/>
        </w:trPr>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(6,256)</w:t>
            </w: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2,502</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(3,754)</w:t>
            </w:r>
          </w:p>
        </w:tc>
      </w:tr>
      <w:tr>
        <w:trPr>
          <w:trHeight w:val="264"/>
        </w:trPr>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71,370</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(28,548)</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42,822</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934</w:t>
            </w: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560</w:t>
            </w:r>
          </w:p>
        </w:tc>
      </w:tr>
      <w:tr>
        <w:trPr>
          <w:trHeight w:val="530"/>
        </w:trPr>
        <w:tc>
          <w:tcPr>
            <w:tcW w:w="24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358</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(143)</w:t>
            </w:r>
          </w:p>
        </w:tc>
        <w:tc>
          <w:tcPr>
            <w:tcW w:w="280" w:type="dxa"/>
            <w:vAlign w:val="bottom"/>
          </w:tcPr>
          <w:p>
            <w:pPr>
              <w:spacing w:after="0"/>
              <w:rPr>
                <w:sz w:val="24"/>
                <w:szCs w:val="24"/>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215</w:t>
            </w:r>
          </w:p>
        </w:tc>
        <w:tc>
          <w:tcPr>
            <w:tcW w:w="36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314</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w:t>
            </w:r>
          </w:p>
        </w:tc>
        <w:tc>
          <w:tcPr>
            <w:tcW w:w="3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189</w:t>
            </w:r>
          </w:p>
        </w:tc>
      </w:tr>
      <w:tr>
        <w:trPr>
          <w:trHeight w:val="274"/>
        </w:trPr>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(4,958)</w:t>
            </w: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1,983</w:t>
            </w: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(2,975)</w:t>
            </w: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868</w:t>
            </w:r>
          </w:p>
        </w:tc>
        <w:tc>
          <w:tcPr>
            <w:tcW w:w="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3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521</w:t>
            </w:r>
          </w:p>
        </w:tc>
      </w:tr>
      <w:tr>
        <w:trPr>
          <w:trHeight w:val="264"/>
        </w:trPr>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(4,600)</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1,840</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(2,760)</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1,182</w:t>
            </w: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710</w:t>
            </w:r>
          </w:p>
        </w:tc>
      </w:tr>
      <w:tr>
        <w:trPr>
          <w:trHeight w:val="534"/>
        </w:trPr>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(215)</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43</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(172)</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w:t>
            </w: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r>
      <w:tr>
        <w:trPr>
          <w:trHeight w:val="264"/>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101,331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(26,665)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74,666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2">
            <w:col w:w="4620" w:space="420"/>
            <w:col w:w="6380"/>
          </w:cols>
          <w:pgMar w:left="240" w:top="695"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on Pensions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1340" w:type="dxa"/>
            <w:vAlign w:val="bottom"/>
          </w:tcPr>
          <w:p>
            <w:pPr>
              <w:jc w:val="center"/>
              <w:ind w:right="82"/>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1360" w:type="dxa"/>
            <w:vAlign w:val="bottom"/>
          </w:tcPr>
          <w:p>
            <w:pPr>
              <w:jc w:val="center"/>
              <w:ind w:right="83"/>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Other</w:t>
            </w: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340" w:type="dxa"/>
            <w:vAlign w:val="bottom"/>
          </w:tcPr>
          <w:p>
            <w:pPr>
              <w:jc w:val="center"/>
              <w:ind w:right="82"/>
              <w:spacing w:after="0"/>
              <w:rPr>
                <w:sz w:val="20"/>
                <w:szCs w:val="20"/>
                <w:color w:val="auto"/>
              </w:rPr>
            </w:pPr>
            <w:r>
              <w:rPr>
                <w:rFonts w:ascii="Arial" w:cs="Arial" w:eastAsia="Arial" w:hAnsi="Arial"/>
                <w:sz w:val="14"/>
                <w:szCs w:val="14"/>
                <w:b w:val="1"/>
                <w:bCs w:val="1"/>
                <w:color w:val="auto"/>
              </w:rPr>
              <w:t>on Available-for-</w:t>
            </w:r>
          </w:p>
        </w:tc>
        <w:tc>
          <w:tcPr>
            <w:tcW w:w="24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Postretirement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4"/>
                <w:szCs w:val="14"/>
                <w:color w:val="auto"/>
              </w:rPr>
            </w:pPr>
          </w:p>
        </w:tc>
        <w:tc>
          <w:tcPr>
            <w:tcW w:w="1320" w:type="dxa"/>
            <w:vAlign w:val="bottom"/>
          </w:tcPr>
          <w:p>
            <w:pPr>
              <w:jc w:val="center"/>
              <w:ind w:right="83"/>
              <w:spacing w:after="0"/>
              <w:rPr>
                <w:sz w:val="20"/>
                <w:szCs w:val="20"/>
                <w:color w:val="auto"/>
              </w:rPr>
            </w:pPr>
            <w:r>
              <w:rPr>
                <w:rFonts w:ascii="Arial" w:cs="Arial" w:eastAsia="Arial" w:hAnsi="Arial"/>
                <w:sz w:val="14"/>
                <w:szCs w:val="14"/>
                <w:b w:val="1"/>
                <w:bCs w:val="1"/>
                <w:color w:val="auto"/>
              </w:rPr>
              <w:t>Comprehensive</w:t>
            </w:r>
          </w:p>
        </w:tc>
      </w:tr>
      <w:tr>
        <w:trPr>
          <w:trHeight w:val="203"/>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Sale Securities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Plans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Hedge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Income</w:t>
            </w:r>
          </w:p>
        </w:tc>
      </w:tr>
      <w:tr>
        <w:trPr>
          <w:trHeight w:val="249"/>
        </w:trPr>
        <w:tc>
          <w:tcPr>
            <w:tcW w:w="4360" w:type="dxa"/>
            <w:vAlign w:val="bottom"/>
          </w:tcPr>
          <w:p>
            <w:pPr>
              <w:ind w:left="40"/>
              <w:spacing w:after="0"/>
              <w:rPr>
                <w:sz w:val="20"/>
                <w:szCs w:val="20"/>
                <w:color w:val="auto"/>
              </w:rPr>
            </w:pPr>
            <w:r>
              <w:rPr>
                <w:rFonts w:ascii="Arial" w:cs="Arial" w:eastAsia="Arial" w:hAnsi="Arial"/>
                <w:sz w:val="16"/>
                <w:szCs w:val="16"/>
                <w:color w:val="auto"/>
              </w:rPr>
              <w:t>Balance as of December 31, 2016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(26,998)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92,931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3"/>
              <w:spacing w:after="0"/>
              <w:rPr>
                <w:sz w:val="20"/>
                <w:szCs w:val="20"/>
                <w:color w:val="auto"/>
              </w:rPr>
            </w:pPr>
            <w:r>
              <w:rPr>
                <w:rFonts w:ascii="Arial" w:cs="Arial" w:eastAsia="Arial" w:hAnsi="Arial"/>
                <w:sz w:val="16"/>
                <w:szCs w:val="16"/>
                <w:color w:val="auto"/>
              </w:rPr>
              <w:t>170,830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(277)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236,486</w:t>
            </w:r>
          </w:p>
        </w:tc>
      </w:tr>
      <w:tr>
        <w:trPr>
          <w:trHeight w:val="211"/>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income (loss) before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4360" w:type="dxa"/>
            <w:vAlign w:val="bottom"/>
          </w:tcPr>
          <w:p>
            <w:pPr>
              <w:ind w:left="260"/>
              <w:spacing w:after="0"/>
              <w:rPr>
                <w:sz w:val="20"/>
                <w:szCs w:val="20"/>
                <w:color w:val="auto"/>
              </w:rPr>
            </w:pPr>
            <w:r>
              <w:rPr>
                <w:rFonts w:ascii="Arial" w:cs="Arial" w:eastAsia="Arial" w:hAnsi="Arial"/>
                <w:sz w:val="16"/>
                <w:szCs w:val="16"/>
                <w:b w:val="1"/>
                <w:bCs w:val="1"/>
                <w:color w:val="auto"/>
              </w:rPr>
              <w:t>reclassifications</w:t>
            </w:r>
          </w:p>
        </w:tc>
        <w:tc>
          <w:tcPr>
            <w:tcW w:w="180" w:type="dxa"/>
            <w:vAlign w:val="bottom"/>
          </w:tcPr>
          <w:p>
            <w:pPr>
              <w:spacing w:after="0"/>
              <w:rPr>
                <w:sz w:val="19"/>
                <w:szCs w:val="19"/>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b w:val="1"/>
                <w:bCs w:val="1"/>
                <w:color w:val="auto"/>
              </w:rPr>
              <w:t>34,776</w:t>
            </w:r>
          </w:p>
        </w:tc>
        <w:tc>
          <w:tcPr>
            <w:tcW w:w="220" w:type="dxa"/>
            <w:vAlign w:val="bottom"/>
          </w:tcPr>
          <w:p>
            <w:pPr>
              <w:spacing w:after="0"/>
              <w:rPr>
                <w:sz w:val="19"/>
                <w:szCs w:val="19"/>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b w:val="1"/>
                <w:bCs w:val="1"/>
                <w:color w:val="auto"/>
              </w:rPr>
              <w:t>42,822</w:t>
            </w:r>
          </w:p>
        </w:tc>
        <w:tc>
          <w:tcPr>
            <w:tcW w:w="240" w:type="dxa"/>
            <w:vAlign w:val="bottom"/>
          </w:tcPr>
          <w:p>
            <w:pPr>
              <w:spacing w:after="0"/>
              <w:rPr>
                <w:sz w:val="19"/>
                <w:szCs w:val="19"/>
                <w:color w:val="auto"/>
              </w:rPr>
            </w:pPr>
          </w:p>
        </w:tc>
        <w:tc>
          <w:tcPr>
            <w:tcW w:w="1360" w:type="dxa"/>
            <w:vAlign w:val="bottom"/>
          </w:tcPr>
          <w:p>
            <w:pPr>
              <w:jc w:val="right"/>
              <w:ind w:right="63"/>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(270)</w:t>
            </w:r>
          </w:p>
        </w:tc>
        <w:tc>
          <w:tcPr>
            <w:tcW w:w="220" w:type="dxa"/>
            <w:vAlign w:val="bottom"/>
          </w:tcPr>
          <w:p>
            <w:pPr>
              <w:spacing w:after="0"/>
              <w:rPr>
                <w:sz w:val="19"/>
                <w:szCs w:val="19"/>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b w:val="1"/>
                <w:bCs w:val="1"/>
                <w:color w:val="auto"/>
              </w:rPr>
              <w:t>77,328</w:t>
            </w:r>
          </w:p>
        </w:tc>
      </w:tr>
      <w:tr>
        <w:trPr>
          <w:trHeight w:val="204"/>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2"/>
        </w:trPr>
        <w:tc>
          <w:tcPr>
            <w:tcW w:w="4360" w:type="dxa"/>
            <w:vAlign w:val="bottom"/>
          </w:tcPr>
          <w:p>
            <w:pPr>
              <w:ind w:left="260"/>
              <w:spacing w:after="0"/>
              <w:rPr>
                <w:sz w:val="20"/>
                <w:szCs w:val="20"/>
                <w:color w:val="auto"/>
              </w:rPr>
            </w:pPr>
            <w:r>
              <w:rPr>
                <w:rFonts w:ascii="Arial" w:cs="Arial" w:eastAsia="Arial" w:hAnsi="Arial"/>
                <w:sz w:val="16"/>
                <w:szCs w:val="16"/>
                <w:b w:val="1"/>
                <w:bCs w:val="1"/>
                <w:color w:val="auto"/>
              </w:rPr>
              <w:t>comprehensive income (loss)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(2,760)</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98</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(2,662)</w:t>
            </w:r>
          </w:p>
        </w:tc>
      </w:tr>
      <w:tr>
        <w:trPr>
          <w:trHeight w:val="264"/>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income (loss), net of tax</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34,776</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42,822</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(2,760)</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(172)</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74,666</w:t>
            </w:r>
          </w:p>
        </w:tc>
      </w:tr>
      <w:tr>
        <w:trPr>
          <w:trHeight w:val="267"/>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Balance as of September 30, 2017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7,778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135,753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168,070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(449)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311,152</w:t>
            </w: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5" w:right="239" w:bottom="1440" w:gutter="0" w:footer="0" w:header="0"/>
          <w:type w:val="continuous"/>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695"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02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Nine Months Ended</w:t>
            </w:r>
          </w:p>
        </w:tc>
        <w:tc>
          <w:tcPr>
            <w:tcW w:w="250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150"/>
        </w:trPr>
        <w:tc>
          <w:tcPr>
            <w:tcW w:w="4920" w:type="dxa"/>
            <w:vAlign w:val="bottom"/>
          </w:tcPr>
          <w:p>
            <w:pPr>
              <w:spacing w:after="0"/>
              <w:rPr>
                <w:sz w:val="13"/>
                <w:szCs w:val="13"/>
                <w:color w:val="auto"/>
              </w:rPr>
            </w:pPr>
          </w:p>
        </w:tc>
        <w:tc>
          <w:tcPr>
            <w:tcW w:w="2020" w:type="dxa"/>
            <w:vAlign w:val="bottom"/>
            <w:gridSpan w:val="2"/>
          </w:tcPr>
          <w:p>
            <w:pPr>
              <w:jc w:val="right"/>
              <w:ind w:right="448"/>
              <w:spacing w:after="0" w:line="151" w:lineRule="exact"/>
              <w:rPr>
                <w:sz w:val="20"/>
                <w:szCs w:val="20"/>
                <w:color w:val="auto"/>
              </w:rPr>
            </w:pPr>
            <w:r>
              <w:rPr>
                <w:rFonts w:ascii="Arial" w:cs="Arial" w:eastAsia="Arial" w:hAnsi="Arial"/>
                <w:sz w:val="14"/>
                <w:szCs w:val="14"/>
                <w:b w:val="1"/>
                <w:bCs w:val="1"/>
                <w:color w:val="auto"/>
              </w:rPr>
              <w:t>September 30</w:t>
            </w:r>
          </w:p>
        </w:tc>
        <w:tc>
          <w:tcPr>
            <w:tcW w:w="1980" w:type="dxa"/>
            <w:vAlign w:val="bottom"/>
            <w:gridSpan w:val="2"/>
          </w:tcPr>
          <w:p>
            <w:pPr>
              <w:jc w:val="right"/>
              <w:ind w:right="388"/>
              <w:spacing w:after="0" w:line="151" w:lineRule="exact"/>
              <w:rPr>
                <w:sz w:val="20"/>
                <w:szCs w:val="20"/>
                <w:color w:val="auto"/>
              </w:rPr>
            </w:pPr>
            <w:r>
              <w:rPr>
                <w:rFonts w:ascii="Arial" w:cs="Arial" w:eastAsia="Arial" w:hAnsi="Arial"/>
                <w:sz w:val="14"/>
                <w:szCs w:val="14"/>
                <w:b w:val="1"/>
                <w:bCs w:val="1"/>
                <w:color w:val="auto"/>
              </w:rPr>
              <w:t>September 30</w:t>
            </w:r>
          </w:p>
        </w:tc>
        <w:tc>
          <w:tcPr>
            <w:tcW w:w="2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500" w:type="dxa"/>
            <w:vAlign w:val="bottom"/>
            <w:vMerge w:val="restart"/>
          </w:tcPr>
          <w:p>
            <w:pPr>
              <w:jc w:val="center"/>
              <w:ind w:left="48"/>
              <w:spacing w:after="0" w:line="133" w:lineRule="exact"/>
              <w:rPr>
                <w:sz w:val="20"/>
                <w:szCs w:val="20"/>
                <w:color w:val="auto"/>
              </w:rPr>
            </w:pPr>
            <w:r>
              <w:rPr>
                <w:rFonts w:ascii="Arial" w:cs="Arial" w:eastAsia="Arial" w:hAnsi="Arial"/>
                <w:sz w:val="14"/>
                <w:szCs w:val="14"/>
                <w:b w:val="1"/>
                <w:bCs w:val="1"/>
                <w:color w:val="auto"/>
              </w:rPr>
              <w:t>Condensed Consolidated</w:t>
            </w:r>
          </w:p>
        </w:tc>
        <w:tc>
          <w:tcPr>
            <w:tcW w:w="0" w:type="dxa"/>
            <w:vAlign w:val="bottom"/>
          </w:tcPr>
          <w:p>
            <w:pPr>
              <w:spacing w:after="0"/>
              <w:rPr>
                <w:sz w:val="1"/>
                <w:szCs w:val="1"/>
                <w:color w:val="auto"/>
              </w:rPr>
            </w:pPr>
          </w:p>
        </w:tc>
      </w:tr>
      <w:tr>
        <w:trPr>
          <w:trHeight w:val="59"/>
        </w:trPr>
        <w:tc>
          <w:tcPr>
            <w:tcW w:w="4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2016</w:t>
            </w: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2016</w:t>
            </w:r>
          </w:p>
        </w:tc>
        <w:tc>
          <w:tcPr>
            <w:tcW w:w="25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Unrealized Gains on Available-for-sale Securities:</w:t>
      </w:r>
    </w:p>
    <w:p>
      <w:pPr>
        <w:sectPr>
          <w:pgSz w:w="11900" w:h="16838" w:orient="portrait"/>
          <w:cols w:equalWidth="0" w:num="1">
            <w:col w:w="11420"/>
          </w:cols>
          <w:pgMar w:left="240" w:top="697" w:right="239" w:bottom="1440" w:gutter="0" w:footer="0" w:header="0"/>
        </w:sectPr>
      </w:pPr>
    </w:p>
    <w:p>
      <w:pPr>
        <w:spacing w:after="0" w:line="86" w:lineRule="exact"/>
        <w:rPr>
          <w:sz w:val="20"/>
          <w:szCs w:val="20"/>
          <w:color w:val="auto"/>
        </w:rPr>
      </w:pPr>
    </w:p>
    <w:tbl>
      <w:tblPr>
        <w:tblLayout w:type="fixed"/>
        <w:tblInd w:w="180" w:type="dxa"/>
        <w:tblCellMar>
          <w:top w:w="0" w:type="dxa"/>
          <w:left w:w="0" w:type="dxa"/>
          <w:bottom w:w="0" w:type="dxa"/>
          <w:right w:w="0" w:type="dxa"/>
        </w:tblCellMar>
      </w:tblPr>
      <w:tr>
        <w:trPr>
          <w:trHeight w:val="229"/>
        </w:trPr>
        <w:tc>
          <w:tcPr>
            <w:tcW w:w="4740" w:type="dxa"/>
            <w:vAlign w:val="bottom"/>
          </w:tcPr>
          <w:p>
            <w:pPr>
              <w:spacing w:after="0"/>
              <w:rPr>
                <w:sz w:val="20"/>
                <w:szCs w:val="20"/>
                <w:color w:val="auto"/>
              </w:rPr>
            </w:pPr>
            <w:r>
              <w:rPr>
                <w:rFonts w:ascii="Arial" w:cs="Arial" w:eastAsia="Arial" w:hAnsi="Arial"/>
                <w:sz w:val="16"/>
                <w:szCs w:val="16"/>
                <w:color w:val="auto"/>
              </w:rPr>
              <w:t>Realized gain for the period</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ind w:left="26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020" w:type="dxa"/>
            <w:vAlign w:val="bottom"/>
          </w:tcPr>
          <w:p>
            <w:pPr>
              <w:ind w:left="2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54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   (6,256)</w:t>
            </w:r>
          </w:p>
        </w:tc>
      </w:tr>
      <w:tr>
        <w:trPr>
          <w:trHeight w:val="274"/>
        </w:trPr>
        <w:tc>
          <w:tcPr>
            <w:tcW w:w="47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2,502</w:t>
            </w:r>
          </w:p>
        </w:tc>
      </w:tr>
      <w:tr>
        <w:trPr>
          <w:trHeight w:val="264"/>
        </w:trPr>
        <w:tc>
          <w:tcPr>
            <w:tcW w:w="47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(3,754)</w:t>
            </w:r>
          </w:p>
        </w:tc>
      </w:tr>
    </w:tbl>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Pension and Other Postretirement Plans: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540"/>
        <w:spacing w:after="0" w:line="437" w:lineRule="auto"/>
        <w:rPr>
          <w:sz w:val="20"/>
          <w:szCs w:val="20"/>
          <w:color w:val="auto"/>
        </w:rPr>
      </w:pPr>
      <w:r>
        <w:rPr>
          <w:rFonts w:ascii="Arial" w:cs="Arial" w:eastAsia="Arial" w:hAnsi="Arial"/>
          <w:sz w:val="14"/>
          <w:szCs w:val="14"/>
          <w:color w:val="auto"/>
        </w:rPr>
        <w:t>Other income (expense), net Provision for Income Taxes Net of Tax</w:t>
      </w:r>
    </w:p>
    <w:p>
      <w:pPr>
        <w:spacing w:after="0" w:line="174" w:lineRule="exact"/>
        <w:rPr>
          <w:sz w:val="20"/>
          <w:szCs w:val="20"/>
          <w:color w:val="auto"/>
        </w:rPr>
      </w:pPr>
    </w:p>
    <w:p>
      <w:pPr>
        <w:sectPr>
          <w:pgSz w:w="11900" w:h="16838" w:orient="portrait"/>
          <w:cols w:equalWidth="0" w:num="2">
            <w:col w:w="8920" w:space="140"/>
            <w:col w:w="2360"/>
          </w:cols>
          <w:pgMar w:left="240" w:top="697" w:right="239" w:bottom="1440" w:gutter="0" w:footer="0" w:header="0"/>
          <w:type w:val="continuous"/>
        </w:sectPr>
      </w:pPr>
    </w:p>
    <w:tbl>
      <w:tblPr>
        <w:tblLayout w:type="fixed"/>
        <w:tblInd w:w="0" w:type="dxa"/>
        <w:tblCellMar>
          <w:top w:w="0" w:type="dxa"/>
          <w:left w:w="0" w:type="dxa"/>
          <w:bottom w:w="0" w:type="dxa"/>
          <w:right w:w="0" w:type="dxa"/>
        </w:tblCellMar>
      </w:tblPr>
      <w:tr>
        <w:trPr>
          <w:trHeight w:val="249"/>
        </w:trPr>
        <w:tc>
          <w:tcPr>
            <w:tcW w:w="4920" w:type="dxa"/>
            <w:vAlign w:val="bottom"/>
          </w:tcPr>
          <w:p>
            <w:pPr>
              <w:ind w:left="180"/>
              <w:spacing w:after="0"/>
              <w:rPr>
                <w:sz w:val="20"/>
                <w:szCs w:val="20"/>
                <w:color w:val="auto"/>
              </w:rPr>
            </w:pPr>
            <w:r>
              <w:rPr>
                <w:rFonts w:ascii="Arial" w:cs="Arial" w:eastAsia="Arial" w:hAnsi="Arial"/>
                <w:sz w:val="16"/>
                <w:szCs w:val="16"/>
                <w:color w:val="auto"/>
              </w:rPr>
              <w:t>Amortization of net prior service cost</w:t>
            </w:r>
          </w:p>
        </w:tc>
        <w:tc>
          <w:tcPr>
            <w:tcW w:w="240" w:type="dxa"/>
            <w:vAlign w:val="bottom"/>
          </w:tcPr>
          <w:p>
            <w:pPr>
              <w:spacing w:after="0"/>
              <w:rPr>
                <w:sz w:val="21"/>
                <w:szCs w:val="21"/>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118</w:t>
            </w:r>
          </w:p>
        </w:tc>
        <w:tc>
          <w:tcPr>
            <w:tcW w:w="380" w:type="dxa"/>
            <w:vAlign w:val="bottom"/>
          </w:tcPr>
          <w:p>
            <w:pPr>
              <w:spacing w:after="0"/>
              <w:rPr>
                <w:sz w:val="21"/>
                <w:szCs w:val="21"/>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105</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358</w:t>
            </w:r>
          </w:p>
        </w:tc>
        <w:tc>
          <w:tcPr>
            <w:tcW w:w="300" w:type="dxa"/>
            <w:vAlign w:val="bottom"/>
          </w:tcPr>
          <w:p>
            <w:pPr>
              <w:spacing w:after="0"/>
              <w:rPr>
                <w:sz w:val="21"/>
                <w:szCs w:val="21"/>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186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4"/>
        </w:trPr>
        <w:tc>
          <w:tcPr>
            <w:tcW w:w="4920" w:type="dxa"/>
            <w:vAlign w:val="bottom"/>
          </w:tcPr>
          <w:p>
            <w:pPr>
              <w:ind w:left="180"/>
              <w:spacing w:after="0"/>
              <w:rPr>
                <w:sz w:val="20"/>
                <w:szCs w:val="20"/>
                <w:color w:val="auto"/>
              </w:rPr>
            </w:pPr>
            <w:r>
              <w:rPr>
                <w:rFonts w:ascii="Arial" w:cs="Arial" w:eastAsia="Arial" w:hAnsi="Arial"/>
                <w:sz w:val="16"/>
                <w:szCs w:val="16"/>
                <w:color w:val="auto"/>
              </w:rPr>
              <w:t>Amortization of net actuarial (gain) loss</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(1,567)</w:t>
            </w:r>
          </w:p>
        </w:tc>
        <w:tc>
          <w:tcPr>
            <w:tcW w:w="3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(4,958)</w:t>
            </w: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868</w:t>
            </w:r>
          </w:p>
        </w:tc>
        <w:tc>
          <w:tcPr>
            <w:tcW w:w="186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0"/>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(1,449)</w:t>
            </w:r>
          </w:p>
        </w:tc>
        <w:tc>
          <w:tcPr>
            <w:tcW w:w="380" w:type="dxa"/>
            <w:vAlign w:val="bottom"/>
          </w:tcPr>
          <w:p>
            <w:pPr>
              <w:spacing w:after="0"/>
              <w:rPr>
                <w:sz w:val="22"/>
                <w:szCs w:val="22"/>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394</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(4,600)</w:t>
            </w:r>
          </w:p>
        </w:tc>
        <w:tc>
          <w:tcPr>
            <w:tcW w:w="300" w:type="dxa"/>
            <w:vAlign w:val="bottom"/>
          </w:tcPr>
          <w:p>
            <w:pPr>
              <w:spacing w:after="0"/>
              <w:rPr>
                <w:sz w:val="22"/>
                <w:szCs w:val="22"/>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1,182</w:t>
            </w:r>
          </w:p>
        </w:tc>
        <w:tc>
          <w:tcPr>
            <w:tcW w:w="1860" w:type="dxa"/>
            <w:vAlign w:val="bottom"/>
          </w:tcPr>
          <w:p>
            <w:pPr>
              <w:ind w:left="14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74"/>
        </w:trPr>
        <w:tc>
          <w:tcPr>
            <w:tcW w:w="49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580</w:t>
            </w:r>
          </w:p>
        </w:tc>
        <w:tc>
          <w:tcPr>
            <w:tcW w:w="3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1,840</w:t>
            </w: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186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1"/>
        </w:trPr>
        <w:tc>
          <w:tcPr>
            <w:tcW w:w="49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(869)</w:t>
            </w: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(2,760)</w:t>
            </w: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710</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63"/>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Cash Flow Hedge</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51</w:t>
            </w:r>
          </w:p>
        </w:tc>
        <w:tc>
          <w:tcPr>
            <w:tcW w:w="380" w:type="dxa"/>
            <w:vAlign w:val="bottom"/>
          </w:tcPr>
          <w:p>
            <w:pPr>
              <w:spacing w:after="0"/>
              <w:rPr>
                <w:sz w:val="23"/>
                <w:szCs w:val="23"/>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123</w:t>
            </w: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86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74"/>
        </w:trPr>
        <w:tc>
          <w:tcPr>
            <w:tcW w:w="49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w:t>
            </w:r>
          </w:p>
        </w:tc>
        <w:tc>
          <w:tcPr>
            <w:tcW w:w="3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w:t>
            </w: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86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40</w:t>
            </w: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98</w:t>
            </w: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67"/>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(829)</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(2,662)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(3,046)</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w:t>
      </w:r>
    </w:p>
    <w:p>
      <w:pPr>
        <w:spacing w:after="0" w:line="144" w:lineRule="exact"/>
        <w:rPr>
          <w:sz w:val="20"/>
          <w:szCs w:val="20"/>
          <w:color w:val="auto"/>
        </w:rPr>
      </w:pPr>
    </w:p>
    <w:p>
      <w:pPr>
        <w:ind w:right="220"/>
        <w:spacing w:after="0" w:line="230" w:lineRule="auto"/>
        <w:rPr>
          <w:sz w:val="20"/>
          <w:szCs w:val="20"/>
          <w:color w:val="auto"/>
        </w:rPr>
      </w:pPr>
      <w:r>
        <w:rPr>
          <w:rFonts w:ascii="Arial" w:cs="Arial" w:eastAsia="Arial" w:hAnsi="Arial"/>
          <w:sz w:val="18"/>
          <w:szCs w:val="18"/>
          <w:b w:val="1"/>
          <w:bCs w:val="1"/>
          <w:color w:val="auto"/>
        </w:rPr>
        <w:t xml:space="preserve">Litigation, Legal and Other Matters. </w:t>
      </w:r>
      <w:r>
        <w:rPr>
          <w:rFonts w:ascii="Arial" w:cs="Arial" w:eastAsia="Arial" w:hAnsi="Arial"/>
          <w:sz w:val="18"/>
          <w:szCs w:val="18"/>
          <w:color w:val="auto"/>
        </w:rPr>
        <w:t>The Company and its subsidiaries are involved in various legal, regulatory and other proceedings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arise in the ordinary course of its business. Although the outcomes of these proceedings against the Company cannot be predicted with certainty, based on currently available information, management believes that there are no existing claims or proceedings (asserted or unasserted)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$25 million.</w:t>
      </w:r>
    </w:p>
    <w:p>
      <w:pPr>
        <w:spacing w:after="0" w:line="108"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 xml:space="preserve">Kaplan subsidiaries were subject to two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two cases are captioned: </w:t>
      </w:r>
      <w:r>
        <w:rPr>
          <w:rFonts w:ascii="Arial" w:cs="Arial" w:eastAsia="Arial" w:hAnsi="Arial"/>
          <w:sz w:val="18"/>
          <w:szCs w:val="18"/>
          <w:i w:val="1"/>
          <w:iCs w:val="1"/>
          <w:color w:val="auto"/>
        </w:rPr>
        <w:t>United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Carlos Urquilla-Diaz </w:t>
      </w:r>
      <w:r>
        <w:rPr>
          <w:rFonts w:ascii="Arial" w:cs="Arial" w:eastAsia="Arial" w:hAnsi="Arial"/>
          <w:sz w:val="18"/>
          <w:szCs w:val="18"/>
          <w:color w:val="auto"/>
        </w:rPr>
        <w:t>et al. v.</w:t>
      </w:r>
      <w:r>
        <w:rPr>
          <w:rFonts w:ascii="Arial" w:cs="Arial" w:eastAsia="Arial" w:hAnsi="Arial"/>
          <w:sz w:val="18"/>
          <w:szCs w:val="18"/>
          <w:i w:val="1"/>
          <w:iCs w:val="1"/>
          <w:color w:val="auto"/>
        </w:rPr>
        <w:t xml:space="preserve"> Kaplan University </w:t>
      </w:r>
      <w:r>
        <w:rPr>
          <w:rFonts w:ascii="Arial" w:cs="Arial" w:eastAsia="Arial" w:hAnsi="Arial"/>
          <w:sz w:val="18"/>
          <w:szCs w:val="18"/>
          <w:color w:val="auto"/>
        </w:rPr>
        <w:t>et al. (“Diaz”, unsealed March 25, 2008) and</w:t>
      </w:r>
      <w:r>
        <w:rPr>
          <w:rFonts w:ascii="Arial" w:cs="Arial" w:eastAsia="Arial" w:hAnsi="Arial"/>
          <w:sz w:val="18"/>
          <w:szCs w:val="18"/>
          <w:i w:val="1"/>
          <w:iCs w:val="1"/>
          <w:color w:val="auto"/>
        </w:rPr>
        <w:t xml:space="preserve"> United States of America </w:t>
      </w:r>
      <w:r>
        <w:rPr>
          <w:rFonts w:ascii="Arial" w:cs="Arial" w:eastAsia="Arial" w:hAnsi="Arial"/>
          <w:sz w:val="18"/>
          <w:szCs w:val="18"/>
          <w:color w:val="auto"/>
        </w:rPr>
        <w:t xml:space="preserve">ex rel. </w:t>
      </w:r>
      <w:r>
        <w:rPr>
          <w:rFonts w:ascii="Arial" w:cs="Arial" w:eastAsia="Arial" w:hAnsi="Arial"/>
          <w:sz w:val="18"/>
          <w:szCs w:val="18"/>
          <w:i w:val="1"/>
          <w:iCs w:val="1"/>
          <w:color w:val="auto"/>
        </w:rPr>
        <w:t>Charles Jajdelski</w:t>
      </w:r>
      <w:r>
        <w:rPr>
          <w:rFonts w:ascii="Arial" w:cs="Arial" w:eastAsia="Arial" w:hAnsi="Arial"/>
          <w:sz w:val="18"/>
          <w:szCs w:val="18"/>
          <w:color w:val="auto"/>
        </w:rPr>
        <w:t xml:space="preserve"> v. </w:t>
      </w:r>
      <w:r>
        <w:rPr>
          <w:rFonts w:ascii="Arial" w:cs="Arial" w:eastAsia="Arial" w:hAnsi="Arial"/>
          <w:sz w:val="18"/>
          <w:szCs w:val="18"/>
          <w:i w:val="1"/>
          <w:iCs w:val="1"/>
          <w:color w:val="auto"/>
        </w:rPr>
        <w:t>Kaplan Higher Education Corp</w:t>
      </w:r>
      <w:r>
        <w:rPr>
          <w:rFonts w:ascii="Arial" w:cs="Arial" w:eastAsia="Arial" w:hAnsi="Arial"/>
          <w:sz w:val="18"/>
          <w:szCs w:val="18"/>
          <w:color w:val="auto"/>
        </w:rPr>
        <w:t>. et al. (“Jajdelski”, unsealed January 6, 2009).</w:t>
      </w:r>
    </w:p>
    <w:p>
      <w:pPr>
        <w:spacing w:after="0" w:line="11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On August 17, 2011, the U.S. District Court for the Southern District of Florida issued a series of rulings in the Diaz case, which actually included three separate complainants: Diaz, Wilcox and Gillespie. The court dismissed the Wilcox complaint in its entirety; dismissed all False Claims Act allegations in the Diaz complaint, leaving only an individual employment claim; and dismissed in part the Gillespie complaint limiting the scope and time frame of its False Claims Act allegations regarding compliance with the U.S. Federal Rehabilitation Act. On July 16, 2013, the court entered summary judgment in favor of the Company on all remaining claims in the Gillespie complaint and on March 11, 2015, the U.S. Court of Appeals for the Eleventh Judicial Circuit affirmed that dismissal ending the Gillespie claims in Kaplan’s favor. On October 31, 2012, the court entered summary judgment in favor of the Company as to the sole remaining employment claim in the Diaz complaint. And, on March 11, 2015, the appellate court affirmed the summary judgment on all issues in the Diaz case except the court reversed and remanded Diaz’s claim that incentive compensation for admissions representatives was improperly based solely on enrollments in violation of the Title IV regulations. On July 13, 2017, the District Court again granted summary judgment on this final issue in the Diaz case in Kaplan’s favor, ending the case at the U.S. District Court level; the plaintiff has filed a notice of appeal.</w:t>
      </w:r>
    </w:p>
    <w:p>
      <w:pPr>
        <w:spacing w:after="0" w:line="117"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On July 7, 2011, the U.S. District Court for the District of Nevada dismissed the Jajdelski complaint in its entirety and entered a final judgment in favor of Kaplan. On February 13, 2013, the U.S. Circuit Court for the Ninth Judicial Circuit affirmed the dismissal in part and reversed the dismissal on one allegation under the False Claims Act relating to eligibility for Title IV funding based on claims of false attendance. The surviving claim was remanded to the District Court, where Kaplan was again granted summary judgment on March 9, 2015. Plaintiff has appealed this judgment and briefing is complete. In March 2017, the Appellate Court denied the appeal and ruled fully in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7" w:right="239" w:bottom="1440" w:gutter="0" w:footer="0" w:header="0"/>
          <w:type w:val="continuous"/>
        </w:sectPr>
      </w:pPr>
    </w:p>
    <w:bookmarkStart w:id="22" w:name="page23"/>
    <w:bookmarkEnd w:id="22"/>
    <w:p>
      <w:pPr>
        <w:ind w:right="260"/>
        <w:spacing w:after="0" w:line="260" w:lineRule="auto"/>
        <w:rPr>
          <w:sz w:val="20"/>
          <w:szCs w:val="20"/>
          <w:color w:val="auto"/>
        </w:rPr>
      </w:pPr>
      <w:r>
        <w:rPr>
          <w:rFonts w:ascii="Arial" w:cs="Arial" w:eastAsia="Arial" w:hAnsi="Arial"/>
          <w:sz w:val="18"/>
          <w:szCs w:val="18"/>
          <w:color w:val="auto"/>
        </w:rPr>
        <w:t>Kaplan’s favor and Jajdelski filed a motion to re-hear the matter. On May 12, 2017, the Court of Appeals issued its Mandate ending the case and relinquishing jurisdiction.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Despite the sale of the nationally accredited Kaplan Higher Education Campuses business, Kaplan retains liability for these claims.</w:t>
      </w:r>
    </w:p>
    <w:p>
      <w:pPr>
        <w:spacing w:after="0" w:line="144"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Her Majesty's Revenue and Customs (HMRC), a department of the UK government responsible for the collection of taxes, has raised assessments against the Kaplan UK Pathways business for VAT relating to 2017 and earlier years, which have been paid by Kaplan. Kaplan has challenged these assessments and the case is currently on appeal to a tax tribunal with a hearing expected in 2018. The Company believes it has met all requirements under UK VAT law and expects to recover the receivable related to the assessments that have been paid.</w:t>
      </w:r>
    </w:p>
    <w:p>
      <w:pPr>
        <w:spacing w:after="0" w:line="9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color w:val="auto"/>
        </w:rPr>
        <w:t xml:space="preserve">Department of Education (ED) Program Reviews. </w:t>
      </w:r>
      <w:r>
        <w:rPr>
          <w:rFonts w:ascii="Arial" w:cs="Arial" w:eastAsia="Arial" w:hAnsi="Arial"/>
          <w:sz w:val="18"/>
          <w:szCs w:val="18"/>
          <w:color w:val="auto"/>
        </w:rPr>
        <w:t>ED has undertaken program reviews at various KHE locations. Currently, there are three</w:t>
      </w:r>
      <w:r>
        <w:rPr>
          <w:rFonts w:ascii="Arial" w:cs="Arial" w:eastAsia="Arial" w:hAnsi="Arial"/>
          <w:sz w:val="18"/>
          <w:szCs w:val="18"/>
          <w:b w:val="1"/>
          <w:bCs w:val="1"/>
          <w:color w:val="auto"/>
        </w:rPr>
        <w:t xml:space="preserve"> </w:t>
      </w:r>
      <w:r>
        <w:rPr>
          <w:rFonts w:ascii="Arial" w:cs="Arial" w:eastAsia="Arial" w:hAnsi="Arial"/>
          <w:sz w:val="18"/>
          <w:szCs w:val="18"/>
          <w:color w:val="auto"/>
        </w:rPr>
        <w:t>open program reviews, two of which are at campuses that were formerly a part of the KHE Campuses business, including the ED’s final reports on the program reviews at former KHE Broomall, PA, and Pittsburgh, PA, locations. Kaplan retains responsibility for any financial obligation resulting from the ED program reviews at the KHE Campuses business that were open at the time of sale.</w:t>
      </w:r>
    </w:p>
    <w:p>
      <w:pPr>
        <w:spacing w:after="0" w:line="110"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On February 23, 2015, the ED began a review of Kaplan University. The review will assess Kaplan’s administration of its Title IV, HEA programs and will initially focus on the 2013 to 2014 and 2014 to 2015 award years. On December 17, 2015, Kaplan University received a notice from the ED that it had been placed on provisional certification status until September 30, 2018, in connection with the open and ongoing ED program review. The ED has not notified Kaplan University of any negative findings. However, at this time, Kaplan cannot predict the outcome of this review, when it will be completed or any liability or other limitations that the ED may place on Kaplan University as a result of this review. During the period of provisional certification, Kaplan University must obtain prior ED approval to open a new location, add an educational program, acquire another school or make any other significant change.</w:t>
      </w:r>
    </w:p>
    <w:p>
      <w:pPr>
        <w:spacing w:after="0" w:line="1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 does not expect the open program reviews to have a material impact on KHE; however, the results of open program reviews and their impact on Kaplan’s operations are uncertain.</w:t>
      </w:r>
    </w:p>
    <w:p>
      <w:pPr>
        <w:spacing w:after="0" w:line="90"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October 2017, Kaplan received a citation from the California Bureau for Private Postsecondary Education (BPPE) that non-employees may not be used to recruit students for its English-language programs operating in California. Kaplan currently operates seven English-language schools in California and non-employee agents are used extensively for student recruitment. Kaplan intends to appeal the citation, but there can be no guarantee that Kaplan will prevail on this matter.</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97"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12. BUSINESS SEGMENTS</w:t>
      </w:r>
    </w:p>
    <w:p>
      <w:pPr>
        <w:spacing w:after="0" w:line="146" w:lineRule="exact"/>
        <w:rPr>
          <w:sz w:val="20"/>
          <w:szCs w:val="20"/>
          <w:color w:val="auto"/>
        </w:rPr>
      </w:pPr>
    </w:p>
    <w:p>
      <w:pPr>
        <w:ind w:right="920"/>
        <w:spacing w:after="0" w:line="260" w:lineRule="auto"/>
        <w:rPr>
          <w:sz w:val="20"/>
          <w:szCs w:val="20"/>
          <w:color w:val="auto"/>
        </w:rPr>
      </w:pPr>
      <w:r>
        <w:rPr>
          <w:rFonts w:ascii="Arial" w:cs="Arial" w:eastAsia="Arial" w:hAnsi="Arial"/>
          <w:sz w:val="18"/>
          <w:szCs w:val="18"/>
          <w:color w:val="auto"/>
        </w:rPr>
        <w:t>The Company has four reportable segments: Kaplan Higher Education, Kaplan Test Preparation, Kaplan International and television broadcasting.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information related to each of the Company’s business segments: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2016</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7"/>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376,805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386,936</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1,136,201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1,207,225</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2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101,295</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112,389</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298,893</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300,927</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2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179,125</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122,313</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480,935</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344,298</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2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59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61"/>
        </w:trPr>
        <w:tc>
          <w:tcPr>
            <w:tcW w:w="59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657,225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621,638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1,916,029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1,852,311</w:t>
            </w:r>
          </w:p>
        </w:tc>
        <w:tc>
          <w:tcPr>
            <w:tcW w:w="0" w:type="dxa"/>
            <w:vAlign w:val="bottom"/>
          </w:tcPr>
          <w:p>
            <w:pPr>
              <w:spacing w:after="0"/>
              <w:rPr>
                <w:sz w:val="1"/>
                <w:szCs w:val="1"/>
                <w:color w:val="auto"/>
              </w:rPr>
            </w:pPr>
          </w:p>
        </w:tc>
      </w:tr>
      <w:tr>
        <w:trPr>
          <w:trHeight w:val="263"/>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13,391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16,333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55,347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63,713</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2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32,948</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59,159</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98,181</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144,594</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2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(7,033)</w:t>
            </w:r>
          </w:p>
        </w:tc>
        <w:tc>
          <w:tcPr>
            <w:tcW w:w="3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(10,801)</w:t>
            </w:r>
          </w:p>
        </w:tc>
        <w:tc>
          <w:tcPr>
            <w:tcW w:w="24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b w:val="1"/>
                <w:bCs w:val="1"/>
                <w:color w:val="auto"/>
              </w:rPr>
              <w:t>(26,515)</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(21,593)</w:t>
            </w:r>
          </w:p>
        </w:tc>
        <w:tc>
          <w:tcPr>
            <w:tcW w:w="0" w:type="dxa"/>
            <w:vAlign w:val="bottom"/>
          </w:tcPr>
          <w:p>
            <w:pPr>
              <w:spacing w:after="0"/>
              <w:rPr>
                <w:sz w:val="1"/>
                <w:szCs w:val="1"/>
                <w:color w:val="auto"/>
              </w:rPr>
            </w:pPr>
          </w:p>
        </w:tc>
      </w:tr>
      <w:tr>
        <w:trPr>
          <w:trHeight w:val="274"/>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5,265</w:t>
            </w: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3,342</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14,973</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7,331</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44,571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68,033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141,986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194,045</w:t>
            </w:r>
          </w:p>
        </w:tc>
        <w:tc>
          <w:tcPr>
            <w:tcW w:w="0" w:type="dxa"/>
            <w:vAlign w:val="bottom"/>
          </w:tcPr>
          <w:p>
            <w:pPr>
              <w:spacing w:after="0"/>
              <w:rPr>
                <w:sz w:val="1"/>
                <w:szCs w:val="1"/>
                <w:color w:val="auto"/>
              </w:rPr>
            </w:pPr>
          </w:p>
        </w:tc>
      </w:tr>
      <w:tr>
        <w:trPr>
          <w:trHeight w:val="260"/>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Equity in Earnings (Losses) of Affiliates, Net</w:t>
            </w:r>
          </w:p>
        </w:tc>
        <w:tc>
          <w:tcPr>
            <w:tcW w:w="12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(532)</w:t>
            </w: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(1,008)</w:t>
            </w:r>
          </w:p>
        </w:tc>
        <w:tc>
          <w:tcPr>
            <w:tcW w:w="240" w:type="dxa"/>
            <w:vAlign w:val="bottom"/>
          </w:tcPr>
          <w:p>
            <w:pPr>
              <w:spacing w:after="0"/>
              <w:rPr>
                <w:sz w:val="22"/>
                <w:szCs w:val="22"/>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1,448</w:t>
            </w: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70"/>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12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(7,758)</w:t>
            </w:r>
          </w:p>
        </w:tc>
        <w:tc>
          <w:tcPr>
            <w:tcW w:w="3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(7,874)</w:t>
            </w:r>
          </w:p>
        </w:tc>
        <w:tc>
          <w:tcPr>
            <w:tcW w:w="24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b w:val="1"/>
                <w:bCs w:val="1"/>
                <w:color w:val="auto"/>
              </w:rPr>
              <w:t>(22,386)</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(22,481)</w:t>
            </w:r>
          </w:p>
        </w:tc>
        <w:tc>
          <w:tcPr>
            <w:tcW w:w="0" w:type="dxa"/>
            <w:vAlign w:val="bottom"/>
          </w:tcPr>
          <w:p>
            <w:pPr>
              <w:spacing w:after="0"/>
              <w:rPr>
                <w:sz w:val="1"/>
                <w:szCs w:val="1"/>
                <w:color w:val="auto"/>
              </w:rPr>
            </w:pPr>
          </w:p>
        </w:tc>
      </w:tr>
      <w:tr>
        <w:trPr>
          <w:trHeight w:val="274"/>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 Net</w:t>
            </w: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1,963</w:t>
            </w: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(18,225)</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6,881</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15,871</w:t>
            </w:r>
          </w:p>
        </w:tc>
        <w:tc>
          <w:tcPr>
            <w:tcW w:w="0" w:type="dxa"/>
            <w:vAlign w:val="bottom"/>
          </w:tcPr>
          <w:p>
            <w:pPr>
              <w:spacing w:after="0"/>
              <w:rPr>
                <w:sz w:val="1"/>
                <w:szCs w:val="1"/>
                <w:color w:val="auto"/>
              </w:rPr>
            </w:pPr>
          </w:p>
        </w:tc>
      </w:tr>
      <w:tr>
        <w:trPr>
          <w:trHeight w:val="267"/>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38,244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40,926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127,929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186,540</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8,085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9,977</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24,994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31,322</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2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3,118</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2,540</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8,703</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7,367</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2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4,520</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3,289</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11,968</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9,389</w:t>
            </w:r>
          </w:p>
        </w:tc>
        <w:tc>
          <w:tcPr>
            <w:tcW w:w="0" w:type="dxa"/>
            <w:vAlign w:val="bottom"/>
          </w:tcPr>
          <w:p>
            <w:pPr>
              <w:spacing w:after="0"/>
              <w:rPr>
                <w:sz w:val="1"/>
                <w:szCs w:val="1"/>
                <w:color w:val="auto"/>
              </w:rPr>
            </w:pPr>
          </w:p>
        </w:tc>
      </w:tr>
      <w:tr>
        <w:trPr>
          <w:trHeight w:val="274"/>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279</w:t>
            </w: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291</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860</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61"/>
        </w:trPr>
        <w:tc>
          <w:tcPr>
            <w:tcW w:w="59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16,002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16,097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46,525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48,903</w:t>
            </w:r>
          </w:p>
        </w:tc>
        <w:tc>
          <w:tcPr>
            <w:tcW w:w="0" w:type="dxa"/>
            <w:vAlign w:val="bottom"/>
          </w:tcPr>
          <w:p>
            <w:pPr>
              <w:spacing w:after="0"/>
              <w:rPr>
                <w:sz w:val="1"/>
                <w:szCs w:val="1"/>
                <w:color w:val="auto"/>
              </w:rPr>
            </w:pPr>
          </w:p>
        </w:tc>
      </w:tr>
      <w:tr>
        <w:trPr>
          <w:trHeight w:val="182"/>
        </w:trPr>
        <w:tc>
          <w:tcPr>
            <w:tcW w:w="5960" w:type="dxa"/>
            <w:vAlign w:val="bottom"/>
          </w:tcPr>
          <w:p>
            <w:pPr>
              <w:ind w:left="40"/>
              <w:spacing w:after="0" w:line="183" w:lineRule="exact"/>
              <w:rPr>
                <w:sz w:val="20"/>
                <w:szCs w:val="20"/>
                <w:color w:val="auto"/>
              </w:rPr>
            </w:pPr>
            <w:r>
              <w:rPr>
                <w:rFonts w:ascii="Arial" w:cs="Arial" w:eastAsia="Arial" w:hAnsi="Arial"/>
                <w:sz w:val="16"/>
                <w:szCs w:val="16"/>
                <w:b w:val="1"/>
                <w:bCs w:val="1"/>
                <w:color w:val="auto"/>
              </w:rPr>
              <w:t>Amortization of Intangible Assets and Impairment of Goodwill and Other</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0"/>
              <w:spacing w:after="0"/>
              <w:rPr>
                <w:sz w:val="20"/>
                <w:szCs w:val="20"/>
                <w:color w:val="auto"/>
              </w:rPr>
            </w:pPr>
            <w:r>
              <w:rPr>
                <w:rFonts w:ascii="Arial" w:cs="Arial" w:eastAsia="Arial" w:hAnsi="Arial"/>
                <w:sz w:val="16"/>
                <w:szCs w:val="16"/>
                <w:b w:val="1"/>
                <w:bCs w:val="1"/>
                <w:color w:val="auto"/>
              </w:rPr>
              <w:t>Long-Lived 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1,355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1,773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3,798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5,158</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2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1,071</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63</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2,943</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2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8,809</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4,784</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31,085</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13,813</w:t>
            </w:r>
          </w:p>
        </w:tc>
        <w:tc>
          <w:tcPr>
            <w:tcW w:w="0" w:type="dxa"/>
            <w:vAlign w:val="bottom"/>
          </w:tcPr>
          <w:p>
            <w:pPr>
              <w:spacing w:after="0"/>
              <w:rPr>
                <w:sz w:val="1"/>
                <w:szCs w:val="1"/>
                <w:color w:val="auto"/>
              </w:rPr>
            </w:pPr>
          </w:p>
        </w:tc>
      </w:tr>
      <w:tr>
        <w:trPr>
          <w:trHeight w:val="274"/>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1"/>
        </w:trPr>
        <w:tc>
          <w:tcPr>
            <w:tcW w:w="59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11,235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37,826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19,160</w:t>
            </w:r>
          </w:p>
        </w:tc>
        <w:tc>
          <w:tcPr>
            <w:tcW w:w="0" w:type="dxa"/>
            <w:vAlign w:val="bottom"/>
          </w:tcPr>
          <w:p>
            <w:pPr>
              <w:spacing w:after="0"/>
              <w:rPr>
                <w:sz w:val="1"/>
                <w:szCs w:val="1"/>
                <w:color w:val="auto"/>
              </w:rPr>
            </w:pPr>
          </w:p>
        </w:tc>
      </w:tr>
      <w:tr>
        <w:trPr>
          <w:trHeight w:val="263"/>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Net Pension (Credit) Expense</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2,430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2,838</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7,289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8,965</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2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485</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428</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1,457</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1,285</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2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1,375</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279</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2,273</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274"/>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(18,122)</w:t>
            </w: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(15,934)</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(54,368)</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(47,803)</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(13,832)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(43,349)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(36,714)</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68"/>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221"/>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280" w:type="dxa"/>
            <w:vAlign w:val="bottom"/>
          </w:tcPr>
          <w:p>
            <w:pPr>
              <w:jc w:val="right"/>
              <w:ind w:right="221"/>
              <w:spacing w:after="0"/>
              <w:rPr>
                <w:sz w:val="20"/>
                <w:szCs w:val="20"/>
                <w:color w:val="auto"/>
              </w:rPr>
            </w:pPr>
            <w:r>
              <w:rPr>
                <w:rFonts w:ascii="Arial" w:cs="Arial" w:eastAsia="Arial" w:hAnsi="Arial"/>
                <w:sz w:val="14"/>
                <w:szCs w:val="14"/>
                <w:color w:val="auto"/>
              </w:rPr>
              <w:t>December 31,</w:t>
            </w:r>
          </w:p>
        </w:tc>
      </w:tr>
      <w:tr>
        <w:trPr>
          <w:trHeight w:val="203"/>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2016</w:t>
            </w:r>
          </w:p>
        </w:tc>
      </w:tr>
      <w:tr>
        <w:trPr>
          <w:trHeight w:val="23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97"/>
        </w:trPr>
        <w:tc>
          <w:tcPr>
            <w:tcW w:w="834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1,615,116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1,479,267</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8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447,702</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336,631</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8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918,684</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796,935</w:t>
            </w:r>
          </w:p>
        </w:tc>
      </w:tr>
      <w:tr>
        <w:trPr>
          <w:trHeight w:val="274"/>
        </w:trPr>
        <w:tc>
          <w:tcPr>
            <w:tcW w:w="834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157,550</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455,209</w:t>
            </w:r>
          </w:p>
        </w:tc>
      </w:tr>
      <w:tr>
        <w:trPr>
          <w:trHeight w:val="261"/>
        </w:trPr>
        <w:tc>
          <w:tcPr>
            <w:tcW w:w="83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3,139,052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3,068,042</w:t>
            </w:r>
          </w:p>
        </w:tc>
      </w:tr>
      <w:tr>
        <w:trPr>
          <w:trHeight w:val="26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180" w:type="dxa"/>
            <w:vAlign w:val="bottom"/>
          </w:tcPr>
          <w:p>
            <w:pPr>
              <w:spacing w:after="0"/>
              <w:rPr>
                <w:sz w:val="22"/>
                <w:szCs w:val="22"/>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495,599</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424,229</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18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122,166</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58,806</w:t>
            </w:r>
          </w:p>
        </w:tc>
      </w:tr>
      <w:tr>
        <w:trPr>
          <w:trHeight w:val="27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863,098</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881,593</w:t>
            </w:r>
          </w:p>
        </w:tc>
      </w:tr>
      <w:tr>
        <w:trPr>
          <w:trHeight w:val="266"/>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4,619,915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4,432,670</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95" w:right="239" w:bottom="0" w:gutter="0" w:footer="0" w:header="0"/>
        </w:sectPr>
      </w:pPr>
    </w:p>
    <w:bookmarkStart w:id="24" w:name="page25"/>
    <w:bookmarkEnd w:id="24"/>
    <w:p>
      <w:pPr>
        <w:jc w:val="center"/>
        <w:ind w:right="-2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9019"/>
          </w:cols>
          <w:pgMar w:left="1440" w:top="535"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r>
      <w:tr>
        <w:trPr>
          <w:trHeight w:val="271"/>
        </w:trPr>
        <w:tc>
          <w:tcPr>
            <w:tcW w:w="65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2016</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r>
      <w:tr>
        <w:trPr>
          <w:trHeight w:val="25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133,459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148,602</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416,973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472,131</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72,680</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78,291</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212,978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224,102</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171,259</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160,456</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507,568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512,068</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49</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120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190</w:t>
            </w:r>
          </w:p>
        </w:tc>
      </w:tr>
      <w:tr>
        <w:trPr>
          <w:trHeight w:val="274"/>
        </w:trPr>
        <w:tc>
          <w:tcPr>
            <w:tcW w:w="65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(642)</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(460)</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(1,438)</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w:t>
            </w:r>
          </w:p>
        </w:tc>
      </w:tr>
      <w:tr>
        <w:trPr>
          <w:trHeight w:val="261"/>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376,805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386,936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1,136,201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1,207,225</w:t>
            </w:r>
          </w:p>
        </w:tc>
      </w:tr>
      <w:tr>
        <w:trPr>
          <w:trHeight w:val="263"/>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8,809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11,494</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39,124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50,037</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7,330</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8,588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10,207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13,314</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5,348</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1,561</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29,009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22,937</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(8,037)</w:t>
            </w:r>
          </w:p>
        </w:tc>
        <w:tc>
          <w:tcPr>
            <w:tcW w:w="3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(5,310)</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(22,957)</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(22,526)</w:t>
            </w:r>
          </w:p>
        </w:tc>
      </w:tr>
      <w:tr>
        <w:trPr>
          <w:trHeight w:val="274"/>
        </w:trPr>
        <w:tc>
          <w:tcPr>
            <w:tcW w:w="65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(59)</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(36)</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r>
      <w:tr>
        <w:trPr>
          <w:trHeight w:val="261"/>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13,391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16,333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55,347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63,713</w:t>
            </w:r>
          </w:p>
        </w:tc>
      </w:tr>
      <w:tr>
        <w:trPr>
          <w:trHeight w:val="263"/>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2,768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4,157</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9,448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12,325</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1,407</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1,441</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4,080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4,837</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3,780</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4,360</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11,071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13,739</w:t>
            </w:r>
          </w:p>
        </w:tc>
      </w:tr>
      <w:tr>
        <w:trPr>
          <w:trHeight w:val="274"/>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130</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395</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8,085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9,977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24,994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31,322</w:t>
            </w:r>
          </w:p>
        </w:tc>
      </w:tr>
      <w:tr>
        <w:trPr>
          <w:trHeight w:val="26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1,355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1,773</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3,798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5,158</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548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1,905</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4,636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5,715</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244</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768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2,066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2,304</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24</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67</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198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201</w:t>
            </w:r>
          </w:p>
        </w:tc>
      </w:tr>
      <w:tr>
        <w:trPr>
          <w:trHeight w:val="274"/>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1,614</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98</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389</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745</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2,430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2,838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7,289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8,965</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68"/>
        </w:trPr>
        <w:tc>
          <w:tcPr>
            <w:tcW w:w="39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222"/>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280" w:type="dxa"/>
            <w:vAlign w:val="bottom"/>
          </w:tcPr>
          <w:p>
            <w:pPr>
              <w:jc w:val="right"/>
              <w:ind w:right="222"/>
              <w:spacing w:after="0"/>
              <w:rPr>
                <w:sz w:val="20"/>
                <w:szCs w:val="20"/>
                <w:color w:val="auto"/>
              </w:rPr>
            </w:pPr>
            <w:r>
              <w:rPr>
                <w:rFonts w:ascii="Arial" w:cs="Arial" w:eastAsia="Arial" w:hAnsi="Arial"/>
                <w:sz w:val="14"/>
                <w:szCs w:val="14"/>
                <w:color w:val="auto"/>
              </w:rPr>
              <w:t>December 31,</w:t>
            </w:r>
          </w:p>
        </w:tc>
      </w:tr>
      <w:tr>
        <w:trPr>
          <w:trHeight w:val="203"/>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3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color w:val="auto"/>
              </w:rPr>
              <w:t>2016</w:t>
            </w:r>
          </w:p>
        </w:tc>
      </w:tr>
      <w:tr>
        <w:trPr>
          <w:trHeight w:val="249"/>
        </w:trPr>
        <w:tc>
          <w:tcPr>
            <w:tcW w:w="3980" w:type="dxa"/>
            <w:vAlign w:val="bottom"/>
          </w:tcPr>
          <w:p>
            <w:pPr>
              <w:ind w:left="40"/>
              <w:spacing w:after="0"/>
              <w:rPr>
                <w:sz w:val="20"/>
                <w:szCs w:val="20"/>
                <w:color w:val="auto"/>
              </w:rPr>
            </w:pPr>
            <w:r>
              <w:rPr>
                <w:rFonts w:ascii="Arial" w:cs="Arial" w:eastAsia="Arial" w:hAnsi="Arial"/>
                <w:sz w:val="16"/>
                <w:szCs w:val="16"/>
                <w:color w:val="auto"/>
              </w:rPr>
              <w:t>Identifiable assets</w:t>
            </w:r>
          </w:p>
        </w:tc>
        <w:tc>
          <w:tcPr>
            <w:tcW w:w="4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8"/>
        </w:trPr>
        <w:tc>
          <w:tcPr>
            <w:tcW w:w="3980" w:type="dxa"/>
            <w:vAlign w:val="bottom"/>
          </w:tcPr>
          <w:p>
            <w:pPr>
              <w:ind w:left="380"/>
              <w:spacing w:after="0"/>
              <w:rPr>
                <w:sz w:val="20"/>
                <w:szCs w:val="20"/>
                <w:color w:val="auto"/>
              </w:rPr>
            </w:pPr>
            <w:r>
              <w:rPr>
                <w:rFonts w:ascii="Arial" w:cs="Arial" w:eastAsia="Arial" w:hAnsi="Arial"/>
                <w:sz w:val="16"/>
                <w:szCs w:val="16"/>
                <w:color w:val="auto"/>
              </w:rPr>
              <w:t>Higher education</w:t>
            </w:r>
          </w:p>
        </w:tc>
        <w:tc>
          <w:tcPr>
            <w:tcW w:w="4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b w:val="1"/>
                <w:bCs w:val="1"/>
                <w:color w:val="auto"/>
              </w:rPr>
              <w:t>349,756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373,127</w:t>
            </w: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Test preparation</w:t>
            </w:r>
          </w:p>
        </w:tc>
        <w:tc>
          <w:tcPr>
            <w:tcW w:w="4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b w:val="1"/>
                <w:bCs w:val="1"/>
                <w:color w:val="auto"/>
              </w:rPr>
              <w:t>135,442</w:t>
            </w:r>
          </w:p>
        </w:tc>
        <w:tc>
          <w:tcPr>
            <w:tcW w:w="28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133,709</w:t>
            </w: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Kaplan international</w:t>
            </w:r>
          </w:p>
        </w:tc>
        <w:tc>
          <w:tcPr>
            <w:tcW w:w="4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b w:val="1"/>
                <w:bCs w:val="1"/>
                <w:color w:val="auto"/>
              </w:rPr>
              <w:t>1,110,596</w:t>
            </w:r>
          </w:p>
        </w:tc>
        <w:tc>
          <w:tcPr>
            <w:tcW w:w="28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950,922</w:t>
            </w:r>
          </w:p>
        </w:tc>
      </w:tr>
      <w:tr>
        <w:trPr>
          <w:trHeight w:val="274"/>
        </w:trPr>
        <w:tc>
          <w:tcPr>
            <w:tcW w:w="3980" w:type="dxa"/>
            <w:vAlign w:val="bottom"/>
          </w:tcPr>
          <w:p>
            <w:pPr>
              <w:ind w:left="380"/>
              <w:spacing w:after="0"/>
              <w:rPr>
                <w:sz w:val="20"/>
                <w:szCs w:val="20"/>
                <w:color w:val="auto"/>
              </w:rPr>
            </w:pPr>
            <w:r>
              <w:rPr>
                <w:rFonts w:ascii="Arial" w:cs="Arial" w:eastAsia="Arial" w:hAnsi="Arial"/>
                <w:sz w:val="16"/>
                <w:szCs w:val="16"/>
                <w:color w:val="auto"/>
              </w:rPr>
              <w:t>Kaplan corporate and other</w:t>
            </w:r>
          </w:p>
        </w:tc>
        <w:tc>
          <w:tcPr>
            <w:tcW w:w="43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19,322</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21,509</w:t>
            </w:r>
          </w:p>
        </w:tc>
      </w:tr>
      <w:tr>
        <w:trPr>
          <w:trHeight w:val="261"/>
        </w:trPr>
        <w:tc>
          <w:tcPr>
            <w:tcW w:w="3980" w:type="dxa"/>
            <w:vAlign w:val="bottom"/>
          </w:tcPr>
          <w:p>
            <w:pPr>
              <w:spacing w:after="0"/>
              <w:rPr>
                <w:sz w:val="22"/>
                <w:szCs w:val="22"/>
                <w:color w:val="auto"/>
              </w:rPr>
            </w:pPr>
          </w:p>
        </w:tc>
        <w:tc>
          <w:tcPr>
            <w:tcW w:w="4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b w:val="1"/>
                <w:bCs w:val="1"/>
                <w:color w:val="auto"/>
              </w:rPr>
              <w:t>1,615,116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1,479,267</w:t>
            </w:r>
          </w:p>
        </w:tc>
      </w:tr>
      <w:tr>
        <w:trPr>
          <w:trHeight w:val="612"/>
        </w:trPr>
        <w:tc>
          <w:tcPr>
            <w:tcW w:w="3980" w:type="dxa"/>
            <w:vAlign w:val="bottom"/>
          </w:tcPr>
          <w:p>
            <w:pPr>
              <w:spacing w:after="0"/>
              <w:rPr>
                <w:sz w:val="24"/>
                <w:szCs w:val="24"/>
                <w:color w:val="auto"/>
              </w:rPr>
            </w:pPr>
          </w:p>
        </w:tc>
        <w:tc>
          <w:tcPr>
            <w:tcW w:w="4360" w:type="dxa"/>
            <w:vAlign w:val="bottom"/>
          </w:tcPr>
          <w:p>
            <w:pPr>
              <w:jc w:val="right"/>
              <w:ind w:right="2436"/>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75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The Company reported income attributable to common shares of $24.8 million ($4.42 per share) for the third quarter of 2017, compared to $33.1 million ($5.87 per share) for the third quarter of 2016.</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2017:</w:t>
      </w:r>
    </w:p>
    <w:p>
      <w:pPr>
        <w:spacing w:after="0" w:line="144" w:lineRule="exact"/>
        <w:rPr>
          <w:sz w:val="20"/>
          <w:szCs w:val="20"/>
          <w:color w:val="auto"/>
        </w:rPr>
      </w:pPr>
    </w:p>
    <w:p>
      <w:pPr>
        <w:ind w:right="2960" w:firstLine="8"/>
        <w:spacing w:after="0" w:line="407" w:lineRule="auto"/>
        <w:tabs>
          <w:tab w:leader="none" w:pos="1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$1.4 million in non-operating foreign currency gains (after-tax impact of $0.9 million, or $0.16 per share). Items included in the Company’s net income for the third quarter of 2016:</w:t>
      </w: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$15.0 million non-operating expense from the write-down of a cost method investment (after-tax impact of $9.6 million, or $1.70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$3.8 million in non-operating foreign currency losses (after-tax impact of $2.4 million, or $0.43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nonrecurring $8.3 million deferred tax benefit related to Kaplan's international operations ($1.47 per share).</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Revenue for the third quarter of 2017 was $657.2 million, up 6% from $621.6 million in the third quarter of 2016. Revenues increased in other businesses, offset by a decline at the education and television broadcasting divisions. The Company reported operating income of $ 44.6 million for the third quarter of 2017, compared to $68.0 million for the third quarter of 2016. The operating income decline is driven by lower earnings at the television broadcasting and education divisions, offset by an increase in other businesses.</w:t>
      </w:r>
    </w:p>
    <w:p>
      <w:pPr>
        <w:spacing w:after="0" w:line="111"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On April 27, 2017, certain Kaplan subsidiaries entered into a Contribution and Transfer Agreement (Transfer Agreement) to contribute Kaplan University (KU), its institutional assets and operations to a new, nonprofit, public-benefit corporation (New University) affiliated with Purdue University (Purdue) in exchange for a Transition and Operations Support Agreement (TOSA) to provide key non-academic operations support to New University for an initial term of 30 years with a buy-out option after six years. The transfer does not include any of the assets of Kaplan University School of Professional and Continuing Education (KU-PACE), which provides professional training and exam preparation for professional certifications and licensures, nor does it include the transfer of other Kaplan businesses such as Kaplan Test Preparation and Kaplan International.</w:t>
      </w:r>
    </w:p>
    <w:p>
      <w:pPr>
        <w:spacing w:after="0" w:line="109"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Consummation of the transactions contemplated by the Transfer Agreement is subject to various closing conditions, including, among others, regulatory approvals from the U.S. Department of Education (ED), the Indiana Commission for Higher Education (ICHE) and Higher Learning Commissions (HLC), which is the regional accreditor of both Purdue and KU, and certain other state educational agencies and accreditors of programs. In the third quarter of 2017, ICHE granted its approval and the ED provided preliminary approval based on its review of a pre-acquisition application, subject to certain conditions. Kaplan is unable to predict with certainty when and if HLC approval will be obtained; however, such approval is not expected to be received until the first quarter of 2018. If the transaction is not consummated by April 30, 2018, either party may terminate the Transfer Agreement.</w:t>
      </w:r>
    </w:p>
    <w:p>
      <w:pPr>
        <w:spacing w:after="0" w:line="109"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For the first nine months of 2017, the Company reported income attributable to common shares of $87.9 million ($15.64 per share), compared to $131.7 million ($23.21 per share) for the first nine months of 2016.</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nine months of 2017:</w:t>
      </w:r>
    </w:p>
    <w:p>
      <w:pPr>
        <w:spacing w:after="0" w:line="144"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$9.2 million goodwill and other long-lived asset impairment charge in other businesses (after-tax impact of $5.8 million, or $1.03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$6.6 million in non-operating foreign currency gains (after-tax impact of $4.2 million, or $0.74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$5.9 million in income tax benefits related to stock compensation ($1.06 per share).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95"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Items included in the Company’s net income for the first nine months of 2016:</w:t>
      </w:r>
    </w:p>
    <w:p>
      <w:pPr>
        <w:spacing w:after="0" w:line="144" w:lineRule="exact"/>
        <w:rPr>
          <w:sz w:val="20"/>
          <w:szCs w:val="20"/>
          <w:color w:val="auto"/>
        </w:rPr>
      </w:pPr>
    </w:p>
    <w:p>
      <w:pPr>
        <w:ind w:left="180" w:right="460" w:hanging="172"/>
        <w:spacing w:after="0" w:line="260"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$40.3 million non-operating gain from the sales of land and marketable equity securities (after-tax impact of $25.0 million, or $4.42 per share);</w:t>
      </w:r>
    </w:p>
    <w:p>
      <w:pPr>
        <w:spacing w:after="0" w:line="91" w:lineRule="exact"/>
        <w:rPr>
          <w:rFonts w:ascii="Arial" w:cs="Arial" w:eastAsia="Arial" w:hAnsi="Arial"/>
          <w:sz w:val="18"/>
          <w:szCs w:val="18"/>
          <w:color w:val="auto"/>
        </w:rPr>
      </w:pPr>
    </w:p>
    <w:p>
      <w:pPr>
        <w:ind w:left="180" w:right="60" w:hanging="172"/>
        <w:spacing w:after="0" w:line="260"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$22.2 million non-operating gain arising from the sale of a business and the formation of a joint venture (after-tax impact of $13.6 million, or $2.37 per share);</w:t>
      </w:r>
    </w:p>
    <w:p>
      <w:pPr>
        <w:spacing w:after="0" w:line="91" w:lineRule="exact"/>
        <w:rPr>
          <w:rFonts w:ascii="Arial" w:cs="Arial" w:eastAsia="Arial" w:hAnsi="Arial"/>
          <w:sz w:val="18"/>
          <w:szCs w:val="18"/>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$15.0 million non-operating expense from the write-down of a cost method investment (after-tax impact of $9.6 million, or $1.70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$33.3 million in non-operating foreign currency losses (after-tax impact of $21.3 million, or $3.76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nonrecurring $8.3 million deferred tax benefit related to Kaplan's international operations ($1.47 per share); and</w:t>
      </w:r>
    </w:p>
    <w:p>
      <w:pPr>
        <w:spacing w:after="0" w:line="144" w:lineRule="exact"/>
        <w:rPr>
          <w:rFonts w:ascii="Arial" w:cs="Arial" w:eastAsia="Arial" w:hAnsi="Arial"/>
          <w:sz w:val="18"/>
          <w:szCs w:val="18"/>
          <w:color w:val="auto"/>
        </w:rPr>
      </w:pPr>
    </w:p>
    <w:p>
      <w:pPr>
        <w:ind w:left="180" w:right="320" w:hanging="172"/>
        <w:spacing w:after="0" w:line="260"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favorable $5.6 million out of period deferred tax adjustment related to the KHE goodwill impairment recorded in the third quarter of 2015 ($1.00 per share).</w:t>
      </w:r>
    </w:p>
    <w:p>
      <w:pPr>
        <w:spacing w:after="0" w:line="92"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Revenue for the first nine months of 2017 was $1,916.0 million, up 3% from $1,852.3 million in the first nine months of 2016. Revenues increased in other businesses, offset by a decline at the education and television broadcasting divisions. The Company reported operating income of $142.0 million for the first nine months of 2017, compared to $194.0 million for first nine months of 2016. Operating results declined at the education and television broadcasting divisions and in other businesses.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$376.8 million for the third quarter of 2017, down 3% from $386.9 million for the same period of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Kaplan reported operating income of $13.4 million for the third quarter of 2017, compared to $16.3 million for the third quarter of 2016.</w:t>
      </w:r>
    </w:p>
    <w:p>
      <w:pPr>
        <w:spacing w:after="0" w:line="12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For the first nine months of 2017, education division revenue totaled $1,136.2 million, down 6% from $1,207.2 million for the same period of 2016. Kaplan reported operating income of $55.3 million for the first nine months of 2017, compared to $63.7 million for the first nine months of 2016.</w:t>
      </w:r>
    </w:p>
    <w:p>
      <w:pPr>
        <w:spacing w:after="0" w:line="108"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restructuring costs, with the objective of establishing lower cost levels in future periods. Across all businesses, restructuring costs totaled $2.7 million and $4.9 million for the first nine months of 2017 and 2016, respectively. Additional restructuring costs are expected to be incurred in the fourth quarter of 2017.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3"/>
                <w:szCs w:val="23"/>
                <w:color w:val="auto"/>
              </w:rPr>
            </w:pPr>
          </w:p>
        </w:tc>
        <w:tc>
          <w:tcPr>
            <w:tcW w:w="14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2016</w:t>
            </w:r>
          </w:p>
        </w:tc>
        <w:tc>
          <w:tcPr>
            <w:tcW w:w="14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2016</w:t>
            </w:r>
          </w:p>
        </w:tc>
        <w:tc>
          <w:tcPr>
            <w:tcW w:w="13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7"/>
        </w:trPr>
        <w:tc>
          <w:tcPr>
            <w:tcW w:w="32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133,459</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148,602</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(10)</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416,973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472,131</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72,680</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78,291</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212,978</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224,102</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171,259</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160,456</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507,568</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512,068</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49</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47</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120</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190</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74"/>
        </w:trPr>
        <w:tc>
          <w:tcPr>
            <w:tcW w:w="32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(642)</w:t>
            </w: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(1,438)</w:t>
            </w: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5"/>
        </w:trPr>
        <w:tc>
          <w:tcPr>
            <w:tcW w:w="3260" w:type="dxa"/>
            <w:vAlign w:val="bottom"/>
          </w:tcPr>
          <w:p>
            <w:pPr>
              <w:spacing w:after="0"/>
              <w:rPr>
                <w:sz w:val="23"/>
                <w:szCs w:val="23"/>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376,805</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386,936</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1,136,201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1,207,225</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2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8,809</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11,494</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(23)</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39,124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50,037</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7,330</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8,588</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10,207</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13,314</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5,348</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1,561</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29,009</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22,937</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(6,682)</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(3,537)</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(89)</w:t>
            </w:r>
          </w:p>
        </w:tc>
        <w:tc>
          <w:tcPr>
            <w:tcW w:w="26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b w:val="1"/>
                <w:bCs w:val="1"/>
                <w:color w:val="auto"/>
              </w:rPr>
              <w:t>(19,159)</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(17,368)</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(1,355)</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(1,773)</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b w:val="1"/>
                <w:bCs w:val="1"/>
                <w:color w:val="auto"/>
              </w:rPr>
              <w:t>(3,798)</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(5,158)</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74"/>
        </w:trPr>
        <w:tc>
          <w:tcPr>
            <w:tcW w:w="32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(59)</w:t>
            </w: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(36)</w:t>
            </w: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6"/>
        </w:trPr>
        <w:tc>
          <w:tcPr>
            <w:tcW w:w="3260" w:type="dxa"/>
            <w:vAlign w:val="bottom"/>
          </w:tcPr>
          <w:p>
            <w:pPr>
              <w:spacing w:after="0"/>
              <w:rPr>
                <w:sz w:val="23"/>
                <w:szCs w:val="23"/>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13,391</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16,333</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55,347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63,713</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and other continuing education businesses.</w:t>
      </w:r>
    </w:p>
    <w:p>
      <w:pPr>
        <w:sectPr>
          <w:pgSz w:w="11900" w:h="16838" w:orient="portrait"/>
          <w:cols w:equalWidth="0" w:num="1">
            <w:col w:w="11420"/>
          </w:cols>
          <w:pgMar w:left="240" w:top="697" w:right="239" w:bottom="1440"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697" w:right="239" w:bottom="1440" w:gutter="0" w:footer="0" w:header="0"/>
          <w:type w:val="continuous"/>
        </w:sectPr>
      </w:pPr>
    </w:p>
    <w:bookmarkStart w:id="28" w:name="page29"/>
    <w:bookmarkEnd w:id="28"/>
    <w:p>
      <w:pPr>
        <w:ind w:right="160"/>
        <w:spacing w:after="0" w:line="290" w:lineRule="auto"/>
        <w:rPr>
          <w:sz w:val="20"/>
          <w:szCs w:val="20"/>
          <w:color w:val="auto"/>
        </w:rPr>
      </w:pPr>
      <w:r>
        <w:rPr>
          <w:rFonts w:ascii="Arial" w:cs="Arial" w:eastAsia="Arial" w:hAnsi="Arial"/>
          <w:sz w:val="17"/>
          <w:szCs w:val="17"/>
          <w:color w:val="auto"/>
        </w:rPr>
        <w:t>In the third quarter and first nine months of 2017, KHE revenue was down 10% and 12%, respectively, due to declines in average enrollments at Kaplan University. KHE operating results declined in the first nine months of 2017 due primarily to lower enrollment at Kaplan University.</w:t>
      </w:r>
    </w:p>
    <w:p>
      <w:pPr>
        <w:spacing w:after="0" w:line="68"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New higher education student enrollments at Kaplan University declined 8% in the third quarter of 2017 and 4% for the first nine months of 2017; total students at Kaplan University were 30,461 at September 30, 2017, down 12% from September 30, 2016.</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enrollments at September 30, 2017 and 2016, by degree and certificate programs,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As of September 30</w:t>
            </w:r>
          </w:p>
        </w:tc>
      </w:tr>
      <w:tr>
        <w:trPr>
          <w:trHeight w:val="264"/>
        </w:trPr>
        <w:tc>
          <w:tcPr>
            <w:tcW w:w="9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2016</w:t>
            </w:r>
          </w:p>
        </w:tc>
      </w:tr>
      <w:tr>
        <w:trPr>
          <w:trHeight w:val="257"/>
        </w:trPr>
        <w:tc>
          <w:tcPr>
            <w:tcW w:w="93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10.0%</w:t>
            </w:r>
          </w:p>
        </w:tc>
        <w:tc>
          <w:tcPr>
            <w:tcW w:w="88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16.8%</w:t>
            </w:r>
          </w:p>
        </w:tc>
        <w:tc>
          <w:tcPr>
            <w:tcW w:w="88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50.1%</w:t>
            </w:r>
          </w:p>
        </w:tc>
        <w:tc>
          <w:tcPr>
            <w:tcW w:w="88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274"/>
        </w:trPr>
        <w:tc>
          <w:tcPr>
            <w:tcW w:w="9360" w:type="dxa"/>
            <w:vAlign w:val="bottom"/>
          </w:tcPr>
          <w:p>
            <w:pPr>
              <w:ind w:left="40"/>
              <w:spacing w:after="0"/>
              <w:rPr>
                <w:sz w:val="20"/>
                <w:szCs w:val="20"/>
                <w:color w:val="auto"/>
              </w:rPr>
            </w:pPr>
            <w:r>
              <w:rPr>
                <w:rFonts w:ascii="Arial" w:cs="Arial" w:eastAsia="Arial" w:hAnsi="Arial"/>
                <w:sz w:val="16"/>
                <w:szCs w:val="16"/>
                <w:color w:val="auto"/>
              </w:rPr>
              <w:t>Master’s</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23.1%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r>
      <w:tr>
        <w:trPr>
          <w:trHeight w:val="264"/>
        </w:trPr>
        <w:tc>
          <w:tcPr>
            <w:tcW w:w="9360" w:type="dxa"/>
            <w:vAlign w:val="bottom"/>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100.0%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7% and 5% for the third quarter and first nine months of 2017, respectively. Enrollments, excluding the new economy skills training offerings, were flat for both the third quarter and the first nine months of 2017; however, unit prices were generally lower. In comparison to 2016, KTP operating results were down 15% and 23% in the third quarter and first nine months of 2017, respectively, due to lower revenues and increased losses from the new economy skills training programs. Operating losses for the new economy skills training programs were $11.2 million and $9.8 million for the first nine months of 2017 and 2016, respectively, including $1.3 million in restructuring costs in the third quarter of 2017. In July 2017, Kaplan announced that Dev Bootcamp, which makes up the majority of KTP’s new economy skills training programs, will be closing operations by the end of 2017.</w:t>
      </w:r>
    </w:p>
    <w:p>
      <w:pPr>
        <w:spacing w:after="0" w:line="108"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7% for the third quarter and decreased 1% for the first nine months of 2017, respectively. On a constant currency basis, revenue increased 6% for the third quarter and 3% for the first nine months of 2017, respectively, primarily due to growth in Pathways enrollments and favorable timing of class starts in the third quarter of 2017. Operating income increased 26% in the first nine months of 2017, due largely to improved Pathways results, partially offset by a decline in Singapore. Restructuring costs at Kaplan International totaled $0.9 million and $3.2 million for the first nine months of 2017 and 2016, respectively.</w:t>
      </w:r>
    </w:p>
    <w:p>
      <w:pPr>
        <w:spacing w:after="0" w:line="112"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44"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WCWJ, a CW affiliate television station in Jacksonville, FL and WSLS, an NBC affiliate television station in Roanoke, VA for $60 million in cash and the assumption of certain pension obligations. The Company continues to operate both stations under their current network affiliations.</w:t>
      </w:r>
    </w:p>
    <w:p>
      <w:pPr>
        <w:spacing w:after="0" w:line="108"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In the third quarter of 2017, the Company's televisions stations in Texas and Florida ran extensive news programming coverage of hurricanes Harvey and Irma; this adversely impacted revenues by an estimated $2.1 million and resulted in $0.6 million in additional expenses during the third quarter of 2017.</w:t>
      </w:r>
    </w:p>
    <w:p>
      <w:pPr>
        <w:spacing w:after="0" w:line="108"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Revenue at the television broadcasting division decreased 10% to $101.3 million in the third quarter of 2017, from $ 112.4 million in the same period of 2016. Excluding revenue from the two newly acquired stations, revenue declined 15% due to $13.1 million in third quarter 2016 incremental summer Olympics-related advertising revenue at the Company's NBC affiliates, an $8.1 million decrease in political advertising revenue, lower network revenue and the adverse impact of the hurricanes, offset by $6.0 million in higher retransmission revenues. As previously disclosed, the Company’s NBC affiliates in Houston and Detroit are operating under a new contract with NBC effective January 1, 2017 that has resulted in a significant increase in network fees in 2017, compared to 2016. Operating income for the third quarter of 2017 decreased 44% to $32.9 million, from $59.2 million in the same period of 2016 due to lower revenues and the significantly higher network fees.</w:t>
      </w:r>
    </w:p>
    <w:p>
      <w:pPr>
        <w:spacing w:after="0" w:line="109"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Revenue at the television broadcasting division decreased 1% to $298.9 million in the first nine months of 2017, from $300.9 million in the same period of 2016. Excluding revenue from the two newly acquired stations, revenue declined 7% due to $13.1 million in third quarter 2016 incremental summer Olympic-related advertising revenue at the Company's NBC affiliates, a $13.4 million decrease in political advertising revenue, lower network revenue and the adverse impact of the hurricanes, offset by $14.7 million in higher retransmission revenues. Operating income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7" w:right="239" w:bottom="1440" w:gutter="0" w:footer="0" w:header="0"/>
        </w:sectPr>
      </w:pPr>
    </w:p>
    <w:bookmarkStart w:id="29" w:name="page30"/>
    <w:bookmarkEnd w:id="29"/>
    <w:p>
      <w:pPr>
        <w:ind w:right="40"/>
        <w:spacing w:after="0" w:line="260" w:lineRule="auto"/>
        <w:rPr>
          <w:sz w:val="20"/>
          <w:szCs w:val="20"/>
          <w:color w:val="auto"/>
        </w:rPr>
      </w:pPr>
      <w:r>
        <w:rPr>
          <w:rFonts w:ascii="Arial" w:cs="Arial" w:eastAsia="Arial" w:hAnsi="Arial"/>
          <w:sz w:val="18"/>
          <w:szCs w:val="18"/>
          <w:color w:val="auto"/>
        </w:rPr>
        <w:t>for the first nine months of 2017 decreased 32% to $98.2 million from $144.6 million in the same period of 2016, due to lower revenues and the significantly higher network fees.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Other Businesses’ operating results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7"/>
                <w:szCs w:val="17"/>
                <w:color w:val="auto"/>
              </w:rPr>
            </w:pPr>
          </w:p>
        </w:tc>
      </w:tr>
      <w:tr>
        <w:trPr>
          <w:trHeight w:val="271"/>
        </w:trPr>
        <w:tc>
          <w:tcPr>
            <w:tcW w:w="48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2016</w:t>
            </w: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7"/>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115,594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62,207</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86</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298,164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176,908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69</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40,473</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37,690</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115,592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110,068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14,497</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15,180</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41,926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38,961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w:t>
            </w:r>
          </w:p>
        </w:tc>
      </w:tr>
      <w:tr>
        <w:trPr>
          <w:trHeight w:val="274"/>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8,561</w:t>
            </w: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7,236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25,253</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18,361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w:t>
            </w:r>
          </w:p>
        </w:tc>
      </w:tr>
      <w:tr>
        <w:trPr>
          <w:trHeight w:val="261"/>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179,125</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122,313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46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480,935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344,298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w:t>
            </w:r>
          </w:p>
        </w:tc>
      </w:tr>
      <w:tr>
        <w:trPr>
          <w:trHeight w:val="263"/>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109,813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58,430</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88</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292,893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169,145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73</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39,553</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36,383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115,214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107,288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20,745</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26,017</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50,078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54,223</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4"/>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16,047</w:t>
            </w: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12,284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31</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49,265</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35,235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w:t>
            </w:r>
          </w:p>
        </w:tc>
      </w:tr>
      <w:tr>
        <w:trPr>
          <w:trHeight w:val="261"/>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186,158</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133,114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507,450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365,891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w:t>
            </w:r>
          </w:p>
        </w:tc>
      </w:tr>
      <w:tr>
        <w:trPr>
          <w:trHeight w:val="263"/>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5,781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3,777</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53</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5,271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7,763</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920</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1,307</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378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2,780</w:t>
            </w:r>
          </w:p>
        </w:tc>
        <w:tc>
          <w:tcPr>
            <w:tcW w:w="9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(6,248)</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(10,837)</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(8,152)</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(15,262)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47</w:t>
            </w:r>
          </w:p>
        </w:tc>
      </w:tr>
      <w:tr>
        <w:trPr>
          <w:trHeight w:val="274"/>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(7,486)</w:t>
            </w: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(5,048)</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(48)</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(24,012)</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(16,874)</w:t>
            </w: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61"/>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(7,033)</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35</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(26,515)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(21,593)</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63"/>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2,717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1,809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50</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6,629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5,588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1,166</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686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70</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3,429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2,090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64</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256</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753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274"/>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381</w:t>
            </w: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553</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(31)</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1,157</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261"/>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4,520</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3,289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37</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11,968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9,389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182"/>
        </w:trPr>
        <w:tc>
          <w:tcPr>
            <w:tcW w:w="4820" w:type="dxa"/>
            <w:vAlign w:val="bottom"/>
          </w:tcPr>
          <w:p>
            <w:pPr>
              <w:ind w:left="40"/>
              <w:spacing w:after="0" w:line="183" w:lineRule="exact"/>
              <w:rPr>
                <w:sz w:val="20"/>
                <w:szCs w:val="20"/>
                <w:color w:val="auto"/>
              </w:rPr>
            </w:pPr>
            <w:r>
              <w:rPr>
                <w:rFonts w:ascii="Arial" w:cs="Arial" w:eastAsia="Arial" w:hAnsi="Arial"/>
                <w:sz w:val="16"/>
                <w:szCs w:val="16"/>
                <w:b w:val="1"/>
                <w:bCs w:val="1"/>
                <w:color w:val="auto"/>
              </w:rPr>
              <w:t>Amortization of Intangible Assets and Impairment of</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9"/>
        </w:trPr>
        <w:tc>
          <w:tcPr>
            <w:tcW w:w="4820" w:type="dxa"/>
            <w:vAlign w:val="bottom"/>
          </w:tcPr>
          <w:p>
            <w:pPr>
              <w:ind w:left="200"/>
              <w:spacing w:after="0"/>
              <w:rPr>
                <w:sz w:val="20"/>
                <w:szCs w:val="20"/>
                <w:color w:val="auto"/>
              </w:rPr>
            </w:pPr>
            <w:r>
              <w:rPr>
                <w:rFonts w:ascii="Arial" w:cs="Arial" w:eastAsia="Arial" w:hAnsi="Arial"/>
                <w:sz w:val="16"/>
                <w:szCs w:val="16"/>
                <w:b w:val="1"/>
                <w:bCs w:val="1"/>
                <w:color w:val="auto"/>
              </w:rPr>
              <w:t>Goodwill and Other Long-Lived Assets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6,306</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3,089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25,117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8,722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2,420</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1,674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45</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5,718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5,028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83</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250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4"/>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1"/>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8,809</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4,784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84</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31,085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13,813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3"/>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947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994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166</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498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149</w:t>
            </w: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445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274"/>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113</w:t>
            </w: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336</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371</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1,375</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2,273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bl>
    <w:p>
      <w:pPr>
        <w:spacing w:after="0" w:line="126"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Manufacturing includes four businesses: Dekko, a manufacturer of electrical workspace solutions, architectural lighting and electrical components and assemblies; Joyce/Dayton Corp., a manufacturer of screw jacks and other linear motion systems; Forney, a global supplier of products and systems that control and monitor combustion processes in electric utility and industrial applications; and Hoover Treated Wood Products, Inc., a supplier of pressure impregnated kiln-dried lumber and plywood products for fire retardant and preservative applications that the Company acquired in April 2017. In September 2016, Dekko acquired Electri-Cable Assemblies (ECA), a manufacturer of power, data and electrical solutions for the office furniture industry.</w:t>
      </w:r>
    </w:p>
    <w:p>
      <w:pPr>
        <w:spacing w:after="0" w:line="112"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In the second quarter of 2017, the Company recorded a $9.2 million goodwill and other long-lived asset impairment charge at Forney, due to lower than expected revenues resulting from sluggish overall demand for its energy products. Excluding this impairment charge, manufacturing revenues and operating income increased in the first nine months of 2017 due to the Hoover acquisition and growth and improved results at Dekko, including the ECA acquisition, offset by a decline in results at Forney, which included $ 1.2 million in expense related to a separation incentive program implemented in the third quarter of 2017 that will be mostly funded from the assets of the Company's pension plan.</w:t>
      </w:r>
    </w:p>
    <w:p>
      <w:pPr>
        <w:sectPr>
          <w:pgSz w:w="11900" w:h="16838" w:orient="portrait"/>
          <w:cols w:equalWidth="0" w:num="1">
            <w:col w:w="11420"/>
          </w:cols>
          <w:pgMar w:left="240" w:top="697" w:right="239" w:bottom="484"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697" w:right="239" w:bottom="484" w:gutter="0" w:footer="0" w:header="0"/>
          <w:type w:val="continuous"/>
        </w:sectPr>
      </w:pPr>
    </w:p>
    <w:bookmarkStart w:id="30" w:name="page31"/>
    <w:bookmarkEnd w:id="30"/>
    <w:p>
      <w:pPr>
        <w:ind w:right="40"/>
        <w:spacing w:after="0" w:line="228" w:lineRule="auto"/>
        <w:rPr>
          <w:sz w:val="20"/>
          <w:szCs w:val="20"/>
          <w:color w:val="auto"/>
        </w:rPr>
      </w:pPr>
      <w:r>
        <w:rPr>
          <w:rFonts w:ascii="Arial" w:cs="Arial" w:eastAsia="Arial" w:hAnsi="Arial"/>
          <w:sz w:val="18"/>
          <w:szCs w:val="18"/>
          <w:color w:val="auto"/>
        </w:rPr>
        <w:t>The Graham Healthcare Group (GHG) provides home health and hospice services in three states. In June 2016, the Company acquired the outstanding 20% redeemable noncontrolling interest in Residential Healthcare (Residential). Also in June 2016, Celtic Healthcare (Celtic) and Residential combined their business operations and the Company now owns 90% of the combined entity. The company incurred approximately $2.0 million in expense in conjunction with these transactions in the second quarter of 2016. At the end of June 2017, GHG acquired Hometown Home Health and Hospice, a Lapeer, MI-based healthcare services provider. Healthcare revenues increased 5% in the first nine months of 2017, while operating results were down, due largely to increased bad debt expense and higher information systems and other integration costs.</w:t>
      </w:r>
    </w:p>
    <w:p>
      <w:pPr>
        <w:spacing w:after="0" w:line="109"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In June 2016, Residential and a Michigan hospital formed a joint venture to provide home health services to West Michigan patients. Residential manages the operations of the joint venture and holds a 40% interest. The pro rata operating results of the joint venture are included in the Company’s equity in earnings of affiliates. In connection with this June 2016 transaction, the Company recorded a pre-tax gain of $3.2 million in the second quarter of 2016 that is included in other non-operating income.</w:t>
      </w:r>
    </w:p>
    <w:p>
      <w:pPr>
        <w:spacing w:after="0" w:line="111"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SocialCode is a provider of marketing solutions on social, mobile and video platforms. SocialCode revenue declined 4% in the third quarter of 2017 due to lower digital advertising spend from its clients in the retail and consumer packaged goods sectors. SocialCode revenue increased 8% for the first nine months of 2017, due to growth in digital advertising service revenues. SocialCode reported operating losses of $6.2 million and $8.2 million in the third quarter and first nine months of 2017, compared to operating losses of $10.8 million and $15.3 million in the third quarter and first nine months of 2016. SocialCode's operating results included incentive accruals of $5.1 million and $1.2 million related to SocialCode’s phantom equity plans in the third quarter and first nine months of 2017, respectively; whereas 2016 results included incentive accruals of $11.3 million and $ 12.0 million related to phantom equity plans for the relevant periods. As of September 30, 2017, the accrual balance related to these plans is $23.2 million.</w:t>
      </w:r>
    </w:p>
    <w:p>
      <w:pPr>
        <w:spacing w:after="0" w:line="108"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two investment stage businesses, Panoply and CyberVista. Losses from each of these businesses in the first nine months of 2017 adversely affected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4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The total pension credit for the Company’s traditional defined benefit plan was $54.6 million and $48.1 million in the first nine months of 2017 and 2016,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Without the pension credit, corporate office expenses declined slightly in the first nine months of 2017.</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4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At September 30, 2017, the Company held interests in a number of home health and hospice joint ventures, and interests in several other affiliates. In September 2017, the Company acquired approximately 10% of Intersection Holdings, LLC, which provides digital marketing and advertising services and products for cities, transit systems, airports, and other public and private spaces. The Company recorded equity in losses of affiliates of $0.5 million for the third quarter of 2017, compared to $1.0 million for the third quarter of 2016. The Company recorded equity in earnings of affiliates of $1.4 million for the first nine months of 2017, compared to equity in losses of affiliates of $0.9 million for the first nine months of 2016.</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46"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The Company recorded total other non-operating income, net, of $2.0 million for the third quarter of 2017, compared to other non -operating expense, net, of $18.2 million for the third quarter of 2016. The 2017 amounts included $ 1.4 million in foreign currency gains and other items. The 2016 amounts included a $15.0 million write-down of a cost method investment and $3.8 million in foreign currency losses, partially offset by other items.</w:t>
      </w:r>
    </w:p>
    <w:p>
      <w:pPr>
        <w:spacing w:after="0" w:line="111"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Company recorded total other non-operating income, net, of $ 6.9 million for the first nine months of 2017, compared to $15.9 million for the first nine months of 2016. The 2017 amounts included $6.6 million in foreign currency gains and other items. The 2016 amounts included a $34.1 million gain on the sale of land; an $18.9 million gain on the sale of a business; a $6.3 million gain on the sale of marketable equity securities; a $3.2 million gain on the Residential joint venture transaction and other items, partially offset by $33.3 million in foreign currency losses and $15.2 million in cost method investment write-downs.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46"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The Company incurred net interest expense of $7.8 million and $22.4 million for the third quarter and first nine months of 2017, compared to $7.9 million and $22.5 million for the third quarter and first nine months of 2016. At September 30, 2017, the Company had $493.0 million in borrowings outstanding at an average interest rate of 6.3% and cash, marketable equity securities and other investments of $936.0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46"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The Company’s effective tax rate for the first nine months of 2017 was 31.3%, compared to 28.9% for the first nine months of 2016. The low effective tax rate in the first nine months of 2017 is due to a $5.9 million income tax benefit related to the vesting of restricted stock awards. In the first quarter of 2017, the Company adopted a new accounting standard that requires all excess income tax benefits and deficiencies from stock compensation to be recorded as discrete items in the provision for income taxes. Excluding this $5.9 million benefit, the overall income tax rate for the first nine months of 2017 was 35.9%.</w:t>
      </w:r>
    </w:p>
    <w:p>
      <w:pPr>
        <w:spacing w:after="0" w:line="11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the third quarter of 2016, a net nonrecurring $ 8.3 million deferred tax benefit related to Kaplan's international operations was recorded. In the second quarter of 2016, the Company benefited from a favorable $5.6 million out of period deferred tax adjustment related to the KHE goodwill impairment recorded in the third quarter of 2015. Excluding these adjustments, the Company’s effective tax rate for the first nine months of 2016 was 36.4%.</w:t>
      </w:r>
    </w:p>
    <w:p>
      <w:pPr>
        <w:spacing w:after="0" w:line="111"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The Company is in the process of finalizing an international legal restructuring plan in the fourth quarter of 2017 that may have an impact on the Company's tax provision in the fourth quarter of 2017 related to deferred taxes provided on undistributed earnings of investments in non-U.S. subsidiaries.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46"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The calculation of diluted earnings per share for the third quarter and first nine months of 2017 was based on 5,554,458 and 5,566,874 weighted average shares outstanding, compared to 5,573,982 and 5,599,898 for the third quarter and first nine months of 2016. At September 30, 2017, there were 5,531,816 shares outstanding. On May 14, 2015, the Board of Directors authorized the Company to acquire up to 500,000 shares of its Class B common stock; the Company has remaining authorization for 163,237 shares as of September 30, 2017.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Kaplan University Transaction</w:t>
      </w:r>
    </w:p>
    <w:p>
      <w:pPr>
        <w:spacing w:after="0" w:line="144"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On April 27, 2017, certain Kaplan subsidiaries entered into a Contribution and Transfer Agreement (Transfer Agreement) to contribute Kaplan University (KU), its institutional assets and operations to a new, nonprofit, public-benefit corporation (New University) affiliated with Purdue University (Purdue) in exchange for a Transition and Operations Support Agreement (TOSA) to provide key non-academic operations support to New University for an initial term of 30 years with a buy-out option after six years.</w:t>
      </w:r>
    </w:p>
    <w:p>
      <w:pPr>
        <w:spacing w:after="0" w:line="111"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Subject to the terms and conditions of the Transfer Agreement, KU, which specializes in online education and is accredited by the Higher Learning Commission of the North Central Association of Colleges and Schools (HLC), will transfer certain assets of its Title IV-authorized and accredited academic institution to New University. New University will operate as a new Indiana public university, as authorized by the Indiana legislature, affiliated with Purdue University and focused on expanding access to education for non-traditional adult learners.</w:t>
      </w:r>
    </w:p>
    <w:p>
      <w:pPr>
        <w:spacing w:after="0" w:line="11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New University will initially consist of the seven schools and colleges that now comprise KU (excluding the Kaplan University School of Professional and Continuing Education (KU-PACE)), which together offer more than 100 diploma, certificate, associate, bachelor, masters and doctoral degree programs, as well as 15 campus and learning center locations. Current online and campus KU students, approximately 30,000, will transfer to New University. Current full-time and adjunct faculty and staff at KU, approximately 3,000 employees, will also transfer to New University. New University will be governed by its own board of trustees that will fully control all of the functions of New University, the members of which will be appointed by Purdue. Upon approval by its accreditor, New University will have its own institutional accreditation and maintain its own faculty and administrative operations.</w:t>
      </w:r>
    </w:p>
    <w:p>
      <w:pPr>
        <w:spacing w:after="0" w:line="109"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In addition, as part of the transfer of KU’s academic institution, students, academic personnel, faculty and operations, and property leases for KU’s campuses and learning centers, KU also will transfer Kaplan-owned academic curriculum and content related to KU courses (collectively and including such specific assets as described in the Transfer Agreement, the “Institutional Assets”). The transfer does not include any of the assets of KU-PACE, which provides professional training and exam preparation for professional certifications and licensures, nor does it include the transfer of other Kaplan businesses such as Kaplan Test Preparation and Kaplan International.</w:t>
      </w:r>
    </w:p>
    <w:p>
      <w:pPr>
        <w:spacing w:after="0" w:line="111"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Kaplan will receive nominal cash consideration upon transfer of KU’s Institutional Assets. In exchange for KU’s Institutional Assets, upon closing of the transactions contemplated by the Transfer Agreement, the parties will enter</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695" w:right="259" w:bottom="1440" w:gutter="0" w:footer="0" w:header="0"/>
        </w:sectPr>
      </w:pPr>
    </w:p>
    <w:bookmarkStart w:id="32" w:name="page33"/>
    <w:bookmarkEnd w:id="32"/>
    <w:p>
      <w:pPr>
        <w:ind w:right="80"/>
        <w:spacing w:after="0"/>
        <w:rPr>
          <w:sz w:val="20"/>
          <w:szCs w:val="20"/>
          <w:color w:val="auto"/>
        </w:rPr>
      </w:pPr>
      <w:r>
        <w:rPr>
          <w:rFonts w:ascii="Arial" w:cs="Arial" w:eastAsia="Arial" w:hAnsi="Arial"/>
          <w:sz w:val="18"/>
          <w:szCs w:val="18"/>
          <w:color w:val="auto"/>
        </w:rPr>
        <w:t>into the TOSA. Under the TOSA, Kaplan will provide operations support activities to New University including, but not limited to, technology support, help-desk functions, human resources support for transferred faculty and employees, admissions support, financial aid administration, marketing and advertising, back-office business functions, international student recruiting and certain test preparation services.</w:t>
      </w:r>
    </w:p>
    <w:p>
      <w:pPr>
        <w:spacing w:after="0" w:line="108"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Pursuant to the TOSA, Kaplan is not entitled to receive any reimbursement of costs incurred in providing support functions, or any fee, unless and until New University has first covered all of its operating costs. In addition, during each of New University’s first five years, prior to any payment to Kaplan, New University is entitled to a priority payment of $10 million per year beyond costs, which will be paid out of New University’s revenue. To the extent New University’s revenue is insufficient to pay the $10 million per year priority payment, Kaplan is required to advance an amount to New University to cover such insufficiency. In addition, if New University achieves cost savings in its budgeted operating costs, then New University may be entitled to a payment equal to 20 percent of such savings (the “Efficiency Payment”). To the extent that there are sufficient revenues to pay the Efficiency Payment, pay the priority payment and to reimburse New University for its direct expenses, Kaplan will receive reimbursement for Kaplan’s costs of providing the support activities in addition to a fee equal to 12.5 percent of New University’s revenue.</w:t>
      </w:r>
    </w:p>
    <w:p>
      <w:pPr>
        <w:spacing w:after="0" w:line="110"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The TOSA has a 30-year initial term, which will automatically renew for five-year periods unless terminated. After the sixth year, New University has the right to terminate the agreement upon payment of a termination fee equal to 1.25 times New University’s revenue for the preceding 12-month period (the “Buy-out Fee”), which payment would be made pursuant to a 10-year note, and at New University’s election, it may receive for no additional consideration certain assets used by Kaplan to provide the support activities pursuant to the TOSA. At the end of the 30-year term, if New University does not renew the TOSA, New University would be obligated to make a final payment of six times the fees paid or payable during the preceding 12-month period, which payment would be made pursuant to a 10-year note, and at New University’s election, it may receive for no additional consideration certain assets used by Kaplan to provide the support activities pursuant to the TOSA.</w:t>
      </w:r>
    </w:p>
    <w:p>
      <w:pPr>
        <w:spacing w:after="0" w:line="109"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Either party may terminate the TOSA at any time if New University generates (i) $ 25 million in cash operating losses for three consecutive years or (ii) aggregate cash operating losses greater than $75 million at any point during the initial term. Operating loss is defined as the amount of revenue New University generates minus the sum of (1) New University’s and Kaplan’s respective costs in performing academic and support functions and (2) the $10 million priority payment to New University in each of the first five years. Upon termination for any reason, New University would retain the assets that Kaplan contributed pursuant to the Transfer Agreement. Each party also has certain termination rights in connection with a material default or material breach of the TOSA by the other party.</w:t>
      </w:r>
    </w:p>
    <w:p>
      <w:pPr>
        <w:spacing w:after="0" w:line="11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Kaplan, on the one hand, and Purdue, on the other hand, will indemnify each other for damages arising from the indemnifying party’s breaches of its representations and warranties and covenants under the Transfer Agreement as well as for damages arising from certain specified liabilities, subject to certain limitations set forth in the Transfer Agreement.</w:t>
      </w:r>
    </w:p>
    <w:p>
      <w:pPr>
        <w:spacing w:after="0" w:line="108" w:lineRule="exact"/>
        <w:rPr>
          <w:sz w:val="20"/>
          <w:szCs w:val="20"/>
          <w:color w:val="auto"/>
        </w:rPr>
      </w:pPr>
    </w:p>
    <w:p>
      <w:pPr>
        <w:ind w:right="200"/>
        <w:spacing w:after="0" w:line="228" w:lineRule="auto"/>
        <w:rPr>
          <w:sz w:val="20"/>
          <w:szCs w:val="20"/>
          <w:color w:val="auto"/>
        </w:rPr>
      </w:pPr>
      <w:r>
        <w:rPr>
          <w:rFonts w:ascii="Arial" w:cs="Arial" w:eastAsia="Arial" w:hAnsi="Arial"/>
          <w:sz w:val="18"/>
          <w:szCs w:val="18"/>
          <w:color w:val="auto"/>
        </w:rPr>
        <w:t>Consummation of the transactions contemplated by the Transfer Agreement is subject to various closing conditions, including, among others, regulatory approvals from the U.S. Department of Education (ED), the Indiana Commission for Higher Education (ICHE) and Higher Learning Commissions (HLC), which is the regional accreditor of both Purdue and KU, and certain other state educational agencies and accreditors of programs. In the third quarter of 2017, ICHE granted its approval and the ED provided preliminary approval based on its review of a pre-acquisition application, subject to certain conditions. Kaplan is unable to predict with certainty when and if HLC approval will be obtained; however, such approval is not expected to be received until the first quarter of 2018. If the transaction is not consummated by April 30, 2018, either party may terminate the Transfer Agreement.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Kaplan Higher Education (KHE) Regulatory Matters</w:t>
      </w:r>
    </w:p>
    <w:p>
      <w:pPr>
        <w:spacing w:after="0" w:line="14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color w:val="auto"/>
        </w:rPr>
        <w:t xml:space="preserve">Gainful Employment. </w:t>
      </w:r>
      <w:r>
        <w:rPr>
          <w:rFonts w:ascii="Arial" w:cs="Arial" w:eastAsia="Arial" w:hAnsi="Arial"/>
          <w:sz w:val="18"/>
          <w:szCs w:val="18"/>
          <w:color w:val="auto"/>
        </w:rPr>
        <w:t>On June 15, 2017, the Department of Education (ED) announced its intention to negotiate issues related to gainful</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On July 5, 2017, the ED released in the Federal Register an announcement that the Department will allow additional time, until July 1, 2018, for institutions to comply with certain disclosure requirements in the GE regulations. The Department also extended the deadline for all programs to file supporting documents for their alternate earnings appeals to February 1, 2018.</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color w:val="auto"/>
        </w:rPr>
        <w:t xml:space="preserve">Borrower Defense to Repayment Regulations. </w:t>
      </w:r>
      <w:r>
        <w:rPr>
          <w:rFonts w:ascii="Arial" w:cs="Arial" w:eastAsia="Arial" w:hAnsi="Arial"/>
          <w:sz w:val="18"/>
          <w:szCs w:val="18"/>
          <w:color w:val="auto"/>
        </w:rPr>
        <w:t>The final rule was scheduled to be effective July 1, 2017. However, prior to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on June 14, 2017, the ED delayed implementation of a large portion of the rule.</w:t>
      </w:r>
    </w:p>
    <w:p>
      <w:pPr>
        <w:spacing w:after="0" w:line="89"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In the summer of 2017, ED began the process to revise and replace the Borrower Defense regulation by holding public hearings and soliciting nominations for individuals to serve on a negotiated rulemaking committee that will meet this fall and winter to develop a new regulation. On October 24, 2017, ED issued an interim final rule, effective upon publication, delaying the effective date of the current regulation until July 1, 2018, citing a lawsuit from the California Association of Private Postsecondary Schools (CAPPS), which is pending, as well as the requirement in</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7" w:right="239" w:bottom="1440" w:gutter="0" w:footer="0" w:header="0"/>
        </w:sectPr>
      </w:pPr>
    </w:p>
    <w:bookmarkStart w:id="33" w:name="page34"/>
    <w:bookmarkEnd w:id="33"/>
    <w:p>
      <w:pPr>
        <w:ind w:right="260"/>
        <w:spacing w:after="0" w:line="234" w:lineRule="auto"/>
        <w:rPr>
          <w:sz w:val="20"/>
          <w:szCs w:val="20"/>
          <w:color w:val="auto"/>
        </w:rPr>
      </w:pPr>
      <w:r>
        <w:rPr>
          <w:rFonts w:ascii="Arial" w:cs="Arial" w:eastAsia="Arial" w:hAnsi="Arial"/>
          <w:sz w:val="18"/>
          <w:szCs w:val="18"/>
          <w:color w:val="auto"/>
        </w:rPr>
        <w:t>the Higher Education Act that ED must give institutions time to make changes without disrupting the current award year. Also on October 24, 2017, ED issued a notice of proposed rulemaking (NPRM) seeking public comment on a proposal to further delay the effective date of the Borrower Defense regulation to July 1, 2019. ED explained that this further delay would prevent institutions having to make changes twice, once for the 2018 effective date, and again for the 2019 effective date, which is when the revised regulation is expected to take effect.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Dispositions and Exchanges</w:t>
      </w:r>
    </w:p>
    <w:p>
      <w:pPr>
        <w:spacing w:after="0" w:line="142"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the first nine months of 2017, the Company acquired six businesses, two in its education division, two in its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broadcasting division and two in other businesses for $318.7 million in cash and contingent consideration, and the assumption of $59.1 million in certain pension and postretirement obligations.</w:t>
      </w:r>
    </w:p>
    <w:p>
      <w:pPr>
        <w:spacing w:after="0" w:line="108"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At the end of June 2017, Graham Healthcare Group (GHG) acquired a 100% interest in Hometown Home Health and Hospice, a Lapeer, MI-based healthcare services provider by purchasing all of its issued and outstanding shares. This acquisition expands GHG’s service area in Michigan. GHG is included in other businesses.</w:t>
      </w:r>
    </w:p>
    <w:p>
      <w:pPr>
        <w:spacing w:after="0" w:line="108"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In April 2017, the Company acquired 97.72% of the issued and outstanding shares of Hoover Treated Wood Products, Inc., a Thomson, GA-based supplier of pressure impregnated kiln-dried lumber and plywood products for fire retardant and preservative applications for $206.8 million, net of cash acquired. The fair value of the redeemable noncontrolling interest in Hoover was $3.7 million at the acquisition date, determined using a market approach. The minority shareholders have an option to put some of their shares to the Company starting in 2019 and the remaining shares starting in 2021. The Company has an option to buy the shares of minority shareholders starting in 2027. This acquisition is consistent with the Company’s ongoing strategy of investing in companies with a history of profitability and strong management. Hoover is included in other businesses.</w:t>
      </w:r>
    </w:p>
    <w:p>
      <w:pPr>
        <w:spacing w:after="0" w:line="10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February 2017, Kaplan acquired a 100% interest in Genesis Training Institute, a Dubai-based provider of professional development training in the United Arab Emirates, by purchasing all of its issued and outstanding shares. Additionally, Kaplan acquired a 100% interest in Red Marker Pty Ltd, an Australia-based regulatory technology company by purchasing all of its outstanding shares. These acquisitions are expected to provide certain strategic benefits in the future.</w:t>
      </w:r>
    </w:p>
    <w:p>
      <w:pPr>
        <w:spacing w:after="0" w:line="11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the assets of WCWJ, a CW affiliate television station in Jacksonville, FL and WSLS, an NBC affiliate television station in Roanoke, VA for cash and the assumption of certain pension obligations. The acquisition of WCWJ and WSLS will complement the other stations that GMG operates.</w:t>
      </w:r>
    </w:p>
    <w:p>
      <w:pPr>
        <w:spacing w:after="0" w:line="108"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During 2016, the Company acquired five businesses, three businesses included in its education division and two businesses in other businesses. In January 2016, Kaplan acquired a 100% interest in Mander Portman Woodward, a leading provider of high-quality, bespoke education to UK and international students in London, Cambridge and Birmingham, by purchasing all of its issued and outstanding shares. In February 2016, Kaplan acquired a 100% interest in Osborne Books, an educational publisher of learning resources for accounting qualifications in the UK, by purchasing all of its issued and outstanding shares. The primary rationale for these acquisitions was based on several strategic benefits expected to be realized in the future. Both of these acquisitions are included in Kaplan International.</w:t>
      </w:r>
    </w:p>
    <w:p>
      <w:pPr>
        <w:spacing w:after="0" w:line="112"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In September 2016, Group Dekko, Inc. (Dekko) acquired a 100% interest in Electri-Cable Assemblies (ECA), a Shelton, CT-based manufacturer of power, data and electrical solutions for the office furniture industry, by purchasing all of its issued and outstanding shares. Dekko’s primary reasons for the acquisition were to complement existing product offerings and provide opportunities for synergies across the businesses. Dekko is included in other businesses.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February 2017, GHG completed the sale of Celtic Healthcare of Maryland.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 January 2016, Kaplan completed the sale of Colloquy, which was included in Kaplan Corporate and Other.</w:t>
      </w:r>
    </w:p>
    <w:p>
      <w:pPr>
        <w:spacing w:after="0" w:line="142"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June 2016, Residential and a Michigan hospital formed a joint venture to provide home health services to patients in western</w:t>
      </w:r>
      <w:r>
        <w:rPr>
          <w:rFonts w:ascii="Arial" w:cs="Arial" w:eastAsia="Arial" w:hAnsi="Arial"/>
          <w:sz w:val="18"/>
          <w:szCs w:val="18"/>
          <w:b w:val="1"/>
          <w:bCs w:val="1"/>
          <w:color w:val="auto"/>
        </w:rPr>
        <w:t xml:space="preserve"> </w:t>
      </w:r>
      <w:r>
        <w:rPr>
          <w:rFonts w:ascii="Arial" w:cs="Arial" w:eastAsia="Arial" w:hAnsi="Arial"/>
          <w:sz w:val="18"/>
          <w:szCs w:val="18"/>
          <w:color w:val="auto"/>
        </w:rPr>
        <w:t>Michigan. In connection with this transaction, Residential contributed its western Michigan home health operations to the joint venture and then sold 60% of the newly formed venture to its Michigan hospital partner. Although Residential manages the operations of the joint venture, Residential holds a 40% interest in the joint venture, so the operating results of the joint venture are not consolidated and the pro rata operating results are included in the Company’s equity in earnings of affiliates.</w:t>
      </w:r>
    </w:p>
    <w:p>
      <w:pPr>
        <w:spacing w:after="0" w:line="109"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In June 2016, the Company purchased the outstanding 20% redeemable noncontrolling interest in Residential. At that time, the Company recorded an increase to redeemable noncontrolling interest of $3.0 million, with a</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7" w:right="239" w:bottom="1440" w:gutter="0" w:footer="0" w:header="0"/>
        </w:sectPr>
      </w:pPr>
    </w:p>
    <w:bookmarkStart w:id="34" w:name="page35"/>
    <w:bookmarkEnd w:id="34"/>
    <w:p>
      <w:pPr>
        <w:ind w:right="20"/>
        <w:spacing w:after="0" w:line="226" w:lineRule="auto"/>
        <w:rPr>
          <w:sz w:val="20"/>
          <w:szCs w:val="20"/>
          <w:color w:val="auto"/>
        </w:rPr>
      </w:pPr>
      <w:r>
        <w:rPr>
          <w:rFonts w:ascii="Arial" w:cs="Arial" w:eastAsia="Arial" w:hAnsi="Arial"/>
          <w:sz w:val="18"/>
          <w:szCs w:val="18"/>
          <w:color w:val="auto"/>
        </w:rPr>
        <w:t>corresponding decrease to capital in excess of par value, to reflect the redemption value of the redeemable noncontrolling interest at $24.0 million. Following this transaction, Celtic and Residential combined their business operations to form GHG. The redeemable noncontrolling interest shareholders in Celtic exchanged their 20% interest in Celtic for a 10% mandatorily redeemable noncontrolling interest in the combined entity and the Company recorded a $ 4.1 million net increase to the mandatorily redeemable noncontrolling interest to reflect the estimated fair value of the mandatorily redeemable noncontrolling interest. The minority shareholders have an option to put their shares to the Company starting in 2020, and are required to put a percentage of their shares in 2022 and 2024, with the remaining shares required to be put by the minority shareholders in 2026. The redemption value is based on an EBITDA multiple, adjusted for working capital and other items, computed annually, with no limit on the amount payable. The Company now owns 90% of GHG. Because the noncontrolling interest is now mandatorily redeemable by the Company by 2026, it is reported as a noncurrent liability at September 30, 2017.</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44"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During the first nine months of 2017, the Company’s capital expenditures totaled $40.4 million. This amount includes assets acquired during the year, whereas the amounts reflected in the Company’s Condensed Statements of Cash Flows are based on cash payments made during the relevant periods. The Company estimates that its capital expenditures will be in the range of $60 million to $70 million in 2017.</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were $493.0 million and $491.8 million, at September 30, 2017 and December 31, 2016, respectively.</w:t>
      </w:r>
    </w:p>
    <w:p>
      <w:pPr>
        <w:spacing w:after="0" w:line="144"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At September 30, 2017, the Company had cash and cash equivalents, restricted cash and investments in marketable securities and other investments totaling $ 936.0 million, compared with $1,119.1 million at December 31, 2016. The Company’s net cash provided by operating activities, as reported in the Company’s Condensed Consolidated Statements of Cash Flows, was $220.9 million for the first nine months of 2017, compared to $ 151.5 million for the first nine months of 2016. The increase is due to significant cash receipts from customers received in the first nine months of 2017 compared to 2016, offset by increased current year payments to vendors and a reduction in the income tax receivable in the prior year.</w:t>
      </w:r>
    </w:p>
    <w:p>
      <w:pPr>
        <w:spacing w:after="0" w:line="112"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On June 29, 2015, the Company entered into a credit agreement (the Credit Agreement) providing for a U.S. $ 200 million five-year revolving credit facility (the Facility). The Company may draw on the Facility for general corporate purposes. The Facility will expire on July 1, 2020, unless the Company and the banks agree to extend the term. The Credit Agreement contains terms and conditions, including remedies in the event of a default by the Company, typical of facilities of this type.</w:t>
      </w:r>
    </w:p>
    <w:p>
      <w:pPr>
        <w:spacing w:after="0" w:line="11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On July 14, 2016, Kaplan entered into a Facility Agreement (the Kaplan Credit Agreement) among Kaplan International Holdings Limited, as borrower, the lenders party thereto, HSBC BANK PLC as Facility Agent, and other agents party thereto. The Kaplan Credit Agreement provides for a four-year credit facility in an aggregate principal amount of £75 million. Borrowings bear interest at a rate per annum of LIBOR plus an applicable interest rate margin between 1.25% and 1.75%, in each case determined on a quarterly basis by reference to a pricing grid based upon the Company’s total leverage ratio. The Kaplan Credit Agreement requires that 6.66% of the amount of the loan be repaid on the first three anniversaries of funding, with the remaining balance due on July 1, 2020. The Kaplan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Kaplan Credit Agreement.</w:t>
      </w:r>
    </w:p>
    <w:p>
      <w:pPr>
        <w:spacing w:after="0" w:line="110"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 2020. The interest rate swap agreement will pay Kaplan variable interest on the £75 million notional amount at the three-month LIBOR, and Kaplan will pay the counterparties a fixed rate of 0.51%, effectively resulting in a total fixed interest rate of 2.01% on the outstanding borrowings at the current applicable margin of 1.5%.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changes in the fair value of the interest rate swap are recorded in other comprehensive income on the accompanying Condensed Consolidated Balance Sheets until earnings are affected by the variability of cash flows.</w:t>
      </w:r>
    </w:p>
    <w:p>
      <w:pPr>
        <w:spacing w:after="0" w:line="110"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In the first nine months of 2017, the Company acquired an additional 61,039 shares of its Class B common stock at a cost of approximately $35.4 million.</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697"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On May 24, 2017, Moody’s affirmed the Company’s credit ratings, but revised the outlook from Stable to Negative.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ind w:left="300"/>
              <w:spacing w:after="0"/>
              <w:rPr>
                <w:sz w:val="20"/>
                <w:szCs w:val="20"/>
                <w:color w:val="auto"/>
              </w:rPr>
            </w:pPr>
            <w:r>
              <w:rPr>
                <w:rFonts w:ascii="Arial" w:cs="Arial" w:eastAsia="Arial" w:hAnsi="Arial"/>
                <w:sz w:val="14"/>
                <w:szCs w:val="14"/>
                <w:b w:val="1"/>
                <w:bCs w:val="1"/>
                <w:color w:val="auto"/>
              </w:rPr>
              <w:t>Standard</w:t>
            </w:r>
          </w:p>
        </w:tc>
      </w:tr>
      <w:tr>
        <w:trPr>
          <w:trHeight w:val="203"/>
        </w:trPr>
        <w:tc>
          <w:tcPr>
            <w:tcW w:w="9440" w:type="dxa"/>
            <w:vAlign w:val="bottom"/>
            <w:tcBorders>
              <w:bottom w:val="single" w:sz="8" w:color="auto"/>
            </w:tcBorders>
          </w:tcPr>
          <w:p>
            <w:pPr>
              <w:ind w:left="8800"/>
              <w:spacing w:after="0"/>
              <w:rPr>
                <w:sz w:val="20"/>
                <w:szCs w:val="20"/>
                <w:color w:val="auto"/>
              </w:rPr>
            </w:pPr>
            <w:r>
              <w:rPr>
                <w:rFonts w:ascii="Arial" w:cs="Arial" w:eastAsia="Arial" w:hAnsi="Arial"/>
                <w:sz w:val="14"/>
                <w:szCs w:val="14"/>
                <w:b w:val="1"/>
                <w:bCs w:val="1"/>
                <w:color w:val="auto"/>
              </w:rPr>
              <w:t>Moody’s</w:t>
            </w:r>
          </w:p>
        </w:tc>
        <w:tc>
          <w:tcPr>
            <w:tcW w:w="6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&amp; Poor’s</w:t>
            </w:r>
          </w:p>
        </w:tc>
      </w:tr>
      <w:tr>
        <w:trPr>
          <w:trHeight w:val="249"/>
        </w:trPr>
        <w:tc>
          <w:tcPr>
            <w:tcW w:w="9440" w:type="dxa"/>
            <w:vAlign w:val="bottom"/>
          </w:tcPr>
          <w:p>
            <w:pPr>
              <w:ind w:left="40"/>
              <w:spacing w:after="0"/>
              <w:rPr>
                <w:sz w:val="20"/>
                <w:szCs w:val="20"/>
                <w:color w:val="auto"/>
              </w:rPr>
            </w:pPr>
            <w:r>
              <w:rPr>
                <w:rFonts w:ascii="Arial" w:cs="Arial" w:eastAsia="Arial" w:hAnsi="Arial"/>
                <w:sz w:val="16"/>
                <w:szCs w:val="16"/>
                <w:color w:val="auto"/>
              </w:rPr>
              <w:t>Long-term</w:t>
            </w:r>
          </w:p>
        </w:tc>
        <w:tc>
          <w:tcPr>
            <w:tcW w:w="640" w:type="dxa"/>
            <w:vAlign w:val="bottom"/>
          </w:tcPr>
          <w:p>
            <w:pPr>
              <w:ind w:left="80"/>
              <w:spacing w:after="0"/>
              <w:rPr>
                <w:sz w:val="20"/>
                <w:szCs w:val="20"/>
                <w:color w:val="auto"/>
              </w:rPr>
            </w:pPr>
            <w:r>
              <w:rPr>
                <w:rFonts w:ascii="Arial" w:cs="Arial" w:eastAsia="Arial" w:hAnsi="Arial"/>
                <w:sz w:val="16"/>
                <w:szCs w:val="16"/>
                <w:color w:val="auto"/>
              </w:rPr>
              <w:t>Ba1</w:t>
            </w:r>
          </w:p>
        </w:tc>
        <w:tc>
          <w:tcPr>
            <w:tcW w:w="1340" w:type="dxa"/>
            <w:vAlign w:val="bottom"/>
          </w:tcPr>
          <w:p>
            <w:pPr>
              <w:ind w:left="1000"/>
              <w:spacing w:after="0"/>
              <w:rPr>
                <w:sz w:val="20"/>
                <w:szCs w:val="20"/>
                <w:color w:val="auto"/>
              </w:rPr>
            </w:pPr>
            <w:r>
              <w:rPr>
                <w:rFonts w:ascii="Arial" w:cs="Arial" w:eastAsia="Arial" w:hAnsi="Arial"/>
                <w:sz w:val="16"/>
                <w:szCs w:val="16"/>
                <w:color w:val="auto"/>
              </w:rPr>
              <w:t>BB+</w:t>
            </w:r>
          </w:p>
        </w:tc>
      </w:tr>
    </w:tbl>
    <w:p>
      <w:pPr>
        <w:spacing w:after="0" w:line="141"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At September 30, 2017 and December 31, 2016, the Company had working capital of $804.7 million and $1,052.4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In management’s opinion, the Company will have sufficient liquidity to meet its various cash needs within the next 12 months.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In July 2016, Kaplan International Holdings Limited (KIHL) entered into an agreement with University of York International Pathway College LLP (York International College) to loan the LLP approximately £25 million over the next eighteen months, to construct an academic building in the UK to be used by the College. York International College is a limited liability partnership joint venture between Kaplan York Limited (a subsidiary of Kaplan International Colleges UK Limited) and a subsidiary of the University of York, that operates a pathways college. The loan will be repayable over 25 years at an interest rate of 7% and the loan is guaranteed by the University of York. While there is no strict requirement to make annual principal and interest payments, interest will be rolled up and accrue interest at 7% if no such payments are made. The loan becomes due and payable if the partnership agreement with Kaplan is terminated. In the second half of 2016, KIHL advanced approximately £11.0 million to York International College. In the third quarter of 2017, KIHL advanced an additional £5.0 million to York International College.</w:t>
      </w:r>
    </w:p>
    <w:p>
      <w:pPr>
        <w:spacing w:after="0" w:line="11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October 2017, the Company made additional commitments totaling $45.0 million for certain investments expected to close in the next twelve months.</w:t>
      </w:r>
    </w:p>
    <w:p>
      <w:pPr>
        <w:spacing w:after="0" w:line="9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During the third quarter of 2017, Kaplan renewed an office lease, committing an additional $20.1 million in rent payments through 2024. There were no other significant changes to the Company’s contractual obligations or other commercial commitments from those disclosed in the Company’s Annual Report on Form 10-K for the year ended December 31, 2016.</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46"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6"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2016 Annual Report filed on Form 10-K have not otherwise changed significantly.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44" w:lineRule="exact"/>
        <w:rPr>
          <w:sz w:val="20"/>
          <w:szCs w:val="20"/>
          <w:color w:val="auto"/>
        </w:rPr>
      </w:pPr>
    </w:p>
    <w:p>
      <w:pPr>
        <w:jc w:val="both"/>
        <w:ind w:right="80"/>
        <w:spacing w:after="0" w:line="227"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September 30, 2017.</w:t>
      </w:r>
    </w:p>
    <w:p>
      <w:pPr>
        <w:spacing w:after="0" w:line="2" w:lineRule="exact"/>
        <w:rPr>
          <w:sz w:val="20"/>
          <w:szCs w:val="20"/>
          <w:color w:val="auto"/>
        </w:rPr>
      </w:pPr>
    </w:p>
    <w:p>
      <w:pPr>
        <w:ind w:right="320"/>
        <w:spacing w:after="0" w:line="225" w:lineRule="auto"/>
        <w:rPr>
          <w:sz w:val="20"/>
          <w:szCs w:val="20"/>
          <w:color w:val="auto"/>
        </w:rPr>
      </w:pPr>
      <w:r>
        <w:rPr>
          <w:rFonts w:ascii="Arial" w:cs="Arial" w:eastAsia="Arial" w:hAnsi="Arial"/>
          <w:sz w:val="18"/>
          <w:szCs w:val="18"/>
          <w:color w:val="auto"/>
        </w:rPr>
        <w:t>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44"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September 30, 2017 that has materially affected, or is reasonably likely to materially affect, the Company’s internal control over financial reporting.</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PART II. OTHER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Purchases of Equity Securities by the Issuer and Affiliated Purchasers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September 30, 2017, the Company purchased shares of its Class B Common Stock as set forth in the following table: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260" w:type="dxa"/>
            <w:vAlign w:val="bottom"/>
          </w:tcPr>
          <w:p>
            <w:pPr>
              <w:jc w:val="center"/>
              <w:ind w:left="364"/>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4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260" w:type="dxa"/>
            <w:vAlign w:val="bottom"/>
          </w:tcPr>
          <w:p>
            <w:pPr>
              <w:jc w:val="right"/>
              <w:ind w:right="44"/>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4800" w:type="dxa"/>
            <w:vAlign w:val="bottom"/>
          </w:tcPr>
          <w:p>
            <w:pPr>
              <w:spacing w:after="0"/>
              <w:rPr>
                <w:sz w:val="14"/>
                <w:szCs w:val="14"/>
                <w:color w:val="auto"/>
              </w:rPr>
            </w:pPr>
          </w:p>
        </w:tc>
        <w:tc>
          <w:tcPr>
            <w:tcW w:w="1380" w:type="dxa"/>
            <w:vAlign w:val="bottom"/>
          </w:tcPr>
          <w:p>
            <w:pPr>
              <w:jc w:val="right"/>
              <w:ind w:right="62"/>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960" w:type="dxa"/>
            <w:vAlign w:val="bottom"/>
          </w:tcPr>
          <w:p>
            <w:pPr>
              <w:jc w:val="right"/>
              <w:ind w:right="262"/>
              <w:spacing w:after="0"/>
              <w:rPr>
                <w:sz w:val="20"/>
                <w:szCs w:val="20"/>
                <w:color w:val="auto"/>
              </w:rPr>
            </w:pPr>
            <w:r>
              <w:rPr>
                <w:rFonts w:ascii="Arial" w:cs="Arial" w:eastAsia="Arial" w:hAnsi="Arial"/>
                <w:sz w:val="14"/>
                <w:szCs w:val="14"/>
                <w:b w:val="1"/>
                <w:bCs w:val="1"/>
                <w:color w:val="auto"/>
              </w:rPr>
              <w:t>Paid per</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260" w:type="dxa"/>
            <w:vAlign w:val="bottom"/>
          </w:tcPr>
          <w:p>
            <w:pPr>
              <w:jc w:val="center"/>
              <w:ind w:left="364"/>
              <w:spacing w:after="0"/>
              <w:rPr>
                <w:sz w:val="20"/>
                <w:szCs w:val="20"/>
                <w:color w:val="auto"/>
              </w:rPr>
            </w:pPr>
            <w:r>
              <w:rPr>
                <w:rFonts w:ascii="Arial" w:cs="Arial" w:eastAsia="Arial" w:hAnsi="Arial"/>
                <w:sz w:val="14"/>
                <w:szCs w:val="14"/>
                <w:b w:val="1"/>
                <w:bCs w:val="1"/>
                <w:color w:val="auto"/>
              </w:rPr>
              <w:t>Purchased Under the</w:t>
            </w:r>
          </w:p>
        </w:tc>
      </w:tr>
      <w:tr>
        <w:trPr>
          <w:trHeight w:val="203"/>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Share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2260" w:type="dxa"/>
            <w:vAlign w:val="bottom"/>
            <w:tcBorders>
              <w:bottom w:val="single" w:sz="8" w:color="auto"/>
            </w:tcBorders>
          </w:tcPr>
          <w:p>
            <w:pPr>
              <w:jc w:val="center"/>
              <w:ind w:left="344"/>
              <w:spacing w:after="0"/>
              <w:rPr>
                <w:sz w:val="20"/>
                <w:szCs w:val="20"/>
                <w:color w:val="auto"/>
              </w:rPr>
            </w:pPr>
            <w:r>
              <w:rPr>
                <w:rFonts w:ascii="Arial" w:cs="Arial" w:eastAsia="Arial" w:hAnsi="Arial"/>
                <w:sz w:val="14"/>
                <w:szCs w:val="14"/>
                <w:b w:val="1"/>
                <w:bCs w:val="1"/>
                <w:color w:val="auto"/>
              </w:rPr>
              <w:t>Plan*</w:t>
            </w:r>
          </w:p>
        </w:tc>
      </w:tr>
      <w:tr>
        <w:trPr>
          <w:trHeight w:val="249"/>
        </w:trPr>
        <w:tc>
          <w:tcPr>
            <w:tcW w:w="4800" w:type="dxa"/>
            <w:vAlign w:val="bottom"/>
          </w:tcPr>
          <w:p>
            <w:pPr>
              <w:ind w:left="40"/>
              <w:spacing w:after="0"/>
              <w:rPr>
                <w:sz w:val="20"/>
                <w:szCs w:val="20"/>
                <w:color w:val="auto"/>
              </w:rPr>
            </w:pPr>
            <w:r>
              <w:rPr>
                <w:rFonts w:ascii="Arial" w:cs="Arial" w:eastAsia="Arial" w:hAnsi="Arial"/>
                <w:sz w:val="16"/>
                <w:szCs w:val="16"/>
                <w:color w:val="auto"/>
              </w:rPr>
              <w:t>July</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223,526</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August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41,258</w:t>
            </w:r>
          </w:p>
        </w:tc>
        <w:tc>
          <w:tcPr>
            <w:tcW w:w="30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586.17</w:t>
            </w:r>
          </w:p>
        </w:tc>
        <w:tc>
          <w:tcPr>
            <w:tcW w:w="1700" w:type="dxa"/>
            <w:vAlign w:val="bottom"/>
          </w:tcPr>
          <w:p>
            <w:pPr>
              <w:jc w:val="right"/>
              <w:ind w:right="43"/>
              <w:spacing w:after="0"/>
              <w:rPr>
                <w:sz w:val="20"/>
                <w:szCs w:val="20"/>
                <w:color w:val="auto"/>
              </w:rPr>
            </w:pPr>
            <w:r>
              <w:rPr>
                <w:rFonts w:ascii="Arial" w:cs="Arial" w:eastAsia="Arial" w:hAnsi="Arial"/>
                <w:sz w:val="16"/>
                <w:szCs w:val="16"/>
                <w:color w:val="auto"/>
              </w:rPr>
              <w:t>41,258</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182,268</w:t>
            </w:r>
          </w:p>
        </w:tc>
      </w:tr>
      <w:tr>
        <w:trPr>
          <w:trHeight w:val="279"/>
        </w:trPr>
        <w:tc>
          <w:tcPr>
            <w:tcW w:w="4800" w:type="dxa"/>
            <w:vAlign w:val="bottom"/>
          </w:tcPr>
          <w:p>
            <w:pPr>
              <w:ind w:left="40"/>
              <w:spacing w:after="0"/>
              <w:rPr>
                <w:sz w:val="20"/>
                <w:szCs w:val="20"/>
                <w:color w:val="auto"/>
              </w:rPr>
            </w:pPr>
            <w:r>
              <w:rPr>
                <w:rFonts w:ascii="Arial" w:cs="Arial" w:eastAsia="Arial" w:hAnsi="Arial"/>
                <w:sz w:val="16"/>
                <w:szCs w:val="16"/>
                <w:color w:val="auto"/>
              </w:rPr>
              <w:t>September</w:t>
            </w: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19,031</w:t>
            </w:r>
          </w:p>
        </w:tc>
        <w:tc>
          <w:tcPr>
            <w:tcW w:w="300" w:type="dxa"/>
            <w:vAlign w:val="bottom"/>
          </w:tcPr>
          <w:p>
            <w:pPr>
              <w:spacing w:after="0"/>
              <w:rPr>
                <w:sz w:val="24"/>
                <w:szCs w:val="24"/>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568.28</w:t>
            </w: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19,031</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163,237</w:t>
            </w:r>
          </w:p>
        </w:tc>
      </w:tr>
      <w:tr>
        <w:trPr>
          <w:trHeight w:val="241"/>
        </w:trPr>
        <w:tc>
          <w:tcPr>
            <w:tcW w:w="4800" w:type="dxa"/>
            <w:vAlign w:val="bottom"/>
          </w:tcPr>
          <w:p>
            <w:pPr>
              <w:spacing w:after="0"/>
              <w:rPr>
                <w:sz w:val="20"/>
                <w:szCs w:val="20"/>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60,289</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580.52</w:t>
            </w:r>
          </w:p>
        </w:tc>
        <w:tc>
          <w:tcPr>
            <w:tcW w:w="1700" w:type="dxa"/>
            <w:vAlign w:val="bottom"/>
          </w:tcPr>
          <w:p>
            <w:pPr>
              <w:jc w:val="right"/>
              <w:ind w:right="43"/>
              <w:spacing w:after="0"/>
              <w:rPr>
                <w:sz w:val="20"/>
                <w:szCs w:val="20"/>
                <w:color w:val="auto"/>
              </w:rPr>
            </w:pPr>
            <w:r>
              <w:rPr>
                <w:rFonts w:ascii="Arial" w:cs="Arial" w:eastAsia="Arial" w:hAnsi="Arial"/>
                <w:sz w:val="16"/>
                <w:szCs w:val="16"/>
                <w:color w:val="auto"/>
              </w:rPr>
              <w:t>60,289</w:t>
            </w:r>
          </w:p>
        </w:tc>
        <w:tc>
          <w:tcPr>
            <w:tcW w:w="2260" w:type="dxa"/>
            <w:vAlign w:val="bottom"/>
          </w:tcPr>
          <w:p>
            <w:pPr>
              <w:spacing w:after="0"/>
              <w:rPr>
                <w:sz w:val="20"/>
                <w:szCs w:val="20"/>
                <w:color w:val="auto"/>
              </w:rPr>
            </w:pPr>
          </w:p>
        </w:tc>
      </w:tr>
    </w:tbl>
    <w:p>
      <w:pPr>
        <w:spacing w:after="0" w:line="14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*On May 14, 2015 the Company’s Board of Directors authorized the Company to purchase, on the open market or otherwise, up to 500,000 shares of its Class B Common Stock. There is no expiration date for that authorization. All purchases made during the quarter ended September 30, 2017 were open market transactions.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697"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2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300" w:type="dxa"/>
            <w:vAlign w:val="bottom"/>
            <w:gridSpan w:val="15"/>
            <w:vMerge w:val="restart"/>
          </w:tcPr>
          <w:p>
            <w:pPr>
              <w:ind w:left="6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3"/>
        </w:trPr>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25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6300" w:type="dxa"/>
            <w:vAlign w:val="bottom"/>
            <w:tcBorders>
              <w:bottom w:val="single" w:sz="8" w:color="auto"/>
            </w:tcBorders>
            <w:gridSpan w:val="1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67"/>
        </w:trPr>
        <w:tc>
          <w:tcPr>
            <w:tcW w:w="1080" w:type="dxa"/>
            <w:vAlign w:val="bottom"/>
          </w:tcPr>
          <w:p>
            <w:pPr>
              <w:ind w:left="180"/>
              <w:spacing w:after="0"/>
              <w:rPr>
                <w:sz w:val="20"/>
                <w:szCs w:val="20"/>
                <w:color w:val="auto"/>
              </w:rPr>
            </w:pPr>
            <w:r>
              <w:rPr>
                <w:rFonts w:ascii="Arial" w:cs="Arial" w:eastAsia="Arial" w:hAnsi="Arial"/>
                <w:sz w:val="16"/>
                <w:szCs w:val="16"/>
                <w:color w:val="auto"/>
              </w:rPr>
              <w:t>2.1</w:t>
            </w:r>
          </w:p>
        </w:tc>
        <w:tc>
          <w:tcPr>
            <w:tcW w:w="10340" w:type="dxa"/>
            <w:vAlign w:val="bottom"/>
            <w:gridSpan w:val="17"/>
          </w:tcPr>
          <w:p>
            <w:pPr>
              <w:spacing w:after="0"/>
              <w:rPr>
                <w:rFonts w:ascii="Arial" w:cs="Arial" w:eastAsia="Arial" w:hAnsi="Arial"/>
                <w:sz w:val="16"/>
                <w:szCs w:val="16"/>
                <w:color w:val="0000FF"/>
              </w:rPr>
            </w:pPr>
            <w:hyperlink r:id="rId31">
              <w:r>
                <w:rPr>
                  <w:rFonts w:ascii="Arial" w:cs="Arial" w:eastAsia="Arial" w:hAnsi="Arial"/>
                  <w:sz w:val="16"/>
                  <w:szCs w:val="16"/>
                  <w:color w:val="0000FF"/>
                </w:rPr>
                <w:t>Contribution and Transfer Agreement, dated April 27, 2017, by and among Kaplan Higher Education, LLC, Iowa College Acquisition, LLC,</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9840" w:type="dxa"/>
            <w:vAlign w:val="bottom"/>
            <w:tcBorders>
              <w:top w:val="single" w:sz="8" w:color="0000FF"/>
            </w:tcBorders>
            <w:gridSpan w:val="8"/>
          </w:tcPr>
          <w:p>
            <w:pPr>
              <w:spacing w:after="0" w:line="169" w:lineRule="exact"/>
              <w:rPr>
                <w:rFonts w:ascii="Arial" w:cs="Arial" w:eastAsia="Arial" w:hAnsi="Arial"/>
                <w:sz w:val="16"/>
                <w:szCs w:val="16"/>
                <w:color w:val="0000FF"/>
              </w:rPr>
            </w:pPr>
            <w:hyperlink r:id="rId31">
              <w:r>
                <w:rPr>
                  <w:rFonts w:ascii="Arial" w:cs="Arial" w:eastAsia="Arial" w:hAnsi="Arial"/>
                  <w:sz w:val="16"/>
                  <w:szCs w:val="16"/>
                  <w:color w:val="0000FF"/>
                </w:rPr>
                <w:t>Purdue University, and Purdue New U, Inc. (incorporated by reference to the Company’s Current Report on Form 8-K filed April 27, 2017)</w:t>
              </w:r>
            </w:hyperlink>
          </w:p>
        </w:tc>
        <w:tc>
          <w:tcPr>
            <w:tcW w:w="180" w:type="dxa"/>
            <w:vAlign w:val="bottom"/>
            <w:gridSpan w:val="5"/>
          </w:tcPr>
          <w:p>
            <w:pPr>
              <w:jc w:val="center"/>
              <w:ind w:right="20"/>
              <w:spacing w:after="0" w:line="169" w:lineRule="exact"/>
              <w:rPr>
                <w:rFonts w:ascii="Arial" w:cs="Arial" w:eastAsia="Arial" w:hAnsi="Arial"/>
                <w:sz w:val="16"/>
                <w:szCs w:val="16"/>
                <w:color w:val="0000FF"/>
                <w:w w:val="79"/>
              </w:rPr>
            </w:pPr>
            <w:hyperlink r:id="rId31">
              <w:r>
                <w:rPr>
                  <w:rFonts w:ascii="Arial" w:cs="Arial" w:eastAsia="Arial" w:hAnsi="Arial"/>
                  <w:sz w:val="16"/>
                  <w:szCs w:val="16"/>
                  <w:color w:val="0000FF"/>
                  <w:w w:val="79"/>
                </w:rPr>
                <w:t xml:space="preserve">. </w:t>
              </w:r>
            </w:hyperlink>
            <w:r>
              <w:rPr>
                <w:rFonts w:ascii="Arial" w:cs="Arial" w:eastAsia="Arial" w:hAnsi="Arial"/>
                <w:sz w:val="16"/>
                <w:szCs w:val="16"/>
                <w:color w:val="000000"/>
                <w:w w:val="79"/>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80" w:type="dxa"/>
            <w:vAlign w:val="bottom"/>
          </w:tcPr>
          <w:p>
            <w:pPr>
              <w:ind w:left="180"/>
              <w:spacing w:after="0"/>
              <w:rPr>
                <w:sz w:val="20"/>
                <w:szCs w:val="20"/>
                <w:color w:val="auto"/>
              </w:rPr>
            </w:pPr>
            <w:r>
              <w:rPr>
                <w:rFonts w:ascii="Arial" w:cs="Arial" w:eastAsia="Arial" w:hAnsi="Arial"/>
                <w:sz w:val="16"/>
                <w:szCs w:val="16"/>
                <w:color w:val="auto"/>
              </w:rPr>
              <w:t>3.1</w:t>
            </w:r>
          </w:p>
        </w:tc>
        <w:tc>
          <w:tcPr>
            <w:tcW w:w="10340" w:type="dxa"/>
            <w:vAlign w:val="bottom"/>
            <w:gridSpan w:val="17"/>
          </w:tcPr>
          <w:p>
            <w:pPr>
              <w:spacing w:after="0"/>
              <w:rPr>
                <w:rFonts w:ascii="Arial" w:cs="Arial" w:eastAsia="Arial" w:hAnsi="Arial"/>
                <w:sz w:val="16"/>
                <w:szCs w:val="16"/>
                <w:color w:val="0000FF"/>
              </w:rPr>
            </w:pPr>
            <w:hyperlink r:id="rId32">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9920" w:type="dxa"/>
            <w:vAlign w:val="bottom"/>
            <w:tcBorders>
              <w:top w:val="single" w:sz="8" w:color="0000FF"/>
            </w:tcBorders>
            <w:gridSpan w:val="10"/>
          </w:tcPr>
          <w:p>
            <w:pPr>
              <w:spacing w:after="0" w:line="169" w:lineRule="exact"/>
              <w:rPr>
                <w:rFonts w:ascii="Arial" w:cs="Arial" w:eastAsia="Arial" w:hAnsi="Arial"/>
                <w:sz w:val="16"/>
                <w:szCs w:val="16"/>
                <w:color w:val="0000FF"/>
              </w:rPr>
            </w:pPr>
            <w:hyperlink r:id="rId32">
              <w:r>
                <w:rPr>
                  <w:rFonts w:ascii="Arial" w:cs="Arial" w:eastAsia="Arial" w:hAnsi="Arial"/>
                  <w:sz w:val="16"/>
                  <w:szCs w:val="16"/>
                  <w:color w:val="0000FF"/>
                </w:rPr>
                <w:t>Annual Report on Form 10-K for the fiscal year ended December 28, 2003).</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3.2</w:t>
            </w:r>
          </w:p>
        </w:tc>
        <w:tc>
          <w:tcPr>
            <w:tcW w:w="10340" w:type="dxa"/>
            <w:vAlign w:val="bottom"/>
            <w:gridSpan w:val="17"/>
          </w:tcPr>
          <w:p>
            <w:pPr>
              <w:spacing w:after="0"/>
              <w:rPr>
                <w:rFonts w:ascii="Arial" w:cs="Arial" w:eastAsia="Arial" w:hAnsi="Arial"/>
                <w:sz w:val="16"/>
                <w:szCs w:val="16"/>
                <w:color w:val="0000FF"/>
              </w:rPr>
            </w:pPr>
            <w:hyperlink r:id="rId33">
              <w:r>
                <w:rPr>
                  <w:rFonts w:ascii="Arial" w:cs="Arial" w:eastAsia="Arial" w:hAnsi="Arial"/>
                  <w:sz w:val="16"/>
                  <w:szCs w:val="16"/>
                  <w:color w:val="0000FF"/>
                </w:rPr>
                <w:t>Certificate of Amendment, effective November 29, 2013, to the Restated Certificate of Incorporation of the Company (incorporated by reference</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628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33">
              <w:r>
                <w:rPr>
                  <w:rFonts w:ascii="Arial" w:cs="Arial" w:eastAsia="Arial" w:hAnsi="Arial"/>
                  <w:sz w:val="16"/>
                  <w:szCs w:val="16"/>
                  <w:color w:val="0000FF"/>
                </w:rPr>
                <w:t>to Exhibit 3.1 to the Company’s current Report on Form 8-K dated November 29, 2013).</w:t>
              </w:r>
            </w:hyperlink>
          </w:p>
        </w:tc>
        <w:tc>
          <w:tcPr>
            <w:tcW w:w="3980" w:type="dxa"/>
            <w:vAlign w:val="bottom"/>
            <w:tcBorders>
              <w:top w:val="single" w:sz="8" w:color="0000FF"/>
            </w:tcBorders>
            <w:gridSpan w:val="10"/>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3.3</w:t>
            </w:r>
          </w:p>
        </w:tc>
        <w:tc>
          <w:tcPr>
            <w:tcW w:w="10340" w:type="dxa"/>
            <w:vAlign w:val="bottom"/>
            <w:gridSpan w:val="17"/>
          </w:tcPr>
          <w:p>
            <w:pPr>
              <w:spacing w:after="0"/>
              <w:rPr>
                <w:rFonts w:ascii="Arial" w:cs="Arial" w:eastAsia="Arial" w:hAnsi="Arial"/>
                <w:sz w:val="16"/>
                <w:szCs w:val="16"/>
                <w:color w:val="0000FF"/>
              </w:rPr>
            </w:pPr>
            <w:hyperlink r:id="rId34">
              <w:r>
                <w:rPr>
                  <w:rFonts w:ascii="Arial" w:cs="Arial" w:eastAsia="Arial" w:hAnsi="Arial"/>
                  <w:sz w:val="16"/>
                  <w:szCs w:val="16"/>
                  <w:color w:val="0000FF"/>
                </w:rPr>
                <w:t>By-Laws of the Company as amended and restated through November 29, 2013 (incorporated by reference to Exhibit 3.2 to the Company’s</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40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34">
              <w:r>
                <w:rPr>
                  <w:rFonts w:ascii="Arial" w:cs="Arial" w:eastAsia="Arial" w:hAnsi="Arial"/>
                  <w:sz w:val="16"/>
                  <w:szCs w:val="16"/>
                  <w:color w:val="0000FF"/>
                </w:rPr>
                <w:t>Current Report on Form 8-K dated November 29, 2013).</w:t>
              </w:r>
            </w:hyperlink>
          </w:p>
        </w:tc>
        <w:tc>
          <w:tcPr>
            <w:tcW w:w="5980" w:type="dxa"/>
            <w:vAlign w:val="bottom"/>
            <w:tcBorders>
              <w:top w:val="single" w:sz="8" w:color="0000FF"/>
            </w:tcBorders>
            <w:gridSpan w:val="11"/>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4.1</w:t>
            </w:r>
          </w:p>
        </w:tc>
        <w:tc>
          <w:tcPr>
            <w:tcW w:w="10340" w:type="dxa"/>
            <w:vAlign w:val="bottom"/>
            <w:gridSpan w:val="17"/>
          </w:tcPr>
          <w:p>
            <w:pPr>
              <w:spacing w:after="0"/>
              <w:rPr>
                <w:rFonts w:ascii="Arial" w:cs="Arial" w:eastAsia="Arial" w:hAnsi="Arial"/>
                <w:sz w:val="16"/>
                <w:szCs w:val="16"/>
                <w:color w:val="0000FF"/>
              </w:rPr>
            </w:pPr>
            <w:hyperlink r:id="rId35">
              <w:r>
                <w:rPr>
                  <w:rFonts w:ascii="Arial" w:cs="Arial" w:eastAsia="Arial" w:hAnsi="Arial"/>
                  <w:sz w:val="16"/>
                  <w:szCs w:val="16"/>
                  <w:color w:val="0000FF"/>
                </w:rPr>
                <w:t>Second Supplemental Indenture dated January 30, 2009, between the Company and The Bank of New York Mellon Trust Company, N.A., as</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6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35">
              <w:r>
                <w:rPr>
                  <w:rFonts w:ascii="Arial" w:cs="Arial" w:eastAsia="Arial" w:hAnsi="Arial"/>
                  <w:sz w:val="16"/>
                  <w:szCs w:val="16"/>
                  <w:color w:val="0000FF"/>
                </w:rPr>
                <w:t>successor to The First National Bank of Chicago, as Trustee (incorporated by reference to Exhibit 10.2 to the Company’s Current Report on</w:t>
              </w:r>
            </w:hyperlink>
          </w:p>
        </w:tc>
        <w:tc>
          <w:tcPr>
            <w:tcW w:w="2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252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rPr>
            </w:pPr>
            <w:hyperlink r:id="rId35">
              <w:r>
                <w:rPr>
                  <w:rFonts w:ascii="Arial" w:cs="Arial" w:eastAsia="Arial" w:hAnsi="Arial"/>
                  <w:sz w:val="16"/>
                  <w:szCs w:val="16"/>
                  <w:color w:val="0000FF"/>
                </w:rPr>
                <w:t>Form 8-K dated January 30, 2009).</w:t>
              </w:r>
            </w:hyperlink>
          </w:p>
        </w:tc>
        <w:tc>
          <w:tcPr>
            <w:tcW w:w="7480" w:type="dxa"/>
            <w:vAlign w:val="bottom"/>
            <w:tcBorders>
              <w:top w:val="single" w:sz="8" w:color="0000FF"/>
            </w:tcBorders>
            <w:gridSpan w:val="11"/>
          </w:tcPr>
          <w:p>
            <w:pPr>
              <w:spacing w:after="0"/>
              <w:rPr>
                <w:sz w:val="14"/>
                <w:szCs w:val="14"/>
                <w:color w:val="auto"/>
              </w:rPr>
            </w:pPr>
          </w:p>
        </w:tc>
        <w:tc>
          <w:tcPr>
            <w:tcW w:w="80" w:type="dxa"/>
            <w:vAlign w:val="bottom"/>
            <w:gridSpan w:val="3"/>
          </w:tcPr>
          <w:p>
            <w:pPr>
              <w:spacing w:after="0"/>
              <w:rPr>
                <w:sz w:val="14"/>
                <w:szCs w:val="14"/>
                <w:color w:val="auto"/>
              </w:rPr>
            </w:pPr>
          </w:p>
        </w:tc>
        <w:tc>
          <w:tcPr>
            <w:tcW w:w="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4.2</w:t>
            </w:r>
          </w:p>
        </w:tc>
        <w:tc>
          <w:tcPr>
            <w:tcW w:w="10340" w:type="dxa"/>
            <w:vAlign w:val="bottom"/>
            <w:gridSpan w:val="17"/>
          </w:tcPr>
          <w:p>
            <w:pPr>
              <w:spacing w:after="0"/>
              <w:rPr>
                <w:rFonts w:ascii="Arial" w:cs="Arial" w:eastAsia="Arial" w:hAnsi="Arial"/>
                <w:sz w:val="16"/>
                <w:szCs w:val="16"/>
                <w:color w:val="0000FF"/>
              </w:rPr>
            </w:pPr>
            <w:hyperlink r:id="rId36">
              <w:r>
                <w:rPr>
                  <w:rFonts w:ascii="Arial" w:cs="Arial" w:eastAsia="Arial" w:hAnsi="Arial"/>
                  <w:sz w:val="16"/>
                  <w:szCs w:val="16"/>
                  <w:color w:val="0000FF"/>
                </w:rPr>
                <w:t>Five Year Credit Agreement, dated as of June 29, 2015, among the Company, and certain of its domestic subsidiaries as guarantors, the</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9760" w:type="dxa"/>
            <w:vAlign w:val="bottom"/>
            <w:tcBorders>
              <w:top w:val="single" w:sz="8" w:color="0000FF"/>
            </w:tcBorders>
            <w:gridSpan w:val="7"/>
          </w:tcPr>
          <w:p>
            <w:pPr>
              <w:spacing w:after="0" w:line="169" w:lineRule="exact"/>
              <w:rPr>
                <w:rFonts w:ascii="Arial" w:cs="Arial" w:eastAsia="Arial" w:hAnsi="Arial"/>
                <w:sz w:val="16"/>
                <w:szCs w:val="16"/>
                <w:color w:val="0000FF"/>
              </w:rPr>
            </w:pPr>
            <w:hyperlink r:id="rId36">
              <w:r>
                <w:rPr>
                  <w:rFonts w:ascii="Arial" w:cs="Arial" w:eastAsia="Arial" w:hAnsi="Arial"/>
                  <w:sz w:val="16"/>
                  <w:szCs w:val="16"/>
                  <w:color w:val="0000FF"/>
                </w:rPr>
                <w:t>several lenders from time to time party thereto, Wells Fargo Bank, National Association, as Administrative Agent and JPMorgan Chase</w:t>
              </w:r>
            </w:hyperlink>
          </w:p>
        </w:tc>
        <w:tc>
          <w:tcPr>
            <w:tcW w:w="580" w:type="dxa"/>
            <w:vAlign w:val="bottom"/>
            <w:gridSpan w:val="10"/>
          </w:tcPr>
          <w:p>
            <w:pPr>
              <w:jc w:val="center"/>
              <w:ind w:right="260"/>
              <w:spacing w:after="0" w:line="169" w:lineRule="exact"/>
              <w:rPr>
                <w:rFonts w:ascii="Arial" w:cs="Arial" w:eastAsia="Arial" w:hAnsi="Arial"/>
                <w:sz w:val="16"/>
                <w:szCs w:val="16"/>
                <w:color w:val="0000FF"/>
                <w:w w:val="78"/>
              </w:rPr>
            </w:pPr>
            <w:hyperlink r:id="rId36">
              <w:r>
                <w:rPr>
                  <w:rFonts w:ascii="Arial" w:cs="Arial" w:eastAsia="Arial" w:hAnsi="Arial"/>
                  <w:sz w:val="16"/>
                  <w:szCs w:val="16"/>
                  <w:color w:val="0000FF"/>
                  <w:w w:val="78"/>
                </w:rPr>
                <w:t>Bank,</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9980" w:type="dxa"/>
            <w:vAlign w:val="bottom"/>
            <w:tcBorders>
              <w:top w:val="single" w:sz="8" w:color="0000FF"/>
              <w:bottom w:val="single" w:sz="8" w:color="0000FF"/>
            </w:tcBorders>
            <w:gridSpan w:val="11"/>
          </w:tcPr>
          <w:p>
            <w:pPr>
              <w:spacing w:after="0" w:line="169" w:lineRule="exact"/>
              <w:rPr>
                <w:rFonts w:ascii="Arial" w:cs="Arial" w:eastAsia="Arial" w:hAnsi="Arial"/>
                <w:sz w:val="16"/>
                <w:szCs w:val="16"/>
                <w:color w:val="0000FF"/>
              </w:rPr>
            </w:pPr>
            <w:hyperlink r:id="rId36">
              <w:r>
                <w:rPr>
                  <w:rFonts w:ascii="Arial" w:cs="Arial" w:eastAsia="Arial" w:hAnsi="Arial"/>
                  <w:sz w:val="16"/>
                  <w:szCs w:val="16"/>
                  <w:color w:val="0000FF"/>
                </w:rPr>
                <w:t>N.A., as Syndication Agent. (incorporated by reference to Exhibit 10.1 to the Company’s Current Report on Form 8-K dated June 29, 2015).</w:t>
              </w:r>
            </w:hyperlink>
          </w:p>
        </w:tc>
        <w:tc>
          <w:tcPr>
            <w:tcW w:w="100" w:type="dxa"/>
            <w:vAlign w:val="bottom"/>
            <w:tcBorders>
              <w:top w:val="single" w:sz="8" w:color="0000FF"/>
            </w:tcBorders>
            <w:gridSpan w:val="4"/>
          </w:tcPr>
          <w:p>
            <w:pPr>
              <w:spacing w:after="0"/>
              <w:rPr>
                <w:sz w:val="14"/>
                <w:szCs w:val="14"/>
                <w:color w:val="auto"/>
              </w:rPr>
            </w:pPr>
          </w:p>
        </w:tc>
        <w:tc>
          <w:tcPr>
            <w:tcW w:w="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31.1</w:t>
            </w:r>
          </w:p>
        </w:tc>
        <w:tc>
          <w:tcPr>
            <w:tcW w:w="10340" w:type="dxa"/>
            <w:vAlign w:val="bottom"/>
            <w:gridSpan w:val="17"/>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Rule 13a-14(a)/15d-14(a) Certification of the Chief Executive Officer.</w:t>
              </w:r>
            </w:hyperlink>
          </w:p>
        </w:tc>
        <w:tc>
          <w:tcPr>
            <w:tcW w:w="0" w:type="dxa"/>
            <w:vAlign w:val="bottom"/>
          </w:tcPr>
          <w:p>
            <w:pPr>
              <w:spacing w:after="0"/>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31.2</w:t>
            </w:r>
          </w:p>
        </w:tc>
        <w:tc>
          <w:tcPr>
            <w:tcW w:w="4900" w:type="dxa"/>
            <w:vAlign w:val="bottom"/>
            <w:tcBorders>
              <w:top w:val="single" w:sz="8" w:color="0000FF"/>
            </w:tcBorders>
            <w:gridSpan w:val="4"/>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Rule 13a-14(a)/15d-14(a) Certification of the Chief Financial Officer.</w:t>
              </w:r>
            </w:hyperlink>
          </w:p>
        </w:tc>
        <w:tc>
          <w:tcPr>
            <w:tcW w:w="54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1080" w:hanging="910"/>
        <w:spacing w:after="0"/>
        <w:tabs>
          <w:tab w:leader="none" w:pos="1080" w:val="left"/>
        </w:tabs>
        <w:numPr>
          <w:ilvl w:val="0"/>
          <w:numId w:val="17"/>
        </w:numPr>
        <w:rPr>
          <w:rFonts w:ascii="Arial" w:cs="Arial" w:eastAsia="Arial" w:hAnsi="Arial"/>
          <w:sz w:val="16"/>
          <w:szCs w:val="16"/>
          <w:color w:val="0000FF"/>
        </w:rPr>
      </w:pPr>
      <w:hyperlink w:anchor="page42">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hyperlink>
      <w:r>
        <w:rPr>
          <w:rFonts w:ascii="Arial" w:cs="Arial" w:eastAsia="Arial" w:hAnsi="Arial"/>
          <w:sz w:val="16"/>
          <w:szCs w:val="16"/>
          <w:color w:val="000000"/>
        </w:rPr>
        <w:t>**</w:t>
      </w:r>
    </w:p>
    <w:p>
      <w:pPr>
        <w:spacing w:after="0" w:line="329" w:lineRule="exact"/>
        <w:rPr>
          <w:sz w:val="20"/>
          <w:szCs w:val="20"/>
          <w:color w:val="auto"/>
        </w:rPr>
      </w:pPr>
    </w:p>
    <w:p>
      <w:pPr>
        <w:ind w:left="1080" w:right="140" w:hanging="910"/>
        <w:spacing w:after="0" w:line="252" w:lineRule="auto"/>
        <w:tabs>
          <w:tab w:leader="none" w:pos="10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following financial information from Graham Holdings Company Quarterly Report on Form 10-Q for the period ended September 30, 2017, formatted in Extensible Business Reporting Language (XBRL): (i) Condensed Consolidated Statements of Operations for the Three and Nine Months Ended September 30, 2017 and 2016, (ii) Condensed Consolidated Statements of Comprehensive Income for the Three and Nine Months Ended September 30, 2017 and 2016, (iii) Condensed Consolidated Balance Sheets as of September 30, 2017 and December 31, 2016, (iv) Condensed Consolidated Statements of Cash Flows for the Nine Months Ended September 30, 2017 and 2016, and (v) Notes to Condensed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153" w:lineRule="exact"/>
        <w:rPr>
          <w:rFonts w:ascii="Arial" w:cs="Arial" w:eastAsia="Arial" w:hAnsi="Arial"/>
          <w:sz w:val="16"/>
          <w:szCs w:val="16"/>
          <w:color w:val="auto"/>
        </w:rPr>
      </w:pPr>
    </w:p>
    <w:p>
      <w:pPr>
        <w:ind w:left="180" w:right="260" w:hanging="162"/>
        <w:spacing w:after="0" w:line="250" w:lineRule="auto"/>
        <w:rPr>
          <w:rFonts w:ascii="Arial" w:cs="Arial" w:eastAsia="Arial" w:hAnsi="Arial"/>
          <w:sz w:val="16"/>
          <w:szCs w:val="16"/>
          <w:color w:val="auto"/>
        </w:rPr>
      </w:pPr>
      <w:r>
        <w:rPr>
          <w:rFonts w:ascii="Arial" w:cs="Arial" w:eastAsia="Arial" w:hAnsi="Arial"/>
          <w:sz w:val="14"/>
          <w:szCs w:val="14"/>
          <w:color w:val="auto"/>
        </w:rPr>
        <w:t>* Graham Holdings Company hereby undertakes to furnish supplementally a copy of any omitted exhibit or schedule to such agreement to the U.S. Securities and Exchange Commission upon request.</w:t>
      </w:r>
    </w:p>
    <w:p>
      <w:pPr>
        <w:spacing w:after="0" w:line="15" w:lineRule="exact"/>
        <w:rPr>
          <w:rFonts w:ascii="Arial" w:cs="Arial" w:eastAsia="Arial" w:hAnsi="Arial"/>
          <w:sz w:val="16"/>
          <w:szCs w:val="16"/>
          <w:color w:val="auto"/>
        </w:rPr>
      </w:pPr>
    </w:p>
    <w:p>
      <w:pPr>
        <w:ind w:left="180" w:hanging="172"/>
        <w:spacing w:after="0"/>
        <w:tabs>
          <w:tab w:leader="none" w:pos="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95"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b w:val="1"/>
          <w:bCs w:val="1"/>
          <w:color w:val="auto"/>
        </w:rPr>
        <w:t>SIGNATURES</w:t>
      </w:r>
    </w:p>
    <w:p>
      <w:pPr>
        <w:spacing w:after="0" w:line="301"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37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58"/>
        </w:trPr>
        <w:tc>
          <w:tcPr>
            <w:tcW w:w="3760" w:type="dxa"/>
            <w:vAlign w:val="bottom"/>
          </w:tcPr>
          <w:p>
            <w:pPr>
              <w:spacing w:after="0"/>
              <w:rPr>
                <w:sz w:val="20"/>
                <w:szCs w:val="20"/>
                <w:color w:val="auto"/>
              </w:rPr>
            </w:pPr>
            <w:r>
              <w:rPr>
                <w:rFonts w:ascii="Arial" w:cs="Arial" w:eastAsia="Arial" w:hAnsi="Arial"/>
                <w:sz w:val="18"/>
                <w:szCs w:val="18"/>
                <w:color w:val="auto"/>
              </w:rPr>
              <w:t>Date: November 1, 2017</w:t>
            </w:r>
          </w:p>
        </w:tc>
        <w:tc>
          <w:tcPr>
            <w:tcW w:w="352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172"/>
        </w:trPr>
        <w:tc>
          <w:tcPr>
            <w:tcW w:w="3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Timothy J. O’Shaughnessy,</w:t>
            </w:r>
          </w:p>
        </w:tc>
      </w:tr>
      <w:tr>
        <w:trPr>
          <w:trHeight w:val="162"/>
        </w:trPr>
        <w:tc>
          <w:tcPr>
            <w:tcW w:w="3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President &amp; Chief Executive Officer</w:t>
            </w:r>
          </w:p>
        </w:tc>
      </w:tr>
      <w:tr>
        <w:trPr>
          <w:trHeight w:val="202"/>
        </w:trPr>
        <w:tc>
          <w:tcPr>
            <w:tcW w:w="37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51"/>
        </w:trPr>
        <w:tc>
          <w:tcPr>
            <w:tcW w:w="3760" w:type="dxa"/>
            <w:vAlign w:val="bottom"/>
          </w:tcPr>
          <w:p>
            <w:pPr>
              <w:spacing w:after="0"/>
              <w:rPr>
                <w:sz w:val="20"/>
                <w:szCs w:val="20"/>
                <w:color w:val="auto"/>
              </w:rPr>
            </w:pPr>
            <w:r>
              <w:rPr>
                <w:rFonts w:ascii="Arial" w:cs="Arial" w:eastAsia="Arial" w:hAnsi="Arial"/>
                <w:sz w:val="18"/>
                <w:szCs w:val="18"/>
                <w:color w:val="auto"/>
              </w:rPr>
              <w:t>Date: November 1, 2017</w:t>
            </w:r>
          </w:p>
        </w:tc>
        <w:tc>
          <w:tcPr>
            <w:tcW w:w="352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172"/>
        </w:trPr>
        <w:tc>
          <w:tcPr>
            <w:tcW w:w="3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Wallace R. Cooney,</w:t>
            </w:r>
          </w:p>
        </w:tc>
      </w:tr>
      <w:tr>
        <w:trPr>
          <w:trHeight w:val="162"/>
        </w:trPr>
        <w:tc>
          <w:tcPr>
            <w:tcW w:w="3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Senior Vice President-Finance</w:t>
            </w:r>
          </w:p>
        </w:tc>
      </w:tr>
      <w:tr>
        <w:trPr>
          <w:trHeight w:val="202"/>
        </w:trPr>
        <w:tc>
          <w:tcPr>
            <w:tcW w:w="37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614"/>
        </w:trPr>
        <w:tc>
          <w:tcPr>
            <w:tcW w:w="3760" w:type="dxa"/>
            <w:vAlign w:val="bottom"/>
          </w:tcPr>
          <w:p>
            <w:pPr>
              <w:spacing w:after="0"/>
              <w:rPr>
                <w:sz w:val="24"/>
                <w:szCs w:val="24"/>
                <w:color w:val="auto"/>
              </w:rPr>
            </w:pPr>
          </w:p>
        </w:tc>
        <w:tc>
          <w:tcPr>
            <w:tcW w:w="3520" w:type="dxa"/>
            <w:vAlign w:val="bottom"/>
          </w:tcPr>
          <w:p>
            <w:pPr>
              <w:jc w:val="right"/>
              <w:ind w:right="1410"/>
              <w:spacing w:after="0"/>
              <w:rPr>
                <w:sz w:val="20"/>
                <w:szCs w:val="20"/>
                <w:color w:val="auto"/>
              </w:rPr>
            </w:pPr>
            <w:r>
              <w:rPr>
                <w:rFonts w:ascii="Arial" w:cs="Arial" w:eastAsia="Arial" w:hAnsi="Arial"/>
                <w:sz w:val="18"/>
                <w:szCs w:val="18"/>
                <w:color w:val="auto"/>
              </w:rPr>
              <w:t>35</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859"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18"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340" w:right="140" w:hanging="8"/>
        <w:spacing w:after="0" w:line="339"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71"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1300" w:right="160" w:hanging="320"/>
        <w:spacing w:after="0" w:line="271"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left="1300" w:right="40" w:hanging="320"/>
        <w:spacing w:after="0" w:line="271"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1300" w:right="100" w:hanging="320"/>
        <w:spacing w:after="0" w:line="271"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340" w:right="300" w:hanging="8"/>
        <w:spacing w:after="0" w:line="318"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2" w:lineRule="exact"/>
        <w:rPr>
          <w:rFonts w:ascii="Arial" w:cs="Arial" w:eastAsia="Arial" w:hAnsi="Arial"/>
          <w:sz w:val="18"/>
          <w:szCs w:val="18"/>
          <w:color w:val="auto"/>
        </w:rPr>
      </w:pPr>
    </w:p>
    <w:p>
      <w:pPr>
        <w:jc w:val="both"/>
        <w:ind w:left="1300" w:right="100" w:hanging="320"/>
        <w:spacing w:after="0" w:line="271"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8"/>
          <w:szCs w:val="18"/>
          <w:color w:val="auto"/>
        </w:rPr>
      </w:pPr>
    </w:p>
    <w:p>
      <w:pPr>
        <w:ind w:left="1300" w:right="960" w:hanging="320"/>
        <w:spacing w:after="0" w:line="292"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6554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 2017</w:t>
      </w:r>
    </w:p>
    <w:p>
      <w:pPr>
        <w:sectPr>
          <w:pgSz w:w="11900" w:h="16838" w:orient="portrait"/>
          <w:cols w:equalWidth="0" w:num="1">
            <w:col w:w="11420"/>
          </w:cols>
          <w:pgMar w:left="240" w:top="36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Senior Vice President-Finance (principal financial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18"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340" w:right="140" w:hanging="8"/>
        <w:spacing w:after="0" w:line="339"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71"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1300" w:right="160" w:hanging="320"/>
        <w:spacing w:after="0" w:line="271"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left="1300" w:right="40" w:hanging="320"/>
        <w:spacing w:after="0" w:line="271"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1300" w:right="100" w:hanging="320"/>
        <w:spacing w:after="0" w:line="271"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340" w:right="300" w:hanging="8"/>
        <w:spacing w:after="0" w:line="318"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2" w:lineRule="exact"/>
        <w:rPr>
          <w:rFonts w:ascii="Arial" w:cs="Arial" w:eastAsia="Arial" w:hAnsi="Arial"/>
          <w:sz w:val="18"/>
          <w:szCs w:val="18"/>
          <w:color w:val="auto"/>
        </w:rPr>
      </w:pPr>
    </w:p>
    <w:p>
      <w:pPr>
        <w:jc w:val="both"/>
        <w:ind w:left="1300" w:right="100" w:hanging="320"/>
        <w:spacing w:after="0" w:line="271"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8"/>
          <w:szCs w:val="18"/>
          <w:color w:val="auto"/>
        </w:rPr>
      </w:pPr>
    </w:p>
    <w:p>
      <w:pPr>
        <w:ind w:left="1300" w:right="960" w:hanging="320"/>
        <w:spacing w:after="0" w:line="292"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6554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 2017</w:t>
      </w:r>
    </w:p>
    <w:p>
      <w:pPr>
        <w:sectPr>
          <w:pgSz w:w="11900" w:h="16838" w:orient="portrait"/>
          <w:cols w:equalWidth="0" w:num="1">
            <w:col w:w="11420"/>
          </w:cols>
          <w:pgMar w:left="240" w:top="36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4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September 30, 2017 (the “Report”), Timothy J. O'Shaughnessy, Chief Executive Officer of the Company and Wallace R. Cooney, Senior Vice President-Finance of the Company, each hereby certifies, pursuant to 18 U.S.C. Section 1350, as adopted pursuant to Section 906 of the Sarbanes-Oxley Act of 2002, that:</w:t>
      </w:r>
    </w:p>
    <w:p>
      <w:pPr>
        <w:spacing w:after="0" w:line="116"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520" w:hanging="332"/>
        <w:spacing w:after="0" w:line="292"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6554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 2017</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6554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 2017</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932"/>
    </w:lvl>
  </w:abstractNum>
  <w:abstractNum w:abstractNumId="3">
    <w:nsid w:val="3352255A"/>
    <w:multiLevelType w:val="hybridMultilevel"/>
    <w:lvl w:ilvl="0">
      <w:lvlJc w:val="left"/>
      <w:lvlText w:val="%1"/>
      <w:numFmt w:val="decimal"/>
      <w:start w:val="504"/>
    </w:lvl>
  </w:abstractNum>
  <w:abstractNum w:abstractNumId="4">
    <w:nsid w:val="109CF92E"/>
    <w:multiLevelType w:val="hybridMultilevel"/>
    <w:lvl w:ilvl="0">
      <w:lvlJc w:val="left"/>
      <w:lvlText w:val="%1"/>
      <w:numFmt w:val="decimal"/>
      <w:start w:val="200"/>
    </w:lvl>
  </w:abstractNum>
  <w:abstractNum w:abstractNumId="5">
    <w:nsid w:val="DED7263"/>
    <w:multiLevelType w:val="hybridMultilevel"/>
    <w:lvl w:ilvl="0">
      <w:lvlJc w:val="left"/>
      <w:lvlText w:val="%1"/>
      <w:numFmt w:val="decimal"/>
      <w:start w:val="519"/>
    </w:lvl>
  </w:abstractNum>
  <w:abstractNum w:abstractNumId="6">
    <w:nsid w:val="7FDCC233"/>
    <w:multiLevelType w:val="hybridMultilevel"/>
    <w:lvl w:ilvl="0">
      <w:lvlJc w:val="left"/>
      <w:lvlText w:val="\emdash "/>
      <w:numFmt w:val="bullet"/>
      <w:start w:val="1"/>
    </w:lvl>
  </w:abstractNum>
  <w:abstractNum w:abstractNumId="7">
    <w:nsid w:val="1BEFD79F"/>
    <w:multiLevelType w:val="hybridMultilevel"/>
    <w:lvl w:ilvl="0">
      <w:lvlJc w:val="left"/>
      <w:lvlText w:val="\emdash "/>
      <w:numFmt w:val="bullet"/>
      <w:start w:val="1"/>
    </w:lvl>
  </w:abstractNum>
  <w:abstractNum w:abstractNumId="8">
    <w:nsid w:val="41A7C4C9"/>
    <w:multiLevelType w:val="hybridMultilevel"/>
    <w:lvl w:ilvl="0">
      <w:lvlJc w:val="left"/>
      <w:lvlText w:val="(%1)"/>
      <w:numFmt w:val="lowerRoman"/>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32"/>
    </w:lvl>
  </w:abstractNum>
  <w:abstractNum w:abstractNumId="17">
    <w:nsid w:val="62BBD95A"/>
    <w:multiLevelType w:val="hybridMultilevel"/>
    <w:lvl w:ilvl="0">
      <w:lvlJc w:val="left"/>
      <w:lvlText w:val="*"/>
      <w:numFmt w:val="bullet"/>
      <w:start w:val="1"/>
    </w:lvl>
    <w:lvl w:ilvl="1">
      <w:lvlJc w:val="left"/>
      <w:lvlText w:val="%2"/>
      <w:numFmt w:val="decimal"/>
      <w:start w:val="101"/>
    </w:lvl>
  </w:abstractNum>
  <w:abstractNum w:abstractNumId="18">
    <w:nsid w:val="436C6125"/>
    <w:multiLevelType w:val="hybridMultilevel"/>
    <w:lvl w:ilvl="0">
      <w:lvlJc w:val="left"/>
      <w:lvlText w:val="**"/>
      <w:numFmt w:val="bullet"/>
      <w:start w:val="1"/>
    </w:lvl>
    <w:lvl w:ilvl="1">
      <w:lvlJc w:val="left"/>
      <w:lvlText w:val="%2"/>
      <w:numFmt w:val="decimal"/>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31" Type="http://schemas.openxmlformats.org/officeDocument/2006/relationships/hyperlink" Target="http://www.sec.gov/Archives/edgar/data/104889/000095015717000514/ex2-1.htm" TargetMode="External"/><Relationship Id="rId32" Type="http://schemas.openxmlformats.org/officeDocument/2006/relationships/hyperlink" Target="http://www.sec.gov/Archives/edgar/data/104889/000095013304000785/w94191exv3w1.htm" TargetMode="External"/><Relationship Id="rId33" Type="http://schemas.openxmlformats.org/officeDocument/2006/relationships/hyperlink" Target="http://www.sec.gov/Archives/edgar/data/104889/000095015713000428/ex3-1.htm" TargetMode="External"/><Relationship Id="rId34" Type="http://schemas.openxmlformats.org/officeDocument/2006/relationships/hyperlink" Target="http://www.sec.gov/Archives/edgar/data/104889/000095015713000428/ex3-2.htm" TargetMode="External"/><Relationship Id="rId35" Type="http://schemas.openxmlformats.org/officeDocument/2006/relationships/hyperlink" Target="http://www.sec.gov/Archives/edgar/data/104889/000119312509015492/dex102.htm" TargetMode="External"/><Relationship Id="rId36" Type="http://schemas.openxmlformats.org/officeDocument/2006/relationships/hyperlink" Target="http://www.sec.gov/Archives/edgar/data/104889/000095015715000737/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2019-12-29T03:46:39Z</dcterms:created>
  <dcterms:modified xsi:type="dcterms:W3CDTF">2019-12-29T03:46:39Z</dcterms:modified>
</cp:coreProperties>
</file>