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5430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7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0"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Class B Common Stock $1.00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939640 10 8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700" w:hanging="20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700" w:hanging="20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700" w:hanging="206"/>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612140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w:t>
            </w:r>
          </w:p>
        </w:tc>
        <w:tc>
          <w:tcPr>
            <w:tcW w:w="1120" w:type="dxa"/>
            <w:vAlign w:val="bottom"/>
            <w:tcBorders>
              <w:top w:val="single" w:sz="8" w:color="auto"/>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939640 10 8</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0" w:type="dxa"/>
            <w:vAlign w:val="bottom"/>
            <w:gridSpan w:val="2"/>
          </w:tcPr>
          <w:p>
            <w:pPr>
              <w:ind w:left="3880"/>
              <w:spacing w:after="0"/>
              <w:rPr>
                <w:sz w:val="20"/>
                <w:szCs w:val="20"/>
                <w:color w:val="auto"/>
              </w:rPr>
            </w:pPr>
            <w:r>
              <w:rPr>
                <w:rFonts w:ascii="Times New Roman" w:cs="Times New Roman" w:eastAsia="Times New Roman" w:hAnsi="Times New Roman"/>
                <w:sz w:val="18"/>
                <w:szCs w:val="18"/>
                <w:color w:val="auto"/>
              </w:rPr>
              <w:t>13G</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1160" w:type="dxa"/>
            <w:vAlign w:val="bottom"/>
            <w:tcBorders>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0" w:type="dxa"/>
            <w:vAlign w:val="bottom"/>
            <w:tcBorders>
              <w:bottom w:val="single" w:sz="8" w:color="auto"/>
            </w:tcBorders>
            <w:gridSpan w:val="5"/>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tcBorders>
            <w:vMerge w:val="restart"/>
          </w:tcPr>
          <w:p>
            <w:pPr>
              <w:jc w:val="center"/>
              <w:ind w:left="109"/>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6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tcBorders>
              <w:left w:val="single" w:sz="8" w:color="auto"/>
            </w:tcBorders>
            <w:vMerge w:val="continue"/>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7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Laura G. O’Shaughnessy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60" w:type="dxa"/>
            <w:vAlign w:val="bottom"/>
            <w:tcBorders>
              <w:left w:val="single" w:sz="8" w:color="auto"/>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960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160" w:type="dxa"/>
            <w:vAlign w:val="bottom"/>
            <w:tcBorders>
              <w:left w:val="single" w:sz="8" w:color="auto"/>
            </w:tcBorders>
            <w:vMerge w:val="restart"/>
          </w:tcPr>
          <w:p>
            <w:pPr>
              <w:jc w:val="center"/>
              <w:ind w:left="109"/>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26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60" w:type="dxa"/>
            <w:vAlign w:val="bottom"/>
            <w:tcBorders>
              <w:left w:val="single" w:sz="8" w:color="auto"/>
            </w:tcBorders>
            <w:vMerge w:val="continue"/>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86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1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tcBorders>
            <w:vMerge w:val="restart"/>
          </w:tcPr>
          <w:p>
            <w:pPr>
              <w:jc w:val="center"/>
              <w:ind w:left="109"/>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260" w:type="dxa"/>
            <w:vAlign w:val="bottom"/>
            <w:tcBorders>
              <w:right w:val="single" w:sz="8" w:color="auto"/>
            </w:tcBorders>
          </w:tcPr>
          <w:p>
            <w:pPr>
              <w:spacing w:after="0"/>
              <w:rPr>
                <w:sz w:val="20"/>
                <w:szCs w:val="20"/>
                <w:color w:val="auto"/>
              </w:rPr>
            </w:pPr>
          </w:p>
        </w:tc>
        <w:tc>
          <w:tcPr>
            <w:tcW w:w="1300" w:type="dxa"/>
            <w:vAlign w:val="bottom"/>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60" w:type="dxa"/>
            <w:vAlign w:val="bottom"/>
            <w:tcBorders>
              <w:left w:val="single" w:sz="8" w:color="auto"/>
            </w:tcBorders>
            <w:vMerge w:val="continue"/>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240" w:type="dxa"/>
            <w:vAlign w:val="bottom"/>
            <w:tcBorders>
              <w:right w:val="single" w:sz="8" w:color="BFBFBF"/>
            </w:tcBorders>
            <w:shd w:val="clear" w:color="auto" w:fill="BFBFBF"/>
          </w:tcPr>
          <w:p>
            <w:pPr>
              <w:spacing w:after="0"/>
              <w:rPr>
                <w:sz w:val="24"/>
                <w:szCs w:val="24"/>
                <w:color w:val="auto"/>
              </w:rPr>
            </w:pPr>
          </w:p>
        </w:tc>
        <w:tc>
          <w:tcPr>
            <w:tcW w:w="42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6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240" w:type="dxa"/>
            <w:vAlign w:val="bottom"/>
            <w:tcBorders>
              <w:bottom w:val="single" w:sz="8" w:color="auto"/>
              <w:right w:val="single" w:sz="8" w:color="BFBFBF"/>
            </w:tcBorders>
            <w:shd w:val="clear" w:color="auto" w:fill="BFBFBF"/>
          </w:tcPr>
          <w:p>
            <w:pPr>
              <w:spacing w:after="0"/>
              <w:rPr>
                <w:sz w:val="23"/>
                <w:szCs w:val="23"/>
                <w:color w:val="auto"/>
              </w:rPr>
            </w:pPr>
          </w:p>
        </w:tc>
        <w:tc>
          <w:tcPr>
            <w:tcW w:w="42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tcBorders>
            <w:vMerge w:val="restart"/>
          </w:tcPr>
          <w:p>
            <w:pPr>
              <w:jc w:val="center"/>
              <w:ind w:left="109"/>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6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tcBorders>
              <w:left w:val="single" w:sz="8" w:color="auto"/>
            </w:tcBorders>
            <w:vMerge w:val="continue"/>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60" w:type="dxa"/>
            <w:vAlign w:val="bottom"/>
            <w:tcBorders>
              <w:left w:val="single" w:sz="8" w:color="auto"/>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87"/>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6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87"/>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40" w:type="dxa"/>
            <w:vAlign w:val="bottom"/>
          </w:tcPr>
          <w:p>
            <w:pPr>
              <w:spacing w:after="0"/>
              <w:rPr>
                <w:sz w:val="19"/>
                <w:szCs w:val="19"/>
                <w:color w:val="auto"/>
              </w:rPr>
            </w:pPr>
          </w:p>
        </w:tc>
        <w:tc>
          <w:tcPr>
            <w:tcW w:w="42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204,004</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40" w:type="dxa"/>
            <w:vAlign w:val="bottom"/>
          </w:tcPr>
          <w:p>
            <w:pPr>
              <w:spacing w:after="0"/>
              <w:rPr>
                <w:sz w:val="18"/>
                <w:szCs w:val="18"/>
                <w:color w:val="auto"/>
              </w:rPr>
            </w:pPr>
          </w:p>
        </w:tc>
        <w:tc>
          <w:tcPr>
            <w:tcW w:w="42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87"/>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240" w:type="dxa"/>
            <w:vAlign w:val="bottom"/>
          </w:tcPr>
          <w:p>
            <w:pPr>
              <w:spacing w:after="0"/>
              <w:rPr>
                <w:sz w:val="16"/>
                <w:szCs w:val="16"/>
                <w:color w:val="auto"/>
              </w:rPr>
            </w:pPr>
          </w:p>
        </w:tc>
        <w:tc>
          <w:tcPr>
            <w:tcW w:w="42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1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87"/>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9,499</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60" w:type="dxa"/>
            <w:vAlign w:val="bottom"/>
            <w:tcBorders>
              <w:left w:val="single" w:sz="8" w:color="auto"/>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tcBorders>
            <w:vMerge w:val="restart"/>
          </w:tcPr>
          <w:p>
            <w:pPr>
              <w:jc w:val="center"/>
              <w:ind w:left="109"/>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6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160" w:type="dxa"/>
            <w:vAlign w:val="bottom"/>
            <w:tcBorders>
              <w:left w:val="single" w:sz="8" w:color="auto"/>
              <w:bottom w:val="single" w:sz="8" w:color="auto"/>
            </w:tcBorders>
            <w:vMerge w:val="continue"/>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204,004</w:t>
            </w:r>
            <w:r>
              <w:rPr>
                <w:rFonts w:ascii="Times New Roman" w:cs="Times New Roman" w:eastAsia="Times New Roman" w:hAnsi="Times New Roman"/>
                <w:sz w:val="29"/>
                <w:szCs w:val="29"/>
                <w:b w:val="1"/>
                <w:bCs w:val="1"/>
                <w:color w:val="auto"/>
                <w:w w:val="98"/>
                <w:vertAlign w:val="superscript"/>
              </w:rPr>
              <w:t>(1)</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tcBorders>
              <w:left w:val="single" w:sz="8" w:color="auto"/>
            </w:tcBorders>
            <w:vMerge w:val="restart"/>
          </w:tcPr>
          <w:p>
            <w:pPr>
              <w:jc w:val="center"/>
              <w:ind w:left="109"/>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260" w:type="dxa"/>
            <w:vAlign w:val="bottom"/>
            <w:tcBorders>
              <w:right w:val="single" w:sz="8" w:color="auto"/>
            </w:tcBorders>
          </w:tcPr>
          <w:p>
            <w:pPr>
              <w:spacing w:after="0"/>
              <w:rPr>
                <w:sz w:val="21"/>
                <w:szCs w:val="21"/>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160" w:type="dxa"/>
            <w:vAlign w:val="bottom"/>
            <w:tcBorders>
              <w:left w:val="single" w:sz="8" w:color="auto"/>
            </w:tcBorders>
            <w:vMerge w:val="continue"/>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860" w:type="dxa"/>
            <w:vAlign w:val="bottom"/>
            <w:gridSpan w:val="2"/>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160" w:type="dxa"/>
            <w:vAlign w:val="bottom"/>
            <w:tcBorders>
              <w:lef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160" w:type="dxa"/>
            <w:vAlign w:val="bottom"/>
            <w:tcBorders>
              <w:left w:val="single" w:sz="8" w:color="auto"/>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160" w:type="dxa"/>
            <w:vAlign w:val="bottom"/>
            <w:tcBorders>
              <w:left w:val="single" w:sz="8" w:color="auto"/>
            </w:tcBorders>
            <w:vMerge w:val="restart"/>
          </w:tcPr>
          <w:p>
            <w:pPr>
              <w:jc w:val="center"/>
              <w:ind w:left="129"/>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60" w:type="dxa"/>
            <w:vAlign w:val="bottom"/>
            <w:tcBorders>
              <w:right w:val="single" w:sz="8" w:color="auto"/>
            </w:tcBorders>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5.6%</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60" w:type="dxa"/>
            <w:vAlign w:val="bottom"/>
            <w:tcBorders>
              <w:left w:val="single" w:sz="8" w:color="auto"/>
            </w:tcBorders>
            <w:vMerge w:val="continue"/>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7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Calculated based on 3,670,966 shares of Class B Common Stock outstanding (3,473,761 shares of Class B Common Stock</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7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outstanding as of April 26, 2024, </w:t>
            </w:r>
            <w:r>
              <w:rPr>
                <w:rFonts w:ascii="Times New Roman" w:cs="Times New Roman" w:eastAsia="Times New Roman" w:hAnsi="Times New Roman"/>
                <w:sz w:val="18"/>
                <w:szCs w:val="18"/>
                <w:b w:val="1"/>
                <w:bCs w:val="1"/>
                <w:i w:val="1"/>
                <w:iCs w:val="1"/>
                <w:color w:val="auto"/>
              </w:rPr>
              <w:t>plus</w:t>
            </w:r>
            <w:r>
              <w:rPr>
                <w:rFonts w:ascii="Times New Roman" w:cs="Times New Roman" w:eastAsia="Times New Roman" w:hAnsi="Times New Roman"/>
                <w:sz w:val="18"/>
                <w:szCs w:val="18"/>
                <w:b w:val="1"/>
                <w:bCs w:val="1"/>
                <w:color w:val="auto"/>
              </w:rPr>
              <w:t xml:space="preserve"> 197,205 shares issuable upon conversion of Class A Common Stock beneficially owned</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7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by the Reporting Person, share for share, into Class B Common Stock)</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Borders>
              <w:left w:val="single" w:sz="8" w:color="auto"/>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832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tcBorders>
            <w:vMerge w:val="restart"/>
          </w:tcPr>
          <w:p>
            <w:pPr>
              <w:jc w:val="center"/>
              <w:ind w:left="109"/>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6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tcBorders>
              <w:left w:val="single" w:sz="8" w:color="auto"/>
            </w:tcBorders>
            <w:vMerge w:val="continue"/>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60" w:type="dxa"/>
            <w:vAlign w:val="bottom"/>
            <w:tcBorders>
              <w:left w:val="single" w:sz="8" w:color="auto"/>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340" w:right="160" w:hanging="287"/>
        <w:spacing w:after="0" w:line="180" w:lineRule="auto"/>
        <w:tabs>
          <w:tab w:leader="none" w:pos="340" w:val="left"/>
        </w:tabs>
        <w:numPr>
          <w:ilvl w:val="0"/>
          <w:numId w:val="3"/>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3"/>
          <w:szCs w:val="13"/>
          <w:color w:val="auto"/>
        </w:rPr>
        <w:t>The aggregate amount reported as beneficially owned in Row 9 does not include (i) 132,415 Class B shares that the Reporting Person’s spouse has the right to purchase, pursuant to stock options, (ii) 16,156 Class B shares held by the Reporting Person’s spouse, and (iii) 5,600 Class B shares held in trust for the benefit of the Reporting Person and her children, for which, in each case, the Reporting Person has no voting or investment power and expressly disclaims beneficial ownership.</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1140" w:hanging="76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Graham Holdings Company</w:t>
      </w:r>
    </w:p>
    <w:p>
      <w:pPr>
        <w:spacing w:after="0" w:line="225" w:lineRule="exact"/>
        <w:rPr>
          <w:rFonts w:ascii="Times New Roman" w:cs="Times New Roman" w:eastAsia="Times New Roman" w:hAnsi="Times New Roman"/>
          <w:sz w:val="18"/>
          <w:szCs w:val="18"/>
          <w:color w:val="auto"/>
        </w:rPr>
      </w:pPr>
    </w:p>
    <w:p>
      <w:pPr>
        <w:ind w:left="1140" w:hanging="77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1140" w:right="8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 North 17th Street Arlington, VA 22209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1140" w:hanging="76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being filed by Laura G. O’Shaughnessy.</w:t>
      </w:r>
    </w:p>
    <w:p>
      <w:pPr>
        <w:spacing w:after="0" w:line="225" w:lineRule="exact"/>
        <w:rPr>
          <w:rFonts w:ascii="Times New Roman" w:cs="Times New Roman" w:eastAsia="Times New Roman" w:hAnsi="Times New Roman"/>
          <w:sz w:val="18"/>
          <w:szCs w:val="18"/>
          <w:color w:val="auto"/>
        </w:rPr>
      </w:pPr>
    </w:p>
    <w:p>
      <w:pPr>
        <w:jc w:val="both"/>
        <w:ind w:left="1140" w:right="5660" w:hanging="775"/>
        <w:spacing w:after="0" w:line="50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The principal business office of Laura G. O’Shaughnessy is:</w:t>
      </w:r>
    </w:p>
    <w:p>
      <w:pPr>
        <w:spacing w:after="0" w:line="1" w:lineRule="exact"/>
        <w:rPr>
          <w:rFonts w:ascii="Times New Roman" w:cs="Times New Roman" w:eastAsia="Times New Roman" w:hAnsi="Times New Roman"/>
          <w:sz w:val="18"/>
          <w:szCs w:val="18"/>
          <w:color w:val="auto"/>
        </w:rPr>
      </w:pPr>
    </w:p>
    <w:p>
      <w:pPr>
        <w:ind w:left="1140" w:right="8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 North 17th Street Arlington, VA 22209</w:t>
      </w:r>
    </w:p>
    <w:p>
      <w:pPr>
        <w:spacing w:after="0" w:line="161" w:lineRule="exact"/>
        <w:rPr>
          <w:rFonts w:ascii="Times New Roman" w:cs="Times New Roman" w:eastAsia="Times New Roman" w:hAnsi="Times New Roman"/>
          <w:sz w:val="18"/>
          <w:szCs w:val="18"/>
          <w:color w:val="auto"/>
        </w:rPr>
      </w:pPr>
    </w:p>
    <w:p>
      <w:pPr>
        <w:ind w:left="1140" w:hanging="7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Laura G. O’Shaughnessy is a citizen of the United States of America.</w:t>
      </w:r>
    </w:p>
    <w:p>
      <w:pPr>
        <w:spacing w:after="0" w:line="225" w:lineRule="exact"/>
        <w:rPr>
          <w:rFonts w:ascii="Times New Roman" w:cs="Times New Roman" w:eastAsia="Times New Roman" w:hAnsi="Times New Roman"/>
          <w:sz w:val="18"/>
          <w:szCs w:val="18"/>
          <w:color w:val="auto"/>
        </w:rPr>
      </w:pPr>
    </w:p>
    <w:p>
      <w:pPr>
        <w:ind w:left="1140" w:hanging="77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Class B Common Stock $1.00 par value</w:t>
      </w:r>
    </w:p>
    <w:p>
      <w:pPr>
        <w:spacing w:after="0" w:line="225" w:lineRule="exact"/>
        <w:rPr>
          <w:rFonts w:ascii="Times New Roman" w:cs="Times New Roman" w:eastAsia="Times New Roman" w:hAnsi="Times New Roman"/>
          <w:sz w:val="18"/>
          <w:szCs w:val="18"/>
          <w:color w:val="auto"/>
        </w:rPr>
      </w:pPr>
    </w:p>
    <w:p>
      <w:pPr>
        <w:ind w:left="1140" w:hanging="7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939640 10 8</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Rules 13d-1(b), or 13d-2(b) or (c), check whether the person filing is a:</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information in Row 1 and Rows 5 though 11 on the cover page of this Schedule 13G is incorporated herein by reference.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1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other persons known by the reporting person to have the power to direct the receipt of dividends from, and the proceeds from the sale of, the securities reported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L. Mosley’s interest in the securities reported herein relates to 5.4% of the Class B Common Stock.</w:t>
      </w:r>
    </w:p>
    <w:p>
      <w:pPr>
        <w:spacing w:after="0" w:line="22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6"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0" w:space="600"/>
            <w:col w:w="10000"/>
          </w:cols>
          <w:pgMar w:left="320" w:top="333" w:right="43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Laura G.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33686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Name:Laura G.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13613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5</w:t>
      </w:r>
    </w:p>
    <w:sectPr>
      <w:pgSz w:w="11900" w:h="16838" w:orient="portrait"/>
      <w:cols w:equalWidth="0" w:num="1">
        <w:col w:w="11140"/>
      </w:cols>
      <w:pgMar w:left="32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2024-05-10T16:16:23Z</dcterms:created>
  <dcterms:modified xsi:type="dcterms:W3CDTF">2024-05-10T16:16:23Z</dcterms:modified>
</cp:coreProperties>
</file>