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2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26, 2024:</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3,473,761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Income</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00" w:lineRule="exact"/>
        <w:rPr>
          <w:sz w:val="20"/>
          <w:szCs w:val="20"/>
          <w:color w:val="auto"/>
        </w:rPr>
      </w:pPr>
    </w:p>
    <w:p>
      <w:pPr>
        <w:spacing w:after="0" w:line="22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35</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4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2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Sales of services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Sales of goods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services sold (exclusive of items shown below)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goods sold (exclusive of items shown below)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Selling, general and administrative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of property, plant and equipment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intangible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Impairment of long-lived assets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 in earnings of affiliates,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income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Non-operating pension and postretirement benefit income,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on marketable equity securities,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income,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Before Income Taxes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Provision for Income Taxes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net income per common share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average number of common shares outstanding</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 net income per common share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
        <w:spacing w:after="0"/>
        <w:tabs>
          <w:tab w:leader="none" w:pos="540" w:val="left"/>
          <w:tab w:leader="none" w:pos="1320" w:val="left"/>
          <w:tab w:leader="none" w:pos="18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646,410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586,863</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506,252</w:t>
      </w:r>
      <w:r>
        <w:rPr>
          <w:sz w:val="20"/>
          <w:szCs w:val="20"/>
          <w:color w:val="auto"/>
        </w:rPr>
        <w:tab/>
      </w:r>
      <w:r>
        <w:rPr>
          <w:rFonts w:ascii="Arial" w:cs="Arial" w:eastAsia="Arial" w:hAnsi="Arial"/>
          <w:sz w:val="16"/>
          <w:szCs w:val="16"/>
          <w:color w:val="auto"/>
        </w:rPr>
        <w:t>444,683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11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9" w:lineRule="exact"/>
        <w:rPr>
          <w:sz w:val="20"/>
          <w:szCs w:val="20"/>
          <w:color w:val="auto"/>
        </w:rPr>
      </w:pPr>
    </w:p>
    <w:p>
      <w:pPr>
        <w:ind w:left="440"/>
        <w:spacing w:after="0"/>
        <w:tabs>
          <w:tab w:leader="none" w:pos="1740" w:val="left"/>
        </w:tabs>
        <w:rPr>
          <w:sz w:val="20"/>
          <w:szCs w:val="20"/>
          <w:color w:val="auto"/>
        </w:rPr>
      </w:pPr>
      <w:r>
        <w:rPr>
          <w:rFonts w:ascii="Arial" w:cs="Arial" w:eastAsia="Arial" w:hAnsi="Arial"/>
          <w:sz w:val="16"/>
          <w:szCs w:val="16"/>
          <w:b w:val="1"/>
          <w:bCs w:val="1"/>
          <w:color w:val="auto"/>
        </w:rPr>
        <w:t>1,152,662</w:t>
      </w:r>
      <w:r>
        <w:rPr>
          <w:sz w:val="20"/>
          <w:szCs w:val="20"/>
          <w:color w:val="auto"/>
        </w:rPr>
        <w:tab/>
      </w:r>
      <w:r>
        <w:rPr>
          <w:rFonts w:ascii="Arial" w:cs="Arial" w:eastAsia="Arial" w:hAnsi="Arial"/>
          <w:sz w:val="16"/>
          <w:szCs w:val="16"/>
          <w:color w:val="auto"/>
        </w:rPr>
        <w:t>1,031,546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11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9"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387,743</w:t>
      </w:r>
      <w:r>
        <w:rPr>
          <w:sz w:val="20"/>
          <w:szCs w:val="20"/>
          <w:color w:val="auto"/>
        </w:rPr>
        <w:tab/>
      </w:r>
      <w:r>
        <w:rPr>
          <w:rFonts w:ascii="Arial" w:cs="Arial" w:eastAsia="Arial" w:hAnsi="Arial"/>
          <w:sz w:val="16"/>
          <w:szCs w:val="16"/>
          <w:color w:val="auto"/>
        </w:rPr>
        <w:t>356,942</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432,220</w:t>
      </w:r>
      <w:r>
        <w:rPr>
          <w:sz w:val="20"/>
          <w:szCs w:val="20"/>
          <w:color w:val="auto"/>
        </w:rPr>
        <w:tab/>
      </w:r>
      <w:r>
        <w:rPr>
          <w:rFonts w:ascii="Arial" w:cs="Arial" w:eastAsia="Arial" w:hAnsi="Arial"/>
          <w:sz w:val="16"/>
          <w:szCs w:val="16"/>
          <w:color w:val="auto"/>
        </w:rPr>
        <w:t>370,272</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263,979</w:t>
      </w:r>
      <w:r>
        <w:rPr>
          <w:sz w:val="20"/>
          <w:szCs w:val="20"/>
          <w:color w:val="auto"/>
        </w:rPr>
        <w:tab/>
      </w:r>
      <w:r>
        <w:rPr>
          <w:rFonts w:ascii="Arial" w:cs="Arial" w:eastAsia="Arial" w:hAnsi="Arial"/>
          <w:sz w:val="16"/>
          <w:szCs w:val="16"/>
          <w:color w:val="auto"/>
        </w:rPr>
        <w:t>241,962</w:t>
      </w:r>
    </w:p>
    <w:p>
      <w:pPr>
        <w:spacing w:after="0" w:line="4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6"/>
          <w:szCs w:val="16"/>
          <w:b w:val="1"/>
          <w:bCs w:val="1"/>
          <w:color w:val="auto"/>
        </w:rPr>
        <w:t>22,527</w:t>
      </w:r>
      <w:r>
        <w:rPr>
          <w:sz w:val="20"/>
          <w:szCs w:val="20"/>
          <w:color w:val="auto"/>
        </w:rPr>
        <w:tab/>
      </w:r>
      <w:r>
        <w:rPr>
          <w:rFonts w:ascii="Arial" w:cs="Arial" w:eastAsia="Arial" w:hAnsi="Arial"/>
          <w:sz w:val="16"/>
          <w:szCs w:val="16"/>
          <w:color w:val="auto"/>
        </w:rPr>
        <w:t>20,025</w:t>
      </w:r>
    </w:p>
    <w:p>
      <w:pPr>
        <w:spacing w:after="0" w:line="4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6"/>
          <w:szCs w:val="16"/>
          <w:b w:val="1"/>
          <w:bCs w:val="1"/>
          <w:color w:val="auto"/>
        </w:rPr>
        <w:t>10,751</w:t>
      </w:r>
      <w:r>
        <w:rPr>
          <w:sz w:val="20"/>
          <w:szCs w:val="20"/>
          <w:color w:val="auto"/>
        </w:rPr>
        <w:tab/>
      </w:r>
      <w:r>
        <w:rPr>
          <w:rFonts w:ascii="Arial" w:cs="Arial" w:eastAsia="Arial" w:hAnsi="Arial"/>
          <w:sz w:val="16"/>
          <w:szCs w:val="16"/>
          <w:color w:val="auto"/>
        </w:rPr>
        <w:t>13,944</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745</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1,117,220</w:t>
      </w:r>
      <w:r>
        <w:rPr>
          <w:rFonts w:ascii="Arial" w:cs="Arial" w:eastAsia="Arial" w:hAnsi="Arial"/>
          <w:sz w:val="16"/>
          <w:szCs w:val="16"/>
          <w:color w:val="auto"/>
        </w:rPr>
        <w:t>1,003,890</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35,442</w:t>
      </w:r>
      <w:r>
        <w:rPr>
          <w:rFonts w:ascii="Arial" w:cs="Arial" w:eastAsia="Arial" w:hAnsi="Arial"/>
          <w:sz w:val="16"/>
          <w:szCs w:val="16"/>
          <w:color w:val="auto"/>
        </w:rPr>
        <w:t>27,656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611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1611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2,331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4,661</w:t>
            </w:r>
          </w:p>
        </w:tc>
      </w:tr>
      <w:tr>
        <w:trPr>
          <w:trHeight w:val="229"/>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2,178</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1,204</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(19,328)</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(14,294)</w:t>
            </w:r>
          </w:p>
        </w:tc>
      </w:tr>
      <w:tr>
        <w:trPr>
          <w:trHeight w:val="229"/>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42,417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31,845</w:t>
            </w:r>
          </w:p>
        </w:tc>
      </w:tr>
      <w:tr>
        <w:trPr>
          <w:trHeight w:val="230"/>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104,152</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18,022</w:t>
            </w:r>
          </w:p>
        </w:tc>
      </w:tr>
      <w:tr>
        <w:trPr>
          <w:trHeight w:val="233"/>
        </w:trPr>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1,647</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w:t>
            </w:r>
          </w:p>
        </w:tc>
      </w:tr>
      <w:tr>
        <w:trPr>
          <w:trHeight w:val="220"/>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168,839</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72,177</w:t>
            </w:r>
          </w:p>
        </w:tc>
      </w:tr>
      <w:tr>
        <w:trPr>
          <w:trHeight w:val="233"/>
        </w:trPr>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43,500</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19,200</w:t>
            </w:r>
          </w:p>
        </w:tc>
      </w:tr>
      <w:tr>
        <w:trPr>
          <w:trHeight w:val="220"/>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125,339</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52,977</w:t>
            </w:r>
          </w:p>
        </w:tc>
      </w:tr>
      <w:tr>
        <w:trPr>
          <w:trHeight w:val="233"/>
        </w:trPr>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r>
      <w:tr>
        <w:trPr>
          <w:trHeight w:val="223"/>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124,380</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52,272</w:t>
            </w:r>
          </w:p>
        </w:tc>
      </w:tr>
      <w:tr>
        <w:trPr>
          <w:trHeight w:val="24"/>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72"/>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27.87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10.91</w:t>
            </w:r>
          </w:p>
        </w:tc>
      </w:tr>
      <w:tr>
        <w:trPr>
          <w:trHeight w:val="230"/>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4,432</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4,759</w:t>
            </w:r>
          </w:p>
        </w:tc>
      </w:tr>
      <w:tr>
        <w:trPr>
          <w:trHeight w:val="229"/>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27.72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30"/>
        </w:trPr>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4,457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4,776</w:t>
            </w:r>
          </w:p>
        </w:tc>
      </w:tr>
    </w:tbl>
    <w:p>
      <w:pPr>
        <w:spacing w:after="0" w:line="200" w:lineRule="exact"/>
        <w:rPr>
          <w:sz w:val="20"/>
          <w:szCs w:val="20"/>
          <w:color w:val="auto"/>
        </w:rPr>
      </w:pPr>
    </w:p>
    <w:p>
      <w:pPr>
        <w:sectPr>
          <w:pgSz w:w="11900" w:h="16838" w:orient="portrait"/>
          <w:cols w:equalWidth="0" w:num="2">
            <w:col w:w="7960" w:space="720"/>
            <w:col w:w="2540"/>
          </w:cols>
          <w:pgMar w:left="320" w:top="931"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8420" w:type="dxa"/>
            <w:vAlign w:val="bottom"/>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10160</wp:posOffset>
            </wp:positionV>
            <wp:extent cx="6763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ectPr>
          <w:pgSz w:w="11900" w:h="16838" w:orient="portrait"/>
          <w:cols w:equalWidth="0" w:num="1">
            <w:col w:w="10960"/>
          </w:cols>
          <w:pgMar w:left="320" w:top="944" w:right="619" w:bottom="1440" w:gutter="0" w:footer="0" w:header="0"/>
        </w:sectPr>
      </w:pP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520" w:right="2700"/>
        <w:spacing w:after="0" w:line="339" w:lineRule="auto"/>
        <w:rPr>
          <w:sz w:val="20"/>
          <w:szCs w:val="20"/>
          <w:color w:val="auto"/>
        </w:rPr>
      </w:pPr>
      <w:r>
        <w:rPr>
          <w:rFonts w:ascii="Arial" w:cs="Arial" w:eastAsia="Arial" w:hAnsi="Arial"/>
          <w:sz w:val="16"/>
          <w:szCs w:val="16"/>
          <w:color w:val="auto"/>
        </w:rPr>
        <w:t>Amortization of net prior service (credit) cost included in net income Amortization of net actuarial gain included in net income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Cash flow hedges gain (loss)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Comprehensive Income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360" w:val="left"/>
          <w:tab w:leader="none" w:pos="1140" w:val="left"/>
          <w:tab w:leader="none" w:pos="16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125,339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52,977</w:t>
      </w:r>
    </w:p>
    <w:p>
      <w:pPr>
        <w:spacing w:after="0" w:line="200" w:lineRule="exact"/>
        <w:rPr>
          <w:sz w:val="20"/>
          <w:szCs w:val="20"/>
          <w:color w:val="auto"/>
        </w:rPr>
      </w:pPr>
    </w:p>
    <w:p>
      <w:pPr>
        <w:spacing w:after="0" w:line="305" w:lineRule="exact"/>
        <w:rPr>
          <w:sz w:val="20"/>
          <w:szCs w:val="20"/>
          <w:color w:val="auto"/>
        </w:rPr>
      </w:pPr>
    </w:p>
    <w:p>
      <w:pPr>
        <w:ind w:left="400"/>
        <w:spacing w:after="0"/>
        <w:tabs>
          <w:tab w:leader="none" w:pos="1700" w:val="left"/>
        </w:tabs>
        <w:rPr>
          <w:sz w:val="20"/>
          <w:szCs w:val="20"/>
          <w:color w:val="auto"/>
        </w:rPr>
      </w:pPr>
      <w:r>
        <w:rPr>
          <w:rFonts w:ascii="Arial" w:cs="Arial" w:eastAsia="Arial" w:hAnsi="Arial"/>
          <w:sz w:val="16"/>
          <w:szCs w:val="16"/>
          <w:b w:val="1"/>
          <w:bCs w:val="1"/>
          <w:color w:val="auto"/>
        </w:rPr>
        <w:t>(13,284)</w:t>
      </w:r>
      <w:r>
        <w:rPr>
          <w:sz w:val="20"/>
          <w:szCs w:val="20"/>
          <w:color w:val="auto"/>
        </w:rPr>
        <w:tab/>
      </w:r>
      <w:r>
        <w:rPr>
          <w:rFonts w:ascii="Arial" w:cs="Arial" w:eastAsia="Arial" w:hAnsi="Arial"/>
          <w:sz w:val="16"/>
          <w:szCs w:val="16"/>
          <w:color w:val="auto"/>
        </w:rPr>
        <w:t>8,994</w:t>
      </w:r>
    </w:p>
    <w:p>
      <w:pPr>
        <w:spacing w:after="0" w:line="275" w:lineRule="exact"/>
        <w:rPr>
          <w:sz w:val="20"/>
          <w:szCs w:val="20"/>
          <w:color w:val="auto"/>
        </w:rPr>
      </w:pPr>
    </w:p>
    <w:p>
      <w:pPr>
        <w:ind w:left="1840" w:hanging="1216"/>
        <w:spacing w:after="0"/>
        <w:tabs>
          <w:tab w:leader="none" w:pos="18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409</w:t>
      </w:r>
    </w:p>
    <w:p>
      <w:pPr>
        <w:spacing w:after="0" w:line="45"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(12,987)</w:t>
      </w:r>
      <w:r>
        <w:rPr>
          <w:rFonts w:ascii="Arial" w:cs="Arial" w:eastAsia="Arial" w:hAnsi="Arial"/>
          <w:sz w:val="16"/>
          <w:szCs w:val="16"/>
          <w:color w:val="auto"/>
        </w:rPr>
        <w:t>(10,766)</w:t>
      </w:r>
    </w:p>
    <w:p>
      <w:pPr>
        <w:spacing w:after="0" w:line="59"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(13,481)</w:t>
      </w:r>
      <w:r>
        <w:rPr>
          <w:rFonts w:ascii="Arial" w:cs="Arial" w:eastAsia="Arial" w:hAnsi="Arial"/>
          <w:sz w:val="16"/>
          <w:szCs w:val="16"/>
          <w:color w:val="auto"/>
        </w:rPr>
        <w:t>(10,357)</w:t>
      </w:r>
    </w:p>
    <w:p>
      <w:pPr>
        <w:spacing w:after="0" w:line="45"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1,111</w:t>
      </w:r>
      <w:r>
        <w:rPr>
          <w:rFonts w:ascii="Arial" w:cs="Arial" w:eastAsia="Arial" w:hAnsi="Arial"/>
          <w:sz w:val="16"/>
          <w:szCs w:val="16"/>
          <w:color w:val="auto"/>
        </w:rPr>
        <w:t>(930)</w:t>
      </w:r>
    </w:p>
    <w:p>
      <w:pPr>
        <w:spacing w:after="0" w:line="59"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(25,654)</w:t>
      </w:r>
      <w:r>
        <w:rPr>
          <w:rFonts w:ascii="Arial" w:cs="Arial" w:eastAsia="Arial" w:hAnsi="Arial"/>
          <w:sz w:val="16"/>
          <w:szCs w:val="16"/>
          <w:color w:val="auto"/>
        </w:rPr>
        <w:t>(2,293)</w:t>
      </w:r>
    </w:p>
    <w:p>
      <w:pPr>
        <w:spacing w:after="0" w:line="45"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3,162</w:t>
      </w:r>
      <w:r>
        <w:rPr>
          <w:rFonts w:ascii="Arial" w:cs="Arial" w:eastAsia="Arial" w:hAnsi="Arial"/>
          <w:sz w:val="15"/>
          <w:szCs w:val="15"/>
          <w:color w:val="auto"/>
        </w:rPr>
        <w:t>2,878</w:t>
      </w:r>
    </w:p>
    <w:p>
      <w:pPr>
        <w:spacing w:after="0" w:line="59"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(22,492)</w:t>
      </w:r>
      <w:r>
        <w:rPr>
          <w:rFonts w:ascii="Arial" w:cs="Arial" w:eastAsia="Arial" w:hAnsi="Arial"/>
          <w:sz w:val="16"/>
          <w:szCs w:val="16"/>
          <w:color w:val="auto"/>
        </w:rPr>
        <w:t>585</w:t>
      </w:r>
    </w:p>
    <w:p>
      <w:pPr>
        <w:spacing w:after="0" w:line="59"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102,847</w:t>
      </w:r>
      <w:r>
        <w:rPr>
          <w:rFonts w:ascii="Arial" w:cs="Arial" w:eastAsia="Arial" w:hAnsi="Arial"/>
          <w:sz w:val="16"/>
          <w:szCs w:val="16"/>
          <w:color w:val="auto"/>
        </w:rPr>
        <w:t>53,562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-124460</wp:posOffset>
            </wp:positionV>
            <wp:extent cx="1405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-278765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-578485</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-878840</wp:posOffset>
            </wp:positionV>
            <wp:extent cx="1405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 w:lineRule="exact"/>
        <w:rPr>
          <w:sz w:val="20"/>
          <w:szCs w:val="20"/>
          <w:color w:val="auto"/>
        </w:rPr>
      </w:pPr>
    </w:p>
    <w:p>
      <w:pPr>
        <w:ind w:left="1780" w:hanging="1156"/>
        <w:spacing w:after="0"/>
        <w:tabs>
          <w:tab w:leader="none" w:pos="17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(705)</w:t>
      </w:r>
    </w:p>
    <w:p>
      <w:pPr>
        <w:spacing w:after="0" w:line="5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101,888  </w:t>
      </w:r>
      <w:r>
        <w:rPr>
          <w:rFonts w:ascii="Arial" w:cs="Arial" w:eastAsia="Arial" w:hAnsi="Arial"/>
          <w:sz w:val="16"/>
          <w:szCs w:val="16"/>
          <w:color w:val="auto"/>
        </w:rPr>
        <w:t>$52,857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-124460</wp:posOffset>
            </wp:positionV>
            <wp:extent cx="1405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040" w:space="720"/>
            <w:col w:w="2200"/>
          </w:cols>
          <w:pgMar w:left="320" w:top="944" w:right="61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44" w:right="61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130,860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169,897</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48,123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31,994</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802,943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697,028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500,326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525,087</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326,658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297,211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137,395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119,933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2,803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6,848</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1,758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1,950,866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1,849,296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548,279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560,314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395,969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409,183</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186,674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186,480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1,513,316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187,319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187,862</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101,626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112,194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2,129,682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2,113,638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10,682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10,578</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230,715</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232,991</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7,255,128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679,154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694,521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387,076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396,754</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30,291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7,406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60,709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64,247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76,844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66,751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7,674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1,241,748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1,229,679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128,829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137,275</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32,254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32,076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609,120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600,124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42,549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367,213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376,677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738,708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745,082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3,160,421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3,161,677</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24,225</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24,185</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373,367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372,040</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7,446,491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7,337,463</w:t>
            </w:r>
          </w:p>
        </w:tc>
        <w:tc>
          <w:tcPr>
            <w:tcW w:w="0" w:type="dxa"/>
            <w:vAlign w:val="bottom"/>
          </w:tcPr>
          <w:p>
            <w:pPr>
              <w:spacing w:after="0"/>
              <w:rPr>
                <w:sz w:val="1"/>
                <w:szCs w:val="1"/>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(45,995)</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(32,711)</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639,155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649,185</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(1,315)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(4,388,213)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(4,368,103)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4,043,490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3,975,737</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26,992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26,131</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4,070,482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4,001,868</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7,255,128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18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89"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125,339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52,977</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33,278</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34,714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16,866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16,492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(29,056)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(23,162)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(103,746)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(19,853)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 and provision for other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1,696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1,444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(gain) loss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(4,655)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(benefit from)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12,255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(1,781)</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21,523</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47,244</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(28,754)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(19,318)</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(43,762)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(48,264)</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(1,130)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4,614</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27,161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17,274</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(16,424)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(16,182)</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(14,958)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570</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1,067</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22,811</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(21,258)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(22,554)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(526)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(4,735)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495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29,028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(6,162)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327</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(20,962)</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26,803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7,196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(20,028)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(23,439)</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borrowings (payments) under revolving credit facilities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9,245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(33,000)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(7,678)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(7,910)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(4,902)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757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(2,671)</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1,526</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(57,802)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(4,539)</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(22,908)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(35,710)</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201,891</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190,432</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178,983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154,722</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6"/>
              <w:spacing w:after="0"/>
              <w:rPr>
                <w:sz w:val="20"/>
                <w:szCs w:val="20"/>
                <w:color w:val="auto"/>
              </w:rPr>
            </w:pPr>
            <w:r>
              <w:rPr>
                <w:rFonts w:ascii="Arial" w:cs="Arial" w:eastAsia="Arial" w:hAnsi="Arial"/>
                <w:sz w:val="11"/>
                <w:szCs w:val="11"/>
                <w:color w:val="auto"/>
              </w:rPr>
              <w:t>Retained</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220" w:type="dxa"/>
            <w:vAlign w:val="bottom"/>
          </w:tcPr>
          <w:p>
            <w:pPr>
              <w:spacing w:after="0"/>
              <w:rPr>
                <w:sz w:val="10"/>
                <w:szCs w:val="10"/>
                <w:color w:val="auto"/>
              </w:rPr>
            </w:pPr>
          </w:p>
        </w:tc>
        <w:tc>
          <w:tcPr>
            <w:tcW w:w="820" w:type="dxa"/>
            <w:vAlign w:val="bottom"/>
            <w:vMerge w:val="restart"/>
          </w:tcPr>
          <w:p>
            <w:pPr>
              <w:jc w:val="right"/>
              <w:ind w:right="257"/>
              <w:spacing w:after="0"/>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10"/>
                <w:szCs w:val="10"/>
                <w:color w:val="auto"/>
              </w:rPr>
            </w:pPr>
          </w:p>
        </w:tc>
        <w:tc>
          <w:tcPr>
            <w:tcW w:w="860" w:type="dxa"/>
            <w:vAlign w:val="bottom"/>
            <w:vMerge w:val="restart"/>
          </w:tcPr>
          <w:p>
            <w:pPr>
              <w:jc w:val="right"/>
              <w:ind w:right="96"/>
              <w:spacing w:after="0"/>
              <w:rPr>
                <w:sz w:val="20"/>
                <w:szCs w:val="20"/>
                <w:color w:val="auto"/>
              </w:rPr>
            </w:pPr>
            <w:r>
              <w:rPr>
                <w:rFonts w:ascii="Arial" w:cs="Arial" w:eastAsia="Arial" w:hAnsi="Arial"/>
                <w:sz w:val="11"/>
                <w:szCs w:val="11"/>
                <w:color w:val="auto"/>
                <w:w w:val="96"/>
              </w:rPr>
              <w:t>Noncontrolling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78"/>
              <w:spacing w:after="0"/>
              <w:rPr>
                <w:sz w:val="20"/>
                <w:szCs w:val="20"/>
                <w:color w:val="auto"/>
              </w:rPr>
            </w:pPr>
            <w:r>
              <w:rPr>
                <w:rFonts w:ascii="Arial" w:cs="Arial" w:eastAsia="Arial" w:hAnsi="Arial"/>
                <w:sz w:val="11"/>
                <w:szCs w:val="11"/>
                <w:color w:val="auto"/>
                <w:w w:val="96"/>
              </w:rPr>
              <w:t>Redeemable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2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ind w:right="98"/>
              <w:spacing w:after="0" w:line="108" w:lineRule="exact"/>
              <w:rPr>
                <w:sz w:val="20"/>
                <w:szCs w:val="20"/>
                <w:color w:val="auto"/>
              </w:rPr>
            </w:pPr>
            <w:r>
              <w:rPr>
                <w:rFonts w:ascii="Arial" w:cs="Arial" w:eastAsia="Arial" w:hAnsi="Arial"/>
                <w:sz w:val="11"/>
                <w:szCs w:val="11"/>
                <w:color w:val="auto"/>
                <w:w w:val="96"/>
              </w:rPr>
              <w:t>Comprehensive</w:t>
            </w: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78"/>
              <w:spacing w:after="0" w:line="108" w:lineRule="exact"/>
              <w:rPr>
                <w:sz w:val="20"/>
                <w:szCs w:val="20"/>
                <w:color w:val="auto"/>
              </w:rPr>
            </w:pPr>
            <w:r>
              <w:rPr>
                <w:rFonts w:ascii="Arial" w:cs="Arial" w:eastAsia="Arial" w:hAnsi="Arial"/>
                <w:sz w:val="11"/>
                <w:szCs w:val="11"/>
                <w:color w:val="auto"/>
                <w:w w:val="96"/>
              </w:rPr>
              <w:t>Noncontrolling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3"/>
                <w:szCs w:val="13"/>
                <w:color w:val="auto"/>
              </w:rPr>
            </w:pPr>
          </w:p>
        </w:tc>
        <w:tc>
          <w:tcPr>
            <w:tcW w:w="780" w:type="dxa"/>
            <w:vAlign w:val="bottom"/>
          </w:tcPr>
          <w:p>
            <w:pPr>
              <w:jc w:val="right"/>
              <w:ind w:right="216"/>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20" w:type="dxa"/>
            <w:vAlign w:val="bottom"/>
          </w:tcPr>
          <w:p>
            <w:pPr>
              <w:jc w:val="right"/>
              <w:ind w:right="298"/>
              <w:spacing w:after="0"/>
              <w:rPr>
                <w:sz w:val="20"/>
                <w:szCs w:val="20"/>
                <w:color w:val="auto"/>
              </w:rPr>
            </w:pPr>
            <w:r>
              <w:rPr>
                <w:rFonts w:ascii="Arial" w:cs="Arial" w:eastAsia="Arial" w:hAnsi="Arial"/>
                <w:sz w:val="11"/>
                <w:szCs w:val="11"/>
                <w:color w:val="auto"/>
              </w:rPr>
              <w:t>Income</w:t>
            </w:r>
          </w:p>
        </w:tc>
        <w:tc>
          <w:tcPr>
            <w:tcW w:w="220" w:type="dxa"/>
            <w:vAlign w:val="bottom"/>
          </w:tcPr>
          <w:p>
            <w:pPr>
              <w:spacing w:after="0"/>
              <w:rPr>
                <w:sz w:val="13"/>
                <w:szCs w:val="13"/>
                <w:color w:val="auto"/>
              </w:rPr>
            </w:pPr>
          </w:p>
        </w:tc>
        <w:tc>
          <w:tcPr>
            <w:tcW w:w="820" w:type="dxa"/>
            <w:vAlign w:val="bottom"/>
          </w:tcPr>
          <w:p>
            <w:pPr>
              <w:jc w:val="right"/>
              <w:ind w:right="317"/>
              <w:spacing w:after="0"/>
              <w:rPr>
                <w:sz w:val="20"/>
                <w:szCs w:val="20"/>
                <w:color w:val="auto"/>
              </w:rPr>
            </w:pPr>
            <w:r>
              <w:rPr>
                <w:rFonts w:ascii="Arial" w:cs="Arial" w:eastAsia="Arial" w:hAnsi="Arial"/>
                <w:sz w:val="11"/>
                <w:szCs w:val="11"/>
                <w:color w:val="auto"/>
              </w:rPr>
              <w:t>Stock</w:t>
            </w:r>
          </w:p>
        </w:tc>
        <w:tc>
          <w:tcPr>
            <w:tcW w:w="120" w:type="dxa"/>
            <w:vAlign w:val="bottom"/>
          </w:tcPr>
          <w:p>
            <w:pPr>
              <w:spacing w:after="0"/>
              <w:rPr>
                <w:sz w:val="13"/>
                <w:szCs w:val="13"/>
                <w:color w:val="auto"/>
              </w:rPr>
            </w:pPr>
          </w:p>
        </w:tc>
        <w:tc>
          <w:tcPr>
            <w:tcW w:w="860" w:type="dxa"/>
            <w:vAlign w:val="bottom"/>
          </w:tcPr>
          <w:p>
            <w:pPr>
              <w:jc w:val="right"/>
              <w:ind w:right="256"/>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80" w:type="dxa"/>
            <w:vAlign w:val="bottom"/>
          </w:tcPr>
          <w:p>
            <w:pPr>
              <w:jc w:val="right"/>
              <w:ind w:right="213"/>
              <w:spacing w:after="0"/>
              <w:rPr>
                <w:sz w:val="20"/>
                <w:szCs w:val="20"/>
                <w:color w:val="auto"/>
              </w:rPr>
            </w:pPr>
            <w:r>
              <w:rPr>
                <w:rFonts w:ascii="Arial" w:cs="Arial" w:eastAsia="Arial" w:hAnsi="Arial"/>
                <w:sz w:val="11"/>
                <w:szCs w:val="11"/>
                <w:color w:val="auto"/>
                <w:w w:val="99"/>
              </w:rPr>
              <w:t>Total Equity</w:t>
            </w:r>
          </w:p>
        </w:tc>
        <w:tc>
          <w:tcPr>
            <w:tcW w:w="180" w:type="dxa"/>
            <w:vAlign w:val="bottom"/>
          </w:tcPr>
          <w:p>
            <w:pPr>
              <w:spacing w:after="0"/>
              <w:rPr>
                <w:sz w:val="13"/>
                <w:szCs w:val="13"/>
                <w:color w:val="auto"/>
              </w:rPr>
            </w:pPr>
          </w:p>
        </w:tc>
        <w:tc>
          <w:tcPr>
            <w:tcW w:w="900" w:type="dxa"/>
            <w:vAlign w:val="bottom"/>
          </w:tcPr>
          <w:p>
            <w:pPr>
              <w:jc w:val="center"/>
              <w:ind w:right="78"/>
              <w:spacing w:after="0"/>
              <w:rPr>
                <w:sz w:val="20"/>
                <w:szCs w:val="20"/>
                <w:color w:val="auto"/>
              </w:rPr>
            </w:pPr>
            <w:r>
              <w:rPr>
                <w:rFonts w:ascii="Arial" w:cs="Arial" w:eastAsia="Arial" w:hAnsi="Arial"/>
                <w:sz w:val="11"/>
                <w:szCs w:val="11"/>
                <w:color w:val="auto"/>
                <w:w w:val="97"/>
              </w:rPr>
              <w:t>Interest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As of December 31, 2023</w:t>
            </w:r>
          </w:p>
        </w:tc>
        <w:tc>
          <w:tcPr>
            <w:tcW w:w="160" w:type="dxa"/>
            <w:vAlign w:val="bottom"/>
            <w:gridSpan w:val="2"/>
          </w:tcPr>
          <w:p>
            <w:pPr>
              <w:jc w:val="right"/>
              <w:ind w:right="6"/>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8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372,040</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rPr>
              <w:t>7,337,463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614,337</w:t>
            </w:r>
          </w:p>
        </w:tc>
        <w:tc>
          <w:tcPr>
            <w:tcW w:w="220" w:type="dxa"/>
            <w:vAlign w:val="bottom"/>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(4,368,103)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26,131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4,001,868</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24,185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rPr>
              <w:t>125,339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125,339</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(633)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633</w:t>
            </w:r>
          </w:p>
        </w:tc>
        <w:tc>
          <w:tcPr>
            <w:tcW w:w="1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(326)</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(326)</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284</w:t>
            </w:r>
          </w:p>
        </w:tc>
        <w:tc>
          <w:tcPr>
            <w:tcW w:w="160" w:type="dxa"/>
            <w:vAlign w:val="bottom"/>
          </w:tcPr>
          <w:p>
            <w:pPr>
              <w:spacing w:after="0"/>
              <w:rPr>
                <w:sz w:val="14"/>
                <w:szCs w:val="14"/>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284</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200</w:t>
            </w:r>
          </w:p>
        </w:tc>
        <w:tc>
          <w:tcPr>
            <w:tcW w:w="1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200</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(256)</w:t>
            </w: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(256)</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(15,352)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(15,352)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(20,227)</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(20,227)</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 net of restricted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(344)</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(227)</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award forfeitures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1,671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1,671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(22,492)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(22,492)</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As of March 31, 2024</w:t>
            </w:r>
          </w:p>
        </w:tc>
        <w:tc>
          <w:tcPr>
            <w:tcW w:w="1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373,367</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7,446,491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591,845</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(4,388,213)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26,992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4,070,482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7"/>
                <w:szCs w:val="17"/>
                <w:color w:val="auto"/>
              </w:rPr>
            </w:pPr>
          </w:p>
        </w:tc>
        <w:tc>
          <w:tcPr>
            <w:tcW w:w="700" w:type="dxa"/>
            <w:vAlign w:val="bottom"/>
          </w:tcPr>
          <w:p>
            <w:pPr>
              <w:ind w:left="8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7"/>
                <w:szCs w:val="17"/>
                <w:color w:val="auto"/>
              </w:rPr>
            </w:pPr>
          </w:p>
        </w:tc>
        <w:tc>
          <w:tcPr>
            <w:tcW w:w="780" w:type="dxa"/>
            <w:vAlign w:val="bottom"/>
            <w:vMerge w:val="restart"/>
          </w:tcPr>
          <w:p>
            <w:pPr>
              <w:jc w:val="right"/>
              <w:ind w:right="196"/>
              <w:spacing w:after="0"/>
              <w:rPr>
                <w:sz w:val="20"/>
                <w:szCs w:val="20"/>
                <w:color w:val="auto"/>
              </w:rPr>
            </w:pPr>
            <w:r>
              <w:rPr>
                <w:rFonts w:ascii="Arial" w:cs="Arial" w:eastAsia="Arial" w:hAnsi="Arial"/>
                <w:sz w:val="11"/>
                <w:szCs w:val="1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220" w:type="dxa"/>
            <w:vAlign w:val="bottom"/>
          </w:tcPr>
          <w:p>
            <w:pPr>
              <w:spacing w:after="0"/>
              <w:rPr>
                <w:sz w:val="17"/>
                <w:szCs w:val="17"/>
                <w:color w:val="auto"/>
              </w:rPr>
            </w:pPr>
          </w:p>
        </w:tc>
        <w:tc>
          <w:tcPr>
            <w:tcW w:w="820" w:type="dxa"/>
            <w:vAlign w:val="bottom"/>
            <w:vMerge w:val="restart"/>
          </w:tcPr>
          <w:p>
            <w:pPr>
              <w:jc w:val="right"/>
              <w:ind w:right="237"/>
              <w:spacing w:after="0"/>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17"/>
                <w:szCs w:val="17"/>
                <w:color w:val="auto"/>
              </w:rPr>
            </w:pPr>
          </w:p>
        </w:tc>
        <w:tc>
          <w:tcPr>
            <w:tcW w:w="860" w:type="dxa"/>
            <w:vAlign w:val="bottom"/>
            <w:vMerge w:val="restart"/>
          </w:tcPr>
          <w:p>
            <w:pPr>
              <w:jc w:val="right"/>
              <w:ind w:right="76"/>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38"/>
              <w:spacing w:after="0"/>
              <w:rPr>
                <w:sz w:val="20"/>
                <w:szCs w:val="20"/>
                <w:color w:val="auto"/>
              </w:rPr>
            </w:pPr>
            <w:r>
              <w:rPr>
                <w:rFonts w:ascii="Arial" w:cs="Arial" w:eastAsia="Arial" w:hAnsi="Arial"/>
                <w:sz w:val="11"/>
                <w:szCs w:val="11"/>
                <w:color w:val="auto"/>
                <w:w w:val="96"/>
              </w:rPr>
              <w:t>Redeemable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6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color w:val="auto"/>
                <w:w w:val="96"/>
              </w:rPr>
              <w:t>Comprehensive</w:t>
            </w: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38"/>
              <w:spacing w:after="0" w:line="108" w:lineRule="exact"/>
              <w:rPr>
                <w:sz w:val="20"/>
                <w:szCs w:val="20"/>
                <w:color w:val="auto"/>
              </w:rPr>
            </w:pPr>
            <w:r>
              <w:rPr>
                <w:rFonts w:ascii="Arial" w:cs="Arial" w:eastAsia="Arial" w:hAnsi="Arial"/>
                <w:sz w:val="11"/>
                <w:szCs w:val="11"/>
                <w:color w:val="auto"/>
                <w:w w:val="96"/>
              </w:rPr>
              <w:t>Noncontrolling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Income</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color w:val="auto"/>
              </w:rPr>
              <w:t>Stock</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rPr>
              <w:t>Total Equity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color w:val="auto"/>
                <w:w w:val="97"/>
              </w:rPr>
              <w:t>Interest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As of December 31, 2022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390,438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7,163,128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336,151</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(4,178,334)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21,278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3,752,661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21,827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for the period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52,977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52,977</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650</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(55)</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520</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520</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Distribution to redeemable noncontrolling interest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(15,812)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(15,812)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Repurchase of Class B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(23,439)</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(23,439)</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Issuance of Class B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(4,067)</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4,494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427</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option expense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1,802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1,802</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585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As of March 31, 2023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388,173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7,199,588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336,736</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(4,197,279)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22,512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3,769,730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 w:name="page8"/>
    <w:bookmarkEnd w:id="7"/>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235" w:lineRule="auto"/>
        <w:rPr>
          <w:sz w:val="20"/>
          <w:szCs w:val="20"/>
          <w:color w:val="auto"/>
        </w:rPr>
      </w:pPr>
      <w:r>
        <w:rPr>
          <w:rFonts w:ascii="Arial" w:cs="Arial" w:eastAsia="Arial" w:hAnsi="Arial"/>
          <w:sz w:val="18"/>
          <w:szCs w:val="18"/>
          <w:color w:val="auto"/>
        </w:rPr>
        <w:t>Through Kaplan, Inc. (Kaplan), the Company provides a wide variety of educational services to students, schools, colleges, universities and</w:t>
      </w:r>
    </w:p>
    <w:p>
      <w:pPr>
        <w:spacing w:after="0" w:line="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businesses, both domestically and outside the United States (U.S.), including academic preparation programs for international students, English-language programs, operations support services for pre-college, certificate, undergraduate and graduate programs, exam</w:t>
      </w:r>
    </w:p>
    <w:p>
      <w:pPr>
        <w:spacing w:after="0" w:line="2"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preparation for high school and graduate students and for professional certifications and licensures, career and academic advisement services to businesses, and operates a United Kingdom (U.K.) sixth-form college that prepares students for A-level examinations.</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0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The Company’s manufacturing companies comprise the ownership of a supplier of pressure treated wood,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applied behavior analysis therapy, physician services for allergy, asthma and immunology patients, in-home aesthetics, and healthcare software-as-a-service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Company’s other businesses include an online art gallery and in-person art fair business; an online commerce platform featuring original art and designs on an array of consumer products; an owner and operator of websites; restaurants; a custom framing company; a marketing</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 xml:space="preserve">solutions provider; a customer data and analytics software company;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magazines; and a daily local news podcast and newsletter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2"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2024 and 2023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2023.</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color w:val="auto"/>
        </w:rPr>
        <w:t xml:space="preserve">Revision of Prior Period Amounts. </w:t>
      </w:r>
      <w:r>
        <w:rPr>
          <w:rFonts w:ascii="Arial" w:cs="Arial" w:eastAsia="Arial" w:hAnsi="Arial"/>
          <w:sz w:val="17"/>
          <w:szCs w:val="17"/>
          <w:color w:val="auto"/>
        </w:rPr>
        <w:t>In the fourth quarter of 2023, the Company identified misstatements in its previously issued Condensed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Balance Sheets which had a related impact to the changes in assets and liabilities within operating cash flows. The Company</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determined that these adjustments were not material to the previously issued financial statements, but has revised its previously issued Condensed Consolidated Statement of Cash Flows for the period ended March 31, 2023 as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5"/>
          </w:tcPr>
          <w:p>
            <w:pPr>
              <w:jc w:val="right"/>
              <w:ind w:right="781"/>
              <w:spacing w:after="0"/>
              <w:rPr>
                <w:sz w:val="20"/>
                <w:szCs w:val="20"/>
                <w:color w:val="auto"/>
              </w:rPr>
            </w:pPr>
            <w:r>
              <w:rPr>
                <w:rFonts w:ascii="Arial" w:cs="Arial" w:eastAsia="Arial" w:hAnsi="Arial"/>
                <w:sz w:val="14"/>
                <w:szCs w:val="14"/>
                <w:b w:val="1"/>
                <w:bCs w:val="1"/>
                <w:color w:val="auto"/>
              </w:rPr>
              <w:t>Three Months Ended March 31, 2023</w:t>
            </w:r>
          </w:p>
        </w:tc>
        <w:tc>
          <w:tcPr>
            <w:tcW w:w="0" w:type="dxa"/>
            <w:vAlign w:val="bottom"/>
          </w:tcPr>
          <w:p>
            <w:pPr>
              <w:spacing w:after="0"/>
              <w:rPr>
                <w:sz w:val="1"/>
                <w:szCs w:val="1"/>
                <w:color w:val="auto"/>
              </w:rPr>
            </w:pPr>
          </w:p>
        </w:tc>
      </w:tr>
      <w:tr>
        <w:trPr>
          <w:trHeight w:val="166"/>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40" w:type="dxa"/>
            <w:vAlign w:val="bottom"/>
          </w:tcPr>
          <w:p>
            <w:pPr>
              <w:jc w:val="right"/>
              <w:ind w:right="164"/>
              <w:spacing w:after="0"/>
              <w:rPr>
                <w:sz w:val="20"/>
                <w:szCs w:val="20"/>
                <w:color w:val="auto"/>
              </w:rPr>
            </w:pPr>
            <w:r>
              <w:rPr>
                <w:rFonts w:ascii="Arial" w:cs="Arial" w:eastAsia="Arial" w:hAnsi="Arial"/>
                <w:sz w:val="14"/>
                <w:szCs w:val="14"/>
                <w:b w:val="1"/>
                <w:bCs w:val="1"/>
                <w:color w:val="auto"/>
              </w:rPr>
              <w:t>As Previously</w:t>
            </w:r>
          </w:p>
        </w:tc>
        <w:tc>
          <w:tcPr>
            <w:tcW w:w="220" w:type="dxa"/>
            <w:vAlign w:val="bottom"/>
          </w:tcPr>
          <w:p>
            <w:pPr>
              <w:spacing w:after="0"/>
              <w:rPr>
                <w:sz w:val="14"/>
                <w:szCs w:val="14"/>
                <w:color w:val="auto"/>
              </w:rPr>
            </w:pPr>
          </w:p>
        </w:tc>
        <w:tc>
          <w:tcPr>
            <w:tcW w:w="12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7"/>
        </w:trPr>
        <w:tc>
          <w:tcPr>
            <w:tcW w:w="7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Reported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54,245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(7,001)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47,244</w:t>
            </w:r>
          </w:p>
        </w:tc>
        <w:tc>
          <w:tcPr>
            <w:tcW w:w="0" w:type="dxa"/>
            <w:vAlign w:val="bottom"/>
          </w:tcPr>
          <w:p>
            <w:pPr>
              <w:spacing w:after="0"/>
              <w:rPr>
                <w:sz w:val="1"/>
                <w:szCs w:val="1"/>
                <w:color w:val="auto"/>
              </w:rPr>
            </w:pPr>
          </w:p>
        </w:tc>
      </w:tr>
      <w:tr>
        <w:trPr>
          <w:trHeight w:val="238"/>
        </w:trPr>
        <w:tc>
          <w:tcPr>
            <w:tcW w:w="7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(2,387)</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7,001</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22,811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November 2023, the FASB issued new guidance that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enhanced disclosures related to reportable segments that includes, among other disclosures, identifying significant segment expenses on an</w:t>
      </w:r>
    </w:p>
    <w:p>
      <w:pPr>
        <w:spacing w:after="0" w:line="226" w:lineRule="auto"/>
        <w:rPr>
          <w:sz w:val="20"/>
          <w:szCs w:val="20"/>
          <w:color w:val="auto"/>
        </w:rPr>
      </w:pPr>
      <w:r>
        <w:rPr>
          <w:rFonts w:ascii="Arial" w:cs="Arial" w:eastAsia="Arial" w:hAnsi="Arial"/>
          <w:sz w:val="18"/>
          <w:szCs w:val="18"/>
          <w:color w:val="auto"/>
        </w:rPr>
        <w:t>annual and interim basis. The guidance is effective for fiscal years beginning after December 15, 2023, and interim periods within fiscal years beginning after December 15, 2024. Early adoption is permitted and the guidance must be applied retrospectively to all prior periods</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presented in the financial statements. The Company is in the process of evaluating the impact of this new guidance on the disclosures within its Condensed Consolidated Financial Statements.</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In December 2023, the FASB issued new guidance that requires enhanced income tax disclosures related to the rate reconciliation, information on income taxes paid and other items. The guidance is effective for annual periods beginning after December 15, 2024. Early</w:t>
      </w:r>
    </w:p>
    <w:p>
      <w:pPr>
        <w:ind w:right="80"/>
        <w:spacing w:after="0" w:line="237" w:lineRule="auto"/>
        <w:rPr>
          <w:sz w:val="20"/>
          <w:szCs w:val="20"/>
          <w:color w:val="auto"/>
        </w:rPr>
      </w:pPr>
      <w:r>
        <w:rPr>
          <w:rFonts w:ascii="Arial" w:cs="Arial" w:eastAsia="Arial" w:hAnsi="Arial"/>
          <w:sz w:val="18"/>
          <w:szCs w:val="18"/>
          <w:color w:val="auto"/>
        </w:rPr>
        <w:t>adoption is permitted. The standard permits both prospective and retrospective application. The Company is in the process of evaluating the impact of this new guidance on the disclosures within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January 2024, the Company acquired one small business which is included in other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2023, the Company acquired five businesses: three in healthcare, one in automotive, and one in other businesses for $83.3 million in</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cash and contingent consideration and the assumption of floor plan payables.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Graham Healthcare Group (GHG) acquired two small businesses which are included in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Company acquired one small business which is included in other businesses.</w:t>
      </w:r>
    </w:p>
    <w:p>
      <w:pPr>
        <w:spacing w:after="0" w:line="144"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In September 2023, the Company’s automotive subsidiary acquired a Toyota automotive dealership, including the real property for the dealership operations. In addition to a cash payment and the assumption of $2.2 million in floor plan payables, the automotive subsidiary</w:t>
      </w:r>
    </w:p>
    <w:p>
      <w:pPr>
        <w:spacing w:after="0"/>
        <w:rPr>
          <w:sz w:val="20"/>
          <w:szCs w:val="20"/>
          <w:color w:val="auto"/>
        </w:rPr>
      </w:pPr>
      <w:r>
        <w:rPr>
          <w:rFonts w:ascii="Arial" w:cs="Arial" w:eastAsia="Arial" w:hAnsi="Arial"/>
          <w:sz w:val="17"/>
          <w:szCs w:val="17"/>
          <w:color w:val="auto"/>
        </w:rPr>
        <w:t>borrowed $37.0 million to finance the acquisition. The dealership is operated and managed by an entity affiliated with Christopher J. Ourisman, a member of the Ourisman Automotive Group family of dealerships. This acquisition expands the Company’s automotive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is included in automotive.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GHG acquired one small business which is included in healthcare.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Acquisition-related costs for acquisitions that closed during the first three months of 2024 and 2023 were expensed as incurred. The</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aggregate purchase price of the 2023 acquisitions was allocated as follows, based on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8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jc w:val="center"/>
              <w:ind w:right="161"/>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December 31, 2023</w:t>
            </w:r>
          </w:p>
        </w:tc>
      </w:tr>
      <w:tr>
        <w:trPr>
          <w:trHeight w:val="215"/>
        </w:trPr>
        <w:tc>
          <w:tcPr>
            <w:tcW w:w="87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68</w:t>
            </w:r>
          </w:p>
        </w:tc>
      </w:tr>
      <w:tr>
        <w:trPr>
          <w:trHeight w:val="229"/>
        </w:trPr>
        <w:tc>
          <w:tcPr>
            <w:tcW w:w="87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5,224</w:t>
            </w:r>
          </w:p>
        </w:tc>
      </w:tr>
      <w:tr>
        <w:trPr>
          <w:trHeight w:val="229"/>
        </w:trPr>
        <w:tc>
          <w:tcPr>
            <w:tcW w:w="878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29,859</w:t>
            </w:r>
          </w:p>
        </w:tc>
      </w:tr>
      <w:tr>
        <w:trPr>
          <w:trHeight w:val="230"/>
        </w:trPr>
        <w:tc>
          <w:tcPr>
            <w:tcW w:w="87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45,968</w:t>
            </w:r>
          </w:p>
        </w:tc>
      </w:tr>
      <w:tr>
        <w:trPr>
          <w:trHeight w:val="229"/>
        </w:trPr>
        <w:tc>
          <w:tcPr>
            <w:tcW w:w="878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2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6,300</w:t>
            </w:r>
          </w:p>
        </w:tc>
      </w:tr>
      <w:tr>
        <w:trPr>
          <w:trHeight w:val="229"/>
        </w:trPr>
        <w:tc>
          <w:tcPr>
            <w:tcW w:w="878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2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235</w:t>
            </w:r>
          </w:p>
        </w:tc>
      </w:tr>
      <w:tr>
        <w:trPr>
          <w:trHeight w:val="230"/>
        </w:trPr>
        <w:tc>
          <w:tcPr>
            <w:tcW w:w="87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w:t>
            </w:r>
          </w:p>
        </w:tc>
      </w:tr>
      <w:tr>
        <w:trPr>
          <w:trHeight w:val="229"/>
        </w:trPr>
        <w:tc>
          <w:tcPr>
            <w:tcW w:w="878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230"/>
        </w:trPr>
        <w:tc>
          <w:tcPr>
            <w:tcW w:w="87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38"/>
        </w:trPr>
        <w:tc>
          <w:tcPr>
            <w:tcW w:w="878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r>
      <w:tr>
        <w:trPr>
          <w:trHeight w:val="230"/>
        </w:trPr>
        <w:tc>
          <w:tcPr>
            <w:tcW w:w="878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83,324</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The goodwill</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recorded due to these acquisitions is attributable to the assembled workforces of the acquired companies and expected synergies. The Company expects to deduct $45.0 million of goodwill for income tax purposes for the acquisitions completed in 2023.</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includes the 2023 acquisitions as if they occurred at the beginning of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jc w:val="right"/>
              <w:ind w:right="444"/>
              <w:spacing w:after="0"/>
              <w:rPr>
                <w:sz w:val="20"/>
                <w:szCs w:val="20"/>
                <w:color w:val="auto"/>
              </w:rPr>
            </w:pPr>
            <w:r>
              <w:rPr>
                <w:rFonts w:ascii="Arial" w:cs="Arial" w:eastAsia="Arial" w:hAnsi="Arial"/>
                <w:sz w:val="14"/>
                <w:szCs w:val="14"/>
                <w:b w:val="1"/>
                <w:bCs w:val="1"/>
                <w:color w:val="auto"/>
              </w:rPr>
              <w:t>Three Months Ended</w:t>
            </w:r>
          </w:p>
        </w:tc>
      </w:tr>
      <w:tr>
        <w:trPr>
          <w:trHeight w:val="205"/>
        </w:trPr>
        <w:tc>
          <w:tcPr>
            <w:tcW w:w="8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804"/>
              <w:spacing w:after="0"/>
              <w:rPr>
                <w:sz w:val="20"/>
                <w:szCs w:val="20"/>
                <w:color w:val="auto"/>
              </w:rPr>
            </w:pPr>
            <w:r>
              <w:rPr>
                <w:rFonts w:ascii="Arial" w:cs="Arial" w:eastAsia="Arial" w:hAnsi="Arial"/>
                <w:sz w:val="14"/>
                <w:szCs w:val="14"/>
                <w:b w:val="1"/>
                <w:bCs w:val="1"/>
                <w:color w:val="auto"/>
              </w:rPr>
              <w:t>March 31</w:t>
            </w:r>
          </w:p>
        </w:tc>
      </w:tr>
      <w:tr>
        <w:trPr>
          <w:trHeight w:val="194"/>
        </w:trPr>
        <w:tc>
          <w:tcPr>
            <w:tcW w:w="87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2120" w:type="dxa"/>
            <w:vAlign w:val="bottom"/>
          </w:tcPr>
          <w:p>
            <w:pPr>
              <w:jc w:val="right"/>
              <w:ind w:right="964"/>
              <w:spacing w:after="0"/>
              <w:rPr>
                <w:sz w:val="20"/>
                <w:szCs w:val="20"/>
                <w:color w:val="auto"/>
              </w:rPr>
            </w:pPr>
            <w:r>
              <w:rPr>
                <w:rFonts w:ascii="Arial" w:cs="Arial" w:eastAsia="Arial" w:hAnsi="Arial"/>
                <w:sz w:val="14"/>
                <w:szCs w:val="14"/>
                <w:color w:val="auto"/>
              </w:rPr>
              <w:t>2023</w:t>
            </w:r>
          </w:p>
        </w:tc>
      </w:tr>
      <w:tr>
        <w:trPr>
          <w:trHeight w:val="22"/>
        </w:trPr>
        <w:tc>
          <w:tcPr>
            <w:tcW w:w="8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08"/>
        </w:trPr>
        <w:tc>
          <w:tcPr>
            <w:tcW w:w="87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4"/>
              <w:spacing w:after="0"/>
              <w:rPr>
                <w:sz w:val="20"/>
                <w:szCs w:val="20"/>
                <w:color w:val="auto"/>
              </w:rPr>
            </w:pPr>
            <w:r>
              <w:rPr>
                <w:rFonts w:ascii="Arial" w:cs="Arial" w:eastAsia="Arial" w:hAnsi="Arial"/>
                <w:sz w:val="16"/>
                <w:szCs w:val="16"/>
                <w:color w:val="auto"/>
              </w:rPr>
              <w:t>1,069,299</w:t>
            </w:r>
          </w:p>
        </w:tc>
      </w:tr>
      <w:tr>
        <w:trPr>
          <w:trHeight w:val="229"/>
        </w:trPr>
        <w:tc>
          <w:tcPr>
            <w:tcW w:w="8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9"/>
                <w:szCs w:val="19"/>
                <w:color w:val="auto"/>
              </w:rPr>
            </w:pPr>
          </w:p>
        </w:tc>
        <w:tc>
          <w:tcPr>
            <w:tcW w:w="2120" w:type="dxa"/>
            <w:vAlign w:val="bottom"/>
          </w:tcPr>
          <w:p>
            <w:pPr>
              <w:jc w:val="right"/>
              <w:ind w:right="4"/>
              <w:spacing w:after="0"/>
              <w:rPr>
                <w:sz w:val="20"/>
                <w:szCs w:val="20"/>
                <w:color w:val="auto"/>
              </w:rPr>
            </w:pPr>
            <w:r>
              <w:rPr>
                <w:rFonts w:ascii="Arial" w:cs="Arial" w:eastAsia="Arial" w:hAnsi="Arial"/>
                <w:sz w:val="16"/>
                <w:szCs w:val="16"/>
                <w:color w:val="auto"/>
              </w:rPr>
              <w:t>54,694</w:t>
            </w:r>
          </w:p>
        </w:tc>
      </w:tr>
    </w:tbl>
    <w:p>
      <w:pPr>
        <w:spacing w:after="0" w:line="226"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 efficiencies, cost reductions and synergies expected to result from the acquisitions. They are not the results that would have been realized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June 2023, the Company entered into an agreement to merge the Pinna business with Realm of Possibility,</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Inc. (Realm) in return for an additional noncontrolling financial interest in Realm (the Pinna transaction). The Company deconsolidated the Pinna subsidiary, which was included in other businesses, and continues to account for its interest in Realm under the equity method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accounting (see Note 3).</w:t>
      </w:r>
    </w:p>
    <w:p>
      <w:pPr>
        <w:spacing w:after="0" w:line="14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b w:val="1"/>
          <w:bCs w:val="1"/>
          <w:color w:val="auto"/>
        </w:rPr>
        <w:t xml:space="preserve">Other Transactions. </w:t>
      </w:r>
      <w:r>
        <w:rPr>
          <w:rFonts w:ascii="Arial" w:cs="Arial" w:eastAsia="Arial" w:hAnsi="Arial"/>
          <w:sz w:val="17"/>
          <w:szCs w:val="17"/>
          <w:color w:val="auto"/>
        </w:rPr>
        <w:t>In December 2023, the Company acquired some of the minority-owned shares of CSI Pharmacy Holding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LLC (CSI) for a total amount of $20.0 million. The Company paid cash of $5.0 million and entered into a promissory note with the minority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owners for the remaining $15.0 million at an interest rate of 8% per annum. The note is included in other indebtedness (see Note 7) and payable in quarterly installments with the final payment due by January 1, 2027. Following the redemption, the Company owns 86.7% of CSI.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March 31, 2024 and December 31, 2023, the Company had money market investments of $7.5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$5.6 million, respectively, that are classified as cash and cash equivalents in the Company’s Condensed Consolidated Balance Sheets.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180" w:type="dxa"/>
            <w:vAlign w:val="bottom"/>
          </w:tcPr>
          <w:p>
            <w:pPr>
              <w:jc w:val="right"/>
              <w:ind w:right="304"/>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200" w:type="dxa"/>
            <w:vAlign w:val="bottom"/>
          </w:tcPr>
          <w:p>
            <w:pPr>
              <w:jc w:val="right"/>
              <w:ind w:right="163"/>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225,971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225,971</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568,334</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464,182</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794,305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At March 31, 2024 and December 31, 2023, the Company owned 55,430 shares in Markel Group Inc. (Markel) valued at $84.3 million and $78.7 million, respectively. The Chief Executive Officer of Markel, Mr. Thomas S. Gayner, is a member of the Company’s Board of Directors.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of March 31, 2024, the Company owned 422 Class A and 482,945 Class B shares in Berkshire Hathaway valued at $470.8 million, which exceeded 5% of the Company’s total assets.</w:t>
      </w:r>
    </w:p>
    <w:p>
      <w:pPr>
        <w:spacing w:after="0" w:line="1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There were no purchases of marketable equity securities during the first three months of 2024. The Company purchased $4.6 million of marketable equity securities during the first three months of 2023.</w:t>
      </w:r>
    </w:p>
    <w:p>
      <w:pPr>
        <w:spacing w:after="0" w:line="86"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There were no sales of marketable equity securities during the first three months of 2024. During the first three months of 2023, the gross cumulative realized net losses from the sales of marketable equity securities were $12.2 million. The total proceeds from such sales were $29.0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net gain on marketable equity securities comprised the following:</w:t>
      </w:r>
    </w:p>
    <w:p>
      <w:pPr>
        <w:spacing w:after="0" w:line="221"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0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r>
      <w:tr>
        <w:trPr>
          <w:trHeight w:val="223"/>
        </w:trPr>
        <w:tc>
          <w:tcPr>
            <w:tcW w:w="890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104,152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18,022</w:t>
            </w:r>
          </w:p>
        </w:tc>
      </w:tr>
      <w:tr>
        <w:trPr>
          <w:trHeight w:val="233"/>
        </w:trPr>
        <w:tc>
          <w:tcPr>
            <w:tcW w:w="8900" w:type="dxa"/>
            <w:vAlign w:val="bottom"/>
          </w:tcPr>
          <w:p>
            <w:pPr>
              <w:ind w:left="20"/>
              <w:spacing w:after="0"/>
              <w:rPr>
                <w:sz w:val="20"/>
                <w:szCs w:val="20"/>
                <w:color w:val="auto"/>
              </w:rPr>
            </w:pPr>
            <w:r>
              <w:rPr>
                <w:rFonts w:ascii="Arial" w:cs="Arial" w:eastAsia="Arial" w:hAnsi="Arial"/>
                <w:sz w:val="16"/>
                <w:szCs w:val="16"/>
                <w:color w:val="auto"/>
              </w:rPr>
              <w:t>Less: Net losses in earnings from marketable equity securities sold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3,657</w:t>
            </w:r>
          </w:p>
        </w:tc>
      </w:tr>
      <w:tr>
        <w:trPr>
          <w:trHeight w:val="227"/>
        </w:trPr>
        <w:tc>
          <w:tcPr>
            <w:tcW w:w="8900" w:type="dxa"/>
            <w:vAlign w:val="bottom"/>
          </w:tcPr>
          <w:p>
            <w:pPr>
              <w:ind w:left="20"/>
              <w:spacing w:after="0"/>
              <w:rPr>
                <w:sz w:val="20"/>
                <w:szCs w:val="20"/>
                <w:color w:val="auto"/>
              </w:rPr>
            </w:pPr>
            <w:r>
              <w:rPr>
                <w:rFonts w:ascii="Arial" w:cs="Arial" w:eastAsia="Arial" w:hAnsi="Arial"/>
                <w:sz w:val="16"/>
                <w:szCs w:val="16"/>
                <w:b w:val="1"/>
                <w:bCs w:val="1"/>
                <w:color w:val="auto"/>
              </w:rPr>
              <w:t>Net unrealized gains in earnings from marketable equity securities still held at the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104,152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21,679</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As of March 31, 2024, the Company held a 49.9% and 42.2% interest in N2K Networks and Realm,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on a fully diluted basis, and accounts for these investments under the equity method. The Company holds two of the five seats of N2K</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Networks’ governing board with the other shareholders retaining substantive participation rights to control the financial and operating decisions of N2K Networks through representation on the board.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the Company held an approximate 18% interest in Intersection Holdings, LLC (Intersection), and accounts for its</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investment under the equity method. The Company holds two of the ten seats of Intersection’s governing board, which allows the Company to exercise significant influence over Intersection. The Company loaned Intersection $30.0 million, which is repayable over 5 years at an</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interest rate of 9% per annum. The outstanding balance on this loan was $28.3 million as of March 31, 2024. The loan is repayable by May 2028.</w:t>
      </w:r>
    </w:p>
    <w:p>
      <w:pPr>
        <w:spacing w:after="0" w:line="104" w:lineRule="exact"/>
        <w:rPr>
          <w:sz w:val="20"/>
          <w:szCs w:val="20"/>
          <w:color w:val="auto"/>
        </w:rPr>
      </w:pPr>
    </w:p>
    <w:p>
      <w:pPr>
        <w:jc w:val="both"/>
        <w:ind w:right="600"/>
        <w:spacing w:after="0" w:line="245" w:lineRule="auto"/>
        <w:rPr>
          <w:sz w:val="20"/>
          <w:szCs w:val="20"/>
          <w:color w:val="auto"/>
        </w:rPr>
      </w:pPr>
      <w:r>
        <w:rPr>
          <w:rFonts w:ascii="Arial" w:cs="Arial" w:eastAsia="Arial" w:hAnsi="Arial"/>
          <w:sz w:val="18"/>
          <w:szCs w:val="18"/>
          <w:color w:val="auto"/>
        </w:rPr>
        <w:t>As of March 31, 2024, the Company also held investments in several other affiliates; GHG held a 40% interest in each of the following affiliates: Residential Home Health Illinois, Residential Hospice Illinois, Mary Free Bed at Home, and Allegheny Health Network (AHN)</w:t>
      </w:r>
    </w:p>
    <w:p>
      <w:pPr>
        <w:ind w:right="960"/>
        <w:spacing w:after="0" w:line="237" w:lineRule="auto"/>
        <w:rPr>
          <w:sz w:val="20"/>
          <w:szCs w:val="20"/>
          <w:color w:val="auto"/>
        </w:rPr>
      </w:pPr>
      <w:r>
        <w:rPr>
          <w:rFonts w:ascii="Arial" w:cs="Arial" w:eastAsia="Arial" w:hAnsi="Arial"/>
          <w:sz w:val="18"/>
          <w:szCs w:val="18"/>
          <w:color w:val="auto"/>
        </w:rPr>
        <w:t>Healthcare at Home. For the three months ended March 31, 2024 and 2023, the Company recorded $4.1 million and $3.5 million, respectively, in revenue for services provided to the affiliates of GHG.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the joint venture £22 million, which is repayable over 25 years at an interest rate of 7% and guaranteed by the University of York. The outstanding balance on this loan was £19.9 million as of March 31, 2024. The loan is repayable by December 2041.</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$39.6 million and $36.9 million in its investment account that represents cumulative undistributed income in its investments in affiliates as of March 31, 2024 and December 31, 2023, respectively.</w:t>
      </w:r>
    </w:p>
    <w:p>
      <w:pPr>
        <w:spacing w:after="0" w:line="8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ind w:right="480"/>
        <w:spacing w:after="0"/>
        <w:rPr>
          <w:sz w:val="20"/>
          <w:szCs w:val="20"/>
          <w:color w:val="auto"/>
        </w:rPr>
      </w:pPr>
      <w:r>
        <w:rPr>
          <w:rFonts w:ascii="Arial" w:cs="Arial" w:eastAsia="Arial" w:hAnsi="Arial"/>
          <w:sz w:val="17"/>
          <w:szCs w:val="17"/>
          <w:color w:val="auto"/>
        </w:rPr>
        <w:t>identical or similar investments of the same issuer. The carrying value of these investments was $74.0 million as of March 31, 2024 and December 31, 2023. During the three months ended March 31, 2024, the Company recorded impairment losses of $0.4 million to those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securities. During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ind w:right="700"/>
        <w:spacing w:after="0" w:line="271" w:lineRule="auto"/>
        <w:rPr>
          <w:sz w:val="20"/>
          <w:szCs w:val="20"/>
          <w:color w:val="auto"/>
        </w:rPr>
      </w:pPr>
      <w:r>
        <w:rPr>
          <w:rFonts w:ascii="Arial" w:cs="Arial" w:eastAsia="Arial" w:hAnsi="Arial"/>
          <w:sz w:val="18"/>
          <w:szCs w:val="18"/>
          <w:color w:val="auto"/>
        </w:rPr>
        <w:t>the three months ended March 31, 2023, the Company recorded gains of $1.8 million to those equity securities based on observable transactions.</w:t>
      </w:r>
    </w:p>
    <w:p>
      <w:pPr>
        <w:spacing w:after="0" w:line="86" w:lineRule="exact"/>
        <w:rPr>
          <w:sz w:val="20"/>
          <w:szCs w:val="20"/>
          <w:color w:val="auto"/>
        </w:rPr>
      </w:pPr>
    </w:p>
    <w:p>
      <w:pPr>
        <w:ind w:right="1400"/>
        <w:spacing w:after="0" w:line="459"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180" w:type="dxa"/>
            <w:vAlign w:val="bottom"/>
          </w:tcPr>
          <w:p>
            <w:pPr>
              <w:jc w:val="right"/>
              <w:ind w:right="304"/>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103"/>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$26,447 and $24,667</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468,371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496,172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31,955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28,915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500,326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525,087</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loss expense was $1.7 million and $0.5 million for the three months ended March 31, 2024 and 2023,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180" w:type="dxa"/>
            <w:vAlign w:val="bottom"/>
          </w:tcPr>
          <w:p>
            <w:pPr>
              <w:jc w:val="right"/>
              <w:ind w:right="302"/>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10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137,697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154,484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175,103</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148,300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136,076</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154,580</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230,278</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237,157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679,154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694,521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spacing w:after="0" w:line="359" w:lineRule="auto"/>
        <w:rPr>
          <w:sz w:val="20"/>
          <w:szCs w:val="20"/>
          <w:color w:val="auto"/>
        </w:rPr>
      </w:pPr>
      <w:r>
        <w:rPr>
          <w:rFonts w:ascii="Arial" w:cs="Arial" w:eastAsia="Arial" w:hAnsi="Arial"/>
          <w:sz w:val="17"/>
          <w:szCs w:val="17"/>
          <w:color w:val="auto"/>
        </w:rPr>
        <w:t>Cash overdrafts of $1.3 million and $0.5 million are included in accounts payable as of March 31, 2024 and December 31, 2023, respectively. The Company finances new, used and service loaner vehicle inventory through standardized floor plan facilities with Truist Bank and Toyota</w:t>
      </w:r>
    </w:p>
    <w:p>
      <w:pPr>
        <w:ind w:right="160"/>
        <w:spacing w:after="0"/>
        <w:rPr>
          <w:sz w:val="20"/>
          <w:szCs w:val="20"/>
          <w:color w:val="auto"/>
        </w:rPr>
      </w:pPr>
      <w:r>
        <w:rPr>
          <w:rFonts w:ascii="Arial" w:cs="Arial" w:eastAsia="Arial" w:hAnsi="Arial"/>
          <w:sz w:val="17"/>
          <w:szCs w:val="17"/>
          <w:color w:val="auto"/>
        </w:rPr>
        <w:t>Motor Credit Corporation (Truist and Toyota floor plan facility) and Ford Motor Credit Company (Ford floor plan facility). At March 31, 2024, the floor plan facilities bore interest at variable rates that are based on Secured Overnight Financing Rate (SOFR) and prime-based interest</w:t>
      </w:r>
    </w:p>
    <w:p>
      <w:pPr>
        <w:spacing w:after="0" w:line="235" w:lineRule="auto"/>
        <w:rPr>
          <w:sz w:val="20"/>
          <w:szCs w:val="20"/>
          <w:color w:val="auto"/>
        </w:rPr>
      </w:pPr>
      <w:r>
        <w:rPr>
          <w:rFonts w:ascii="Arial" w:cs="Arial" w:eastAsia="Arial" w:hAnsi="Arial"/>
          <w:sz w:val="18"/>
          <w:szCs w:val="18"/>
          <w:color w:val="auto"/>
        </w:rPr>
        <w:t>rates. The weighted average interest rate for the floor plan facilities was 6.9% and 5.4% for the three months ended March 31, 2024 and</w:t>
      </w:r>
    </w:p>
    <w:p>
      <w:pPr>
        <w:ind w:right="860"/>
        <w:spacing w:after="0" w:line="237" w:lineRule="auto"/>
        <w:rPr>
          <w:sz w:val="20"/>
          <w:szCs w:val="20"/>
          <w:color w:val="auto"/>
        </w:rPr>
      </w:pPr>
      <w:r>
        <w:rPr>
          <w:rFonts w:ascii="Arial" w:cs="Arial" w:eastAsia="Arial" w:hAnsi="Arial"/>
          <w:sz w:val="18"/>
          <w:szCs w:val="18"/>
          <w:color w:val="auto"/>
        </w:rPr>
        <w:t>2023, respectively. Changes in the vehicle floor plan payable are reported as cash flows from financing activities in the Condensed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covenants, including, among others, covenants restricting the dealership subsidiary with respect to the creation of liens and changes in ownership, officers and key management personnel. The Company was in compliance with all of these restrictive covenants as of March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2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ind w:right="640"/>
        <w:spacing w:after="0" w:line="237" w:lineRule="auto"/>
        <w:rPr>
          <w:sz w:val="20"/>
          <w:szCs w:val="20"/>
          <w:color w:val="auto"/>
        </w:rPr>
      </w:pPr>
      <w:r>
        <w:rPr>
          <w:rFonts w:ascii="Arial" w:cs="Arial" w:eastAsia="Arial" w:hAnsi="Arial"/>
          <w:sz w:val="18"/>
          <w:szCs w:val="18"/>
          <w:color w:val="auto"/>
        </w:rPr>
        <w:t>Operations when the associated inventory is sold. For the three months ended March 31, 2024 and 2023, the Company recognized a reduction in cost of goods sold of $2.2 million and $1.4 million, respectively, related to manufacturer floor plan assistance.</w:t>
      </w:r>
    </w:p>
    <w:p>
      <w:pPr>
        <w:spacing w:after="0" w:line="12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As of March 31, 2024 and December 31, 2023, the Company had $156.9 million and $128.9 million, respectively, in obligations outstanding related to floor plan facilities associated with new vehicles.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62,833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63,884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17,214</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243,335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215,283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3,276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326,658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297,211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Amortization of intangible assets for the three months ended March 31, 2024 and 2023, was $10.8 million and $13.9 million, respectively. Amortization of intangible assets is estimated to be approximately $27 million for the remainder of 2024, $29 million in 2025, $20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2026, $6 million in 2027, $3 million in 2028 and $17 million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1,163,991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2,105,333</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(166,926)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(580,139)</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832,840</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84,290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(11,878)</w:t>
            </w:r>
          </w:p>
        </w:tc>
        <w:tc>
          <w:tcPr>
            <w:tcW w:w="180" w:type="dxa"/>
            <w:vAlign w:val="bottom"/>
          </w:tcPr>
          <w:p>
            <w:pPr>
              <w:spacing w:after="0"/>
              <w:rPr>
                <w:sz w:val="16"/>
                <w:szCs w:val="16"/>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(11,878)</w:t>
            </w:r>
          </w:p>
        </w:tc>
        <w:tc>
          <w:tcPr>
            <w:tcW w:w="0" w:type="dxa"/>
            <w:vAlign w:val="bottom"/>
          </w:tcPr>
          <w:p>
            <w:pPr>
              <w:spacing w:after="0"/>
              <w:rPr>
                <w:sz w:val="1"/>
                <w:szCs w:val="1"/>
                <w:color w:val="auto"/>
              </w:rPr>
            </w:pPr>
          </w:p>
        </w:tc>
      </w:tr>
      <w:tr>
        <w:trPr>
          <w:trHeight w:val="224"/>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1,152,113</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2,093,455</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(166,926)</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(580,139)</w:t>
            </w:r>
          </w:p>
        </w:tc>
        <w:tc>
          <w:tcPr>
            <w:tcW w:w="0" w:type="dxa"/>
            <w:vAlign w:val="bottom"/>
          </w:tcPr>
          <w:p>
            <w:pPr>
              <w:spacing w:after="0"/>
              <w:rPr>
                <w:sz w:val="1"/>
                <w:szCs w:val="1"/>
                <w:color w:val="auto"/>
              </w:rPr>
            </w:pPr>
          </w:p>
        </w:tc>
      </w:tr>
      <w:tr>
        <w:trPr>
          <w:trHeight w:val="226"/>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820,962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84,290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1,513,316</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598,000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391,427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1,163,991</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598,000</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171,600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832,840</w:t>
            </w:r>
          </w:p>
        </w:tc>
        <w:tc>
          <w:tcPr>
            <w:tcW w:w="0" w:type="dxa"/>
            <w:vAlign w:val="bottom"/>
          </w:tcPr>
          <w:p>
            <w:pPr>
              <w:spacing w:after="0"/>
              <w:rPr>
                <w:sz w:val="1"/>
                <w:szCs w:val="1"/>
                <w:color w:val="auto"/>
              </w:rPr>
            </w:pPr>
          </w:p>
        </w:tc>
      </w:tr>
      <w:tr>
        <w:trPr>
          <w:trHeight w:val="238"/>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(11,829)</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(11,878)</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2024</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586,171</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391,378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1,152,113</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586,171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171,551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820,962</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2024</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2023</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21"/>
              <w:spacing w:after="0" w:line="153"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122"/>
              <w:spacing w:after="0" w:line="15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Pr>
          <w:p>
            <w:pPr>
              <w:jc w:val="center"/>
              <w:ind w:right="2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282,190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242,044</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40,146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283,098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236,776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46,322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143,163</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93,733</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49,430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143,389</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90,558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52,831</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12,543</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4,857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13,348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36,228</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35,815</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413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36,538</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35,712</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41,514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34,734</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6,780</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41,327</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33,164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8,163</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520,495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418,869</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101,626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409,558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112,194</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92,158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83,990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84,533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187,319</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187,862</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80" w:type="dxa"/>
            <w:vAlign w:val="bottom"/>
          </w:tcPr>
          <w:p>
            <w:pPr>
              <w:spacing w:after="0"/>
              <w:rPr>
                <w:sz w:val="13"/>
                <w:szCs w:val="13"/>
                <w:color w:val="auto"/>
              </w:rPr>
            </w:pPr>
          </w:p>
        </w:tc>
        <w:tc>
          <w:tcPr>
            <w:tcW w:w="1340" w:type="dxa"/>
            <w:vAlign w:val="bottom"/>
          </w:tcPr>
          <w:p>
            <w:pPr>
              <w:jc w:val="right"/>
              <w:ind w:right="421"/>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40" w:type="dxa"/>
            <w:vAlign w:val="bottom"/>
          </w:tcPr>
          <w:p>
            <w:pPr>
              <w:jc w:val="right"/>
              <w:ind w:right="261"/>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398,445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398,266</w:t>
            </w:r>
          </w:p>
        </w:tc>
        <w:tc>
          <w:tcPr>
            <w:tcW w:w="0" w:type="dxa"/>
            <w:vAlign w:val="bottom"/>
          </w:tcPr>
          <w:p>
            <w:pPr>
              <w:spacing w:after="0"/>
              <w:rPr>
                <w:sz w:val="1"/>
                <w:szCs w:val="1"/>
                <w:color w:val="auto"/>
              </w:rPr>
            </w:pPr>
          </w:p>
        </w:tc>
      </w:tr>
      <w:tr>
        <w:trPr>
          <w:trHeight w:val="219"/>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6.56% - 8.88%</w:t>
            </w:r>
          </w:p>
        </w:tc>
        <w:tc>
          <w:tcPr>
            <w:tcW w:w="1780" w:type="dxa"/>
            <w:vAlign w:val="bottom"/>
          </w:tcPr>
          <w:p>
            <w:pPr>
              <w:jc w:val="center"/>
              <w:spacing w:after="0"/>
              <w:rPr>
                <w:sz w:val="20"/>
                <w:szCs w:val="20"/>
                <w:color w:val="auto"/>
              </w:rPr>
            </w:pPr>
            <w:r>
              <w:rPr>
                <w:rFonts w:ascii="Arial" w:cs="Arial" w:eastAsia="Arial" w:hAnsi="Arial"/>
                <w:sz w:val="16"/>
                <w:szCs w:val="16"/>
                <w:color w:val="auto"/>
              </w:rPr>
              <w:t>6.74%</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108,126</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97,879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7.15% - 7.21%</w:t>
            </w:r>
          </w:p>
        </w:tc>
        <w:tc>
          <w:tcPr>
            <w:tcW w:w="1780" w:type="dxa"/>
            <w:vAlign w:val="bottom"/>
          </w:tcPr>
          <w:p>
            <w:pPr>
              <w:jc w:val="center"/>
              <w:spacing w:after="0"/>
              <w:rPr>
                <w:sz w:val="20"/>
                <w:szCs w:val="20"/>
                <w:color w:val="auto"/>
              </w:rPr>
            </w:pPr>
            <w:r>
              <w:rPr>
                <w:rFonts w:ascii="Arial" w:cs="Arial" w:eastAsia="Arial" w:hAnsi="Arial"/>
                <w:sz w:val="16"/>
                <w:szCs w:val="16"/>
                <w:color w:val="auto"/>
              </w:rPr>
              <w:t>7.30%</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145,559</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147,476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7.08% - 7.10%</w:t>
            </w:r>
          </w:p>
        </w:tc>
        <w:tc>
          <w:tcPr>
            <w:tcW w:w="1780" w:type="dxa"/>
            <w:vAlign w:val="bottom"/>
          </w:tcPr>
          <w:p>
            <w:pPr>
              <w:jc w:val="center"/>
              <w:spacing w:after="0"/>
              <w:rPr>
                <w:sz w:val="20"/>
                <w:szCs w:val="20"/>
                <w:color w:val="auto"/>
              </w:rPr>
            </w:pPr>
            <w:r>
              <w:rPr>
                <w:rFonts w:ascii="Arial" w:cs="Arial" w:eastAsia="Arial" w:hAnsi="Arial"/>
                <w:sz w:val="16"/>
                <w:szCs w:val="16"/>
                <w:color w:val="auto"/>
              </w:rPr>
              <w:t>7.19%</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73,605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74,541</w:t>
            </w:r>
          </w:p>
        </w:tc>
        <w:tc>
          <w:tcPr>
            <w:tcW w:w="0" w:type="dxa"/>
            <w:vAlign w:val="bottom"/>
          </w:tcPr>
          <w:p>
            <w:pPr>
              <w:spacing w:after="0"/>
              <w:rPr>
                <w:sz w:val="1"/>
                <w:szCs w:val="1"/>
                <w:color w:val="auto"/>
              </w:rPr>
            </w:pPr>
          </w:p>
        </w:tc>
      </w:tr>
      <w:tr>
        <w:trPr>
          <w:trHeight w:val="240"/>
        </w:trPr>
        <w:tc>
          <w:tcPr>
            <w:tcW w:w="258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7.33% - 7.35%</w:t>
            </w:r>
          </w:p>
        </w:tc>
        <w:tc>
          <w:tcPr>
            <w:tcW w:w="1780" w:type="dxa"/>
            <w:vAlign w:val="bottom"/>
          </w:tcPr>
          <w:p>
            <w:pPr>
              <w:jc w:val="center"/>
              <w:spacing w:after="0"/>
              <w:rPr>
                <w:sz w:val="20"/>
                <w:szCs w:val="20"/>
                <w:color w:val="auto"/>
              </w:rPr>
            </w:pPr>
            <w:r>
              <w:rPr>
                <w:rFonts w:ascii="Arial" w:cs="Arial" w:eastAsia="Arial" w:hAnsi="Arial"/>
                <w:sz w:val="16"/>
                <w:szCs w:val="16"/>
                <w:color w:val="auto"/>
              </w:rPr>
              <w:t>7.43%</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61,516</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63,097</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0"/>
              <w:spacing w:after="0"/>
              <w:rPr>
                <w:sz w:val="20"/>
                <w:szCs w:val="20"/>
                <w:color w:val="auto"/>
              </w:rPr>
            </w:pPr>
            <w:r>
              <w:rPr>
                <w:rFonts w:ascii="Arial" w:cs="Arial" w:eastAsia="Arial" w:hAnsi="Arial"/>
                <w:sz w:val="16"/>
                <w:szCs w:val="16"/>
                <w:color w:val="auto"/>
              </w:rPr>
              <w:t>2024 - 2030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28,301</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30,574</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815,552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811,833</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(76,844)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(66,751)</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738,708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745,082</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 is net of $1.6 million and $1.7 million of unamortized debt issuance costs as of March 31, 2024 and December 31, 2023,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 is net of $0.7 million and $0.6 million of unamortized debt issuance costs as of March 31, 2024 and December 31, 2023,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2024 and December 31, 2023.</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 is net of $0.8 million of unamortized debt issuance costs as of March 31, 2024 and December 31, 2023.</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March 31, 2024 and December 31, 2023, the fair value of the Company’s 5.75% unsecured notes, based on quoted market prices (Level 2 fair value assessment), totaled $398.1 million and $400.4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on the Company’s $300 million unsecured revolving credit facility was $108.1 million as of March 31, 2024,</w:t>
      </w:r>
    </w:p>
    <w:p>
      <w:pPr>
        <w:spacing w:after="0" w:line="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consisting of U.S. dollar borrowings of $45 million with interest payable at SOFR plus 1.375% or prime rate plus 0.375%, and British Pound (GBP) borrowings of £50 million with interest payable at Daily Sterling Overnight Index Average (SONIA) plus 1.375%.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March 31, 2024 and</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December 31, 2023. The Company is in compliance with all financial covenants of the revolving credit facility and term loans as of March 31,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2024 and 2023, the Company had average borrowings outstanding of approximately $810.7</w:t>
      </w:r>
    </w:p>
    <w:p>
      <w:pPr>
        <w:spacing w:after="0" w:line="14"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million and $735.0 million, respectively, at average annual interest rates of approximately 6.4% and 5.8%, respectively. During the three months ended March 31, 2024 and 2023, the Company incurred net interest expense of $17.2 million and $13.1 million, respectively.</w:t>
      </w:r>
    </w:p>
    <w:p>
      <w:pPr>
        <w:spacing w:after="0" w:line="107"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During the three months ended March 31, 2024 and 2023, the Company recorded interest expense of $1.9 million and $1.5 million, respectively, to adjust the fair value of the mandatorily redeemable noncontrolling interest. The fair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value of the mandatorily redeemable noncontrolling interest was based on the fair value of the underlying subsidiaries owned by GHC One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GHC Two, after taking into account any debt and other noncontrolling interests of its subsidiary investments. The fair value of the owned subsidiaries is determined by reference to either a discounted cash flow or EBITDA multiple, which approximates fair value (Level 3 fair value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assessment).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March 31, 2024</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7,526</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7,526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794,305</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794,305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7,682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956</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801,987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8,482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810,469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75</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1,651</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42,549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1,651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42,624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5,577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690,153</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6,875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697,028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5,577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788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2,761</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40,764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41,552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61"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140" w:hanging="454"/>
        <w:spacing w:after="0" w:line="271"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ind w:left="480" w:right="380" w:hanging="454"/>
        <w:spacing w:after="0" w:line="249"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140" w:hanging="454"/>
        <w:spacing w:after="0" w:line="271"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ind w:left="480" w:right="260" w:hanging="454"/>
        <w:spacing w:after="0" w:line="261"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 w:lineRule="exact"/>
        <w:rPr>
          <w:rFonts w:ascii="Arial" w:cs="Arial" w:eastAsia="Arial" w:hAnsi="Arial"/>
          <w:sz w:val="14"/>
          <w:szCs w:val="14"/>
          <w:color w:val="auto"/>
        </w:rPr>
      </w:pPr>
    </w:p>
    <w:p>
      <w:pPr>
        <w:ind w:left="480" w:right="460" w:hanging="454"/>
        <w:spacing w:after="0" w:line="285"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valued based on a valuation model that calculates the differential between the contract price and the market-based forward rate.</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15" w:name="page16"/>
    <w:bookmarkEnd w:id="15"/>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March 31, 2024</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2"/>
              <w:spacing w:after="0"/>
              <w:rPr>
                <w:sz w:val="20"/>
                <w:szCs w:val="20"/>
                <w:color w:val="auto"/>
              </w:rPr>
            </w:pPr>
            <w:r>
              <w:rPr>
                <w:rFonts w:ascii="Arial" w:cs="Arial" w:eastAsia="Arial" w:hAnsi="Arial"/>
                <w:sz w:val="16"/>
                <w:szCs w:val="16"/>
                <w:color w:val="auto"/>
              </w:rPr>
              <w:t>788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2"/>
              <w:spacing w:after="0"/>
              <w:rPr>
                <w:sz w:val="20"/>
                <w:szCs w:val="20"/>
                <w:color w:val="auto"/>
              </w:rPr>
            </w:pPr>
            <w:r>
              <w:rPr>
                <w:rFonts w:ascii="Arial" w:cs="Arial" w:eastAsia="Arial" w:hAnsi="Arial"/>
                <w:sz w:val="16"/>
                <w:szCs w:val="16"/>
                <w:color w:val="auto"/>
              </w:rPr>
              <w:t>40,764</w:t>
            </w:r>
          </w:p>
        </w:tc>
      </w:tr>
      <w:tr>
        <w:trPr>
          <w:trHeight w:val="238"/>
        </w:trPr>
        <w:tc>
          <w:tcPr>
            <w:tcW w:w="200" w:type="dxa"/>
            <w:vAlign w:val="bottom"/>
          </w:tcPr>
          <w:p>
            <w:pPr>
              <w:spacing w:after="0"/>
              <w:rPr>
                <w:sz w:val="20"/>
                <w:szCs w:val="20"/>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1,876</w:t>
            </w:r>
          </w:p>
        </w:tc>
      </w:tr>
      <w:tr>
        <w:trPr>
          <w:trHeight w:val="229"/>
        </w:trPr>
        <w:tc>
          <w:tcPr>
            <w:tcW w:w="200" w:type="dxa"/>
            <w:vAlign w:val="bottom"/>
          </w:tcPr>
          <w:p>
            <w:pPr>
              <w:spacing w:after="0"/>
              <w:rPr>
                <w:sz w:val="19"/>
                <w:szCs w:val="19"/>
                <w:color w:val="auto"/>
              </w:rPr>
            </w:pP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6</w:t>
            </w:r>
          </w:p>
        </w:tc>
        <w:tc>
          <w:tcPr>
            <w:tcW w:w="280" w:type="dxa"/>
            <w:vAlign w:val="bottom"/>
          </w:tcPr>
          <w:p>
            <w:pPr>
              <w:spacing w:after="0"/>
              <w:rPr>
                <w:sz w:val="19"/>
                <w:szCs w:val="19"/>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33"/>
        </w:trPr>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42,549</w:t>
            </w:r>
          </w:p>
        </w:tc>
      </w:tr>
      <w:tr>
        <w:trPr>
          <w:trHeight w:val="24"/>
        </w:trPr>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43"/>
        </w:trPr>
        <w:tc>
          <w:tcPr>
            <w:tcW w:w="200" w:type="dxa"/>
            <w:vAlign w:val="bottom"/>
          </w:tcPr>
          <w:p>
            <w:pPr>
              <w:spacing w:after="0"/>
              <w:rPr>
                <w:sz w:val="24"/>
                <w:szCs w:val="24"/>
                <w:color w:val="auto"/>
              </w:rPr>
            </w:pPr>
          </w:p>
        </w:tc>
        <w:tc>
          <w:tcPr>
            <w:tcW w:w="2140" w:type="dxa"/>
            <w:vAlign w:val="bottom"/>
          </w:tcPr>
          <w:p>
            <w:pPr>
              <w:jc w:val="right"/>
              <w:ind w:right="242"/>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right"/>
              <w:ind w:right="242"/>
              <w:spacing w:after="0"/>
              <w:rPr>
                <w:sz w:val="20"/>
                <w:szCs w:val="20"/>
                <w:color w:val="auto"/>
              </w:rPr>
            </w:pPr>
            <w:r>
              <w:rPr>
                <w:rFonts w:ascii="Arial" w:cs="Arial" w:eastAsia="Arial" w:hAnsi="Arial"/>
                <w:sz w:val="14"/>
                <w:szCs w:val="14"/>
                <w:b w:val="1"/>
                <w:bCs w:val="1"/>
                <w:color w:val="auto"/>
              </w:rPr>
              <w:t>Mandatorily redeemable</w:t>
            </w:r>
          </w:p>
        </w:tc>
      </w:tr>
      <w:tr>
        <w:trPr>
          <w:trHeight w:val="196"/>
        </w:trPr>
        <w:tc>
          <w:tcPr>
            <w:tcW w:w="200" w:type="dxa"/>
            <w:vAlign w:val="bottom"/>
          </w:tcPr>
          <w:p>
            <w:pPr>
              <w:spacing w:after="0"/>
              <w:rPr>
                <w:sz w:val="17"/>
                <w:szCs w:val="17"/>
                <w:color w:val="auto"/>
              </w:rPr>
            </w:pPr>
          </w:p>
        </w:tc>
        <w:tc>
          <w:tcPr>
            <w:tcW w:w="2140" w:type="dxa"/>
            <w:vAlign w:val="bottom"/>
          </w:tcPr>
          <w:p>
            <w:pPr>
              <w:jc w:val="right"/>
              <w:ind w:right="802"/>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right"/>
              <w:ind w:right="282"/>
              <w:spacing w:after="0"/>
              <w:rPr>
                <w:sz w:val="20"/>
                <w:szCs w:val="20"/>
                <w:color w:val="auto"/>
              </w:rPr>
            </w:pPr>
            <w:r>
              <w:rPr>
                <w:rFonts w:ascii="Arial" w:cs="Arial" w:eastAsia="Arial" w:hAnsi="Arial"/>
                <w:sz w:val="14"/>
                <w:szCs w:val="14"/>
                <w:b w:val="1"/>
                <w:bCs w:val="1"/>
                <w:color w:val="auto"/>
              </w:rPr>
              <w:t>noncontrolling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1270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As of December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Accretion of value included in net income </w:t>
      </w:r>
      <w:r>
        <w:rPr>
          <w:rFonts w:ascii="Arial" w:cs="Arial" w:eastAsia="Arial" w:hAnsi="Arial"/>
          <w:sz w:val="20"/>
          <w:szCs w:val="20"/>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8,423</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30,845</w:t>
            </w:r>
          </w:p>
        </w:tc>
      </w:tr>
      <w:tr>
        <w:trPr>
          <w:trHeight w:val="229"/>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1,468</w:t>
            </w:r>
          </w:p>
        </w:tc>
      </w:tr>
      <w:tr>
        <w:trPr>
          <w:trHeight w:val="229"/>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8,206</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32,309</w:t>
            </w:r>
          </w:p>
        </w:tc>
      </w:tr>
      <w:tr>
        <w:trPr>
          <w:trHeight w:val="27"/>
        </w:trPr>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2024, the Company recorded impairment losses of $0.4 million to equity securities that are</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accounted for as cost method investments. During the three months ended March 31, 2023, the Company recorded gains of $1.8 million to equity securities that are accounted for as cost method investments based on observable transactions for identical or similar investments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same issuer.</w:t>
      </w:r>
    </w:p>
    <w:p>
      <w:pPr>
        <w:spacing w:after="0" w:line="140"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During the three months ended March 31, 2023, the Company recorded long-lived asset impairment charges of $ 0.7 million. The remeasurement of the long-lived assets is classified as a Level 3 fair value assessment due to the significance of unobservable inputs developed in the determination of the fair value. The Company used a discounted cash flow model to determine the estimated fair value of the long-lived assets and made estimates and assumptions regarding future cash flows and discount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4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generated 78% and 79% of its revenue from U.S. domestic sales for the three months ended March 31, 2024 and 2023, respectively. The remaining 22% and 21% of revenue was generated from non-U.S. sales for the three months ended March 31, 2024 and 2023, respectively.</w:t>
      </w:r>
    </w:p>
    <w:p>
      <w:pPr>
        <w:spacing w:after="0" w:line="101" w:lineRule="exact"/>
        <w:rPr>
          <w:sz w:val="20"/>
          <w:szCs w:val="20"/>
          <w:color w:val="auto"/>
        </w:rPr>
      </w:pPr>
    </w:p>
    <w:p>
      <w:pPr>
        <w:jc w:val="both"/>
        <w:ind w:right="320"/>
        <w:spacing w:after="0" w:line="275" w:lineRule="auto"/>
        <w:rPr>
          <w:sz w:val="20"/>
          <w:szCs w:val="20"/>
          <w:color w:val="auto"/>
        </w:rPr>
      </w:pPr>
      <w:r>
        <w:rPr>
          <w:rFonts w:ascii="Arial" w:cs="Arial" w:eastAsia="Arial" w:hAnsi="Arial"/>
          <w:sz w:val="17"/>
          <w:szCs w:val="17"/>
          <w:color w:val="auto"/>
        </w:rPr>
        <w:t>For the three months ended March 31, 2024, the Company recognized 54% of its revenue over time as control of the services and goods transferred to the customer, and the remaining 46% at a point in time, when the customer obtained control of the promised goods. For the three months ended March 31, 2023, the Company recognized 55% of its revenue over time, and the remaining 45% at a point in time.</w:t>
      </w:r>
    </w:p>
    <w:p>
      <w:pPr>
        <w:spacing w:after="0" w:line="84" w:lineRule="exact"/>
        <w:rPr>
          <w:sz w:val="20"/>
          <w:szCs w:val="20"/>
          <w:color w:val="auto"/>
        </w:rPr>
      </w:pPr>
    </w:p>
    <w:p>
      <w:pPr>
        <w:jc w:val="both"/>
        <w:ind w:right="300"/>
        <w:spacing w:after="0" w:line="245"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March 31, 2024, the Company recognized a contract asset of $34.5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$294.7</w:t>
      </w:r>
    </w:p>
    <w:p>
      <w:pPr>
        <w:ind w:right="160"/>
        <w:spacing w:after="0" w:line="237" w:lineRule="auto"/>
        <w:rPr>
          <w:sz w:val="20"/>
          <w:szCs w:val="20"/>
          <w:color w:val="auto"/>
        </w:rPr>
      </w:pPr>
      <w:r>
        <w:rPr>
          <w:rFonts w:ascii="Arial" w:cs="Arial" w:eastAsia="Arial" w:hAnsi="Arial"/>
          <w:sz w:val="18"/>
          <w:szCs w:val="18"/>
          <w:color w:val="auto"/>
        </w:rPr>
        <w:t>million related to the remaining performance obligation in the contract over the next five years. As of December 31, 2023, the contract asset was $39.8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performance which includes some payments that are refundable due to the contractual right of the customer to cancel the agreement. As of March 31, 2024 and December 31, 2023, 15% and 20% of the Company’s deferred revenue consisted of prepaid amounts which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refundable. The following table presents the change in the Company’s deferred revenue balance: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auto"/>
              </w:rPr>
              <w:t>392,754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400,347</w:t>
            </w:r>
          </w:p>
        </w:tc>
        <w:tc>
          <w:tcPr>
            <w:tcW w:w="1320" w:type="dxa"/>
            <w:vAlign w:val="bottom"/>
          </w:tcPr>
          <w:p>
            <w:pPr>
              <w:jc w:val="right"/>
              <w:ind w:right="485"/>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 During the three months ended March 31, 2024, the Company recognized $207.1 million</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p>
      <w:pPr>
        <w:ind w:right="640"/>
        <w:spacing w:after="0" w:line="271" w:lineRule="auto"/>
        <w:rPr>
          <w:sz w:val="20"/>
          <w:szCs w:val="20"/>
          <w:color w:val="auto"/>
        </w:rPr>
      </w:pPr>
      <w:r>
        <w:rPr>
          <w:rFonts w:ascii="Arial" w:cs="Arial" w:eastAsia="Arial" w:hAnsi="Arial"/>
          <w:sz w:val="18"/>
          <w:szCs w:val="18"/>
          <w:color w:val="auto"/>
        </w:rPr>
        <w:t>related to the Company’s deferred revenue balance as of December 31, 2023, including $28.7 million of prepaid amounts which were refundable at the prior year-end.</w:t>
      </w:r>
    </w:p>
    <w:p>
      <w:pPr>
        <w:spacing w:after="0" w:line="8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2024, the deferred revenue balance related to certain medical and nursing qualifications with an original contract</w:t>
      </w:r>
    </w:p>
    <w:p>
      <w:pPr>
        <w:spacing w:after="0" w:line="237" w:lineRule="auto"/>
        <w:rPr>
          <w:sz w:val="20"/>
          <w:szCs w:val="20"/>
          <w:color w:val="auto"/>
        </w:rPr>
      </w:pPr>
      <w:r>
        <w:rPr>
          <w:rFonts w:ascii="Arial" w:cs="Arial" w:eastAsia="Arial" w:hAnsi="Arial"/>
          <w:sz w:val="18"/>
          <w:szCs w:val="18"/>
          <w:color w:val="auto"/>
        </w:rPr>
        <w:t>length greater than twelve months at Kaplan Supplemental Education was $5.8 million. Kaplan Supplemental Education expects to recognize 67% of this revenue over the next twelve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41,634</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17,832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(21,016)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(906)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37,544</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three months ended March 31, 2024.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EARNINGS PER SHARE</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35"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 attributable to the unvested restricted stock awards from the numerator and excludes the dilutive impact of those underlying shares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14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76"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6"/>
                <w:szCs w:val="16"/>
                <w:color w:val="auto"/>
              </w:rPr>
              <w:t>Numerator for basic earnings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2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124,380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52,272</w:t>
            </w:r>
          </w:p>
        </w:tc>
        <w:tc>
          <w:tcPr>
            <w:tcW w:w="0" w:type="dxa"/>
            <w:vAlign w:val="bottom"/>
          </w:tcPr>
          <w:p>
            <w:pPr>
              <w:spacing w:after="0"/>
              <w:rPr>
                <w:sz w:val="1"/>
                <w:szCs w:val="1"/>
                <w:color w:val="auto"/>
              </w:rPr>
            </w:pPr>
          </w:p>
        </w:tc>
      </w:tr>
      <w:tr>
        <w:trPr>
          <w:trHeight w:val="231"/>
        </w:trPr>
        <w:tc>
          <w:tcPr>
            <w:tcW w:w="822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(15,352)</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(15,812)</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40" w:type="dxa"/>
            <w:vAlign w:val="bottom"/>
          </w:tcPr>
          <w:p>
            <w:pPr>
              <w:spacing w:after="0"/>
              <w:rPr>
                <w:sz w:val="19"/>
                <w:szCs w:val="19"/>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109,028</w:t>
            </w:r>
          </w:p>
        </w:tc>
        <w:tc>
          <w:tcPr>
            <w:tcW w:w="480" w:type="dxa"/>
            <w:vAlign w:val="bottom"/>
          </w:tcPr>
          <w:p>
            <w:pPr>
              <w:spacing w:after="0"/>
              <w:rPr>
                <w:sz w:val="19"/>
                <w:szCs w:val="19"/>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36,460</w:t>
            </w:r>
          </w:p>
        </w:tc>
        <w:tc>
          <w:tcPr>
            <w:tcW w:w="0" w:type="dxa"/>
            <w:vAlign w:val="bottom"/>
          </w:tcPr>
          <w:p>
            <w:pPr>
              <w:spacing w:after="0"/>
              <w:rPr>
                <w:sz w:val="1"/>
                <w:szCs w:val="1"/>
                <w:color w:val="auto"/>
              </w:rPr>
            </w:pPr>
          </w:p>
        </w:tc>
      </w:tr>
      <w:tr>
        <w:trPr>
          <w:trHeight w:val="236"/>
        </w:trPr>
        <w:tc>
          <w:tcPr>
            <w:tcW w:w="8220" w:type="dxa"/>
            <w:vAlign w:val="bottom"/>
          </w:tcPr>
          <w:p>
            <w:pPr>
              <w:ind w:left="220"/>
              <w:spacing w:after="0" w:line="236" w:lineRule="exact"/>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99.33 %</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99.35 %</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108,295</w:t>
            </w:r>
          </w:p>
        </w:tc>
        <w:tc>
          <w:tcPr>
            <w:tcW w:w="48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36,225</w:t>
            </w:r>
          </w:p>
        </w:tc>
        <w:tc>
          <w:tcPr>
            <w:tcW w:w="0" w:type="dxa"/>
            <w:vAlign w:val="bottom"/>
          </w:tcPr>
          <w:p>
            <w:pPr>
              <w:spacing w:after="0"/>
              <w:rPr>
                <w:sz w:val="1"/>
                <w:szCs w:val="1"/>
                <w:color w:val="auto"/>
              </w:rPr>
            </w:pPr>
          </w:p>
        </w:tc>
      </w:tr>
      <w:tr>
        <w:trPr>
          <w:trHeight w:val="233"/>
        </w:trPr>
        <w:tc>
          <w:tcPr>
            <w:tcW w:w="822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15,250</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15,711</w:t>
            </w:r>
          </w:p>
        </w:tc>
        <w:tc>
          <w:tcPr>
            <w:tcW w:w="0" w:type="dxa"/>
            <w:vAlign w:val="bottom"/>
          </w:tcPr>
          <w:p>
            <w:pPr>
              <w:spacing w:after="0"/>
              <w:rPr>
                <w:sz w:val="1"/>
                <w:szCs w:val="1"/>
                <w:color w:val="auto"/>
              </w:rPr>
            </w:pPr>
          </w:p>
        </w:tc>
      </w:tr>
      <w:tr>
        <w:trPr>
          <w:trHeight w:val="227"/>
        </w:trPr>
        <w:tc>
          <w:tcPr>
            <w:tcW w:w="8220" w:type="dxa"/>
            <w:vAlign w:val="bottom"/>
          </w:tcPr>
          <w:p>
            <w:pPr>
              <w:ind w:left="220"/>
              <w:spacing w:after="0"/>
              <w:rPr>
                <w:sz w:val="20"/>
                <w:szCs w:val="20"/>
                <w:color w:val="auto"/>
              </w:rPr>
            </w:pPr>
            <w:r>
              <w:rPr>
                <w:rFonts w:ascii="Arial" w:cs="Arial" w:eastAsia="Arial" w:hAnsi="Arial"/>
                <w:sz w:val="16"/>
                <w:szCs w:val="16"/>
                <w:color w:val="auto"/>
              </w:rPr>
              <w:t>Numerator for basic earnings per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123,545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51,936</w:t>
            </w:r>
          </w:p>
        </w:tc>
        <w:tc>
          <w:tcPr>
            <w:tcW w:w="0" w:type="dxa"/>
            <w:vAlign w:val="bottom"/>
          </w:tcPr>
          <w:p>
            <w:pPr>
              <w:spacing w:after="0"/>
              <w:rPr>
                <w:sz w:val="1"/>
                <w:szCs w:val="1"/>
                <w:color w:val="auto"/>
              </w:rPr>
            </w:pPr>
          </w:p>
        </w:tc>
      </w:tr>
      <w:tr>
        <w:trPr>
          <w:trHeight w:val="21"/>
        </w:trPr>
        <w:tc>
          <w:tcPr>
            <w:tcW w:w="822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22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8220" w:type="dxa"/>
            <w:vAlign w:val="bottom"/>
          </w:tcPr>
          <w:p>
            <w:pPr>
              <w:ind w:left="140"/>
              <w:spacing w:after="0"/>
              <w:rPr>
                <w:sz w:val="20"/>
                <w:szCs w:val="20"/>
                <w:color w:val="auto"/>
              </w:rPr>
            </w:pPr>
            <w:r>
              <w:rPr>
                <w:rFonts w:ascii="Arial" w:cs="Arial" w:eastAsia="Arial" w:hAnsi="Arial"/>
                <w:sz w:val="16"/>
                <w:szCs w:val="16"/>
                <w:color w:val="auto"/>
              </w:rPr>
              <w:t>Numerator for diluted earnings per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123,549</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51,937</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6"/>
                <w:szCs w:val="16"/>
                <w:color w:val="auto"/>
              </w:rPr>
              <w:t>Denominator for basic earnings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tcPr>
          <w:p>
            <w:pPr>
              <w:spacing w:after="0"/>
              <w:rPr>
                <w:sz w:val="20"/>
                <w:szCs w:val="20"/>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4,432</w:t>
            </w:r>
          </w:p>
        </w:tc>
        <w:tc>
          <w:tcPr>
            <w:tcW w:w="480" w:type="dxa"/>
            <w:vAlign w:val="bottom"/>
          </w:tcPr>
          <w:p>
            <w:pPr>
              <w:spacing w:after="0"/>
              <w:rPr>
                <w:sz w:val="20"/>
                <w:szCs w:val="20"/>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4,759</w:t>
            </w:r>
          </w:p>
        </w:tc>
        <w:tc>
          <w:tcPr>
            <w:tcW w:w="0" w:type="dxa"/>
            <w:vAlign w:val="bottom"/>
          </w:tcPr>
          <w:p>
            <w:pPr>
              <w:spacing w:after="0"/>
              <w:rPr>
                <w:sz w:val="1"/>
                <w:szCs w:val="1"/>
                <w:color w:val="auto"/>
              </w:rPr>
            </w:pPr>
          </w:p>
        </w:tc>
      </w:tr>
      <w:tr>
        <w:trPr>
          <w:trHeight w:val="233"/>
        </w:trPr>
        <w:tc>
          <w:tcPr>
            <w:tcW w:w="822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25</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7"/>
        </w:trPr>
        <w:tc>
          <w:tcPr>
            <w:tcW w:w="8220" w:type="dxa"/>
            <w:vAlign w:val="bottom"/>
          </w:tcPr>
          <w:p>
            <w:pPr>
              <w:ind w:left="140"/>
              <w:spacing w:after="0"/>
              <w:rPr>
                <w:sz w:val="20"/>
                <w:szCs w:val="20"/>
                <w:color w:val="auto"/>
              </w:rPr>
            </w:pPr>
            <w:r>
              <w:rPr>
                <w:rFonts w:ascii="Arial" w:cs="Arial" w:eastAsia="Arial" w:hAnsi="Arial"/>
                <w:sz w:val="16"/>
                <w:szCs w:val="16"/>
                <w:color w:val="auto"/>
              </w:rPr>
              <w:t>Denominator for diluted earnings per share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4,457</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4,776</w:t>
            </w:r>
          </w:p>
        </w:tc>
        <w:tc>
          <w:tcPr>
            <w:tcW w:w="0" w:type="dxa"/>
            <w:vAlign w:val="bottom"/>
          </w:tcPr>
          <w:p>
            <w:pPr>
              <w:spacing w:after="0"/>
              <w:rPr>
                <w:sz w:val="1"/>
                <w:szCs w:val="1"/>
                <w:color w:val="auto"/>
              </w:rPr>
            </w:pPr>
          </w:p>
        </w:tc>
      </w:tr>
      <w:tr>
        <w:trPr>
          <w:trHeight w:val="21"/>
        </w:trPr>
        <w:tc>
          <w:tcPr>
            <w:tcW w:w="8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220" w:type="dxa"/>
            <w:vAlign w:val="bottom"/>
            <w:vMerge w:val="continue"/>
          </w:tcPr>
          <w:p>
            <w:pPr>
              <w:spacing w:after="0"/>
              <w:rPr>
                <w:sz w:val="18"/>
                <w:szCs w:val="18"/>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27.87</w:t>
            </w:r>
          </w:p>
        </w:tc>
        <w:tc>
          <w:tcPr>
            <w:tcW w:w="48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42"/>
        </w:trPr>
        <w:tc>
          <w:tcPr>
            <w:tcW w:w="822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27.72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2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50"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2024</w:t>
            </w:r>
          </w:p>
        </w:tc>
        <w:tc>
          <w:tcPr>
            <w:tcW w:w="11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color w:val="auto"/>
              </w:rPr>
              <w:t>2023</w:t>
            </w:r>
          </w:p>
        </w:tc>
      </w:tr>
      <w:tr>
        <w:trPr>
          <w:trHeight w:val="223"/>
        </w:trPr>
        <w:tc>
          <w:tcPr>
            <w:tcW w:w="84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600" w:type="dxa"/>
            <w:vAlign w:val="bottom"/>
          </w:tcPr>
          <w:p>
            <w:pPr>
              <w:jc w:val="right"/>
              <w:ind w:right="264"/>
              <w:spacing w:after="0"/>
              <w:rPr>
                <w:sz w:val="20"/>
                <w:szCs w:val="20"/>
                <w:color w:val="auto"/>
              </w:rPr>
            </w:pPr>
            <w:r>
              <w:rPr>
                <w:rFonts w:ascii="Arial" w:cs="Arial" w:eastAsia="Arial" w:hAnsi="Arial"/>
                <w:sz w:val="16"/>
                <w:szCs w:val="16"/>
                <w:b w:val="1"/>
                <w:bCs w:val="1"/>
                <w:color w:val="auto"/>
              </w:rPr>
              <w:t>18</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10</w:t>
            </w:r>
          </w:p>
        </w:tc>
      </w:tr>
    </w:tbl>
    <w:p>
      <w:pPr>
        <w:spacing w:after="0" w:line="23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diluted earnings per share amounts for the three months ended March 31, 2024 and March 31, 2023 exclude the effects of 105,000 stock options and contingently issuable shares outstanding as their inclusion would have been antidilutive due to a market condition.</w:t>
      </w:r>
    </w:p>
    <w:p>
      <w:pPr>
        <w:spacing w:after="0" w:line="8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three months ended March 31, 2024 and 2023, the Company declared regular dividends totaling $3.44 and $3.30 per common share,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14,034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9,243</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11,194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11,534</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(41,690)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(38,338)</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Amortization of prior service (credit) cost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(494)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(12,518)</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(10,140)</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(29,474)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(27,291)</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418</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(29,056)</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(23,162)</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2024, the Company recorded $0.4 million in expenses related to a Separation Incentive Program (SIP) for certain</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Framebridge employees, which will be funded from the assets of the Company’s pension plans. In the first quarter of 2023, the Company recorded $4.1 million in expenses related to SIPs for certain Leaf and Code3 employees, which was funded from the assets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2023</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3"/>
              <w:spacing w:after="0"/>
              <w:rPr>
                <w:sz w:val="20"/>
                <w:szCs w:val="20"/>
                <w:color w:val="auto"/>
              </w:rPr>
            </w:pPr>
            <w:r>
              <w:rPr>
                <w:rFonts w:ascii="Arial" w:cs="Arial" w:eastAsia="Arial" w:hAnsi="Arial"/>
                <w:sz w:val="16"/>
                <w:szCs w:val="16"/>
                <w:b w:val="1"/>
                <w:bCs w:val="1"/>
                <w:color w:val="auto"/>
              </w:rPr>
              <w:t>287</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148</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1,128</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1,165</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1,415</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1,313</w:t>
            </w: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funds, a U.S. stock index fund, and a relatively small number of stocks and high-quality fixed-income securities that are held by a third-party trustee. The assets of the Company’s pension plans were allocated as follows:</w:t>
      </w:r>
    </w:p>
    <w:p>
      <w:pPr>
        <w:spacing w:after="0" w:line="190"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220"/>
        </w:trPr>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rPr>
              <w:t>March 31,</w:t>
            </w:r>
          </w:p>
        </w:tc>
        <w:tc>
          <w:tcPr>
            <w:tcW w:w="1800" w:type="dxa"/>
            <w:vAlign w:val="bottom"/>
          </w:tcPr>
          <w:p>
            <w:pPr>
              <w:jc w:val="center"/>
              <w:ind w:left="268"/>
              <w:spacing w:after="0"/>
              <w:rPr>
                <w:sz w:val="20"/>
                <w:szCs w:val="20"/>
                <w:color w:val="auto"/>
              </w:rPr>
            </w:pPr>
            <w:r>
              <w:rPr>
                <w:rFonts w:ascii="Arial" w:cs="Arial" w:eastAsia="Arial" w:hAnsi="Arial"/>
                <w:sz w:val="14"/>
                <w:szCs w:val="14"/>
                <w:color w:val="auto"/>
              </w:rPr>
              <w:t>December 31,</w:t>
            </w:r>
          </w:p>
        </w:tc>
      </w:tr>
      <w:tr>
        <w:trPr>
          <w:trHeight w:val="196"/>
        </w:trPr>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20" w:lineRule="exact"/>
        <w:rPr>
          <w:sz w:val="20"/>
          <w:szCs w:val="20"/>
          <w:color w:val="auto"/>
        </w:rPr>
      </w:pPr>
      <w:r>
        <w:rPr>
          <w:sz w:val="20"/>
          <w:szCs w:val="20"/>
          <w:color w:val="auto"/>
        </w:rPr>
        <w:br w:type="column"/>
      </w:r>
    </w:p>
    <w:p>
      <w:pPr>
        <w:ind w:left="80"/>
        <w:spacing w:after="0"/>
        <w:tabs>
          <w:tab w:leader="none" w:pos="1620" w:val="left"/>
        </w:tabs>
        <w:rPr>
          <w:sz w:val="20"/>
          <w:szCs w:val="20"/>
          <w:color w:val="auto"/>
        </w:rPr>
      </w:pPr>
      <w:r>
        <w:rPr>
          <w:rFonts w:ascii="Arial" w:cs="Arial" w:eastAsia="Arial" w:hAnsi="Arial"/>
          <w:sz w:val="16"/>
          <w:szCs w:val="16"/>
          <w:b w:val="1"/>
          <w:bCs w:val="1"/>
          <w:color w:val="auto"/>
        </w:rPr>
        <w:t>54 %</w:t>
      </w:r>
      <w:r>
        <w:rPr>
          <w:sz w:val="20"/>
          <w:szCs w:val="20"/>
          <w:color w:val="auto"/>
        </w:rPr>
        <w:tab/>
      </w:r>
      <w:r>
        <w:rPr>
          <w:rFonts w:ascii="Arial" w:cs="Arial" w:eastAsia="Arial" w:hAnsi="Arial"/>
          <w:sz w:val="15"/>
          <w:szCs w:val="15"/>
          <w:color w:val="auto"/>
        </w:rPr>
        <w:t>59 %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16 %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12 %</w:t>
      </w:r>
      <w:r>
        <w:rPr>
          <w:sz w:val="20"/>
          <w:szCs w:val="20"/>
          <w:color w:val="auto"/>
        </w:rPr>
        <w:tab/>
      </w:r>
      <w:r>
        <w:rPr>
          <w:rFonts w:ascii="Arial" w:cs="Arial" w:eastAsia="Arial" w:hAnsi="Arial"/>
          <w:sz w:val="15"/>
          <w:szCs w:val="15"/>
          <w:color w:val="auto"/>
        </w:rPr>
        <w:t>14 %</w:t>
      </w:r>
    </w:p>
    <w:p>
      <w:pPr>
        <w:spacing w:after="0" w:line="46" w:lineRule="exact"/>
        <w:rPr>
          <w:sz w:val="20"/>
          <w:szCs w:val="20"/>
          <w:color w:val="auto"/>
        </w:rPr>
      </w:pPr>
    </w:p>
    <w:p>
      <w:pPr>
        <w:ind w:left="80"/>
        <w:spacing w:after="0"/>
        <w:tabs>
          <w:tab w:leader="none" w:pos="170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6"/>
          <w:szCs w:val="16"/>
          <w:color w:val="auto"/>
        </w:rPr>
        <w:t>7 %</w:t>
      </w:r>
    </w:p>
    <w:p>
      <w:pPr>
        <w:spacing w:after="0" w:line="46"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24"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The Company manages approximately 49% of the pension assets internally, of which the majority is invested in private investment funds with the remaining investments in Berkshire Hathaway and Markel stock, a U.S. stock index fund, and short-term fixed-income securities. The</w:t>
      </w:r>
    </w:p>
    <w:p>
      <w:pPr>
        <w:spacing w:after="0" w:line="235" w:lineRule="auto"/>
        <w:rPr>
          <w:sz w:val="20"/>
          <w:szCs w:val="20"/>
          <w:color w:val="auto"/>
        </w:rPr>
      </w:pPr>
      <w:r>
        <w:rPr>
          <w:rFonts w:ascii="Arial" w:cs="Arial" w:eastAsia="Arial" w:hAnsi="Arial"/>
          <w:sz w:val="18"/>
          <w:szCs w:val="18"/>
          <w:color w:val="auto"/>
        </w:rPr>
        <w:t>remaining 51% of plan assets are managed by two investment companies. The goal of the investment managers is to produce moderate</w:t>
      </w:r>
    </w:p>
    <w:p>
      <w:pPr>
        <w:ind w:right="80"/>
        <w:spacing w:after="0"/>
        <w:rPr>
          <w:sz w:val="20"/>
          <w:szCs w:val="20"/>
          <w:color w:val="auto"/>
        </w:rPr>
      </w:pPr>
      <w:r>
        <w:rPr>
          <w:rFonts w:ascii="Arial" w:cs="Arial" w:eastAsia="Arial" w:hAnsi="Arial"/>
          <w:sz w:val="17"/>
          <w:szCs w:val="17"/>
          <w:color w:val="auto"/>
        </w:rPr>
        <w:t>long-term growth in the value of these assets, while protecting them against large decreases in value. Both investment managers may invest in a combination of equity and fixed-income securities and cash. The managers are not permitted to invest in securities of the Company or in</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alternative investments. One investment manager cannot invest more than 15% of the assets at the time of purchase in the stock of Alphabet and Berkshire Hathaway, and no more than 35% of the assets it manages in specified international exchanges at the time the investment is</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made. The other investment manager cannot invest more than 20% of the assets at the time of purchase in the stock of Berkshire Hathaway, and no more than 15% of the assets it manages in specified international exchanges at the time the investment is made, and no less than</w:t>
      </w:r>
    </w:p>
    <w:p>
      <w:pPr>
        <w:spacing w:after="0" w:line="1"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5%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12"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9" w:name="page20"/>
    <w:bookmarkEnd w:id="19"/>
    <w:p>
      <w:pPr>
        <w:ind w:right="360"/>
        <w:spacing w:after="0" w:line="271" w:lineRule="auto"/>
        <w:rPr>
          <w:sz w:val="20"/>
          <w:szCs w:val="20"/>
          <w:color w:val="auto"/>
        </w:rPr>
      </w:pPr>
      <w:r>
        <w:rPr>
          <w:rFonts w:ascii="Arial" w:cs="Arial" w:eastAsia="Arial" w:hAnsi="Arial"/>
          <w:sz w:val="18"/>
          <w:szCs w:val="18"/>
          <w:color w:val="auto"/>
        </w:rPr>
        <w:t>indicators of future performance. In addition, the Company may consult with and consider the input of financial and other professionals in developing appropriate return benchmarks.</w:t>
      </w:r>
    </w:p>
    <w:p>
      <w:pPr>
        <w:spacing w:after="0" w:line="86"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2024. Types of concentrations that were evaluated include, but are not limited to,</w:t>
      </w:r>
    </w:p>
    <w:p>
      <w:pPr>
        <w:ind w:right="280"/>
        <w:spacing w:after="0"/>
        <w:rPr>
          <w:sz w:val="20"/>
          <w:szCs w:val="20"/>
          <w:color w:val="auto"/>
        </w:rPr>
      </w:pPr>
      <w:r>
        <w:rPr>
          <w:rFonts w:ascii="Arial" w:cs="Arial" w:eastAsia="Arial" w:hAnsi="Arial"/>
          <w:sz w:val="17"/>
          <w:szCs w:val="17"/>
          <w:color w:val="auto"/>
        </w:rPr>
        <w:t>investment concentrations in a single entity, type of industry, foreign country and individual fund. At March 31, 2024, the pension plan held investments in one common stock, one private investment fund, and one U.S. Treasury securities fund that exceeded 10% of total plan</w:t>
      </w:r>
    </w:p>
    <w:p>
      <w:pPr>
        <w:spacing w:after="0" w:line="235" w:lineRule="auto"/>
        <w:rPr>
          <w:sz w:val="20"/>
          <w:szCs w:val="20"/>
          <w:color w:val="auto"/>
        </w:rPr>
      </w:pPr>
      <w:r>
        <w:rPr>
          <w:rFonts w:ascii="Arial" w:cs="Arial" w:eastAsia="Arial" w:hAnsi="Arial"/>
          <w:sz w:val="18"/>
          <w:szCs w:val="18"/>
          <w:color w:val="auto"/>
        </w:rPr>
        <w:t>assets, valued at $1,665.4 million, or approximately 51% of total plan assets. At December 31, 2023, the pension plan held investments in</w:t>
      </w:r>
    </w:p>
    <w:p>
      <w:pPr>
        <w:spacing w:after="0" w:line="226" w:lineRule="auto"/>
        <w:rPr>
          <w:sz w:val="20"/>
          <w:szCs w:val="20"/>
          <w:color w:val="auto"/>
        </w:rPr>
      </w:pPr>
      <w:r>
        <w:rPr>
          <w:rFonts w:ascii="Arial" w:cs="Arial" w:eastAsia="Arial" w:hAnsi="Arial"/>
          <w:sz w:val="18"/>
          <w:szCs w:val="18"/>
          <w:color w:val="auto"/>
        </w:rPr>
        <w:t>one common stock and one private investment fund that exceeded 10% of total plan assets, valued at $1,011.1 million, or approximately 34% of total plan assets. Assets also included $88.3 million and $82.4 million of Markel shares at March 31, 2024 and December 31,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765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1"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spacing w:after="0"/>
        <w:tabs>
          <w:tab w:leader="none" w:pos="1040" w:val="left"/>
          <w:tab w:leader="none" w:pos="1420" w:val="left"/>
          <w:tab w:leader="none" w:pos="24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w:t>
      </w:r>
    </w:p>
    <w:p>
      <w:pPr>
        <w:spacing w:after="0" w:line="46" w:lineRule="exact"/>
        <w:rPr>
          <w:sz w:val="20"/>
          <w:szCs w:val="20"/>
          <w:color w:val="auto"/>
        </w:rPr>
      </w:pPr>
    </w:p>
    <w:p>
      <w:pPr>
        <w:ind w:left="2360" w:hanging="1450"/>
        <w:spacing w:after="0"/>
        <w:tabs>
          <w:tab w:leader="none" w:pos="23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9" w:lineRule="exact"/>
        <w:rPr>
          <w:sz w:val="20"/>
          <w:szCs w:val="20"/>
          <w:color w:val="auto"/>
        </w:rPr>
      </w:pPr>
    </w:p>
    <w:p>
      <w:pPr>
        <w:spacing w:after="0"/>
        <w:tabs>
          <w:tab w:leader="none" w:pos="900" w:val="left"/>
          <w:tab w:leader="none" w:pos="1420" w:val="left"/>
          <w:tab w:leader="none" w:pos="23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(455)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55245</wp:posOffset>
            </wp:positionV>
            <wp:extent cx="17659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60" w:space="720"/>
            <w:col w:w="2760"/>
          </w:cols>
          <w:pgMar w:left="320" w:top="931" w:right="33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40" w:type="dxa"/>
            <w:vAlign w:val="bottom"/>
          </w:tcPr>
          <w:p>
            <w:pPr>
              <w:spacing w:after="0"/>
              <w:rPr>
                <w:sz w:val="20"/>
                <w:szCs w:val="20"/>
                <w:color w:val="auto"/>
              </w:rPr>
            </w:pPr>
            <w:r>
              <w:rPr>
                <w:rFonts w:ascii="Arial" w:cs="Arial" w:eastAsia="Arial" w:hAnsi="Arial"/>
                <w:sz w:val="14"/>
                <w:szCs w:val="14"/>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gain (loss),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a cost method investment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a cost method investment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investment in affiliate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960" w:val="left"/>
          <w:tab w:leader="none" w:pos="1420" w:val="left"/>
          <w:tab w:leader="none" w:pos="22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875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1,000</w:t>
      </w:r>
    </w:p>
    <w:p>
      <w:pPr>
        <w:spacing w:after="0" w:line="46" w:lineRule="exact"/>
        <w:rPr>
          <w:sz w:val="20"/>
          <w:szCs w:val="20"/>
          <w:color w:val="auto"/>
        </w:rPr>
      </w:pPr>
    </w:p>
    <w:p>
      <w:pPr>
        <w:ind w:left="2220" w:hanging="1247"/>
        <w:spacing w:after="0"/>
        <w:tabs>
          <w:tab w:leader="none" w:pos="222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(1,504)</w:t>
      </w:r>
    </w:p>
    <w:p>
      <w:pPr>
        <w:spacing w:after="0" w:line="46" w:lineRule="exact"/>
        <w:rPr>
          <w:sz w:val="20"/>
          <w:szCs w:val="20"/>
          <w:color w:val="auto"/>
        </w:rPr>
      </w:pPr>
    </w:p>
    <w:p>
      <w:pPr>
        <w:ind w:left="2520" w:hanging="1610"/>
        <w:spacing w:after="0"/>
        <w:tabs>
          <w:tab w:leader="none" w:pos="25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46" w:lineRule="exact"/>
        <w:rPr>
          <w:sz w:val="20"/>
          <w:szCs w:val="20"/>
          <w:color w:val="auto"/>
        </w:rPr>
      </w:pPr>
    </w:p>
    <w:p>
      <w:pPr>
        <w:ind w:left="2420" w:hanging="1267"/>
        <w:spacing w:after="0"/>
        <w:tabs>
          <w:tab w:leader="none" w:pos="242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785</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color w:val="auto"/>
        </w:rPr>
        <w:t>1,831</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15</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555</w:t>
      </w:r>
      <w:r>
        <w:rPr>
          <w:rFonts w:ascii="Arial" w:cs="Arial" w:eastAsia="Arial" w:hAnsi="Arial"/>
          <w:sz w:val="15"/>
          <w:szCs w:val="15"/>
          <w:color w:val="auto"/>
        </w:rPr>
        <w:t>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9" w:lineRule="exact"/>
        <w:rPr>
          <w:sz w:val="20"/>
          <w:szCs w:val="20"/>
          <w:color w:val="auto"/>
        </w:rPr>
      </w:pPr>
    </w:p>
    <w:p>
      <w:pPr>
        <w:spacing w:after="0"/>
        <w:tabs>
          <w:tab w:leader="none" w:pos="820" w:val="left"/>
          <w:tab w:leader="none" w:pos="1420" w:val="left"/>
          <w:tab w:leader="none" w:pos="22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1,647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3,083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55245</wp:posOffset>
            </wp:positionV>
            <wp:extent cx="17659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60" w:space="720"/>
            <w:col w:w="2760"/>
          </w:cols>
          <w:pgMar w:left="320" w:top="931" w:right="339" w:bottom="1440" w:gutter="0" w:footer="0" w:header="0"/>
          <w:type w:val="continuous"/>
        </w:sectPr>
      </w:pPr>
    </w:p>
    <w:p>
      <w:pPr>
        <w:spacing w:after="0" w:line="9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gain on cost method investments result from observable price changes in the fair value of the underlying equity securities accounted for under the cost method (see Notes 3 and 8).</w:t>
      </w:r>
    </w:p>
    <w:p>
      <w:pPr>
        <w:spacing w:after="0" w:line="8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During the three months ended March 31, 2024 and 2023, the Company recorded contingent consideration gains of $0.9 million and $1.0 million, respectively, related to the disposition of Kaplan University (KU) in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940" w:type="dxa"/>
            <w:vAlign w:val="bottom"/>
          </w:tcPr>
          <w:p>
            <w:pPr>
              <w:jc w:val="right"/>
              <w:ind w:right="2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20" w:type="dxa"/>
            <w:vAlign w:val="bottom"/>
          </w:tcPr>
          <w:p>
            <w:pPr>
              <w:jc w:val="right"/>
              <w:ind w:right="121"/>
              <w:spacing w:after="0"/>
              <w:rPr>
                <w:sz w:val="20"/>
                <w:szCs w:val="20"/>
                <w:color w:val="auto"/>
              </w:rPr>
            </w:pPr>
            <w:r>
              <w:rPr>
                <w:rFonts w:ascii="Arial" w:cs="Arial" w:eastAsia="Arial" w:hAnsi="Arial"/>
                <w:sz w:val="14"/>
                <w:szCs w:val="14"/>
                <w:color w:val="auto"/>
              </w:rPr>
              <w:t>Before-Tax</w:t>
            </w:r>
          </w:p>
        </w:tc>
        <w:tc>
          <w:tcPr>
            <w:tcW w:w="240" w:type="dxa"/>
            <w:vAlign w:val="bottom"/>
          </w:tcPr>
          <w:p>
            <w:pPr>
              <w:spacing w:after="0"/>
              <w:rPr>
                <w:sz w:val="17"/>
                <w:szCs w:val="17"/>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7"/>
                <w:szCs w:val="17"/>
                <w:color w:val="auto"/>
              </w:rPr>
            </w:pPr>
          </w:p>
        </w:tc>
        <w:tc>
          <w:tcPr>
            <w:tcW w:w="880" w:type="dxa"/>
            <w:vAlign w:val="bottom"/>
          </w:tcPr>
          <w:p>
            <w:pPr>
              <w:jc w:val="right"/>
              <w:ind w:right="16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9"/>
              </w:rPr>
              <w:t>Tax</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(13,284)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(13,284)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8,994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8,994</w:t>
            </w:r>
          </w:p>
        </w:tc>
        <w:tc>
          <w:tcPr>
            <w:tcW w:w="0" w:type="dxa"/>
            <w:vAlign w:val="bottom"/>
          </w:tcPr>
          <w:p>
            <w:pPr>
              <w:spacing w:after="0"/>
              <w:rPr>
                <w:sz w:val="1"/>
                <w:szCs w:val="1"/>
                <w:color w:val="auto"/>
              </w:rPr>
            </w:pPr>
          </w:p>
        </w:tc>
      </w:tr>
      <w:tr>
        <w:trPr>
          <w:trHeight w:val="221"/>
        </w:trPr>
        <w:tc>
          <w:tcPr>
            <w:tcW w:w="46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 included in net</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(494)</w:t>
            </w:r>
          </w:p>
        </w:tc>
        <w:tc>
          <w:tcPr>
            <w:tcW w:w="220" w:type="dxa"/>
            <w:vAlign w:val="bottom"/>
          </w:tcPr>
          <w:p>
            <w:pPr>
              <w:spacing w:after="0"/>
              <w:rPr>
                <w:sz w:val="16"/>
                <w:szCs w:val="16"/>
                <w:color w:val="auto"/>
              </w:rPr>
            </w:pP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126</w:t>
            </w:r>
          </w:p>
        </w:tc>
        <w:tc>
          <w:tcPr>
            <w:tcW w:w="220" w:type="dxa"/>
            <w:vAlign w:val="bottom"/>
          </w:tcPr>
          <w:p>
            <w:pPr>
              <w:spacing w:after="0"/>
              <w:rPr>
                <w:sz w:val="16"/>
                <w:szCs w:val="16"/>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(368)</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0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409</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33"/>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(12,987)</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3,325</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(9,662)</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(10,766)</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2,769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(7,997)</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3,451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(10,030)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(10,357)</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2,664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(7,693)</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tcPr>
          <w:p>
            <w:pPr>
              <w:ind w:left="140"/>
              <w:spacing w:after="0"/>
              <w:rPr>
                <w:sz w:val="20"/>
                <w:szCs w:val="20"/>
                <w:color w:val="auto"/>
              </w:rPr>
            </w:pPr>
            <w:r>
              <w:rPr>
                <w:rFonts w:ascii="Arial" w:cs="Arial" w:eastAsia="Arial" w:hAnsi="Arial"/>
                <w:sz w:val="16"/>
                <w:szCs w:val="16"/>
                <w:color w:val="auto"/>
              </w:rPr>
              <w:t>Gain (loss) for the period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1,111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(289)</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822</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214</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3,162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1380" w:type="dxa"/>
            <w:vAlign w:val="bottom"/>
          </w:tcPr>
          <w:p>
            <w:pPr>
              <w:jc w:val="center"/>
              <w:ind w:right="144"/>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vMerge w:val="restart"/>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5"/>
        </w:trPr>
        <w:tc>
          <w:tcPr>
            <w:tcW w:w="5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(32,711)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649,185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614,337</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(13,284)</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947</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(12,337)</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(10,030)</w:t>
            </w:r>
          </w:p>
        </w:tc>
        <w:tc>
          <w:tcPr>
            <w:tcW w:w="160" w:type="dxa"/>
            <w:vAlign w:val="bottom"/>
          </w:tcPr>
          <w:p>
            <w:pPr>
              <w:spacing w:after="0"/>
              <w:rPr>
                <w:sz w:val="15"/>
                <w:szCs w:val="15"/>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(125)</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(10,155)</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(loss)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(13,284)</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(10,030)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822</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(22,492)</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(45,995)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639,155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591,845</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4580" w:type="dxa"/>
            <w:vAlign w:val="bottom"/>
          </w:tcPr>
          <w:p>
            <w:pPr>
              <w:spacing w:after="0"/>
              <w:rPr>
                <w:sz w:val="14"/>
                <w:szCs w:val="14"/>
                <w:color w:val="auto"/>
              </w:rPr>
            </w:pPr>
          </w:p>
        </w:tc>
      </w:tr>
      <w:tr>
        <w:trPr>
          <w:trHeight w:val="197"/>
        </w:trPr>
        <w:tc>
          <w:tcPr>
            <w:tcW w:w="42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March 31</w:t>
            </w:r>
          </w:p>
        </w:tc>
        <w:tc>
          <w:tcPr>
            <w:tcW w:w="4580" w:type="dxa"/>
            <w:vAlign w:val="bottom"/>
          </w:tcPr>
          <w:p>
            <w:pPr>
              <w:jc w:val="center"/>
              <w:ind w:left="68"/>
              <w:spacing w:after="0"/>
              <w:rPr>
                <w:sz w:val="20"/>
                <w:szCs w:val="20"/>
                <w:color w:val="auto"/>
              </w:rPr>
            </w:pPr>
            <w:r>
              <w:rPr>
                <w:rFonts w:ascii="Arial" w:cs="Arial" w:eastAsia="Arial" w:hAnsi="Arial"/>
                <w:sz w:val="14"/>
                <w:szCs w:val="14"/>
                <w:b w:val="1"/>
                <w:bCs w:val="1"/>
                <w:color w:val="auto"/>
              </w:rPr>
              <w:t>Affected Line Item in the Condensed Consolidated Statements of</w:t>
            </w:r>
          </w:p>
        </w:tc>
      </w:tr>
      <w:tr>
        <w:trPr>
          <w:trHeight w:val="208"/>
        </w:trPr>
        <w:tc>
          <w:tcPr>
            <w:tcW w:w="4260" w:type="dxa"/>
            <w:vAlign w:val="bottom"/>
          </w:tcPr>
          <w:p>
            <w:pPr>
              <w:spacing w:after="0"/>
              <w:rPr>
                <w:sz w:val="20"/>
                <w:szCs w:val="20"/>
                <w:color w:val="auto"/>
              </w:rPr>
            </w:pPr>
            <w:r>
              <w:rPr>
                <w:rFonts w:ascii="Arial" w:cs="Arial" w:eastAsia="Arial" w:hAnsi="Arial"/>
                <w:sz w:val="14"/>
                <w:szCs w:val="14"/>
                <w:color w:val="auto"/>
              </w:rPr>
              <w:t>(in thousands)</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540" w:type="dxa"/>
            <w:vAlign w:val="bottom"/>
          </w:tcPr>
          <w:p>
            <w:pPr>
              <w:jc w:val="right"/>
              <w:ind w:right="328"/>
              <w:spacing w:after="0"/>
              <w:rPr>
                <w:sz w:val="20"/>
                <w:szCs w:val="20"/>
                <w:color w:val="auto"/>
              </w:rPr>
            </w:pPr>
            <w:r>
              <w:rPr>
                <w:rFonts w:ascii="Arial" w:cs="Arial" w:eastAsia="Arial" w:hAnsi="Arial"/>
                <w:sz w:val="14"/>
                <w:szCs w:val="14"/>
                <w:color w:val="auto"/>
              </w:rPr>
              <w:t>2023</w:t>
            </w:r>
          </w:p>
        </w:tc>
        <w:tc>
          <w:tcPr>
            <w:tcW w:w="4580" w:type="dxa"/>
            <w:vAlign w:val="bottom"/>
          </w:tcPr>
          <w:p>
            <w:pPr>
              <w:jc w:val="center"/>
              <w:ind w:left="68"/>
              <w:spacing w:after="0"/>
              <w:rPr>
                <w:sz w:val="20"/>
                <w:szCs w:val="20"/>
                <w:color w:val="auto"/>
              </w:rPr>
            </w:pPr>
            <w:r>
              <w:rPr>
                <w:rFonts w:ascii="Arial" w:cs="Arial" w:eastAsia="Arial" w:hAnsi="Arial"/>
                <w:sz w:val="14"/>
                <w:szCs w:val="14"/>
                <w:b w:val="1"/>
                <w:bCs w:val="1"/>
                <w:color w:val="auto"/>
              </w:rPr>
              <w:t>Operations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r>
      <w:tr>
        <w:trPr>
          <w:trHeight w:val="224"/>
        </w:trPr>
        <w:tc>
          <w:tcPr>
            <w:tcW w:w="428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(494)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w:t>
            </w:r>
          </w:p>
        </w:tc>
        <w:tc>
          <w:tcPr>
            <w:tcW w:w="4620" w:type="dxa"/>
            <w:vAlign w:val="bottom"/>
          </w:tcPr>
          <w:p>
            <w:pPr>
              <w:ind w:left="120"/>
              <w:spacing w:after="0"/>
              <w:rPr>
                <w:sz w:val="20"/>
                <w:szCs w:val="20"/>
                <w:color w:val="auto"/>
              </w:rPr>
            </w:pPr>
            <w:r>
              <w:rPr>
                <w:rFonts w:ascii="Arial" w:cs="Arial" w:eastAsia="Arial" w:hAnsi="Arial"/>
                <w:sz w:val="14"/>
                <w:szCs w:val="14"/>
                <w:color w:val="auto"/>
              </w:rPr>
              <w:t>(1)</w:t>
            </w:r>
          </w:p>
        </w:tc>
      </w:tr>
      <w:tr>
        <w:trPr>
          <w:trHeight w:val="233"/>
        </w:trPr>
        <w:tc>
          <w:tcPr>
            <w:tcW w:w="428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(12,987)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(10,766)</w:t>
            </w:r>
          </w:p>
        </w:tc>
        <w:tc>
          <w:tcPr>
            <w:tcW w:w="4620" w:type="dxa"/>
            <w:vAlign w:val="bottom"/>
          </w:tcPr>
          <w:p>
            <w:pPr>
              <w:ind w:left="120"/>
              <w:spacing w:after="0"/>
              <w:rPr>
                <w:sz w:val="20"/>
                <w:szCs w:val="20"/>
                <w:color w:val="auto"/>
              </w:rPr>
            </w:pPr>
            <w:r>
              <w:rPr>
                <w:rFonts w:ascii="Arial" w:cs="Arial" w:eastAsia="Arial" w:hAnsi="Arial"/>
                <w:sz w:val="14"/>
                <w:szCs w:val="14"/>
                <w:color w:val="auto"/>
              </w:rPr>
              <w:t>(1)</w:t>
            </w:r>
          </w:p>
        </w:tc>
      </w:tr>
      <w:tr>
        <w:trPr>
          <w:trHeight w:val="220"/>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(13,481)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(10,357)</w:t>
            </w:r>
          </w:p>
        </w:tc>
        <w:tc>
          <w:tcPr>
            <w:tcW w:w="4620" w:type="dxa"/>
            <w:vAlign w:val="bottom"/>
          </w:tcPr>
          <w:p>
            <w:pPr>
              <w:ind w:left="120"/>
              <w:spacing w:after="0"/>
              <w:rPr>
                <w:sz w:val="20"/>
                <w:szCs w:val="20"/>
                <w:color w:val="auto"/>
              </w:rPr>
            </w:pPr>
            <w:r>
              <w:rPr>
                <w:rFonts w:ascii="Arial" w:cs="Arial" w:eastAsia="Arial" w:hAnsi="Arial"/>
                <w:sz w:val="14"/>
                <w:szCs w:val="14"/>
                <w:color w:val="auto"/>
              </w:rPr>
              <w:t>Before tax</w:t>
            </w:r>
          </w:p>
        </w:tc>
      </w:tr>
      <w:tr>
        <w:trPr>
          <w:trHeight w:val="233"/>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3,451</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462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r>
      <w:tr>
        <w:trPr>
          <w:trHeight w:val="220"/>
        </w:trPr>
        <w:tc>
          <w:tcPr>
            <w:tcW w:w="4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(10,030)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(7,693)</w:t>
            </w:r>
          </w:p>
        </w:tc>
        <w:tc>
          <w:tcPr>
            <w:tcW w:w="4620" w:type="dxa"/>
            <w:vAlign w:val="bottom"/>
          </w:tcPr>
          <w:p>
            <w:pPr>
              <w:ind w:left="120"/>
              <w:spacing w:after="0"/>
              <w:rPr>
                <w:sz w:val="20"/>
                <w:szCs w:val="20"/>
                <w:color w:val="auto"/>
              </w:rPr>
            </w:pPr>
            <w:r>
              <w:rPr>
                <w:rFonts w:ascii="Arial" w:cs="Arial" w:eastAsia="Arial" w:hAnsi="Arial"/>
                <w:sz w:val="14"/>
                <w:szCs w:val="14"/>
                <w:color w:val="auto"/>
              </w:rPr>
              <w:t>Net of Tax</w:t>
            </w:r>
          </w:p>
        </w:tc>
      </w:tr>
      <w:tr>
        <w:trPr>
          <w:trHeight w:val="226"/>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4620" w:type="dxa"/>
            <w:vAlign w:val="bottom"/>
          </w:tcPr>
          <w:p>
            <w:pPr>
              <w:ind w:left="120"/>
              <w:spacing w:after="0"/>
              <w:rPr>
                <w:sz w:val="20"/>
                <w:szCs w:val="20"/>
                <w:color w:val="auto"/>
              </w:rPr>
            </w:pPr>
            <w:r>
              <w:rPr>
                <w:rFonts w:ascii="Arial" w:cs="Arial" w:eastAsia="Arial" w:hAnsi="Arial"/>
                <w:sz w:val="14"/>
                <w:szCs w:val="14"/>
                <w:color w:val="auto"/>
              </w:rPr>
              <w:t>Interest expense</w:t>
            </w:r>
          </w:p>
        </w:tc>
      </w:tr>
      <w:tr>
        <w:trPr>
          <w:trHeight w:val="22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(7,867)</w:t>
            </w:r>
          </w:p>
        </w:tc>
        <w:tc>
          <w:tcPr>
            <w:tcW w:w="4620" w:type="dxa"/>
            <w:vAlign w:val="bottom"/>
          </w:tcPr>
          <w:p>
            <w:pPr>
              <w:ind w:left="120"/>
              <w:spacing w:after="0"/>
              <w:rPr>
                <w:sz w:val="20"/>
                <w:szCs w:val="20"/>
                <w:color w:val="auto"/>
              </w:rPr>
            </w:pPr>
            <w:r>
              <w:rPr>
                <w:rFonts w:ascii="Arial" w:cs="Arial" w:eastAsia="Arial" w:hAnsi="Arial"/>
                <w:sz w:val="14"/>
                <w:szCs w:val="14"/>
                <w:color w:val="auto"/>
              </w:rPr>
              <w:t>Net of Tax</w:t>
            </w: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 w:lineRule="exact"/>
        <w:rPr>
          <w:sz w:val="20"/>
          <w:szCs w:val="20"/>
          <w:color w:val="auto"/>
        </w:rPr>
      </w:pPr>
    </w:p>
    <w:p>
      <w:pPr>
        <w:ind w:left="420" w:right="260" w:hanging="412"/>
        <w:spacing w:after="0" w:line="264" w:lineRule="auto"/>
        <w:tabs>
          <w:tab w:leader="none" w:pos="3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44" w:lineRule="exact"/>
        <w:rPr>
          <w:sz w:val="20"/>
          <w:szCs w:val="20"/>
          <w:color w:val="auto"/>
        </w:rPr>
      </w:pPr>
    </w:p>
    <w:p>
      <w:pPr>
        <w:jc w:val="both"/>
        <w:ind w:right="160"/>
        <w:spacing w:after="0" w:line="24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spacing w:after="0" w:line="226" w:lineRule="auto"/>
        <w:rPr>
          <w:sz w:val="20"/>
          <w:szCs w:val="20"/>
          <w:color w:val="auto"/>
        </w:rPr>
      </w:pPr>
      <w:r>
        <w:rPr>
          <w:rFonts w:ascii="Arial" w:cs="Arial" w:eastAsia="Arial" w:hAnsi="Arial"/>
          <w:sz w:val="18"/>
          <w:szCs w:val="18"/>
          <w:color w:val="auto"/>
        </w:rPr>
        <w:t>negligence, libel, defamation and invasion of privacy; trademark, copyright and patent infringement; real estate lease and sublease disputes; violations of employment laws and applicable wage and hour laws; and statutory or common law claims involving current and former students</w:t>
      </w:r>
    </w:p>
    <w:p>
      <w:pPr>
        <w:spacing w:after="0" w:line="236" w:lineRule="auto"/>
        <w:rPr>
          <w:sz w:val="20"/>
          <w:szCs w:val="20"/>
          <w:color w:val="auto"/>
        </w:rPr>
      </w:pPr>
      <w:r>
        <w:rPr>
          <w:rFonts w:ascii="Arial" w:cs="Arial" w:eastAsia="Arial" w:hAnsi="Arial"/>
          <w:sz w:val="18"/>
          <w:szCs w:val="18"/>
          <w:color w:val="auto"/>
        </w:rPr>
        <w:t>and employees. Although the outcomes of the legal claims and proceedings against the Company cannot be predicted with certainty, based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on currently available information, management believes that there are no existing claims or proceedings that are likely to have a material effect on the Company’s business, financial condition, results of operations or cash flows. However, based on currently available information,</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$10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Education. Kaplan India was previously included in Kaplan corporate and other. Certain amounts in previously issued financial statements have been reclassified to conform to the current presentation.</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8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As of March 31, 2024, Kaplan had a total outstanding accounts receivable balance of $105.9 million from Purdue Global related to amounts due for reimbursements for services, fees earned and a deferred fee. Included in this total, Kaplan has a $19.6 million long-term receivable balance due from Purdue Global at March 31, 2024, related to the advance of $20.0 million during the initial KU Transaction.</w:t>
      </w:r>
    </w:p>
    <w:p>
      <w:pPr>
        <w:spacing w:after="0" w:line="101"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During the three months ended March 31, 2024 and 2023, the automotive group recorded expense of $2.0 million and $1.7 million, respectively, for operating and management services provided by Christopher J. Ourisman and his team of industry professionals.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3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205"/>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422,598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378,041</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113,058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112,877</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101,903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114,584</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128,201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102,059</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303,840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232,561</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83,298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92,008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576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1,152,662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1,031,546</w:t>
            </w:r>
          </w:p>
        </w:tc>
      </w:tr>
      <w:tr>
        <w:trPr>
          <w:trHeight w:val="236"/>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 before Amortization of Intangible Assets and Impairment of Long-Lived Assets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33,561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27,456</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30,983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29,945</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6,189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12,190</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6,727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3,890</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9,652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10,843</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(26,283)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(27,906)</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(14,636)</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(14,073)</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46,193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42,345</w:t>
            </w:r>
          </w:p>
        </w:tc>
      </w:tr>
      <w:tr>
        <w:trPr>
          <w:trHeight w:val="208"/>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2,974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4,416</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1,350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1,362</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3,120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4,862</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636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2,671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3,095</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10,751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14,689</w:t>
            </w:r>
          </w:p>
        </w:tc>
      </w:tr>
      <w:tr>
        <w:trPr>
          <w:trHeight w:val="208"/>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30,587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23,040</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29,633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28,583</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3,069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7,328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6,091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2,936</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9,652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10,843</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(28,954)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(31,001)</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(14,636)</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(14,073)</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35,442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27,656</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2,331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4,661</w:t>
            </w:r>
          </w:p>
        </w:tc>
      </w:tr>
      <w:tr>
        <w:trPr>
          <w:trHeight w:val="22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(17,150)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(13,090)</w:t>
            </w:r>
          </w:p>
        </w:tc>
      </w:tr>
      <w:tr>
        <w:trPr>
          <w:trHeight w:val="230"/>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42,417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31,845</w:t>
            </w:r>
          </w:p>
        </w:tc>
      </w:tr>
      <w:tr>
        <w:trPr>
          <w:trHeight w:val="22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Gain on Marketable Equity Securities, Net</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104,152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18,022</w:t>
            </w: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1,647</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w:t>
            </w:r>
          </w:p>
        </w:tc>
      </w:tr>
      <w:tr>
        <w:trPr>
          <w:trHeight w:val="227"/>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168,839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72,177</w:t>
            </w:r>
          </w:p>
        </w:tc>
      </w:tr>
      <w:tr>
        <w:trPr>
          <w:trHeight w:val="20"/>
        </w:trPr>
        <w:tc>
          <w:tcPr>
            <w:tcW w:w="8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0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9,305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8,968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2,868</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3,036</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2,715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1,594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1,104</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1,713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4,183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3,369</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149</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22,527</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20,025</w:t>
            </w:r>
          </w:p>
        </w:tc>
      </w:tr>
      <w:tr>
        <w:trPr>
          <w:trHeight w:val="222"/>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4,110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2,198</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1,639</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627</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4,758</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4,357</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1,940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945</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r>
      <w:tr>
        <w:trPr>
          <w:trHeight w:val="237"/>
        </w:trPr>
        <w:tc>
          <w:tcPr>
            <w:tcW w:w="8600" w:type="dxa"/>
            <w:vAlign w:val="bottom"/>
          </w:tcPr>
          <w:p>
            <w:pPr>
              <w:spacing w:after="0"/>
              <w:rPr>
                <w:sz w:val="20"/>
                <w:szCs w:val="20"/>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14,034</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2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1,939,781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2,021,471</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419,819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419,557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436,797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431,712</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267,707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265,150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623,376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597,267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364,656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368,542</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92,331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93,760</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4,144,467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4,197,459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794,305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186,674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186,480</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2,129,682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2,113,638</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7,255,128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89"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205"/>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269,798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227,076</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80,122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78,341</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72,122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73,587</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2,588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2,372</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422,598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378,041</w:t>
            </w:r>
          </w:p>
        </w:tc>
      </w:tr>
      <w:tr>
        <w:trPr>
          <w:trHeight w:val="208"/>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 before Amortization of Intangible Assets and Impairment of Long-Lived Assets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31,312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21,301</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5,519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7,083</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4,580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3,751</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(7,585)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(4,838)</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33,561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27,456</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2,974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3,939</w:t>
            </w:r>
          </w:p>
        </w:tc>
      </w:tr>
      <w:tr>
        <w:trPr>
          <w:trHeight w:val="22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30"/>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31,312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21,301</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5,519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7,083</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4,580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3,751</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(10,559)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(9,254)</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30,587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23,040</w:t>
            </w:r>
          </w:p>
        </w:tc>
      </w:tr>
      <w:tr>
        <w:trPr>
          <w:trHeight w:val="222"/>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7,356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6,330</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903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1,019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1,509</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9,305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w:t>
            </w:r>
          </w:p>
        </w:tc>
      </w:tr>
      <w:tr>
        <w:trPr>
          <w:trHeight w:val="222"/>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1,781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1,818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1,024</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348</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23"/>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4,110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2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1,453,727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1,537,989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2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200,115</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187,972</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2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237,263</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249,519</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48,676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45,991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1,939,781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2,021,471</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reported net income attributable to common shares of $124.4 million ($27.72 per share) for the first quarter of 2024, compared to $52.3 million ($10.88 per share) for the first quarter of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2024:</w:t>
      </w:r>
    </w:p>
    <w:p>
      <w:pPr>
        <w:spacing w:after="0" w:line="158" w:lineRule="exact"/>
        <w:rPr>
          <w:sz w:val="20"/>
          <w:szCs w:val="20"/>
          <w:color w:val="auto"/>
        </w:rPr>
      </w:pPr>
    </w:p>
    <w:p>
      <w:pPr>
        <w:ind w:left="180" w:right="58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$0.4 million in expenses related to a non-operating Separation Incentive Program (SIP) at other businesses (after tax-impact of $0.3 million, or $0.07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$104.2 million in net gains on marketable equity securities (after-tax impact of $77.5 million, or $17.27 per share);</w:t>
      </w:r>
    </w:p>
    <w:p>
      <w:pPr>
        <w:spacing w:after="0" w:line="157" w:lineRule="exact"/>
        <w:rPr>
          <w:rFonts w:ascii="Arial" w:cs="Arial" w:eastAsia="Arial" w:hAnsi="Arial"/>
          <w:sz w:val="18"/>
          <w:szCs w:val="18"/>
          <w:color w:val="auto"/>
        </w:rPr>
      </w:pPr>
    </w:p>
    <w:p>
      <w:pPr>
        <w:ind w:left="180" w:right="38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 million in net losses of affiliates whose operations are not managed by the Company (after-tax impact of $1.1 million, or $0.25 per share);</w:t>
      </w:r>
    </w:p>
    <w:p>
      <w:pPr>
        <w:spacing w:after="0" w:line="86" w:lineRule="exact"/>
        <w:rPr>
          <w:rFonts w:ascii="Arial" w:cs="Arial" w:eastAsia="Arial" w:hAnsi="Arial"/>
          <w:sz w:val="18"/>
          <w:szCs w:val="18"/>
          <w:color w:val="auto"/>
        </w:rPr>
      </w:pPr>
    </w:p>
    <w:p>
      <w:pPr>
        <w:ind w:left="180" w:right="28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non-operating loss of $0.4 million from the impairment of a cost method investment (after-tax impact of $0.3 million, or $0.07 per share); and</w:t>
      </w:r>
    </w:p>
    <w:p>
      <w:pPr>
        <w:spacing w:after="0" w:line="99" w:lineRule="exact"/>
        <w:rPr>
          <w:rFonts w:ascii="Arial" w:cs="Arial" w:eastAsia="Arial" w:hAnsi="Arial"/>
          <w:sz w:val="18"/>
          <w:szCs w:val="18"/>
          <w:color w:val="auto"/>
        </w:rPr>
      </w:pPr>
    </w:p>
    <w:p>
      <w:pPr>
        <w:ind w:left="180" w:right="540" w:hanging="172"/>
        <w:spacing w:after="0" w:line="256"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 million in interest expense to adjust the fair value of the mandatorily redeemable noncontrolling interest (after-tax impact of $1.8 million, or $0.40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2023:</w:t>
      </w:r>
    </w:p>
    <w:p>
      <w:pPr>
        <w:spacing w:after="0" w:line="158"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$4.1 million in expenses related to non-operating SIPs at other businesses (after-tax impact of $3.1 million, or $0.64 per share);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$18.0 million in net gains on marketable equity securities (after-tax impact of $13.3 million, or $2.76 per share);</w:t>
      </w:r>
    </w:p>
    <w:p>
      <w:pPr>
        <w:spacing w:after="0" w:line="157"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 million in net earnings of affiliates whose operations are not managed by the Company (after-tax impact of $1.3 million, or $0.28 per share);</w:t>
      </w:r>
    </w:p>
    <w:p>
      <w:pPr>
        <w:spacing w:after="0" w:line="111" w:lineRule="exact"/>
        <w:rPr>
          <w:rFonts w:ascii="Arial" w:cs="Arial" w:eastAsia="Arial" w:hAnsi="Arial"/>
          <w:sz w:val="18"/>
          <w:szCs w:val="18"/>
          <w:color w:val="auto"/>
        </w:rPr>
      </w:pPr>
    </w:p>
    <w:p>
      <w:pPr>
        <w:ind w:left="180" w:right="38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non-operating gain of $2.6 million from the write-up and sale of a cost method investment (after-tax impact of $2.0 million, or $0.41 per share); and</w:t>
      </w:r>
    </w:p>
    <w:p>
      <w:pPr>
        <w:spacing w:after="0" w:line="86" w:lineRule="exact"/>
        <w:rPr>
          <w:rFonts w:ascii="Arial" w:cs="Arial" w:eastAsia="Arial" w:hAnsi="Arial"/>
          <w:sz w:val="18"/>
          <w:szCs w:val="18"/>
          <w:color w:val="auto"/>
        </w:rPr>
      </w:pPr>
    </w:p>
    <w:p>
      <w:pPr>
        <w:ind w:left="180" w:right="54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 million in interest expense to adjust the fair value of the mandatorily redeemable noncontrolling interest (after-tax impact of $1.4 million, or $0.29 per share).</w:t>
      </w:r>
    </w:p>
    <w:p>
      <w:pPr>
        <w:spacing w:after="0" w:line="10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Revenue for the first quarter of 2024 was $1,152.7 million, up 12% from $1,031.5 million in the first quarter of 2023. Revenues increased at education, healthcare and automotive, partially offset by declines at manufacturing and other businesses. The Company reported operating</w:t>
      </w:r>
    </w:p>
    <w:p>
      <w:pPr>
        <w:spacing w:after="0" w:line="235" w:lineRule="auto"/>
        <w:rPr>
          <w:sz w:val="20"/>
          <w:szCs w:val="20"/>
          <w:color w:val="auto"/>
        </w:rPr>
      </w:pPr>
      <w:r>
        <w:rPr>
          <w:rFonts w:ascii="Arial" w:cs="Arial" w:eastAsia="Arial" w:hAnsi="Arial"/>
          <w:sz w:val="18"/>
          <w:szCs w:val="18"/>
          <w:color w:val="auto"/>
        </w:rPr>
        <w:t>income of $35.4 million for the first quarter of 2024, compared to $27.7 million for the first quarter of 2023. The improvement in operating</w:t>
      </w:r>
    </w:p>
    <w:p>
      <w:pPr>
        <w:ind w:right="220"/>
        <w:spacing w:after="0" w:line="237" w:lineRule="auto"/>
        <w:rPr>
          <w:sz w:val="20"/>
          <w:szCs w:val="20"/>
          <w:color w:val="auto"/>
        </w:rPr>
      </w:pPr>
      <w:r>
        <w:rPr>
          <w:rFonts w:ascii="Arial" w:cs="Arial" w:eastAsia="Arial" w:hAnsi="Arial"/>
          <w:sz w:val="18"/>
          <w:szCs w:val="18"/>
          <w:color w:val="auto"/>
        </w:rPr>
        <w:t>results is due to increases at education, television broadcasting and healthcare, and reduced losses at other businesses, partially offset by declines at manufacturing and automotive.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$422.6 million for the first quarter of 2024, up 12% from $378.0 million for the same period of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$30.6 million for the first quarter of 2024, compared to $23.0 million for the first quarter of 2023.</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 Education (previously included in Kaplan corporate and other); prior periods have been reclassified to conform with the current presentation.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269,798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227,076</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80,122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78,341</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72,122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73,587</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2,588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2,372</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(2,032)</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422,598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378,041</w:t>
            </w: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31,312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21,301</w:t>
            </w: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5,519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7,083</w:t>
            </w: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4,580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3,751</w:t>
            </w: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(7,585)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(4,838)</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(2,974)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(3,939)</w:t>
            </w: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(265)</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30,587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23,040</w:t>
            </w: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States (U.S.). Kaplan International revenue increased 19% for the first quarter of 2024 (16% on a constant currency basis). The increase is due largely to growth at Pathways, Australia, UK Professional and Singapore. Kaplan International reported operating income of $31.3 million in the first quarter of 2024, compared to $21.3 million in the first quarter of 2023. The improved results are due largely to improved results at Pathways, Australia, UK Professional and Singapore, partially offset by a decline at Languages.</w:t>
      </w:r>
    </w:p>
    <w:p>
      <w:pPr>
        <w:spacing w:after="0" w:line="1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increased 2% for the first quarter of 2024 due to revenue growth across most of the institutions served. Enrollments at Purdue Global, the largest</w:t>
      </w:r>
    </w:p>
    <w:p>
      <w:pPr>
        <w:spacing w:after="0" w:line="235" w:lineRule="auto"/>
        <w:rPr>
          <w:sz w:val="20"/>
          <w:szCs w:val="20"/>
          <w:color w:val="auto"/>
        </w:rPr>
      </w:pPr>
      <w:r>
        <w:rPr>
          <w:rFonts w:ascii="Arial" w:cs="Arial" w:eastAsia="Arial" w:hAnsi="Arial"/>
          <w:sz w:val="18"/>
          <w:szCs w:val="18"/>
          <w:color w:val="auto"/>
        </w:rPr>
        <w:t>institutional client, increased slightly compared to the first quarter of 2023. For the first quarter of 2024 and 2023, Kaplan recorded a portion</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of the fee from Purdue Global. The Company will continue to assess the fee it records from Purdue Global on a quarterly basis to make a determination as to whether to record all or part of the fee in the future and whether to adjust fee amounts recognized in earlier periods.</w:t>
      </w:r>
    </w:p>
    <w:p>
      <w:pPr>
        <w:spacing w:after="0" w:line="236" w:lineRule="auto"/>
        <w:rPr>
          <w:sz w:val="20"/>
          <w:szCs w:val="20"/>
          <w:color w:val="auto"/>
        </w:rPr>
      </w:pPr>
      <w:r>
        <w:rPr>
          <w:rFonts w:ascii="Arial" w:cs="Arial" w:eastAsia="Arial" w:hAnsi="Arial"/>
          <w:sz w:val="18"/>
          <w:szCs w:val="18"/>
          <w:color w:val="auto"/>
        </w:rPr>
        <w:t>Purdue Global’s available cash position under the TOSA at the end of its fiscal year (June 30) is an important determinant in the amount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fee recorded by Kaplan. Consequently, the timing of cash inflows and outflows close to Purdue Global’s fiscal year-end can significantly impact the amount of fee Kaplan records from Purdue Global. Higher Education operating results declined in the first quarter of 2024 due to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lower Purdue Global fee recorded compared to the first quarter of 2023 and an increase in higher education development costs.</w:t>
      </w:r>
    </w:p>
    <w:p>
      <w:pPr>
        <w:spacing w:after="0" w:line="140" w:lineRule="exact"/>
        <w:rPr>
          <w:sz w:val="20"/>
          <w:szCs w:val="20"/>
          <w:color w:val="auto"/>
        </w:rPr>
      </w:pPr>
    </w:p>
    <w:p>
      <w:pPr>
        <w:ind w:right="580"/>
        <w:spacing w:after="0" w:line="251" w:lineRule="auto"/>
        <w:rPr>
          <w:sz w:val="20"/>
          <w:szCs w:val="20"/>
          <w:color w:val="auto"/>
        </w:rPr>
      </w:pPr>
      <w:r>
        <w:rPr>
          <w:rFonts w:ascii="Arial" w:cs="Arial" w:eastAsia="Arial" w:hAnsi="Arial"/>
          <w:sz w:val="17"/>
          <w:szCs w:val="17"/>
          <w:color w:val="auto"/>
        </w:rPr>
        <w:t>Supplemental Education includes Kaplan’s standardized test preparation programs and domestic professional and other continuing education businesses. Supplemental Education revenue declined 2% for the first quarter of 2024, driven mostly by softness in Medical</w:t>
      </w:r>
    </w:p>
    <w:p>
      <w:pPr>
        <w:spacing w:after="0" w:line="235" w:lineRule="auto"/>
        <w:rPr>
          <w:sz w:val="20"/>
          <w:szCs w:val="20"/>
          <w:color w:val="auto"/>
        </w:rPr>
      </w:pPr>
      <w:r>
        <w:rPr>
          <w:rFonts w:ascii="Arial" w:cs="Arial" w:eastAsia="Arial" w:hAnsi="Arial"/>
          <w:sz w:val="18"/>
          <w:szCs w:val="18"/>
          <w:color w:val="auto"/>
        </w:rPr>
        <w:t>Licensure test preparation and publishing activities and Real Estate, offset in part by growth in Insurance, CFA, Architecture and Engineering</w:t>
      </w:r>
    </w:p>
    <w:p>
      <w:pPr>
        <w:ind w:right="40"/>
        <w:spacing w:after="0"/>
        <w:rPr>
          <w:sz w:val="20"/>
          <w:szCs w:val="20"/>
          <w:color w:val="auto"/>
        </w:rPr>
      </w:pPr>
      <w:r>
        <w:rPr>
          <w:rFonts w:ascii="Arial" w:cs="Arial" w:eastAsia="Arial" w:hAnsi="Arial"/>
          <w:sz w:val="17"/>
          <w:szCs w:val="17"/>
          <w:color w:val="auto"/>
        </w:rPr>
        <w:t>and MCAT test preparation. Overall, demand for graduate and pre-college test preparation programs has declined due to the strength of U.S. employment markets and the decline in test-takers, while demand for professional programs remained stable. Operating results improved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2024 due to cost reductions from lower headcount, partially offset by lower revenues.</w:t>
      </w:r>
    </w:p>
    <w:p>
      <w:pPr>
        <w:spacing w:after="0" w:line="12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Kaplan corporate and other expenses increased in the first quarter of 2024, largely due to increased employee benefit and incentive compensation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113,058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112,877</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29,633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28,583</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w:t>
            </w:r>
          </w:p>
        </w:tc>
      </w:tr>
    </w:tbl>
    <w:p>
      <w:pPr>
        <w:spacing w:after="0" w:line="21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 FL; and Roanoke, VA, as well as SocialNewsDesk, a provider of social media</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management tools designed to connect newsrooms with their users. Revenue at the television broadcasting division increased slightly to</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$113.1 million in the first quarter of 2024, from $112.9 million in the same period of 2023. The revenue increase is due to a $ 1.5 million increase in political advertising revenue and a modest increase in digital advertising revenues, partially offset by a decline in other advertising</w:t>
      </w:r>
    </w:p>
    <w:p>
      <w:pPr>
        <w:spacing w:after="0" w:line="235" w:lineRule="auto"/>
        <w:rPr>
          <w:sz w:val="20"/>
          <w:szCs w:val="20"/>
          <w:color w:val="auto"/>
        </w:rPr>
      </w:pPr>
      <w:r>
        <w:rPr>
          <w:rFonts w:ascii="Arial" w:cs="Arial" w:eastAsia="Arial" w:hAnsi="Arial"/>
          <w:sz w:val="18"/>
          <w:szCs w:val="18"/>
          <w:color w:val="auto"/>
        </w:rPr>
        <w:t>revenue. Retransmission revenues were flat in the first quarter of 2024. Operating income for the first quarter of 2024 increased 4% to $29.6</w:t>
      </w:r>
    </w:p>
    <w:p>
      <w:pPr>
        <w:ind w:right="320"/>
        <w:spacing w:after="0" w:line="237" w:lineRule="auto"/>
        <w:rPr>
          <w:sz w:val="20"/>
          <w:szCs w:val="20"/>
          <w:color w:val="auto"/>
        </w:rPr>
      </w:pPr>
      <w:r>
        <w:rPr>
          <w:rFonts w:ascii="Arial" w:cs="Arial" w:eastAsia="Arial" w:hAnsi="Arial"/>
          <w:sz w:val="18"/>
          <w:szCs w:val="18"/>
          <w:color w:val="auto"/>
        </w:rPr>
        <w:t>million, from $28.6 million in the same period of 2023, due to slightly higher revenues and lower overall costs, partially offset by increased pension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While per subscriber rates from cable, satellite and OTT providers have grown, overall cable and satellite subscribers are down due to cord</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cutting, resulting in retransmission revenue net of network fees in 2024 expected to decline compared with 2023, and this trend is expected to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101,903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114,584</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3,069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7,328</w:t>
            </w: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Joyce/Dayton, a manufacturer of screw jacks and other linear motion systems; and Forney, a global supplier of products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systems that control and monitor combustion processes in electric utility and industrial applications.</w:t>
      </w:r>
    </w:p>
    <w:p>
      <w:pPr>
        <w:spacing w:after="0" w:line="14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Manufacturing revenues decreased 11% in the first quarter of 2024 due to lower revenues at Hoover, Dekko and Joyce, partially offset by increased revenues at Forney. The revenue decline at Hoover is due largely to a decrease in volumes and overall product demand,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particularly for multi-family housing. Revenues declined at Dekko due to lower product demand. Overall, Hoover results included wood gains on inventory sales in the first quarter of 2024 and 2023, with gains in the first quarter of 2024 lower than the prior year. Manufacturing</w:t>
      </w:r>
    </w:p>
    <w:p>
      <w:pPr>
        <w:spacing w:after="0" w:line="2"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operating results were down in the first quarter of 2024 due largely to a significant decline at Hoover, along with declines at Joyce and Forney.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128,201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102,059</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6,091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2,936</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1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Graham Healthcare Group (GHG) provides home health and hospice services in seven states. GHG also provides other healthcare services, including nursing care and prescription services for patients receiving in-home infusion treatments through its 86.7% interest in CSI</w:t>
      </w:r>
    </w:p>
    <w:p>
      <w:pPr>
        <w:ind w:right="120"/>
        <w:spacing w:after="0"/>
        <w:rPr>
          <w:sz w:val="20"/>
          <w:szCs w:val="20"/>
          <w:color w:val="auto"/>
        </w:rPr>
      </w:pPr>
      <w:r>
        <w:rPr>
          <w:rFonts w:ascii="Arial" w:cs="Arial" w:eastAsia="Arial" w:hAnsi="Arial"/>
          <w:sz w:val="17"/>
          <w:szCs w:val="17"/>
          <w:color w:val="auto"/>
        </w:rPr>
        <w:t>Pharmacy Holding Company, LLC (CSI). Healthcare revenues increased 26% for the first quarter of 2024 due largely to significant growth at CSI, along with growth in home health and hospice services and the other healthcare businesses. The increase in GHG operating results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2024 is due largely to improved results at CSI and in home health.</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$3.4 million and $2.7 million for the first quarter of 2024 and 2023, respectively, from these joint ventures.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303,840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232,561</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9,652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10,843</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eight automotive dealerships in the Washington, D.C. metropolitan area and Richmond, VA: Ourisman Lexus of</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Rockville, Ourisman Honda of Tysons Corner, Ourisman Jeep Bethesda, Ourisman Ford of Manassas, Toyota of Woodbridge, Ourisman Chrysler-Dodge-Jeep-Ram (CDJR) of Woodbridge and Ourisman Toyota of Richmond, which was acquired on September 27, 2023 from</w:t>
      </w:r>
    </w:p>
    <w:p>
      <w:pPr>
        <w:spacing w:after="0" w:line="235" w:lineRule="auto"/>
        <w:rPr>
          <w:sz w:val="20"/>
          <w:szCs w:val="20"/>
          <w:color w:val="auto"/>
        </w:rPr>
      </w:pPr>
      <w:r>
        <w:rPr>
          <w:rFonts w:ascii="Arial" w:cs="Arial" w:eastAsia="Arial" w:hAnsi="Arial"/>
          <w:sz w:val="18"/>
          <w:szCs w:val="18"/>
          <w:color w:val="auto"/>
        </w:rPr>
        <w:t>McGeorge Toyota. The automotive group was awarded a Kia Open Point dealership in Bethesda, MD, which commenced operations at the</w:t>
      </w:r>
    </w:p>
    <w:p>
      <w:pPr>
        <w:ind w:right="600"/>
        <w:spacing w:after="0" w:line="237" w:lineRule="auto"/>
        <w:rPr>
          <w:sz w:val="20"/>
          <w:szCs w:val="20"/>
          <w:color w:val="auto"/>
        </w:rPr>
      </w:pPr>
      <w:r>
        <w:rPr>
          <w:rFonts w:ascii="Arial" w:cs="Arial" w:eastAsia="Arial" w:hAnsi="Arial"/>
          <w:sz w:val="18"/>
          <w:szCs w:val="18"/>
          <w:color w:val="auto"/>
        </w:rPr>
        <w:t>end of December 2023. Christopher J. Ourisman, a member of the Ourisman Automotive Group family of dealerships, and his team of industry professionals operate and manage the dealerships; the Company holds a 90% stake.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quarter of 2024 increased 31% due largely to the Toyota of Richmond acquisition and the addition of the Kia</w:t>
      </w:r>
    </w:p>
    <w:p>
      <w:pPr>
        <w:spacing w:after="0" w:line="14"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dealership, as well as sales growth for new and used vehicles and for services and parts. Operating results for the first quarter of 2024 declined due largely to lower overall gross margins on new and used vehicles, partially offset by earnings from the Toyota of Richmond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higher overall gross margins on services and parts.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64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26,036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32,397</w:t>
            </w: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23,096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25,404</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34,166</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34,207</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0</w:t>
            </w:r>
          </w:p>
        </w:tc>
      </w:tr>
      <w:tr>
        <w:trPr>
          <w:trHeight w:val="220"/>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83,298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92,008</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World of Good Brands (formerly Leaf Media),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Overall, revenue from other businesses declined 9% in the first quarter of 2024. Retail revenue declined largely due to lower revenue at</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Society6, partially offset by revenue growth at Saatchi Art and Framebridge. Media revenue declined due to lower revenue at World of Good Brands (WGB) and Code3, partially offset by revenue growth at Slate, Foreign Policy and City Cast. Specialty revenue was flat due to lower</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revenue at Clyde’s Restaurant Group (CRG), partially offset by revenue growth at Decile and Supporting Cast. Excluding the former Leaf businesses, revenue from other businesses grew in the first quarter of 2024.</w:t>
      </w:r>
    </w:p>
    <w:p>
      <w:pPr>
        <w:spacing w:after="0" w:line="104" w:lineRule="exact"/>
        <w:rPr>
          <w:sz w:val="20"/>
          <w:szCs w:val="20"/>
          <w:color w:val="auto"/>
        </w:rPr>
      </w:pPr>
    </w:p>
    <w:p>
      <w:pPr>
        <w:ind w:right="1380"/>
        <w:spacing w:after="0" w:line="414" w:lineRule="auto"/>
        <w:rPr>
          <w:sz w:val="20"/>
          <w:szCs w:val="20"/>
          <w:color w:val="auto"/>
        </w:rPr>
      </w:pPr>
      <w:r>
        <w:rPr>
          <w:rFonts w:ascii="Arial" w:cs="Arial" w:eastAsia="Arial" w:hAnsi="Arial"/>
          <w:sz w:val="18"/>
          <w:szCs w:val="18"/>
          <w:color w:val="auto"/>
        </w:rPr>
        <w:t xml:space="preserve">Overall, operating results at other businesses improved in the first quarter of 2024 due primarily to improved results at Slate. </w:t>
      </w:r>
      <w:r>
        <w:rPr>
          <w:rFonts w:ascii="Arial" w:cs="Arial" w:eastAsia="Arial" w:hAnsi="Arial"/>
          <w:sz w:val="18"/>
          <w:szCs w:val="18"/>
          <w:i w:val="1"/>
          <w:iCs w:val="1"/>
          <w:color w:val="auto"/>
        </w:rPr>
        <w:t>Leaf Group</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 wellness (Well+Good and Livestrong.com), and home, art and design (Saatchi Art, Society6 and Hunker).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 the second quarter of 2023, the Company restructured Leaf into three stand-alone businesses: Society6 (formerly included in Leaf</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Marketplace), Saatchi Art (formerly included in Leaf Marketplace) and WGB (formerly Leaf Media). The transition process for this restructuring involves various cost reduction initiatives, including elimination of shared services costs and functions; transitioning financial</w:t>
      </w:r>
    </w:p>
    <w:p>
      <w:pPr>
        <w:spacing w:after="0" w:line="236" w:lineRule="auto"/>
        <w:rPr>
          <w:sz w:val="20"/>
          <w:szCs w:val="20"/>
          <w:color w:val="auto"/>
        </w:rPr>
      </w:pPr>
      <w:r>
        <w:rPr>
          <w:rFonts w:ascii="Arial" w:cs="Arial" w:eastAsia="Arial" w:hAnsi="Arial"/>
          <w:sz w:val="18"/>
          <w:szCs w:val="18"/>
          <w:color w:val="auto"/>
        </w:rPr>
        <w:t>and human resources systems; and rationalizing physical facilities and data centers. In the first and second quarters of 2023, Leaf</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implemented a SIP to reduce the number of employees, which was funded by the assets of the Company’s pension plan; $2.9 million and $3.9 million in related non-operating pension expense was recorded in the first and second quarters of 2023, respectively. Each of Society6,</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Saatchi Art and WGB is continuing with the transition and cost reduction process, which is expected to be largely completed by the end of the second quarter of 2024.</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Revenues at Society6 and WGB declined substantially in the first quarter of 2024. Revenue declines at Society6 are due to declines in traffic, largely driven by a significant decrease in advertising spend, as well as softer demand in the home decor category. Revenue declines at</w:t>
      </w:r>
    </w:p>
    <w:p>
      <w:pPr>
        <w:ind w:right="160"/>
        <w:spacing w:after="0"/>
        <w:rPr>
          <w:sz w:val="20"/>
          <w:szCs w:val="20"/>
          <w:color w:val="auto"/>
        </w:rPr>
      </w:pPr>
      <w:r>
        <w:rPr>
          <w:rFonts w:ascii="Arial" w:cs="Arial" w:eastAsia="Arial" w:hAnsi="Arial"/>
          <w:sz w:val="17"/>
          <w:szCs w:val="17"/>
          <w:color w:val="auto"/>
        </w:rPr>
        <w:t>WGB are due to reduced traffic and the soft digital advertising market for both direct and programmatic categories. Revenues at Saatchi Art grew in the first quarter of 2024. Overall, the Leaf businesses reported significant operating losses in each of the first quarters of 2024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2023, with a small decline in operating losses in the first quarter of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CRG owns and operates 12 restaurants and entertainment venues in the Washington, D.C. metropolitan area, including Old Ebbitt Grill and The Hamilton. Both revenues and operating results declined in the first quarter of 2024, due to overall lower guest traffic in the first two months of 2024. CRG reported an operating profit in each of the first quarters of 2024 and 2023.</w:t>
      </w:r>
    </w:p>
    <w:p>
      <w:pPr>
        <w:spacing w:after="0" w:line="101" w:lineRule="exact"/>
        <w:rPr>
          <w:sz w:val="20"/>
          <w:szCs w:val="20"/>
          <w:color w:val="auto"/>
        </w:rPr>
      </w:pPr>
    </w:p>
    <w:p>
      <w:pPr>
        <w:ind w:right="100"/>
        <w:spacing w:after="0" w:line="414" w:lineRule="auto"/>
        <w:rPr>
          <w:sz w:val="20"/>
          <w:szCs w:val="20"/>
          <w:color w:val="auto"/>
        </w:rPr>
      </w:pPr>
      <w:r>
        <w:rPr>
          <w:rFonts w:ascii="Arial" w:cs="Arial" w:eastAsia="Arial" w:hAnsi="Arial"/>
          <w:sz w:val="18"/>
          <w:szCs w:val="18"/>
          <w:color w:val="auto"/>
        </w:rPr>
        <w:t xml:space="preserve">CRG plans to open new restaurants in Baltimore, MD; Washington, D.C.; and Reston, VA in mid 2024, late 2024 and late 2025, respectively. </w:t>
      </w:r>
      <w:r>
        <w:rPr>
          <w:rFonts w:ascii="Arial" w:cs="Arial" w:eastAsia="Arial" w:hAnsi="Arial"/>
          <w:sz w:val="18"/>
          <w:szCs w:val="18"/>
          <w:i w:val="1"/>
          <w:iCs w:val="1"/>
          <w:color w:val="auto"/>
        </w:rPr>
        <w:t>Framebridge</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Framebridge is a custom framing service company, headquartered in Washington, D.C., with 22 retail locations in the Washington, D.C., New York City, Atlanta, GA, Philadelphia, PA, Boston, MA and Chicago, IL areas and two manufacturing facilities in Kentucky and New Jersey.</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Framebridge plans to open additional stores in 2024, including an expansion into Texas, and continues to actively explore other opportunities for further store expansion.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modestly in the first quarter of 2024 due to an increase in retail revenue from same-store sales growth and operating</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additional retail stores compared to the same period in 2023. Framebridge is an investment stage business and reported significant operating losses in the first quarters of 2024 and 2023.</w:t>
      </w:r>
    </w:p>
    <w:p>
      <w:pPr>
        <w:spacing w:after="0" w:line="12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the first quarter of 2024, Framebridge implemented a SIP, which will be funded by the assets of the Company’s pension plan; $0.4 million in related non-operating pension expense was recorded in the first quarter of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Code3, a performance marketing agency focused on driving performance for brands though three core</w:t>
      </w:r>
    </w:p>
    <w:p>
      <w:pPr>
        <w:spacing w:after="0" w:line="14" w:lineRule="exact"/>
        <w:rPr>
          <w:sz w:val="20"/>
          <w:szCs w:val="20"/>
          <w:color w:val="auto"/>
        </w:rPr>
      </w:pPr>
    </w:p>
    <w:p>
      <w:pPr>
        <w:ind w:right="680"/>
        <w:spacing w:after="0"/>
        <w:rPr>
          <w:sz w:val="20"/>
          <w:szCs w:val="20"/>
          <w:color w:val="auto"/>
        </w:rPr>
      </w:pPr>
      <w:r>
        <w:rPr>
          <w:rFonts w:ascii="Arial" w:cs="Arial" w:eastAsia="Arial" w:hAnsi="Arial"/>
          <w:sz w:val="17"/>
          <w:szCs w:val="17"/>
          <w:color w:val="auto"/>
        </w:rPr>
        <w:t>elements of digital success: media, creative and commerce; Slate and Foreign Policy, which publish online and print magazines and websites; and three investment stage businesses, Decile, City Cast and Supporting Cast. Slate, Foreign Policy, Decile, City Cast and</w:t>
      </w:r>
    </w:p>
    <w:p>
      <w:pPr>
        <w:spacing w:after="0" w:line="235" w:lineRule="auto"/>
        <w:rPr>
          <w:sz w:val="20"/>
          <w:szCs w:val="20"/>
          <w:color w:val="auto"/>
        </w:rPr>
      </w:pPr>
      <w:r>
        <w:rPr>
          <w:rFonts w:ascii="Arial" w:cs="Arial" w:eastAsia="Arial" w:hAnsi="Arial"/>
          <w:sz w:val="18"/>
          <w:szCs w:val="18"/>
          <w:color w:val="auto"/>
        </w:rPr>
        <w:t>Supporting Cast reported revenue growth in the first quarter of 2024, while Code3 reported a revenue decline. Losses from City Cast, Decile,</w:t>
      </w:r>
    </w:p>
    <w:p>
      <w:pPr>
        <w:ind w:right="40"/>
        <w:spacing w:after="0" w:line="237" w:lineRule="auto"/>
        <w:rPr>
          <w:sz w:val="20"/>
          <w:szCs w:val="20"/>
          <w:color w:val="auto"/>
        </w:rPr>
      </w:pPr>
      <w:r>
        <w:rPr>
          <w:rFonts w:ascii="Arial" w:cs="Arial" w:eastAsia="Arial" w:hAnsi="Arial"/>
          <w:sz w:val="18"/>
          <w:szCs w:val="18"/>
          <w:color w:val="auto"/>
        </w:rPr>
        <w:t>Code3, Foreign Policy and Supporting Cast in the first quarter of 2024 adversely affected operating results, while Slate reported an operating profit during this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included Pinna, which was sold in June 2023 when the Company entered into a merger agreement with Realm of</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Possibility, Inc. (Realm), a provider of audio entertainment services, to merge Pinna with Realm in return for a noncontrolling financial interest in the merged entity. The Company’s investment in Realm is reported as an equity method investment.</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first quarter of 2023, Code3 implemented a SIP to reduce the number of employees, which was funded by the assets of the Company’s pension plan; $1.2 million in related non-operating pension expense was recorded in the first quarter of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Employee Benefit Plan Changes</w:t>
      </w:r>
    </w:p>
    <w:p>
      <w:pPr>
        <w:spacing w:after="0" w:line="15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Effective January 1, 2024, the Company’s defined benefit pension plan was amended to provide many of the current employees who are current plan participants with an increased pension benefit, and to provide certain current employees from several business units with a new</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pension benefit offering. The increased and new pension benefits will be funded by the assets of the Company’s pension plan. As a result of these changes, the Company’s matching contribution to certain of its 401(k) Savings Plans was eliminated.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w:t>
      </w:r>
      <w:r>
        <w:rPr>
          <w:sz w:val="1"/>
          <w:szCs w:val="1"/>
          <w:color w:val="auto"/>
        </w:rPr>
        <w:drawing>
          <wp:inline distT="0" distB="0" distL="0" distR="0">
            <wp:extent cx="34290"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b w:val="1"/>
          <w:bCs w:val="1"/>
          <w:u w:val="single" w:color="auto"/>
          <w:color w:val="auto"/>
        </w:rPr>
        <w:t>Earnings of Affiliates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2024, the Company held an approximate 18% interest in Intersection Holdings, LLC (Intersection), a company that provides</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digital marketing and advertising services and products for cities, transit systems, airports, and other public and private spaces; a 49.9% interest on a fully diluted basis in N2K Networks, a cybersecurity workforce intelligence company; and a 42.2% interest on a fully diluted</w:t>
      </w:r>
    </w:p>
    <w:p>
      <w:pPr>
        <w:spacing w:after="0" w:line="235" w:lineRule="auto"/>
        <w:rPr>
          <w:sz w:val="20"/>
          <w:szCs w:val="20"/>
          <w:color w:val="auto"/>
        </w:rPr>
      </w:pPr>
      <w:r>
        <w:rPr>
          <w:rFonts w:ascii="Arial" w:cs="Arial" w:eastAsia="Arial" w:hAnsi="Arial"/>
          <w:sz w:val="18"/>
          <w:szCs w:val="18"/>
          <w:color w:val="auto"/>
        </w:rPr>
        <w:t>basis in Realm. The Company also holds interests in several other affiliates, including a number of home health and hospice joint ventures</w:t>
      </w:r>
    </w:p>
    <w:p>
      <w:pPr>
        <w:ind w:right="20"/>
        <w:spacing w:after="0"/>
        <w:rPr>
          <w:sz w:val="20"/>
          <w:szCs w:val="20"/>
          <w:color w:val="auto"/>
        </w:rPr>
      </w:pPr>
      <w:r>
        <w:rPr>
          <w:rFonts w:ascii="Arial" w:cs="Arial" w:eastAsia="Arial" w:hAnsi="Arial"/>
          <w:sz w:val="17"/>
          <w:szCs w:val="17"/>
          <w:color w:val="auto"/>
        </w:rPr>
        <w:t>managed by GHG and two joint ventures managed by Kaplan. Overall, the Company recorded equity in earnings of affiliates of $2.3 million for the first quarter of 2024, compared to $4.7 million for the first quarter of 2023. These amounts include $1.5 million in net losses for the first</w:t>
      </w:r>
    </w:p>
    <w:p>
      <w:pPr>
        <w:spacing w:after="0" w:line="1"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quarter of 2024 and $1.8 million in net earnings for the first quarter of 2023, from affiliates whose operations are not managed by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$17.2 million for the first quarter of 2024, compared to $13.1 million for the first quarter of</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2023. The Company recorded interest expense of $1.9 million and $1.5 million in the first quarter of 2024 and 2023, respectively, to adjust the fair value of the mandatorily redeemable noncontrolling interest at GHG. Excluding these adjustments, the increase in net interest</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expense relates primarily to higher debt balances at the automotive dealerships, higher interest rates on the Company’s variable debt, and increased floor plan interest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2024, the Company had $815.6 million in borrowings outstanding at an average interest rate of 6.4%, and cash, marketable</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equity securities and other investments of $981.9 million. At March 31, 2024, the Company had $108.1 million outstanding on its $300 million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recorded net non-operating pension and postretirement benefit income of $42.4 million for the first quarter of 2024, compared to $31.8 million for the first quarter of 2023.</w:t>
      </w:r>
    </w:p>
    <w:p>
      <w:pPr>
        <w:spacing w:after="0" w:line="11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first quarter of 2024 and 2023, the Company recorded $0.4 million and $4.1 million, respectively, in expenses related to non-operating SIPs at other businesses.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Overall, the Company recognized $104.2 million and $18.0 million in net gains on marketable equity securities in the first quarter of 2024 and 2023,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income, net, of $1.6 million for the first quarter of 2024, compared to $3.1 million for the first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quarter of 2023. The 2024 amounts included $0.9 million in gains related to the sale of businesses and contingent consideration; $0.6 million in foreign currency gains, and other items; partially offset by a $0.4 million impairment on a cost method investment. The 2023 amounts</w:t>
      </w:r>
    </w:p>
    <w:p>
      <w:pPr>
        <w:spacing w:after="0" w:line="236" w:lineRule="auto"/>
        <w:rPr>
          <w:sz w:val="20"/>
          <w:szCs w:val="20"/>
          <w:color w:val="auto"/>
        </w:rPr>
      </w:pPr>
      <w:r>
        <w:rPr>
          <w:rFonts w:ascii="Arial" w:cs="Arial" w:eastAsia="Arial" w:hAnsi="Arial"/>
          <w:sz w:val="18"/>
          <w:szCs w:val="18"/>
          <w:color w:val="auto"/>
        </w:rPr>
        <w:t>included a $1.8 million fair value increase on a cost method investment; $1.0 million in gains related to the sale of businesses and contingent</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consideration; a $0.8 million gain on sale of a cost method investment, and other items; partially offset by $1.5 million in foreign currency losses.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quarter of 2024 and 2023 was 25.8% and 26.6%,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first quarter of 2024 was based on 4,456,825 weighted average shares outstanding,</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compared to 4,775,586 for the first quarter of 2023. At March 31, 2024, there were 4,450,593 shares outstanding. On May 4, 2023, the Board of Directors authorized the Company to acquire up to 500,000 shares of its Class B common stock; the Company has remaining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authorization for 207,797 shares as of March 31, 2024.</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21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March 31, 2024</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130,860</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169,897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48,123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31,994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802,943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697,028</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815,552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811,833</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equity securities, which is considered when assessing the Company’s sources of liquidity. An additional source of liquidity includes the undrawn portion of the Company’s $300 million revolving credit facility, amounting to $191.9 million at March 31, 2024 and the undrawn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$50.0 million delayed draw term loan at the automotive subsidiary.</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the first three months of 2024, the Company’s cash and cash equivalents decreased by $39.0 million, due to share repurchases, capital expenditures, and dividend payments, which was offset by net proceeds from the vehicle floor plan payable and net borrowings. In the</w:t>
      </w:r>
    </w:p>
    <w:p>
      <w:pPr>
        <w:spacing w:after="0" w:line="1"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first three months of 2024, the Company’s borrowings increased by $ 3.7 million, primarily due to additional borrowings under the revolving credit facility, partially offset by repayments under the revolving credit facility, term loan and commercial notes at the automotive subsidiary.</w:t>
      </w:r>
    </w:p>
    <w:p>
      <w:pPr>
        <w:spacing w:after="0" w:line="81"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color w:val="auto"/>
        </w:rPr>
        <w:t>As of March 31, 2024 and December 31, 2023, the Company had money market investments of $7.5 million and $5.6 million, that are included in cash and cash equivalents. At March 31, 2024, the Company held approximately $97 million in cash and cash equivalents in</w:t>
      </w:r>
    </w:p>
    <w:p>
      <w:pPr>
        <w:ind w:right="200"/>
        <w:spacing w:after="0"/>
        <w:rPr>
          <w:sz w:val="20"/>
          <w:szCs w:val="20"/>
          <w:color w:val="auto"/>
        </w:rPr>
      </w:pPr>
      <w:r>
        <w:rPr>
          <w:rFonts w:ascii="Arial" w:cs="Arial" w:eastAsia="Arial" w:hAnsi="Arial"/>
          <w:sz w:val="17"/>
          <w:szCs w:val="17"/>
          <w:color w:val="auto"/>
        </w:rPr>
        <w:t>businesses domiciled outside the U.S., of which approximately $8 million is not available for immediate use in operations or for distribution. Additionally, Kaplan’s business operations outside the U.S. retain cash balances to support ongoing working capital requirements, capital</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2024, the fair value of the Company’s investments in marketable equity securities was $794.3 million, which includes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investments in the common stock of four publicly traded companies. There were no purchases or sales of marketable equity securities during the first three months of 2024. At March 31, 2024, the unrealized gain related to the Company’s investments totaled $568.3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April 2023, the Company entered into a term note agreement to loan Intersection $30.0 million at an interest rate of 9% per annum. The</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principal and interest on the note are payable in monthly installments over 5 years with the final payment due by May 2028. The outstanding balance on this loan was $28.3 million as of March 31,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$709.1 million and $619.6 million at March 31, 2024 and December 31, 2023, respectively. The</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Company 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2024 and December 31, 2023, the Company had borrowings outstanding of $815.6 million and $811.8 million, respectively. The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Company’s borrowings at March 31, 2024 were mostly from $ 400.0 million of 5.75% unsecured notes due June 1, 2026, $108.1 million in outstanding borrowings under the Company’s revolving credit facility, a term loan of $145.6 million, and real estate and capital term loans of</w:t>
      </w:r>
    </w:p>
    <w:p>
      <w:pPr>
        <w:spacing w:after="0" w:line="235" w:lineRule="auto"/>
        <w:rPr>
          <w:sz w:val="20"/>
          <w:szCs w:val="20"/>
          <w:color w:val="auto"/>
        </w:rPr>
      </w:pPr>
      <w:r>
        <w:rPr>
          <w:rFonts w:ascii="Arial" w:cs="Arial" w:eastAsia="Arial" w:hAnsi="Arial"/>
          <w:sz w:val="18"/>
          <w:szCs w:val="18"/>
          <w:color w:val="auto"/>
        </w:rPr>
        <w:t>$135.1 million at the automotive subsidiary. The Company’s borrowings at December 31, 2023 were mostly from $400.0 million of 5.75%</w:t>
      </w:r>
    </w:p>
    <w:p>
      <w:pPr>
        <w:ind w:right="400"/>
        <w:spacing w:after="0"/>
        <w:rPr>
          <w:sz w:val="20"/>
          <w:szCs w:val="20"/>
          <w:color w:val="auto"/>
        </w:rPr>
      </w:pPr>
      <w:r>
        <w:rPr>
          <w:rFonts w:ascii="Arial" w:cs="Arial" w:eastAsia="Arial" w:hAnsi="Arial"/>
          <w:sz w:val="17"/>
          <w:szCs w:val="17"/>
          <w:color w:val="auto"/>
        </w:rPr>
        <w:t>unsecured notes due June 1, 2026, $97.9 million in outstanding borrowings under the Company’s revolving credit facility, a term loan of $147.5 million, and real estate and capital term loans of $137.6 million at the automotive subsidiary. The interest on the $400.0 million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5.75% unsecured notes is payable semiannually on June 1 and December 1.</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color w:val="auto"/>
        </w:rPr>
        <w:t>During the three months ended March 31, 2024 and 2023, the Company had average borrowings outstanding of approximately $810.7 million and $735.0 million, respectively, at average annual interest rates of approximately 6.4% and 5.8%, respectively. During the three</w:t>
      </w:r>
    </w:p>
    <w:p>
      <w:pPr>
        <w:spacing w:after="0" w:line="235" w:lineRule="auto"/>
        <w:rPr>
          <w:sz w:val="20"/>
          <w:szCs w:val="20"/>
          <w:color w:val="auto"/>
        </w:rPr>
      </w:pPr>
      <w:r>
        <w:rPr>
          <w:rFonts w:ascii="Arial" w:cs="Arial" w:eastAsia="Arial" w:hAnsi="Arial"/>
          <w:sz w:val="18"/>
          <w:szCs w:val="18"/>
          <w:color w:val="auto"/>
        </w:rPr>
        <w:t>months ended March 31, 2024 and 2023, the Company incurred net interest expense of $17.2 million and $13.1 million, respectively.</w:t>
      </w:r>
    </w:p>
    <w:p>
      <w:pPr>
        <w:ind w:right="100"/>
        <w:spacing w:after="0" w:line="237" w:lineRule="auto"/>
        <w:rPr>
          <w:sz w:val="20"/>
          <w:szCs w:val="20"/>
          <w:color w:val="auto"/>
        </w:rPr>
      </w:pPr>
      <w:r>
        <w:rPr>
          <w:rFonts w:ascii="Arial" w:cs="Arial" w:eastAsia="Arial" w:hAnsi="Arial"/>
          <w:sz w:val="18"/>
          <w:szCs w:val="18"/>
          <w:color w:val="auto"/>
        </w:rPr>
        <w:t>Included in the interest expense for the three months ended March 31, 2024 and 2023 is $1.9 million and $1.5 million, respectively, to adjust the fair value of the mandatorily redeemable noncontrolling interest (see Note 7).</w:t>
      </w:r>
    </w:p>
    <w:p>
      <w:pPr>
        <w:spacing w:after="0" w:line="127"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On April 2, 2024, Standard &amp; Poor’s affirmed the Company’s credit rating and maintained the outlook as Stable. On August 17, 2023, Moody’s affirmed the Company’s credit rating and maintained the outlook as Stable.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26" w:lineRule="exact"/>
        <w:rPr>
          <w:sz w:val="20"/>
          <w:szCs w:val="20"/>
          <w:color w:val="auto"/>
        </w:rPr>
      </w:pPr>
    </w:p>
    <w:p>
      <w:pPr>
        <w:jc w:val="both"/>
        <w:ind w:right="220"/>
        <w:spacing w:after="0" w:line="245"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 needed, from borrowings under its revolving credit facility. As of March 31, 2024, the Company had $108.1 million outstanding under the</w:t>
      </w:r>
    </w:p>
    <w:p>
      <w:pPr>
        <w:ind w:right="260"/>
        <w:spacing w:after="0"/>
        <w:rPr>
          <w:sz w:val="20"/>
          <w:szCs w:val="20"/>
          <w:color w:val="auto"/>
        </w:rPr>
      </w:pPr>
      <w:r>
        <w:rPr>
          <w:rFonts w:ascii="Arial" w:cs="Arial" w:eastAsia="Arial" w:hAnsi="Arial"/>
          <w:sz w:val="17"/>
          <w:szCs w:val="17"/>
          <w:color w:val="auto"/>
        </w:rPr>
        <w:t>$300 million revolving credit facility. In management’s opinion, the Company will have sufficient financial resources to meet its business requirements in the next 12 months, including working capital requirements, capital expenditures, interest payments, potential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strategic investments, dividends and stock repurchases.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1,067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22,811</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(20,962)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229"/>
        </w:trPr>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1,526</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(57,802)</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(4,539)</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(22,908)</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(35,710)</w:t>
            </w:r>
          </w:p>
        </w:tc>
      </w:tr>
      <w:tr>
        <w:trPr>
          <w:trHeight w:val="24"/>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2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125,339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52,977</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33,278</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34,714</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16,866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16,492</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(29,056)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(23,162)</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(89,016)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(24,778)</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(56,344)</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(33,432)</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1,067</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22,811</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the first three months of 2024 compared to the first three months of 2023, the decrease in net cash provided by operating activities is primarily driven by a decrease in customer collections and higher purchases of inventories in 2024 compared to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(21,258)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(22,554)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(526)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(4,735)</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sales of marketable equity securities</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22,866</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822</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2,469</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(20,962)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Condensed Consolidated Statements of Cash Flows are based on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made during the relevant periods, whereas the Company’s capital expenditures for the first three months of 2024 of $21.5 million</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include assets acquired during the period. The Company estimates that its capital expenditures will be in the range of $95 million to $105 million in 2024.</w:t>
      </w:r>
    </w:p>
    <w:p>
      <w:pPr>
        <w:sectPr>
          <w:pgSz w:w="11900" w:h="16838" w:orient="portrait"/>
          <w:cols w:equalWidth="0" w:num="1">
            <w:col w:w="11220"/>
          </w:cols>
          <w:pgMar w:left="320" w:top="931" w:right="35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 xml:space="preserve">Net proceeds from sale of marketable equity securities. </w:t>
      </w:r>
      <w:r>
        <w:rPr>
          <w:rFonts w:ascii="Arial" w:cs="Arial" w:eastAsia="Arial" w:hAnsi="Arial"/>
          <w:sz w:val="18"/>
          <w:szCs w:val="18"/>
          <w:color w:val="auto"/>
        </w:rPr>
        <w:t>There were no purchases or sales of marketable equity securities during the first</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three months of 2024. During the first three months of 2023, the Company sold marketable equity securities that generated proceeds of $29.0 million and purchased $4.6 million of marketable equity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provided by (used in) financing activities were as follows:</w:t>
      </w:r>
    </w:p>
    <w:p>
      <w:pPr>
        <w:spacing w:after="0" w:line="167"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2023</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borrowings (payments) under revolving credit facility</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9,245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(33,000)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(4,902)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(3,999)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26,803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7,196</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(20,028)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(23,439)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(7,678)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(7,910)</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(1,914)</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1,526</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(57,802)</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 xml:space="preserve">Borrowings and Vehicle Floor Plan Payable. </w:t>
      </w:r>
      <w:r>
        <w:rPr>
          <w:rFonts w:ascii="Arial" w:cs="Arial" w:eastAsia="Arial" w:hAnsi="Arial"/>
          <w:sz w:val="17"/>
          <w:szCs w:val="17"/>
          <w:color w:val="auto"/>
        </w:rPr>
        <w:t>In the first three months of 2024, the Company made additional borrowings on the $300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credit facility. In the first three months of 2023, the Company made repayments on the $300 million revolving credit facility. In the</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first three months of 2024 and 2023, the Company used vehicle floor plan financing to fund the purchase of new, used and service loaner vehicles at its automotive subsidiary. The proceeds from the vehicle floor plan payable fluctuates with changes in the amount of vehicle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inventory held by the automotive dealerships.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three months of 2024, the Company purchased a total of 28,606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$20.2 million, including commissions and accrued excise tax of $0.2 million. On May 4, 2023, the Board of</w:t>
      </w:r>
    </w:p>
    <w:p>
      <w:pPr>
        <w:spacing w:after="0" w:line="235" w:lineRule="auto"/>
        <w:rPr>
          <w:sz w:val="20"/>
          <w:szCs w:val="20"/>
          <w:color w:val="auto"/>
        </w:rPr>
      </w:pPr>
      <w:r>
        <w:rPr>
          <w:rFonts w:ascii="Arial" w:cs="Arial" w:eastAsia="Arial" w:hAnsi="Arial"/>
          <w:sz w:val="18"/>
          <w:szCs w:val="18"/>
          <w:color w:val="auto"/>
        </w:rPr>
        <w:t>Directors authorized the Company to acquire up to 500,000 shares of its Class B common stock. The Company did not announce a ceiling</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price or time limit for the purchases. At March 31, 2024, the Company had remaining authorization from the Board of Directors to purchase up to 207,797 shares of Class B common stock.</w:t>
      </w:r>
    </w:p>
    <w:p>
      <w:pPr>
        <w:spacing w:after="0" w:line="12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$1.72 and $1.65 for the first three months of 2024 and 2023,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pay a dividend of $6.88 per share in 2024.</w:t>
      </w:r>
    </w:p>
    <w:p>
      <w:pPr>
        <w:spacing w:after="0" w:line="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this report, in the Company’s Annual Report on Form 10-K and in the Company’s 2023 Annual Report to Stockholders, are “forward-looking statements” within the meaning of the Private Securities Litigation Reform Act of 1995. Forward-looking statements are based 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w:t>
      </w:r>
    </w:p>
    <w:p>
      <w:pPr>
        <w:spacing w:after="0" w:line="7"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 dispositions or related business activities, the Company’s business strategies and objectives, the prospects for growth in the Company’s</w:t>
      </w:r>
    </w:p>
    <w:p>
      <w:pPr>
        <w:spacing w:after="0" w:line="236" w:lineRule="auto"/>
        <w:rPr>
          <w:sz w:val="20"/>
          <w:szCs w:val="20"/>
          <w:color w:val="auto"/>
        </w:rPr>
      </w:pPr>
      <w:r>
        <w:rPr>
          <w:rFonts w:ascii="Arial" w:cs="Arial" w:eastAsia="Arial" w:hAnsi="Arial"/>
          <w:sz w:val="18"/>
          <w:szCs w:val="18"/>
          <w:color w:val="auto"/>
        </w:rPr>
        <w:t>various business operations, the Company’s future financial performance, and the risks and uncertainties described in Item 1A of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 behalf of the Company. The Company assumes no obligation to update any forward-looking statement after the date on which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statement is made, even if new information subsequently becomes available.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ind w:right="380"/>
        <w:spacing w:after="0" w:line="237"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2023 Annual Report filed on Form 10-K have not otherwise changed significantly.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235" w:lineRule="auto"/>
        <w:rPr>
          <w:sz w:val="20"/>
          <w:szCs w:val="20"/>
          <w:color w:val="auto"/>
        </w:rPr>
      </w:pPr>
      <w:r>
        <w:rPr>
          <w:rFonts w:ascii="Arial" w:cs="Arial" w:eastAsia="Arial" w:hAnsi="Arial"/>
          <w:sz w:val="18"/>
          <w:szCs w:val="18"/>
          <w:color w:val="auto"/>
        </w:rPr>
        <w:t>controls and procedures (as defined in Exchange Act Rules 13a-15(e) and 15d-15(e)), as of March 31, 2024. Based on that evaluation, the</w:t>
      </w:r>
    </w:p>
    <w:p>
      <w:pPr>
        <w:ind w:right="100"/>
        <w:spacing w:after="0"/>
        <w:rPr>
          <w:sz w:val="20"/>
          <w:szCs w:val="20"/>
          <w:color w:val="auto"/>
        </w:rPr>
      </w:pPr>
      <w:r>
        <w:rPr>
          <w:rFonts w:ascii="Arial" w:cs="Arial" w:eastAsia="Arial" w:hAnsi="Arial"/>
          <w:sz w:val="17"/>
          <w:szCs w:val="17"/>
          <w:color w:val="auto"/>
        </w:rPr>
        <w:t>Company’s Chief Executive Officer and Chief Financial Officer have concluded that the Company’s disclosure controls and procedures, as designed and implemented, are effective in ensuring that information required to be disclosed by the Company in the reports that it files or</w:t>
      </w:r>
    </w:p>
    <w:p>
      <w:pPr>
        <w:spacing w:after="0" w:line="235"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w:t>
      </w:r>
    </w:p>
    <w:p>
      <w:pPr>
        <w:spacing w:after="0" w:line="237"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2024</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34" w:name="page35"/>
    <w:bookmarkEnd w:id="34"/>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2024, the Company purchased shares of its Class B Common Stock as set forth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right="142"/>
              <w:spacing w:after="0" w:line="15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5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4"/>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1200" w:type="dxa"/>
            <w:vAlign w:val="bottom"/>
            <w:gridSpan w:val="2"/>
          </w:tcPr>
          <w:p>
            <w:pPr>
              <w:jc w:val="center"/>
              <w:spacing w:after="0" w:line="164" w:lineRule="exact"/>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8"/>
                <w:szCs w:val="18"/>
                <w:b w:val="1"/>
                <w:bCs w:val="1"/>
                <w:color w:val="auto"/>
                <w:w w:val="98"/>
                <w:vertAlign w:val="superscript"/>
              </w:rPr>
              <w:t>(1)</w:t>
            </w:r>
          </w:p>
        </w:tc>
        <w:tc>
          <w:tcPr>
            <w:tcW w:w="1720" w:type="dxa"/>
            <w:vAlign w:val="bottom"/>
          </w:tcPr>
          <w:p>
            <w:pPr>
              <w:jc w:val="center"/>
              <w:spacing w:after="0" w:line="164" w:lineRule="exact"/>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2300" w:type="dxa"/>
            <w:vAlign w:val="bottom"/>
          </w:tcPr>
          <w:p>
            <w:pPr>
              <w:jc w:val="center"/>
              <w:ind w:left="404"/>
              <w:spacing w:after="0" w:line="164" w:lineRule="exact"/>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January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15,576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693.31</w:t>
            </w:r>
          </w:p>
        </w:tc>
        <w:tc>
          <w:tcPr>
            <w:tcW w:w="1720" w:type="dxa"/>
            <w:vAlign w:val="bottom"/>
          </w:tcPr>
          <w:p>
            <w:pPr>
              <w:jc w:val="right"/>
              <w:spacing w:after="0"/>
              <w:rPr>
                <w:sz w:val="20"/>
                <w:szCs w:val="20"/>
                <w:color w:val="auto"/>
              </w:rPr>
            </w:pPr>
            <w:r>
              <w:rPr>
                <w:rFonts w:ascii="Arial" w:cs="Arial" w:eastAsia="Arial" w:hAnsi="Arial"/>
                <w:sz w:val="16"/>
                <w:szCs w:val="16"/>
                <w:color w:val="auto"/>
              </w:rPr>
              <w:t>15,576</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220,827</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February 1 - 29</w:t>
            </w:r>
          </w:p>
        </w:tc>
        <w:tc>
          <w:tcPr>
            <w:tcW w:w="1320" w:type="dxa"/>
            <w:vAlign w:val="bottom"/>
          </w:tcPr>
          <w:p>
            <w:pPr>
              <w:jc w:val="right"/>
              <w:spacing w:after="0"/>
              <w:rPr>
                <w:sz w:val="20"/>
                <w:szCs w:val="20"/>
                <w:color w:val="auto"/>
              </w:rPr>
            </w:pPr>
            <w:r>
              <w:rPr>
                <w:rFonts w:ascii="Arial" w:cs="Arial" w:eastAsia="Arial" w:hAnsi="Arial"/>
                <w:sz w:val="16"/>
                <w:szCs w:val="16"/>
                <w:color w:val="auto"/>
              </w:rPr>
              <w:t>2,970</w:t>
            </w:r>
          </w:p>
        </w:tc>
        <w:tc>
          <w:tcPr>
            <w:tcW w:w="2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704.20</w:t>
            </w:r>
          </w:p>
        </w:tc>
        <w:tc>
          <w:tcPr>
            <w:tcW w:w="1720" w:type="dxa"/>
            <w:vAlign w:val="bottom"/>
          </w:tcPr>
          <w:p>
            <w:pPr>
              <w:jc w:val="right"/>
              <w:spacing w:after="0"/>
              <w:rPr>
                <w:sz w:val="20"/>
                <w:szCs w:val="20"/>
                <w:color w:val="auto"/>
              </w:rPr>
            </w:pPr>
            <w:r>
              <w:rPr>
                <w:rFonts w:ascii="Arial" w:cs="Arial" w:eastAsia="Arial" w:hAnsi="Arial"/>
                <w:sz w:val="16"/>
                <w:szCs w:val="16"/>
                <w:color w:val="auto"/>
              </w:rPr>
              <w:t>2,970</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217,857</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Arial" w:cs="Arial" w:eastAsia="Arial" w:hAnsi="Arial"/>
                <w:sz w:val="16"/>
                <w:szCs w:val="16"/>
                <w:color w:val="auto"/>
              </w:rPr>
              <w:t>March 1 - 31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10,060</w:t>
            </w:r>
          </w:p>
        </w:tc>
        <w:tc>
          <w:tcPr>
            <w:tcW w:w="240" w:type="dxa"/>
            <w:vAlign w:val="bottom"/>
          </w:tcPr>
          <w:p>
            <w:pPr>
              <w:spacing w:after="0"/>
              <w:rPr>
                <w:sz w:val="20"/>
                <w:szCs w:val="20"/>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729.24</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10,060</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207,797</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707.07</w:t>
            </w:r>
          </w:p>
        </w:tc>
        <w:tc>
          <w:tcPr>
            <w:tcW w:w="1720" w:type="dxa"/>
            <w:vAlign w:val="bottom"/>
          </w:tcPr>
          <w:p>
            <w:pPr>
              <w:jc w:val="right"/>
              <w:spacing w:after="0"/>
              <w:rPr>
                <w:sz w:val="20"/>
                <w:szCs w:val="20"/>
                <w:color w:val="auto"/>
              </w:rPr>
            </w:pPr>
            <w:r>
              <w:rPr>
                <w:rFonts w:ascii="Arial" w:cs="Arial" w:eastAsia="Arial" w:hAnsi="Arial"/>
                <w:sz w:val="16"/>
                <w:szCs w:val="16"/>
                <w:color w:val="auto"/>
              </w:rPr>
              <w:t>28,606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Average price paid per share includes costs associated with repurchases, including commissions and excise taxes.</w:t>
      </w:r>
    </w:p>
    <w:p>
      <w:pPr>
        <w:spacing w:after="0" w:line="149" w:lineRule="exact"/>
        <w:rPr>
          <w:rFonts w:ascii="Arial" w:cs="Arial" w:eastAsia="Arial" w:hAnsi="Arial"/>
          <w:sz w:val="14"/>
          <w:szCs w:val="14"/>
          <w:color w:val="auto"/>
        </w:rPr>
      </w:pPr>
    </w:p>
    <w:p>
      <w:pPr>
        <w:ind w:right="240" w:firstLine="8"/>
        <w:spacing w:after="0" w:line="263" w:lineRule="auto"/>
        <w:tabs>
          <w:tab w:leader="none" w:pos="2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May 4, 2023,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purchases made during the quarter ended March 31, 2024 were open market transactions and some of these shares were purchased under a 10b5-1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5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During the quarter ended March 31, 2024, none of the Company’s directors or officers (as defined in Rule 16a-1(f) of the Exchange Act) adopted, modified or terminated a “Rule 10b5-1 trading arrangement” or “non-Rule 10b5-1 trading arrangement,” as defined in Item 408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80" w:type="dxa"/>
            <w:vAlign w:val="bottom"/>
            <w:gridSpan w:val="19"/>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080" w:type="dxa"/>
            <w:vAlign w:val="bottom"/>
            <w:gridSpan w:val="1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1"/>
          </w:tcPr>
          <w:p>
            <w:pPr>
              <w:spacing w:after="0"/>
              <w:rPr>
                <w:rFonts w:ascii="Arial" w:cs="Arial" w:eastAsia="Arial" w:hAnsi="Arial"/>
                <w:sz w:val="16"/>
                <w:szCs w:val="16"/>
                <w:color w:val="0000FF"/>
              </w:rPr>
            </w:pPr>
            <w:hyperlink r:id="rId77">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77">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1"/>
          </w:tcPr>
          <w:p>
            <w:pPr>
              <w:spacing w:after="0"/>
              <w:rPr>
                <w:rFonts w:ascii="Arial" w:cs="Arial" w:eastAsia="Arial" w:hAnsi="Arial"/>
                <w:sz w:val="16"/>
                <w:szCs w:val="16"/>
                <w:color w:val="0000FF"/>
              </w:rPr>
            </w:pPr>
            <w:hyperlink r:id="rId78">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78">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1"/>
          </w:tcPr>
          <w:p>
            <w:pPr>
              <w:spacing w:after="0"/>
              <w:rPr>
                <w:rFonts w:ascii="Arial" w:cs="Arial" w:eastAsia="Arial" w:hAnsi="Arial"/>
                <w:sz w:val="16"/>
                <w:szCs w:val="16"/>
                <w:color w:val="0000FF"/>
              </w:rPr>
            </w:pPr>
            <w:hyperlink r:id="rId79">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5" w:lineRule="exact"/>
              <w:rPr>
                <w:rFonts w:ascii="Arial" w:cs="Arial" w:eastAsia="Arial" w:hAnsi="Arial"/>
                <w:sz w:val="16"/>
                <w:szCs w:val="16"/>
                <w:color w:val="0000FF"/>
              </w:rPr>
            </w:pPr>
            <w:hyperlink r:id="rId79">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1"/>
          </w:tcPr>
          <w:p>
            <w:pPr>
              <w:spacing w:after="0"/>
              <w:rPr>
                <w:rFonts w:ascii="Arial" w:cs="Arial" w:eastAsia="Arial" w:hAnsi="Arial"/>
                <w:sz w:val="16"/>
                <w:szCs w:val="16"/>
                <w:color w:val="0000FF"/>
              </w:rPr>
            </w:pPr>
            <w:hyperlink r:id="rId80">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80">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1"/>
          </w:tcPr>
          <w:p>
            <w:pPr>
              <w:spacing w:after="0"/>
              <w:rPr>
                <w:rFonts w:ascii="Arial" w:cs="Arial" w:eastAsia="Arial" w:hAnsi="Arial"/>
                <w:sz w:val="16"/>
                <w:szCs w:val="16"/>
                <w:color w:val="0000FF"/>
              </w:rPr>
            </w:pPr>
            <w:hyperlink r:id="rId81">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8"/>
          </w:tcPr>
          <w:p>
            <w:pPr>
              <w:spacing w:after="0" w:line="155" w:lineRule="exact"/>
              <w:rPr>
                <w:rFonts w:ascii="Arial" w:cs="Arial" w:eastAsia="Arial" w:hAnsi="Arial"/>
                <w:sz w:val="16"/>
                <w:szCs w:val="16"/>
                <w:color w:val="0000FF"/>
                <w:w w:val="99"/>
              </w:rPr>
            </w:pPr>
            <w:hyperlink r:id="rId81">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80" w:type="dxa"/>
            <w:vAlign w:val="bottom"/>
            <w:tcBorders>
              <w:bottom w:val="single" w:sz="8" w:color="0000FF"/>
            </w:tcBorders>
            <w:gridSpan w:val="5"/>
          </w:tcPr>
          <w:p>
            <w:pPr>
              <w:spacing w:after="0" w:line="155" w:lineRule="exact"/>
              <w:rPr>
                <w:rFonts w:ascii="Arial" w:cs="Arial" w:eastAsia="Arial" w:hAnsi="Arial"/>
                <w:sz w:val="16"/>
                <w:szCs w:val="16"/>
                <w:color w:val="0000FF"/>
              </w:rPr>
            </w:pPr>
            <w:hyperlink r:id="rId81">
              <w:r>
                <w:rPr>
                  <w:rFonts w:ascii="Arial" w:cs="Arial" w:eastAsia="Arial" w:hAnsi="Arial"/>
                  <w:sz w:val="16"/>
                  <w:szCs w:val="16"/>
                  <w:color w:val="0000FF"/>
                </w:rPr>
                <w:t>Quarterly Report on Form 10-Q for the quarter ended March 31, 2020).</w:t>
              </w:r>
            </w:hyperlink>
          </w:p>
        </w:tc>
        <w:tc>
          <w:tcPr>
            <w:tcW w:w="4960" w:type="dxa"/>
            <w:vAlign w:val="bottom"/>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1"/>
          </w:tcPr>
          <w:p>
            <w:pPr>
              <w:spacing w:after="0"/>
              <w:rPr>
                <w:rFonts w:ascii="Arial" w:cs="Arial" w:eastAsia="Arial" w:hAnsi="Arial"/>
                <w:sz w:val="16"/>
                <w:szCs w:val="16"/>
                <w:color w:val="0000FF"/>
              </w:rPr>
            </w:pPr>
            <w:hyperlink r:id="rId82">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82">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82">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gridSpan w:val="2"/>
          </w:tcPr>
          <w:p>
            <w:pPr>
              <w:jc w:val="right"/>
              <w:spacing w:after="0" w:line="155" w:lineRule="exact"/>
              <w:rPr>
                <w:rFonts w:ascii="Arial" w:cs="Arial" w:eastAsia="Arial" w:hAnsi="Arial"/>
                <w:sz w:val="16"/>
                <w:szCs w:val="16"/>
                <w:color w:val="0000FF"/>
                <w:w w:val="88"/>
              </w:rPr>
            </w:pPr>
            <w:hyperlink r:id="rId82">
              <w:r>
                <w:rPr>
                  <w:rFonts w:ascii="Arial" w:cs="Arial" w:eastAsia="Arial" w:hAnsi="Arial"/>
                  <w:sz w:val="16"/>
                  <w:szCs w:val="16"/>
                  <w:color w:val="0000FF"/>
                  <w:w w:val="88"/>
                </w:rPr>
                <w:t>.</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4.4</w:t>
            </w:r>
          </w:p>
        </w:tc>
        <w:tc>
          <w:tcPr>
            <w:tcW w:w="9600" w:type="dxa"/>
            <w:vAlign w:val="bottom"/>
            <w:tcBorders>
              <w:bottom w:val="single" w:sz="8" w:color="0000FF"/>
            </w:tcBorders>
            <w:gridSpan w:val="12"/>
          </w:tcPr>
          <w:p>
            <w:pPr>
              <w:spacing w:after="0"/>
              <w:rPr>
                <w:rFonts w:ascii="Arial" w:cs="Arial" w:eastAsia="Arial" w:hAnsi="Arial"/>
                <w:sz w:val="16"/>
                <w:szCs w:val="16"/>
                <w:color w:val="0000FF"/>
              </w:rPr>
            </w:pPr>
            <w:hyperlink r:id="rId83">
              <w:r>
                <w:rPr>
                  <w:rFonts w:ascii="Arial" w:cs="Arial" w:eastAsia="Arial" w:hAnsi="Arial"/>
                  <w:sz w:val="16"/>
                  <w:szCs w:val="16"/>
                  <w:color w:val="0000FF"/>
                </w:rPr>
                <w:t>Third Supplemental Indenture, dated as of August 15, 2023, among Graham Digital Holding Company LLC, a Delaware limited liability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21"/>
          </w:tcPr>
          <w:p>
            <w:pPr>
              <w:spacing w:after="0" w:line="155" w:lineRule="exact"/>
              <w:rPr>
                <w:rFonts w:ascii="Arial" w:cs="Arial" w:eastAsia="Arial" w:hAnsi="Arial"/>
                <w:sz w:val="16"/>
                <w:szCs w:val="16"/>
                <w:color w:val="0000FF"/>
              </w:rPr>
            </w:pPr>
            <w:hyperlink r:id="rId83">
              <w:r>
                <w:rPr>
                  <w:rFonts w:ascii="Arial" w:cs="Arial" w:eastAsia="Arial" w:hAnsi="Arial"/>
                  <w:sz w:val="16"/>
                  <w:szCs w:val="16"/>
                  <w:color w:val="0000FF"/>
                </w:rPr>
                <w:t>company, a subsidiary of Graham Holdings Company, a Delaware corporation,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83">
              <w:r>
                <w:rPr>
                  <w:rFonts w:ascii="Arial" w:cs="Arial" w:eastAsia="Arial" w:hAnsi="Arial"/>
                  <w:sz w:val="16"/>
                  <w:szCs w:val="16"/>
                  <w:color w:val="0000FF"/>
                </w:rPr>
                <w:t>trustee (incorporated by reference to Exhibit 4.4 to the Company’s Quarterly Report on Form 10-Q for the quarter ended September 30,</w:t>
              </w:r>
            </w:hyperlink>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020" w:type="dxa"/>
            <w:vAlign w:val="bottom"/>
            <w:tcBorders>
              <w:top w:val="single" w:sz="8" w:color="0000FF"/>
            </w:tcBorders>
            <w:gridSpan w:val="2"/>
          </w:tcPr>
          <w:p>
            <w:pPr>
              <w:spacing w:after="0" w:line="155" w:lineRule="exact"/>
              <w:rPr>
                <w:rFonts w:ascii="Arial" w:cs="Arial" w:eastAsia="Arial" w:hAnsi="Arial"/>
                <w:sz w:val="16"/>
                <w:szCs w:val="16"/>
                <w:color w:val="0000FF"/>
              </w:rPr>
            </w:pPr>
            <w:hyperlink r:id="rId83">
              <w:r>
                <w:rPr>
                  <w:rFonts w:ascii="Arial" w:cs="Arial" w:eastAsia="Arial" w:hAnsi="Arial"/>
                  <w:sz w:val="16"/>
                  <w:szCs w:val="16"/>
                  <w:color w:val="0000FF"/>
                </w:rPr>
                <w:t>2023)</w:t>
              </w:r>
              <w:r>
                <w:rPr>
                  <w:rFonts w:ascii="Arial" w:cs="Arial" w:eastAsia="Arial" w:hAnsi="Arial"/>
                  <w:sz w:val="16"/>
                  <w:szCs w:val="16"/>
                  <w:u w:val="single" w:color="auto"/>
                  <w:color w:val="0000FF"/>
                </w:rPr>
                <w:t>.</w:t>
              </w:r>
            </w:hyperlink>
          </w:p>
        </w:tc>
        <w:tc>
          <w:tcPr>
            <w:tcW w:w="8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953"/>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77" w:lineRule="exact"/>
        <w:rPr>
          <w:sz w:val="20"/>
          <w:szCs w:val="20"/>
          <w:color w:val="auto"/>
        </w:rPr>
      </w:pPr>
    </w:p>
    <w:p>
      <w:pPr>
        <w:ind w:left="1100" w:hanging="953"/>
        <w:spacing w:after="0"/>
        <w:tabs>
          <w:tab w:leader="none" w:pos="11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4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480" w:type="dxa"/>
            <w:vAlign w:val="bottom"/>
          </w:tcPr>
          <w:p>
            <w:pPr>
              <w:spacing w:after="0"/>
              <w:rPr>
                <w:sz w:val="20"/>
                <w:szCs w:val="20"/>
                <w:color w:val="auto"/>
              </w:rPr>
            </w:pPr>
            <w:r>
              <w:rPr>
                <w:rFonts w:ascii="Arial" w:cs="Arial" w:eastAsia="Arial" w:hAnsi="Arial"/>
                <w:sz w:val="18"/>
                <w:szCs w:val="18"/>
                <w:color w:val="auto"/>
              </w:rPr>
              <w:t>Date: May 1, 2024</w:t>
            </w:r>
          </w:p>
        </w:tc>
        <w:tc>
          <w:tcPr>
            <w:tcW w:w="36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480" w:type="dxa"/>
            <w:vAlign w:val="bottom"/>
          </w:tcPr>
          <w:p>
            <w:pPr>
              <w:spacing w:after="0"/>
              <w:rPr>
                <w:sz w:val="20"/>
                <w:szCs w:val="20"/>
                <w:color w:val="auto"/>
              </w:rPr>
            </w:pPr>
            <w:r>
              <w:rPr>
                <w:rFonts w:ascii="Arial" w:cs="Arial" w:eastAsia="Arial" w:hAnsi="Arial"/>
                <w:sz w:val="18"/>
                <w:szCs w:val="18"/>
                <w:color w:val="auto"/>
              </w:rPr>
              <w:t>Date: May 1, 2024</w:t>
            </w:r>
          </w:p>
        </w:tc>
        <w:tc>
          <w:tcPr>
            <w:tcW w:w="36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4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480" w:type="dxa"/>
            <w:vAlign w:val="bottom"/>
          </w:tcPr>
          <w:p>
            <w:pPr>
              <w:spacing w:after="0"/>
              <w:rPr>
                <w:sz w:val="24"/>
                <w:szCs w:val="24"/>
                <w:color w:val="auto"/>
              </w:rPr>
            </w:pPr>
          </w:p>
        </w:tc>
        <w:tc>
          <w:tcPr>
            <w:tcW w:w="3680" w:type="dxa"/>
            <w:vAlign w:val="bottom"/>
          </w:tcPr>
          <w:p>
            <w:pPr>
              <w:jc w:val="right"/>
              <w:ind w:right="1390"/>
              <w:spacing w:after="0"/>
              <w:rPr>
                <w:sz w:val="20"/>
                <w:szCs w:val="20"/>
                <w:color w:val="auto"/>
              </w:rPr>
            </w:pPr>
            <w:r>
              <w:rPr>
                <w:rFonts w:ascii="Arial" w:cs="Arial" w:eastAsia="Arial" w:hAnsi="Arial"/>
                <w:sz w:val="18"/>
                <w:szCs w:val="18"/>
                <w:color w:val="auto"/>
              </w:rPr>
              <w:t>35</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2024</w:t>
      </w:r>
    </w:p>
    <w:p>
      <w:pPr>
        <w:sectPr>
          <w:pgSz w:w="11900" w:h="16838" w:orient="portrait"/>
          <w:cols w:equalWidth="0" w:num="1">
            <w:col w:w="11240"/>
          </w:cols>
          <w:pgMar w:left="320" w:top="114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2024</w:t>
      </w:r>
    </w:p>
    <w:p>
      <w:pPr>
        <w:sectPr>
          <w:pgSz w:w="11900" w:h="16838" w:orient="portrait"/>
          <w:cols w:equalWidth="0" w:num="1">
            <w:col w:w="11240"/>
          </w:cols>
          <w:pgMar w:left="320" w:top="114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2024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2024</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emdash "/>
      <w:numFmt w:val="bullet"/>
      <w:start w:val="1"/>
    </w:lvl>
  </w:abstractNum>
  <w:abstractNum w:abstractNumId="3">
    <w:nsid w:val="7FDCC233"/>
    <w:multiLevelType w:val="hybridMultilevel"/>
    <w:lvl w:ilvl="0">
      <w:lvlJc w:val="left"/>
      <w:lvlText w:val="(%1)"/>
      <w:numFmt w:val="decimal"/>
      <w:start w:val="494"/>
    </w:lvl>
  </w:abstractNum>
  <w:abstractNum w:abstractNumId="4">
    <w:nsid w:val="1BEFD79F"/>
    <w:multiLevelType w:val="hybridMultilevel"/>
    <w:lvl w:ilvl="0">
      <w:lvlJc w:val="left"/>
      <w:lvlText w:val="(%1)"/>
      <w:numFmt w:val="decimal"/>
      <w:start w:val="959"/>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emdash "/>
      <w:numFmt w:val="bullet"/>
      <w:start w:val="1"/>
    </w:lvl>
  </w:abstractNum>
  <w:abstractNum w:abstractNumId="10">
    <w:nsid w:val="431BD7B7"/>
    <w:multiLevelType w:val="hybridMultilevel"/>
    <w:lvl w:ilvl="0">
      <w:lvlJc w:val="left"/>
      <w:lvlText w:val="(%1)"/>
      <w:numFmt w:val="decimal"/>
      <w:start w:val="469"/>
    </w:lvl>
  </w:abstractNum>
  <w:abstractNum w:abstractNumId="11">
    <w:nsid w:val="3F2DBA31"/>
    <w:multiLevelType w:val="hybridMultilevel"/>
    <w:lvl w:ilvl="0">
      <w:lvlJc w:val="left"/>
      <w:lvlText w:val="%1"/>
      <w:numFmt w:val="decimal"/>
      <w:start w:val="617"/>
    </w:lvl>
  </w:abstractNum>
  <w:abstractNum w:abstractNumId="12">
    <w:nsid w:val="7C83E458"/>
    <w:multiLevelType w:val="hybridMultilevel"/>
    <w:lvl w:ilvl="0">
      <w:lvlJc w:val="left"/>
      <w:lvlText w:val="(%1)"/>
      <w:numFmt w:val="decimal"/>
      <w:start w:val="406"/>
    </w:lvl>
  </w:abstractNum>
  <w:abstractNum w:abstractNumId="13">
    <w:nsid w:val="257130A3"/>
    <w:multiLevelType w:val="hybridMultilevel"/>
    <w:lvl w:ilvl="0">
      <w:lvlJc w:val="left"/>
      <w:lvlText w:val="6"/>
      <w:numFmt w:val="bullet"/>
      <w:start w:val="1"/>
    </w:lvl>
  </w:abstractNum>
  <w:abstractNum w:abstractNumId="14">
    <w:nsid w:val="62BBD95A"/>
    <w:multiLevelType w:val="hybridMultilevel"/>
    <w:lvl w:ilvl="0">
      <w:lvlJc w:val="left"/>
      <w:lvlText w:val="\emdash "/>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32"/>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77" Type="http://schemas.openxmlformats.org/officeDocument/2006/relationships/hyperlink" Target="https://www.sec.gov/Archives/edgar/data/104889/000095013304000785/w94191exv3w1.htm" TargetMode="External"/><Relationship Id="rId78" Type="http://schemas.openxmlformats.org/officeDocument/2006/relationships/hyperlink" Target="https://www.sec.gov/Archives/edgar/data/104889/000095015713000428/ex3-1.htm" TargetMode="External"/><Relationship Id="rId79" Type="http://schemas.openxmlformats.org/officeDocument/2006/relationships/hyperlink" Target="https://www.sec.gov/Archives/edgar/data/104889/000095015713000428/ex3-2.htm" TargetMode="External"/><Relationship Id="rId80" Type="http://schemas.openxmlformats.org/officeDocument/2006/relationships/hyperlink" Target="https://www.sec.gov/Archives/edgar/data/104889/000095015718000572/ex4-1.htm" TargetMode="External"/><Relationship Id="rId81" Type="http://schemas.openxmlformats.org/officeDocument/2006/relationships/hyperlink" Target="https://www.sec.gov/Archives/edgar/data/104889/000010488920000031/dex42.htm" TargetMode="External"/><Relationship Id="rId82" Type="http://schemas.openxmlformats.org/officeDocument/2006/relationships/hyperlink" Target="https://www.sec.gov/Archives/edgar/data/104889/000010488922000011/a2021q410-kex43.htm" TargetMode="External"/><Relationship Id="rId83" Type="http://schemas.openxmlformats.org/officeDocument/2006/relationships/hyperlink" Target="https://www.sec.gov/Archives/edgar/data/104889/000010488923000064/a2023q310-q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2024-05-01T07:41:47Z</dcterms:created>
  <dcterms:modified xsi:type="dcterms:W3CDTF">2024-05-01T07:41:47Z</dcterms:modified>
</cp:coreProperties>
</file>