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212090</wp:posOffset>
            </wp:positionV>
            <wp:extent cx="4939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243840</wp:posOffset>
            </wp:positionV>
            <wp:extent cx="4939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26, 2016</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center"/>
              <w:ind w:right="116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116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6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6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86360</wp:posOffset>
            </wp:positionV>
            <wp:extent cx="4939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26, 2016, Graham Holdings Company issued a press release announcing the Company’s earnings for the fourth quarter and year ended December 31, 2015.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Graham Holdings Company</w:t>
            </w:r>
          </w:p>
        </w:tc>
        <w:tc>
          <w:tcPr>
            <w:tcW w:w="46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3"/>
          </w:tcPr>
          <w:p>
            <w:pPr>
              <w:ind w:left="980"/>
              <w:spacing w:after="0"/>
              <w:rPr>
                <w:sz w:val="20"/>
                <w:szCs w:val="20"/>
                <w:color w:val="auto"/>
              </w:rPr>
            </w:pPr>
            <w:r>
              <w:rPr>
                <w:rFonts w:ascii="Arial" w:cs="Arial" w:eastAsia="Arial" w:hAnsi="Arial"/>
                <w:sz w:val="18"/>
                <w:szCs w:val="18"/>
                <w:color w:val="auto"/>
              </w:rPr>
              <w:t>(Registrant)</w:t>
            </w:r>
          </w:p>
        </w:tc>
      </w:tr>
      <w:tr>
        <w:trPr>
          <w:trHeight w:val="824"/>
        </w:trPr>
        <w:tc>
          <w:tcPr>
            <w:tcW w:w="2100" w:type="dxa"/>
            <w:vAlign w:val="bottom"/>
            <w:gridSpan w:val="3"/>
          </w:tcPr>
          <w:p>
            <w:pPr>
              <w:spacing w:after="0"/>
              <w:rPr>
                <w:sz w:val="20"/>
                <w:szCs w:val="20"/>
                <w:color w:val="auto"/>
              </w:rPr>
            </w:pPr>
            <w:r>
              <w:rPr>
                <w:rFonts w:ascii="Arial" w:cs="Arial" w:eastAsia="Arial" w:hAnsi="Arial"/>
                <w:sz w:val="18"/>
                <w:szCs w:val="18"/>
                <w:color w:val="auto"/>
              </w:rPr>
              <w:t>Date February 26, 2016</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3"/>
          </w:tcPr>
          <w:p>
            <w:pPr>
              <w:ind w:left="580"/>
              <w:spacing w:after="0"/>
              <w:rPr>
                <w:sz w:val="20"/>
                <w:szCs w:val="20"/>
                <w:color w:val="auto"/>
              </w:rPr>
            </w:pPr>
            <w:r>
              <w:rPr>
                <w:rFonts w:ascii="Arial" w:cs="Arial" w:eastAsia="Arial" w:hAnsi="Arial"/>
                <w:sz w:val="18"/>
                <w:szCs w:val="18"/>
                <w:color w:val="auto"/>
              </w:rPr>
              <w:t>/s/ Hal S. Jones</w:t>
            </w:r>
          </w:p>
        </w:tc>
      </w:tr>
      <w:tr>
        <w:trPr>
          <w:trHeight w:val="236"/>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Hal S. Jones</w:t>
            </w:r>
          </w:p>
        </w:tc>
        <w:tc>
          <w:tcPr>
            <w:tcW w:w="4640" w:type="dxa"/>
            <w:vAlign w:val="bottom"/>
            <w:gridSpan w:val="2"/>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300" w:type="dxa"/>
            <w:vAlign w:val="bottom"/>
            <w:gridSpan w:val="5"/>
          </w:tcPr>
          <w:p>
            <w:pPr>
              <w:ind w:left="2000"/>
              <w:spacing w:after="0"/>
              <w:rPr>
                <w:sz w:val="20"/>
                <w:szCs w:val="20"/>
                <w:color w:val="auto"/>
              </w:rPr>
            </w:pPr>
            <w:r>
              <w:rPr>
                <w:rFonts w:ascii="Arial" w:cs="Arial" w:eastAsia="Arial" w:hAnsi="Arial"/>
                <w:sz w:val="18"/>
                <w:szCs w:val="18"/>
                <w:color w:val="auto"/>
              </w:rPr>
              <w:t>Senior Vice President–Finance</w:t>
            </w: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60" w:type="dxa"/>
            <w:vAlign w:val="bottom"/>
            <w:gridSpan w:val="3"/>
          </w:tcPr>
          <w:p>
            <w:pPr>
              <w:jc w:val="right"/>
              <w:ind w:right="9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r>
    </w:tbl>
    <w:p>
      <w:pPr>
        <w:sectPr>
          <w:pgSz w:w="11900" w:h="16838" w:orient="portrait"/>
          <w:cols w:equalWidth="0" w:num="1">
            <w:col w:w="11400"/>
          </w:cols>
          <w:pgMar w:left="240" w:top="83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320" w:type="dxa"/>
            <w:vAlign w:val="bottom"/>
            <w:gridSpan w:val="2"/>
          </w:tcPr>
          <w:p>
            <w:pPr>
              <w:ind w:left="132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8140" w:type="dxa"/>
            <w:vAlign w:val="bottom"/>
          </w:tcPr>
          <w:p>
            <w:pPr>
              <w:ind w:left="240"/>
              <w:spacing w:after="0"/>
              <w:rPr>
                <w:sz w:val="20"/>
                <w:szCs w:val="20"/>
                <w:color w:val="auto"/>
              </w:rPr>
            </w:pPr>
            <w:r>
              <w:rPr>
                <w:rFonts w:ascii="Arial" w:cs="Arial" w:eastAsia="Arial" w:hAnsi="Arial"/>
                <w:sz w:val="18"/>
                <w:szCs w:val="18"/>
                <w:color w:val="auto"/>
              </w:rPr>
              <w:t>Hal S. Jones</w:t>
            </w: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For Immediate Release</w:t>
            </w:r>
          </w:p>
        </w:tc>
      </w:tr>
      <w:tr>
        <w:trPr>
          <w:trHeight w:val="291"/>
        </w:trPr>
        <w:tc>
          <w:tcPr>
            <w:tcW w:w="920" w:type="dxa"/>
            <w:vAlign w:val="bottom"/>
          </w:tcPr>
          <w:p>
            <w:pPr>
              <w:spacing w:after="0"/>
              <w:rPr>
                <w:sz w:val="24"/>
                <w:szCs w:val="24"/>
                <w:color w:val="auto"/>
              </w:rPr>
            </w:pPr>
          </w:p>
        </w:tc>
        <w:tc>
          <w:tcPr>
            <w:tcW w:w="8140" w:type="dxa"/>
            <w:vAlign w:val="bottom"/>
          </w:tcPr>
          <w:p>
            <w:pPr>
              <w:ind w:left="240"/>
              <w:spacing w:after="0"/>
              <w:rPr>
                <w:sz w:val="20"/>
                <w:szCs w:val="20"/>
                <w:color w:val="auto"/>
              </w:rPr>
            </w:pPr>
            <w:r>
              <w:rPr>
                <w:rFonts w:ascii="Arial" w:cs="Arial" w:eastAsia="Arial" w:hAnsi="Arial"/>
                <w:sz w:val="18"/>
                <w:szCs w:val="18"/>
                <w:color w:val="auto"/>
              </w:rPr>
              <w:t>(703) 345-6370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26, 2016</w:t>
            </w:r>
          </w:p>
        </w:tc>
        <w:tc>
          <w:tcPr>
            <w:tcW w:w="460" w:type="dxa"/>
            <w:vAlign w:val="bottom"/>
          </w:tcPr>
          <w:p>
            <w:pPr>
              <w:spacing w:after="0"/>
              <w:rPr>
                <w:sz w:val="24"/>
                <w:szCs w:val="24"/>
                <w:color w:val="auto"/>
              </w:rPr>
            </w:pPr>
          </w:p>
        </w:tc>
      </w:tr>
    </w:tbl>
    <w:p>
      <w:pPr>
        <w:spacing w:after="0" w:line="2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GRAHAM HOLDINGS COMPANY REPORTS</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2015 AND FOURTH QUARTER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a net loss attributable to common shares of $101.3 million</w:t>
      </w:r>
    </w:p>
    <w:p>
      <w:pPr>
        <w:ind w:right="20"/>
        <w:spacing w:after="0" w:line="227" w:lineRule="auto"/>
        <w:rPr>
          <w:sz w:val="20"/>
          <w:szCs w:val="20"/>
          <w:color w:val="auto"/>
        </w:rPr>
      </w:pPr>
      <w:r>
        <w:rPr>
          <w:rFonts w:ascii="Arial" w:cs="Arial" w:eastAsia="Arial" w:hAnsi="Arial"/>
          <w:sz w:val="18"/>
          <w:szCs w:val="18"/>
          <w:color w:val="auto"/>
        </w:rPr>
        <w:t>($17.87 per share) for the year ended December 31, 2015, compared to net income attributable to common shares of $1,293.0 million ($ 195.03 per share) for the year ended December 31, 2014. Net (loss) income includes $ 42.2 million ($7.36 per share) and $527.9 million ($79.63 per share) in income from discontinued operations for 2015 and 2014, respectively. Loss from continuing operations attributable to common shares was $143.5 million ($25.23 per share) for 2015, compared to income of $765.1 million ($115.40 per share) for 2014.</w:t>
      </w:r>
    </w:p>
    <w:p>
      <w:pPr>
        <w:spacing w:after="0" w:line="135"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For the fourth quarter of 2015, the Company reported net income attributable to common shares of $51.2 million ($8.72 per share), compared to $334.4 million ($57.41 per share) for the same period of 2014. Net income includes $28.6 million ($4.93 per share) in income from discontinued operations for the fourth quarter of 2014. The Company reported income from continuing operations attributable to common shares of $51.2 million ($8.72 per share) for the fourth quarter of 2015, compared to $305.8 million ($52.48 per share) for the same period of 2014. (Refer to "Discontinued Operations" discussion below.)</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connection with the tax-free Berkshire exchange transaction that closed on June 30, 2014, the Company acquired 1,620,190 shares of its Class B common stock, resulting in 13% fewer diluted shares outstanding in 2015 compared to 2014.</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addition to discontinued operations, the results for 2015 and 2014 were affected by numerous items reflecting significant changes in our businesses. These items are described in the following paragraphs. Excluding these items, income from continuing operations attributable to common shares was $138.1 million ($23.56 per share) for 2015, compared to $147.1 million ($22.19 per share) for 2014. Excluding these items, income from continuing operations attributable to common shares was $50.5 million ($8.60 per share) for the fourth quarter of 2015, compared to $74.5 million ($12.78 per share) for the fourth quarter of 2014. (Refer to the Non-GAAP Financial Information schedule attached to this release for additional details.)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2015 are listed below, and fourth quarter activity, if any, is highlighted for each item:</w:t>
      </w:r>
    </w:p>
    <w:p>
      <w:pPr>
        <w:spacing w:after="0" w:line="81" w:lineRule="exact"/>
        <w:rPr>
          <w:sz w:val="20"/>
          <w:szCs w:val="20"/>
          <w:color w:val="auto"/>
        </w:rPr>
      </w:pPr>
    </w:p>
    <w:p>
      <w:pPr>
        <w:jc w:val="both"/>
        <w:ind w:left="180" w:right="18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 $4.2 million of these charges were recorded in the fourth quarter (after-tax impact of $3.7 million, or $0.63 per share);</w:t>
      </w:r>
    </w:p>
    <w:p>
      <w:pPr>
        <w:spacing w:after="0" w:line="82" w:lineRule="exact"/>
        <w:rPr>
          <w:rFonts w:ascii="Arial" w:cs="Arial" w:eastAsia="Arial" w:hAnsi="Arial"/>
          <w:sz w:val="18"/>
          <w:szCs w:val="18"/>
          <w:color w:val="auto"/>
        </w:rPr>
      </w:pPr>
    </w:p>
    <w:p>
      <w:pPr>
        <w:ind w:left="180" w:right="360" w:hanging="172"/>
        <w:spacing w:after="0" w:line="25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$45.8 million in restructuring charges at the education division, corporate office and other businesses (after-tax impact of $28.9 million, or $4.97 per share); $9.0 million of these charges were recorded in the fourth quarter (after-tax impact of $5.5 million, or $0.96 per share);</w:t>
      </w:r>
    </w:p>
    <w:p>
      <w:pPr>
        <w:spacing w:after="0" w:line="65" w:lineRule="exact"/>
        <w:rPr>
          <w:rFonts w:ascii="Arial" w:cs="Arial" w:eastAsia="Arial" w:hAnsi="Arial"/>
          <w:sz w:val="17"/>
          <w:szCs w:val="17"/>
          <w:color w:val="auto"/>
        </w:rPr>
      </w:pPr>
    </w:p>
    <w:p>
      <w:pPr>
        <w:ind w:left="180" w:right="8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 $6.0 million of these charges were recorded in the fourth quarter (after-tax impact of $3.7 million, or $0.63 per share);</w:t>
      </w:r>
    </w:p>
    <w:p>
      <w:pPr>
        <w:spacing w:after="0" w:line="82"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$21.4 million fourth quarter gain on the sale of land (after-tax impact of $13.2 million, or $2.27 per share); and</w:t>
      </w:r>
    </w:p>
    <w:p>
      <w:pPr>
        <w:spacing w:after="0" w:line="90"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$15.6 million in non-operating unrealized foreign currency losses (after-tax impact of $9.7 million, or $1.67 per share); $0.6 million in gains were recorded in the fourth quarter (after-tax impact of $0.4 million, or $0.07 per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sectPr>
      </w:pPr>
    </w:p>
    <w:bookmarkStart w:id="5" w:name="page6"/>
    <w:bookmarkEnd w:id="5"/>
    <w:p>
      <w:pPr>
        <w:ind w:right="20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2014 are listed below, and fourth quarter activity, if any, is highlighted for each item:</w:t>
      </w:r>
    </w:p>
    <w:p>
      <w:pPr>
        <w:spacing w:after="0" w:line="80" w:lineRule="exact"/>
        <w:rPr>
          <w:sz w:val="20"/>
          <w:szCs w:val="20"/>
          <w:color w:val="auto"/>
        </w:rPr>
      </w:pPr>
    </w:p>
    <w:p>
      <w:pPr>
        <w:ind w:left="18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$31.6 million in restructuring charges and early retirement program expense and related charges at the education division and the corporate office (after-tax impact of $20.2 million, or $3.05 per share); $3.0 million of these charges were recorded in the fourth quarter (after-tax impact of $1.9 million, or $0.33 per share);</w:t>
      </w:r>
    </w:p>
    <w:p>
      <w:pPr>
        <w:spacing w:after="0" w:line="82"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$17.3 million in fourth quarter noncash intangible and other long-lived assets impairment charges at Kaplan and other businesses (after-tax impact of $11.2 million, or $1.69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$396.6 million fourth quarter gain from the sale of Classified Ventures (after-tax impact of $249.8 million, or $37.68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$8.78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$266.7 million gain from the tax-free Berkshire exchange transaction (after-tax impact of $266.7 million, or $40.23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$12.34 per share); and</w:t>
      </w:r>
    </w:p>
    <w:p>
      <w:pPr>
        <w:spacing w:after="0" w:line="90" w:lineRule="exact"/>
        <w:rPr>
          <w:rFonts w:ascii="Arial" w:cs="Arial" w:eastAsia="Arial" w:hAnsi="Arial"/>
          <w:sz w:val="18"/>
          <w:szCs w:val="18"/>
          <w:color w:val="auto"/>
        </w:rPr>
      </w:pPr>
    </w:p>
    <w:p>
      <w:pPr>
        <w:ind w:left="180" w:right="1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$11.1 million in non-operating unrealized foreign currency losses (after-tax impact of $7.1 million, or $1.08 per share); $8.5 million in losses were recorded in the fourth quarter (after-tax impact of $5.5 million, or $0.94 per share).</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Revenue for 2015 was $2,586.1 million, down 6% from $2,737.0 million in 2014. Revenues declined at the education division and were down slightly at the television broadcasting division, offset by an increase in other businesses. The Company reported an operating loss for 2015 of $80.8 million, compared with operating income of $232.7 million in 2014. Operating results were down at the education and television broadcasting divisions, offset by improvement in other businesses.</w:t>
      </w:r>
    </w:p>
    <w:p>
      <w:pPr>
        <w:spacing w:after="0" w:line="135"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For the fourth quarter of 2015, revenue was $ 616.4 million, down 15% from $727.6 million in 2014. Revenues declined at the education and television broadcasting divisions, offset by an increase in other businesses. The Company reported operating income of $67.8 million in the fourth quarter of 2015, compared to $99.0 million in 2014. Operating results declined at all reporting segments.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Education division revenue in 2015 totaled $1,927.5 million, down 11% from revenue of $2,160.4 million in 2014. For the fourth quarter of 2015, education division revenue totaled $421.5 million, down 24% from revenue of $551.4 million for the same period of 2014.</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Kaplan reported an operating loss of $223.5 million for 2015, compared to operating income of $65.5 million in 2014; Kaplan reported operating income for the fourth quarter of 2015 of $26.3 million, compared to $33.4 million in the fourth quarter of 2014. Kaplan’s 2015 operating results include goodwill and intangible assets impairment charges of $256.8 million in comparison to a $17.2 million charge in 2014. In 2015, operating results at Kaplan Higher Education and Kaplan International were down, partially offset by improved results at Kaplan Test Preparation.</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significant costs in 2015 and 2014, with the objective of establishing lower cost levels in future periods. Across all businesses, restructuring costs totaled $44.4 million in 2015 and $16.8 million in 2014. Restructuring costs totaled $7.6 million in the fourth quarter of 2015 and $3.0 million in the fourth quarter of 2014. (Refer to the Education Division Information, Summary of Restructuring Charges schedule attached to this release for additional details.)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2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right"/>
              <w:ind w:right="549"/>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ind w:right="409"/>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2015</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2014</w:t>
            </w:r>
          </w:p>
        </w:tc>
        <w:tc>
          <w:tcPr>
            <w:tcW w:w="15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2015</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2014</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167,811</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254,461</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(34)</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849,625</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1,010,058</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68,294</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70,652</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301,607</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304,662</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184,787</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225,408</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770,273</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840,915</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779</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1,203</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6,502</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6,094</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3700" w:type="dxa"/>
            <w:vAlign w:val="bottom"/>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(123)</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(486)</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421,548</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551,381</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1,927,521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9"/>
              </w:rPr>
              <w:t>2,160,417</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27,062</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43,582</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(38)</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55,572</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83,069</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433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(1,178)</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16,798</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(4,730)</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20,076</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28,544</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53,661</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69,153</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(18,677)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(18,134)</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(87,230)</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(57,093)</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(1,210)</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(2,089)</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(5,523)</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(7,738)</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Impairment of goodwill and other long-lived assets</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(1,363)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(17,203)</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92</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(256,830)</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(17,203)</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700" w:type="dxa"/>
            <w:vAlign w:val="bottom"/>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96</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26,322</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33,413</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(223,456)</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65,463</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Since 2012, KHE has continued to close campuses, consolidate facilities and reduce its workforce. On September 3, 2015, Kaplan completed the sale of substantially all of the remaining assets of its KHE Campuses business. In connection with these and other plans, KHE incurred $12.9 million and $6.5 million in restructuring costs in 2015 and 2014, respectively.</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long-lived asset impairment charges of $6.9 million and $13.6 million that were recorded in the second quarter of 2015 and fourth quarter of 2014, respectively, in connection with the KHE Campuses business.</w:t>
      </w:r>
    </w:p>
    <w:p>
      <w:pPr>
        <w:spacing w:after="0" w:line="135"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KHE results include revenue and operating losses (including restructuring charges) related to all KHE Campuses, those sold or closed, including Mount Washington College and Bauder College, as follows: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6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w w:val="96"/>
              </w:rPr>
              <w:t>2014</w:t>
            </w:r>
          </w:p>
        </w:tc>
      </w:tr>
      <w:tr>
        <w:trPr>
          <w:trHeight w:val="250"/>
        </w:trPr>
        <w:tc>
          <w:tcPr>
            <w:tcW w:w="6260" w:type="dxa"/>
            <w:vAlign w:val="bottom"/>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4"/>
              <w:spacing w:after="0"/>
              <w:rPr>
                <w:sz w:val="20"/>
                <w:szCs w:val="20"/>
                <w:color w:val="auto"/>
              </w:rPr>
            </w:pPr>
            <w:r>
              <w:rPr>
                <w:rFonts w:ascii="Arial" w:cs="Arial" w:eastAsia="Arial" w:hAnsi="Arial"/>
                <w:sz w:val="16"/>
                <w:szCs w:val="16"/>
                <w:b w:val="1"/>
                <w:bCs w:val="1"/>
                <w:color w:val="auto"/>
              </w:rPr>
              <w:t>1,934</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71,911</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178,734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299,109</w:t>
            </w:r>
          </w:p>
        </w:tc>
      </w:tr>
      <w:tr>
        <w:trPr>
          <w:trHeight w:val="270"/>
        </w:trPr>
        <w:tc>
          <w:tcPr>
            <w:tcW w:w="626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(5,022)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(2,914)</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(38,830)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(28,549)</w:t>
            </w:r>
          </w:p>
        </w:tc>
      </w:tr>
    </w:tbl>
    <w:p>
      <w:pPr>
        <w:spacing w:after="0" w:line="16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2015 and the fourth quarter of 2015, KHE revenue declined 16% and 34%, respectively, due to the campus sales and closings, and declines in average enrollments at Kaplan University, reflecting weaker market demand. KHE operating income declines in 2015 and the fourth quarter of 2015 are due to increased losses at the KHE Campuses business, the revenue declines, and increased restructuring costs. In 2015, the decline was partially offset by improved results at the domestic professional training and other continuing education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14% in 2015 due to lower demand across Kaplan University programs.</w:t>
      </w:r>
    </w:p>
    <w:p>
      <w:pPr>
        <w:spacing w:after="0" w:line="14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Total higher education students at Kaplan University at December 31, 2015, were down 6% compared to December 31, 2014. A summary of higher education student enrollments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r>
      <w:tr>
        <w:trPr>
          <w:trHeight w:val="258"/>
        </w:trPr>
        <w:tc>
          <w:tcPr>
            <w:tcW w:w="8580" w:type="dxa"/>
            <w:vAlign w:val="bottom"/>
          </w:tcPr>
          <w:p>
            <w:pPr>
              <w:spacing w:after="0"/>
              <w:rPr>
                <w:sz w:val="22"/>
                <w:szCs w:val="22"/>
                <w:color w:val="auto"/>
              </w:rPr>
            </w:pPr>
          </w:p>
        </w:tc>
        <w:tc>
          <w:tcPr>
            <w:tcW w:w="1660" w:type="dxa"/>
            <w:vAlign w:val="bottom"/>
          </w:tcPr>
          <w:p>
            <w:pPr>
              <w:jc w:val="center"/>
              <w:ind w:right="206"/>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center"/>
              <w:ind w:right="85"/>
              <w:spacing w:after="0"/>
              <w:rPr>
                <w:sz w:val="20"/>
                <w:szCs w:val="20"/>
                <w:color w:val="auto"/>
              </w:rPr>
            </w:pPr>
            <w:r>
              <w:rPr>
                <w:rFonts w:ascii="Arial" w:cs="Arial" w:eastAsia="Arial" w:hAnsi="Arial"/>
                <w:sz w:val="14"/>
                <w:szCs w:val="14"/>
                <w:color w:val="auto"/>
              </w:rPr>
              <w:t>December 31,</w:t>
            </w:r>
          </w:p>
        </w:tc>
      </w:tr>
      <w:tr>
        <w:trPr>
          <w:trHeight w:val="276"/>
        </w:trPr>
        <w:tc>
          <w:tcPr>
            <w:tcW w:w="8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2015</w:t>
            </w: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2014</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660" w:type="dxa"/>
            <w:vAlign w:val="bottom"/>
          </w:tcPr>
          <w:p>
            <w:pPr>
              <w:jc w:val="right"/>
              <w:ind w:right="326"/>
              <w:spacing w:after="0"/>
              <w:rPr>
                <w:sz w:val="20"/>
                <w:szCs w:val="20"/>
                <w:color w:val="auto"/>
              </w:rPr>
            </w:pPr>
            <w:r>
              <w:rPr>
                <w:rFonts w:ascii="Arial" w:cs="Arial" w:eastAsia="Arial" w:hAnsi="Arial"/>
                <w:sz w:val="16"/>
                <w:szCs w:val="16"/>
                <w:b w:val="1"/>
                <w:bCs w:val="1"/>
                <w:color w:val="auto"/>
              </w:rPr>
              <w:t>39,848</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42,469</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2014</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4.4%</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25.0%</w:t>
            </w:r>
          </w:p>
        </w:tc>
        <w:tc>
          <w:tcPr>
            <w:tcW w:w="96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48.4%</w:t>
            </w:r>
          </w:p>
        </w:tc>
        <w:tc>
          <w:tcPr>
            <w:tcW w:w="96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1% in 2015 and 3% for the fourth quarter of 2015. Excluding revenues from acquired businesses, KTP revenue declined 3% in 2015. Enrollments, excluding the new economy skills training offerings, were down 12% in 2015 due primarily to declines in graduate and pre-college programs; however, unit prices were generally higher. In comparison to 2014, KTP operating results improved in 2015 due to a reduction in operating expenses and the inclusion of a $7.7 million software asset write-off in the second quarter of 2014 that did not recur in 2015.</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8% in 2015 and 18% in the fourth quarter of 2015 due to the adverse impact of foreign exchange rates. On a constant currency basis, Kaplan International revenue remained flat in 2015 but decreased 12% in the fourth quarter of 2015, due to enrollment declines in English-language programs, partially offset by growth in Singapore higher education programs.</w:t>
      </w:r>
    </w:p>
    <w:p>
      <w:pPr>
        <w:spacing w:after="0" w:line="135"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Kaplan International operating income decreased 22% and 30% in 2015 and the fourth quarter of 2015, respectively, due to the declines in English-language programs’ results. Restructuring costs at Kaplan International totaled $1.3 million and $0.2 million in 2015 and 2014, respectively.</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2015 and the fourth quarter of 2015, Kaplan corporate recorded $29.4 million and $2.9 million, respectively, in restructuring costs, respectively, compared to $1.4 million in 2014.</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 In 2014, Kaplan recorded $17.2 million in noncash intangible and other long-lived assets impairment charges in connection with businesses at KHE, KTP and Kaplan International.</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addition to the sale of the KHE Campuses business in 2015, Kaplan also sold a small business that was part of KHE, and two businesses that were part of Kaplan International. The net loss on the sale of these businesses totaled $24.9 million that is included in other non-operating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for the television broadcasting division decreased 1% to $ 359.2 million in 2015, from $363.8 million in 2014; operating income for 2015 was down 12% to $164.9 million, from $187.8 million in 2014. The decrease in revenue is due to a $27.7 million decrease in political advertising revenue and $9.5 million in incremental winter Olympics-related advertising revenue at the Company’s NBC affiliates in 2014, offset by $16.1 million in increased retransmission revenues, revenues from the Super Bowl at the Company's NBC affiliates in February 2015 and an increase in advertising revenue in several key sectors. The decline in operating income is due to the revenue decline and an increase in spending on digital initiatives and increased network fees.</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 the fourth quarter of 2015, revenue decreased 7% to $ 95.2 million, from $102.4 million in 2014; operating income for the fourth quarter of 2015 was down 19% to $43.8 million, from $54.4 million in the same period of 2014. The decrease in revenue is due to a $14.6 million decrease in political advertising revenue, offset by $4.7 million in increased retransmission revenues. The decrease in operating income is due to the revenue decline and an increase in spending on digital initiatives and increased network fees.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includes the following:</w:t>
      </w:r>
    </w:p>
    <w:p>
      <w:pPr>
        <w:spacing w:after="0" w:line="144" w:lineRule="exact"/>
        <w:rPr>
          <w:sz w:val="20"/>
          <w:szCs w:val="20"/>
          <w:color w:val="auto"/>
        </w:rPr>
      </w:pPr>
    </w:p>
    <w:p>
      <w:pPr>
        <w:ind w:right="200" w:firstLine="8"/>
        <w:spacing w:after="0" w:line="235" w:lineRule="auto"/>
        <w:tabs>
          <w:tab w:leader="none" w:pos="11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Celtic Healthcare (Celtic) and Residential Healthcare Group, Inc. (Residential, acquired in July 2014), providers of home health and hospice services;</w:t>
      </w:r>
    </w:p>
    <w:p>
      <w:pPr>
        <w:spacing w:after="0" w:line="134" w:lineRule="exact"/>
        <w:rPr>
          <w:rFonts w:ascii="Arial" w:cs="Arial" w:eastAsia="Arial" w:hAnsi="Arial"/>
          <w:sz w:val="18"/>
          <w:szCs w:val="18"/>
          <w:color w:val="auto"/>
        </w:rPr>
      </w:pPr>
    </w:p>
    <w:p>
      <w:pPr>
        <w:ind w:right="580" w:firstLine="8"/>
        <w:spacing w:after="0" w:line="235" w:lineRule="auto"/>
        <w:tabs>
          <w:tab w:leader="none" w:pos="1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Group Dekko, a Garrett, IN, based manufacturer of electrical workspace solutions, architectural lighting, and electrical components and assemblies (acquired in November 2015); Joyce/Dayton Corp., a Dayton, OH, based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52" w:right="239" w:bottom="1440" w:gutter="0" w:footer="0" w:header="0"/>
        </w:sectPr>
      </w:pPr>
    </w:p>
    <w:bookmarkStart w:id="8" w:name="page9"/>
    <w:bookmarkEnd w:id="8"/>
    <w:p>
      <w:pPr>
        <w:ind w:right="260"/>
        <w:spacing w:after="0" w:line="235" w:lineRule="auto"/>
        <w:rPr>
          <w:sz w:val="20"/>
          <w:szCs w:val="20"/>
          <w:color w:val="auto"/>
        </w:rPr>
      </w:pPr>
      <w:r>
        <w:rPr>
          <w:rFonts w:ascii="Arial" w:cs="Arial" w:eastAsia="Arial" w:hAnsi="Arial"/>
          <w:sz w:val="18"/>
          <w:szCs w:val="18"/>
          <w:color w:val="auto"/>
        </w:rPr>
        <w:t>manufacturer of screw jacks and other linear motion systems (acquired in May 2014); and Forney, a global supplier of products and systems that control and monitor combustion processes in electric utility and industrial applications; and</w:t>
      </w:r>
    </w:p>
    <w:p>
      <w:pPr>
        <w:spacing w:after="0" w:line="134" w:lineRule="exact"/>
        <w:rPr>
          <w:sz w:val="20"/>
          <w:szCs w:val="20"/>
          <w:color w:val="auto"/>
        </w:rPr>
      </w:pPr>
    </w:p>
    <w:p>
      <w:pPr>
        <w:ind w:right="240" w:firstLine="8"/>
        <w:spacing w:after="0" w:line="235" w:lineRule="auto"/>
        <w:tabs>
          <w:tab w:leader="none" w:pos="11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SocialCode, a marketing solutions provider helping companies with marketing on social-media platforms; and The Slate Group and Foreign Policy Group, which publish online and print magazines and websites.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increase in revenues for 2015 and the fourth quarter of 2015 is due primarily to the inclusion of revenues from the businesses acquired in 2015 and 2014. The improvement in operating results in 2015 reflects the contribution of the acquired businesses, as well as improved results at Celtic and SocialCode. The decline in operating results in the fourth quarter of 2015 is due largely to declines at Slate and SocialCode, partly due to investment spending initiatives at these businesses.</w:t>
      </w:r>
    </w:p>
    <w:p>
      <w:pPr>
        <w:spacing w:after="0" w:line="13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fourth quarter of 2015, the Company recorded $6.0 million in incremental stock compensation expense due to the modification of restricted stock awards, and implemented a Special Incentive Program that resulted in expense of $0.9 million, which is being funded from the assets of the Company's pension plan. In the third quarter of 2015, the Company recorded $18.8 million in incremental stock option expense, due to stock option modifications that resulted from the Cable ONE spin-off. In the first quarter of 2014, the corporate office implemented a Separation Incentive Program that resulted in expense of $ 4.5 million, which was funded from the assets of the Company’s pension plan. In the third quarter of 2014, the Company recorded $10.3 million in early retirement program expense and other related charges, a portion of which was funded from the assets of the Company's pension plan.</w:t>
      </w:r>
    </w:p>
    <w:p>
      <w:pPr>
        <w:spacing w:after="0" w:line="13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Excluding early retirement program and other pension incentive program expense, the total pension credit for the Company’s traditional defined benefit plan was $83.2 million and $91.2 million for 2015 and 2014, respectively.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Excluding the $24.9 million in incremental stock compensation expense in 2015, the pension credit, early retirement program and other pension incentive program expense and other related charges in 2015 and 2014, corporate office expense declined in 2015. The decline is from lower compensation costs, and 2014 costs related to certain acquisitions, the Berkshire exchange transaction and the corporate office headquarters move to Arlington, VA, partially offset by 2015 costs related to the Group Dekko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At December 31, 2015, the Company held a 40% interest in a Celtic joint venture and Residential Home Health Illinois, a 42.5% interest in Residential Hospice Illinois, and interests in several other affiliates. In the second quarter of 2015, the Company acquired an approximate 20% interest in HomeHero, a company that created and manages an online senior home care marketplace. At September 30, 2014, the Company held a 16.5% interest in Classified Ventures, LLC (CV) and interests in several other affiliates. On October 1, 2014, the Company and the remaining partners in CV completed the sale of their entire stakes in CV.</w:t>
      </w:r>
    </w:p>
    <w:p>
      <w:pPr>
        <w:spacing w:after="0" w:line="13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Company’s equity in losses of affiliates, net, for 2015 was $0.7 million, compared to income of $100.4 million in 2014. The 2014 results include a pre-tax gain of $90.9 million from Classified Ventures’ sale of apartments.com in the second quarter of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recorded other non-operating expense, net, of $8.6 million in 2015, compared to income of $778.0 million in 2014. For the fourth quarter of 2015, the Company recorded other non-operating income, net, of $21.3 million, compared to $387.3 million for the fourth quarter of 2014.</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2015 non-operating expense, net, included $23.3 million in losses from the sales of businesses, $15.6 million in unrealized foreign currency losses ($0.6 million in unrealized foreign currency gains in the fourth quarter) and other items, offset by a fourth quarter $21.4 million gain on the sale of land from Robinson Terminal, $6.0 million gain on the formation of a Celtic joint venture and a $4.8 million increase to the CV gain. The 2014 non-operating income,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ind w:right="60"/>
        <w:spacing w:after="0" w:line="229" w:lineRule="auto"/>
        <w:rPr>
          <w:sz w:val="20"/>
          <w:szCs w:val="20"/>
          <w:color w:val="auto"/>
        </w:rPr>
      </w:pPr>
      <w:r>
        <w:rPr>
          <w:rFonts w:ascii="Arial" w:cs="Arial" w:eastAsia="Arial" w:hAnsi="Arial"/>
          <w:sz w:val="18"/>
          <w:szCs w:val="18"/>
          <w:color w:val="auto"/>
        </w:rPr>
        <w:t>net, included a fourth quarter pre-tax gain of $396.6 million on the sale of Classified Ventures, the pre-tax gain of $266.7 million in connection with the Company’s exchange of Berkshire shares, a pre-tax gain of $127.7 million on the sale of the headquarters building, $11.1 million in unrealized foreign currency losses ($8.5 million in unrealized foreign currency losses in the fourth quarter) and other items.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jc w:val="both"/>
        <w:ind w:right="280"/>
        <w:spacing w:after="0" w:line="225" w:lineRule="auto"/>
        <w:rPr>
          <w:sz w:val="20"/>
          <w:szCs w:val="20"/>
          <w:color w:val="auto"/>
        </w:rPr>
      </w:pPr>
      <w:r>
        <w:rPr>
          <w:rFonts w:ascii="Arial" w:cs="Arial" w:eastAsia="Arial" w:hAnsi="Arial"/>
          <w:sz w:val="18"/>
          <w:szCs w:val="18"/>
          <w:color w:val="auto"/>
        </w:rPr>
        <w:t>The Company incurred net interest expense of $30.7 million in 2015, compared to $33.4 million in 2014; net interest expense totaled $7.4 million and $8.6 million for the fourth quarters of 2015 and 2014, respectively. At December 31, 2015, the Company had $399.9 million in borrowings outstanding at an average interest rate of 7.2%, and cash, marketable securities and other investments of $1,154.4 million. At December 31, 2014, the Company had $445.9 million in borrowings outstanding at an average interest rate of 7.1%, and cash, marketable securities and other investments of $1,024.4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recorded a tax provision on the pre-tax loss from continuing operations in 2015, as a large portion of the goodwill impairment charges and the goodwill included in the loss on the KHE Campuses sale are permanent differences not deductible for income tax purposes. Excluding the effect of these permanent differences, the effective tax rate for continuing operations in 2015 was 38.1%, compared to an effective tax rate of 29.0% in 2014. The lower effective tax rate in 2014 largely relates to the Berkshire exchange transaction. The pre-tax gain of $266.7 million related to the disposition of the Berkshire shares was not subject to income tax as the exchange qualified as a tax-free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completed the spin-off of Cable ONE as an independent, publicly traded company.</w:t>
      </w:r>
    </w:p>
    <w:p>
      <w:pPr>
        <w:spacing w:after="0" w:line="144"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13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In the second quarter of 2014, the Company closed on the Berkshire exchange transaction, which included the disposition of WPLG, the Company’s Miami-based television station.</w:t>
      </w:r>
    </w:p>
    <w:p>
      <w:pPr>
        <w:spacing w:after="0" w:line="135"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net gain on dispositions of these businesses, which have been reclassified to discontinued operations, net of tax,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Earnings Per Share</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calculation of diluted (loss) earnings per share for 2015 and the fourth quarter of 2015 was based on 5,727,074 and 5,833,850 weighted average shares, respectively, compared to 6,559,442 and 5,769,889 weighted average shares, respectively, for 2014 and the fourth quarter of 2014. At December 31, 2015, there were 5,803,854 shares outstanding. On May 14, 2015, the Board of Directors authorized the Company to acquire up to 500,000 shares of Class B common stock; the Company has remaining authorization for 453,774 shares as of December 31,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240" w:top="125"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616,367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727,625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523,563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587,466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15,640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18,618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5,120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5,215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4,233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67,811</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99,024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546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(7,975)</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(8,922)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21,262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387,346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81,609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478,017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172,000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51,109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306,017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28,649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51,109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334,666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51,169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334,410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51,169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334,410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51,169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305,761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28,649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51,169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334,410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52.76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8.78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5,746</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5,678</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8.72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52.48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5,834</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01" w:right="239" w:bottom="1440" w:gutter="0" w:footer="0" w:header="0"/>
        </w:sectPr>
      </w:pPr>
    </w:p>
    <w:bookmarkStart w:id="11" w:name="page12"/>
    <w:bookmarkEnd w:id="11"/>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2,586,114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2,737,032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2,310,316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2,393,910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77,906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74,913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19,017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18,187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259,700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(loss)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(80,825)</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232,720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100,370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2,136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(32,654)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(35,533)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(8,623)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778,010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(120,890)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1,077,703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20,500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312,300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(Loss) income from continuing operations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(141,390)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765,403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42,170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527,857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(99,220)</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1,293,260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(100,655)</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1,293,843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1,292,996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(Loss) income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(143,456)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765,139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42,170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527,857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1,292,996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115.88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195.81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5,727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115.40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79.63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(loss) income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195.03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5,727</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6,559</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0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421,548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551,381</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1,927,521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2,160,417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95,182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102,446</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359,192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363,836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99,694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73,798</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299,517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212,907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(57)</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616,367</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727,625</w:t>
            </w: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2,586,114</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2,737,032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(6)</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395,226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517,968</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2,150,977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2,094,954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51,357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48,066</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194,265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176,003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102,979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67,850</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313,184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233,993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(949)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(5,283)</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8,629</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(57)</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(116)</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548,556</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628,601</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2,666,939</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2,504,312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26,322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33,413</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(223,456)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65,463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43,825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54,380</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164,927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187,833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(3,285)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5,948</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(13,667)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(21,086)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35</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949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5,283</w:t>
            </w:r>
          </w:p>
        </w:tc>
        <w:tc>
          <w:tcPr>
            <w:tcW w:w="100" w:type="dxa"/>
            <w:vAlign w:val="bottom"/>
          </w:tcPr>
          <w:p>
            <w:pPr>
              <w:spacing w:after="0"/>
              <w:rPr>
                <w:sz w:val="24"/>
                <w:szCs w:val="24"/>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(8,629)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67,811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99,024</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(80,825)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232,720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10,032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14,713</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61,177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61,737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3,080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9,551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8,409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2,277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3,931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1,010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21</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15,640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18,618</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77,906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74,913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2,573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19,292</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262,353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24,941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6,717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16,112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10,516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53</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9,353</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22,517</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278,717</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35,489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3,385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3,855</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18,804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15,418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413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964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29</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(23,535)</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(23,070)</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(81,945)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(82,301)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(19,480)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(18,686)</w:t>
            </w:r>
          </w:p>
        </w:tc>
        <w:tc>
          <w:tcPr>
            <w:tcW w:w="100" w:type="dxa"/>
            <w:vAlign w:val="bottom"/>
            <w:tcBorders>
              <w:bottom w:val="single" w:sz="8" w:color="auto"/>
            </w:tcBorders>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(60,557)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(7)</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0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167,811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254,461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849,625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1,010,058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68,294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70,652</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301,607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304,662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184,787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225,408</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770,273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840,915</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6,502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6,094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(486)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421,548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551,381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1,927,521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2,160,417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140,749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210,879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(33)</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794,053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926,989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67,861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71,830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284,809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309,392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164,711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196,864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716,612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771,762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19,456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19,337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93,732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63,187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1,210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2,089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7,738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17,203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256,830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17,203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395,226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517,968</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2,150,977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2,094,954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27,062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43,582</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(38)</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55,572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83,069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433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(1,178)</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16,798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(4,730)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20,076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28,544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53,661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69,153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(18,677)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(18,134)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(87,230)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(57,093)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(1,210)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(5,523)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(7,738)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(1,363)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(17,203)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(256,830)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(17,203)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26,322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33,413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(223,456)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65,463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7,047</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17,937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29,187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(39)</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1,840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2,826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9,045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12,547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3,807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4,751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17,811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19,297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16,384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10,032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14,713</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61,177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61,737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2,629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10,849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10,514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2,888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424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19</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415</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4,430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18,804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15,418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01" w:right="239" w:bottom="1440" w:gutter="0" w:footer="0" w:header="0"/>
        </w:sectPr>
      </w:pPr>
    </w:p>
    <w:bookmarkStart w:id="14" w:name="page15"/>
    <w:bookmarkEnd w:id="14"/>
    <w:p>
      <w:pPr>
        <w:ind w:left="44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EDUCATION DIVISION INFORMATION</w:t>
      </w:r>
    </w:p>
    <w:p>
      <w:pPr>
        <w:spacing w:after="0" w:line="50"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SUMMARY OF RESTRUCTURING CHARGES</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rPr>
              <w:t>Severance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rPr>
              <w:t>Lease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and SIP</w:t>
            </w:r>
          </w:p>
        </w:tc>
        <w:tc>
          <w:tcPr>
            <w:tcW w:w="260" w:type="dxa"/>
            <w:vAlign w:val="bottom"/>
          </w:tcPr>
          <w:p>
            <w:pPr>
              <w:spacing w:after="0"/>
              <w:rPr>
                <w:sz w:val="14"/>
                <w:szCs w:val="14"/>
                <w:color w:val="auto"/>
              </w:rPr>
            </w:pP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rPr>
              <w:t>Obligation</w:t>
            </w: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Software Asset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Expense *</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Depreciation</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Write-offs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2,241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268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1,049</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145</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3,703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523</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523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389</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389</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2,944</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1,049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7,559</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639</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850</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ind w:right="41"/>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Twelve Months Ended December 31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7,531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1,773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3,371</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209</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12,884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727</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730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1,325</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1,325</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8,385</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16,180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4,869</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29,434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17,956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8,240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44,373</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3,478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725</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6,495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1,040</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7,689</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227</w:t>
            </w:r>
          </w:p>
        </w:tc>
        <w:tc>
          <w:tcPr>
            <w:tcW w:w="2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1,025</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1,750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8"/>
        <w:spacing w:after="0" w:line="262" w:lineRule="auto"/>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$1.7 million and $2.1 million in third quarter 2015 expenses related to a Special Incentive Program (SIP) at Higher Education and Corporate, respectively. The SIP expense was funded from the assets of the Company's pension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0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7"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Twelve Months Ended</w:t>
            </w:r>
          </w:p>
        </w:tc>
      </w:tr>
      <w:tr>
        <w:trPr>
          <w:trHeight w:val="222"/>
        </w:trPr>
        <w:tc>
          <w:tcPr>
            <w:tcW w:w="6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2014</w:t>
            </w: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51,169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305,761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(143,456)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765,139</w:t>
            </w:r>
          </w:p>
        </w:tc>
      </w:tr>
      <w:tr>
        <w:trPr>
          <w:trHeight w:val="251"/>
        </w:trPr>
        <w:tc>
          <w:tcPr>
            <w:tcW w:w="698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long-lived assets</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3,688</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11,213</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225,190</w:t>
            </w:r>
          </w:p>
        </w:tc>
        <w:tc>
          <w:tcPr>
            <w:tcW w:w="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11,213</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Restructuring and early retirement program charges</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5,544</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1,902</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28,887</w:t>
            </w:r>
          </w:p>
        </w:tc>
        <w:tc>
          <w:tcPr>
            <w:tcW w:w="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20,225</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Modification of stock options and restricted stock</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3,723</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15,349</w:t>
            </w:r>
          </w:p>
        </w:tc>
        <w:tc>
          <w:tcPr>
            <w:tcW w:w="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on sale of Classified Ventures</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(249,828)</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(249,828)</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Classified Ventures' sale of apartments.com</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(58,242)</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Gain from exchange of Berkshire shares</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(266,733)</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Net losses from the sales of businesses, an investment and the formation of a joint venture</w:t>
            </w:r>
          </w:p>
        </w:tc>
        <w:tc>
          <w:tcPr>
            <w:tcW w:w="240" w:type="dxa"/>
            <w:vAlign w:val="bottom"/>
          </w:tcPr>
          <w:p>
            <w:pPr>
              <w:spacing w:after="0"/>
              <w:rPr>
                <w:sz w:val="23"/>
                <w:szCs w:val="23"/>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15,666</w:t>
            </w:r>
          </w:p>
        </w:tc>
        <w:tc>
          <w:tcPr>
            <w:tcW w:w="28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Sale of property, plant and equipment</w:t>
            </w:r>
          </w:p>
        </w:tc>
        <w:tc>
          <w:tcPr>
            <w:tcW w:w="24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(13,191)</w:t>
            </w:r>
          </w:p>
        </w:tc>
        <w:tc>
          <w:tcPr>
            <w:tcW w:w="260" w:type="dxa"/>
            <w:vAlign w:val="bottom"/>
          </w:tcPr>
          <w:p>
            <w:pPr>
              <w:spacing w:after="0"/>
              <w:rPr>
                <w:sz w:val="23"/>
                <w:szCs w:val="23"/>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(13,191)</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(81,836)</w:t>
            </w: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(387)</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5,455</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9,677</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7,134</w:t>
            </w: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50,546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74,503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138,122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147,072</w:t>
            </w:r>
          </w:p>
        </w:tc>
      </w:tr>
    </w:tbl>
    <w:p>
      <w:pPr>
        <w:spacing w:after="0" w:line="36" w:lineRule="exact"/>
        <w:rPr>
          <w:sz w:val="20"/>
          <w:szCs w:val="20"/>
          <w:color w:val="auto"/>
        </w:rPr>
      </w:pPr>
    </w:p>
    <w:p>
      <w:pPr>
        <w:sectPr>
          <w:pgSz w:w="11900" w:h="16838" w:orient="portrait"/>
          <w:cols w:equalWidth="0" w:num="1">
            <w:col w:w="11420"/>
          </w:cols>
          <w:pgMar w:left="240" w:top="59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Diluted income (loss) per common share from continuing operations, as reported</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280" w:right="2880"/>
        <w:spacing w:after="0" w:line="352" w:lineRule="auto"/>
        <w:rPr>
          <w:sz w:val="20"/>
          <w:szCs w:val="20"/>
          <w:color w:val="auto"/>
        </w:rPr>
      </w:pPr>
      <w:r>
        <w:rPr>
          <w:rFonts w:ascii="Arial" w:cs="Arial" w:eastAsia="Arial" w:hAnsi="Arial"/>
          <w:sz w:val="16"/>
          <w:szCs w:val="16"/>
          <w:color w:val="auto"/>
        </w:rPr>
        <w:t>Impairment of goodwill and long-lived assets Restructuring and early retirement program charges Modification of stock options and restricted stock Gain on sale of Classified Ventures Classified Ventures' sale of apartments.com</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exchange of Berkshire shares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losses from the sales of businesses, an investment and the formation of a joint venture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Sale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(gain) loss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8.72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115.40</w:t>
            </w:r>
          </w:p>
        </w:tc>
      </w:tr>
      <w:tr>
        <w:trPr>
          <w:trHeight w:val="534"/>
        </w:trPr>
        <w:tc>
          <w:tcPr>
            <w:tcW w:w="34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0.63</w:t>
            </w:r>
          </w:p>
        </w:tc>
        <w:tc>
          <w:tcPr>
            <w:tcW w:w="36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1.92</w:t>
            </w:r>
          </w:p>
        </w:tc>
        <w:tc>
          <w:tcPr>
            <w:tcW w:w="34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38.96</w:t>
            </w:r>
          </w:p>
        </w:tc>
        <w:tc>
          <w:tcPr>
            <w:tcW w:w="3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0.96</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0.33</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4.97</w:t>
            </w:r>
          </w:p>
        </w:tc>
        <w:tc>
          <w:tcPr>
            <w:tcW w:w="3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0.63</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2.64</w:t>
            </w:r>
          </w:p>
        </w:tc>
        <w:tc>
          <w:tcPr>
            <w:tcW w:w="3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(42.89)</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(37.68)</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(40.23)</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2.82</w:t>
            </w:r>
          </w:p>
        </w:tc>
        <w:tc>
          <w:tcPr>
            <w:tcW w:w="3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(2.27)</w:t>
            </w:r>
          </w:p>
        </w:tc>
        <w:tc>
          <w:tcPr>
            <w:tcW w:w="360" w:type="dxa"/>
            <w:vAlign w:val="bottom"/>
          </w:tcPr>
          <w:p>
            <w:pPr>
              <w:spacing w:after="0"/>
              <w:rPr>
                <w:sz w:val="23"/>
                <w:szCs w:val="23"/>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(2.27)</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83"/>
        </w:trPr>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(0.07)</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0.94</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1.67</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23.56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22.19</w:t>
            </w:r>
          </w:p>
        </w:tc>
      </w:tr>
    </w:tbl>
    <w:p>
      <w:pPr>
        <w:spacing w:after="0" w:line="200" w:lineRule="exact"/>
        <w:rPr>
          <w:sz w:val="20"/>
          <w:szCs w:val="20"/>
          <w:color w:val="auto"/>
        </w:rPr>
      </w:pPr>
    </w:p>
    <w:p>
      <w:pPr>
        <w:sectPr>
          <w:pgSz w:w="11900" w:h="16838" w:orient="portrait"/>
          <w:cols w:equalWidth="0" w:num="2">
            <w:col w:w="6880" w:space="100"/>
            <w:col w:w="4440"/>
          </w:cols>
          <w:pgMar w:left="240" w:top="598" w:right="239" w:bottom="1440" w:gutter="0" w:footer="0" w:header="0"/>
          <w:type w:val="continuous"/>
        </w:sectPr>
      </w:pPr>
    </w:p>
    <w:p>
      <w:pPr>
        <w:spacing w:after="0" w:line="3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2019-12-05T11:32:59Z</dcterms:created>
  <dcterms:modified xsi:type="dcterms:W3CDTF">2019-12-05T11:32:59Z</dcterms:modified>
</cp:coreProperties>
</file>