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O'Shaughnessy Laura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1812 NORTH MOORE STREET, 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57"/>
        <w:gridCol w:w="464"/>
        <w:gridCol w:w="626"/>
        <w:gridCol w:w="1179"/>
        <w:gridCol w:w="1009"/>
        <w:gridCol w:w="9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4,211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22,865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4,211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15,711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4,211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19,922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of Class B shares in an exchange transaction for the equivalent number of Class A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N/A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has no voting or investment power with respect to such shares. The reporting person disclaims beneficial ownership of the reported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Shares of Class A Common Stock are convertible into shares of Class B Common Stock at any time on a one-for-one basis and have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Acquisition of Class A shares in an exchange transaction for the equivalent number of Class B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Acquisition of Class A shares from a distribution pursuant to the terms of a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Maddrey,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477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717</Words>
  <Characters>3791</Characters>
  <CharactersWithSpaces>4408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