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33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FORM 10-Q</w:t>
      </w: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4"/>
          <w:szCs w:val="14"/>
          <w:color w:val="auto"/>
        </w:rPr>
        <w:t>Quarterly Report Pursuant to Section 13 or 15(d)</w:t>
      </w:r>
    </w:p>
    <w:p>
      <w:pPr>
        <w:spacing w:after="0" w:line="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of the Securities Exchange Act of 1934</w:t>
      </w:r>
    </w:p>
    <w:p>
      <w:pPr>
        <w:sectPr>
          <w:pgSz w:w="11900" w:h="16838" w:orient="portrait"/>
          <w:cols w:equalWidth="0" w:num="1">
            <w:col w:w="10229"/>
          </w:cols>
          <w:pgMar w:left="230" w:top="226" w:right="1440" w:bottom="1440" w:gutter="0" w:footer="0" w:header="0"/>
        </w:sectPr>
      </w:pPr>
    </w:p>
    <w:p>
      <w:pPr>
        <w:spacing w:after="0" w:line="175" w:lineRule="exact"/>
        <w:rPr>
          <w:sz w:val="24"/>
          <w:szCs w:val="24"/>
          <w:color w:val="auto"/>
        </w:rPr>
      </w:pPr>
    </w:p>
    <w:p>
      <w:pPr>
        <w:ind w:left="10"/>
        <w:spacing w:after="0" w:line="256" w:lineRule="auto"/>
        <w:rPr>
          <w:sz w:val="20"/>
          <w:szCs w:val="20"/>
          <w:color w:val="auto"/>
        </w:rPr>
      </w:pPr>
      <w:r>
        <w:rPr>
          <w:rFonts w:ascii="Courier New" w:cs="Courier New" w:eastAsia="Courier New" w:hAnsi="Courier New"/>
          <w:sz w:val="14"/>
          <w:szCs w:val="14"/>
          <w:color w:val="auto"/>
        </w:rPr>
        <w:t>For the Quarterly Period Ended</w:t>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April 2, 2000</w:t>
      </w:r>
      <w:r>
        <w:rPr>
          <w:sz w:val="20"/>
          <w:szCs w:val="20"/>
          <w:color w:val="auto"/>
        </w:rPr>
        <w:tab/>
      </w:r>
      <w:r>
        <w:rPr>
          <w:rFonts w:ascii="Courier New" w:cs="Courier New" w:eastAsia="Courier New" w:hAnsi="Courier New"/>
          <w:sz w:val="14"/>
          <w:szCs w:val="14"/>
          <w:color w:val="auto"/>
        </w:rPr>
        <w:t>Commission File Number 1-6714</w:t>
      </w:r>
    </w:p>
    <w:p>
      <w:pPr>
        <w:spacing w:after="0" w:line="5" w:lineRule="exact"/>
        <w:rPr>
          <w:sz w:val="24"/>
          <w:szCs w:val="24"/>
          <w:color w:val="auto"/>
        </w:rPr>
      </w:pPr>
    </w:p>
    <w:p>
      <w:pPr>
        <w:sectPr>
          <w:pgSz w:w="11900" w:h="16838" w:orient="portrait"/>
          <w:cols w:equalWidth="0" w:num="2">
            <w:col w:w="1490" w:space="180"/>
            <w:col w:w="8559"/>
          </w:cols>
          <w:pgMar w:left="230" w:top="226" w:right="1440" w:bottom="1440" w:gutter="0" w:footer="0" w:header="0"/>
          <w:type w:val="continuous"/>
        </w:sectPr>
      </w:pPr>
    </w:p>
    <w:p>
      <w:pPr>
        <w:ind w:left="1050"/>
        <w:spacing w:after="0" w:line="233" w:lineRule="auto"/>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2390"/>
        <w:spacing w:after="0"/>
        <w:rPr>
          <w:sz w:val="20"/>
          <w:szCs w:val="20"/>
          <w:color w:val="auto"/>
        </w:rPr>
      </w:pPr>
      <w:r>
        <w:rPr>
          <w:rFonts w:ascii="Courier New" w:cs="Courier New" w:eastAsia="Courier New" w:hAnsi="Courier New"/>
          <w:sz w:val="15"/>
          <w:szCs w:val="15"/>
          <w:color w:val="auto"/>
        </w:rPr>
        <w:t>THE WASHINGTON POST COMPANY</w:t>
      </w:r>
    </w:p>
    <w:p>
      <w:pPr>
        <w:spacing w:after="0" w:line="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1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(Exact name of registrant as specified in its charter)</w:t>
      </w:r>
    </w:p>
    <w:p>
      <w:pPr>
        <w:spacing w:after="0" w:line="169" w:lineRule="exact"/>
        <w:rPr>
          <w:sz w:val="24"/>
          <w:szCs w:val="24"/>
          <w:color w:val="auto"/>
        </w:rPr>
      </w:pPr>
    </w:p>
    <w:p>
      <w:pPr>
        <w:ind w:left="1670"/>
        <w:spacing w:after="0"/>
        <w:tabs>
          <w:tab w:leader="none" w:pos="4909"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4"/>
          <w:szCs w:val="14"/>
          <w:color w:val="auto"/>
        </w:rPr>
        <w:t>53-0182885</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ind w:left="790"/>
        <w:spacing w:after="0"/>
        <w:tabs>
          <w:tab w:leader="none" w:pos="4749"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ind w:left="790"/>
        <w:spacing w:after="0"/>
        <w:tabs>
          <w:tab w:leader="none" w:pos="4749"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4"/>
          <w:szCs w:val="14"/>
          <w:color w:val="auto"/>
        </w:rPr>
        <w:t>Identification No.)</w:t>
      </w:r>
    </w:p>
    <w:p>
      <w:pPr>
        <w:spacing w:after="0" w:line="169" w:lineRule="exact"/>
        <w:rPr>
          <w:sz w:val="24"/>
          <w:szCs w:val="24"/>
          <w:color w:val="auto"/>
        </w:rPr>
      </w:pPr>
    </w:p>
    <w:p>
      <w:pPr>
        <w:ind w:left="270"/>
        <w:spacing w:after="0"/>
        <w:tabs>
          <w:tab w:leader="none" w:pos="2629" w:val="left"/>
          <w:tab w:leader="none" w:pos="5189" w:val="left"/>
        </w:tabs>
        <w:rPr>
          <w:sz w:val="20"/>
          <w:szCs w:val="20"/>
          <w:color w:val="auto"/>
        </w:rPr>
      </w:pPr>
      <w:r>
        <w:rPr>
          <w:rFonts w:ascii="Courier New" w:cs="Courier New" w:eastAsia="Courier New" w:hAnsi="Courier New"/>
          <w:sz w:val="15"/>
          <w:szCs w:val="15"/>
          <w:color w:val="auto"/>
        </w:rPr>
        <w:t>1150 15th Street, N.W.</w:t>
      </w:r>
      <w:r>
        <w:rPr>
          <w:sz w:val="20"/>
          <w:szCs w:val="20"/>
          <w:color w:val="auto"/>
        </w:rPr>
        <w:tab/>
      </w: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20071</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ind w:left="450"/>
        <w:spacing w:after="0"/>
        <w:tabs>
          <w:tab w:leader="none" w:pos="4909"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69" w:lineRule="exact"/>
        <w:rPr>
          <w:sz w:val="24"/>
          <w:szCs w:val="24"/>
          <w:color w:val="auto"/>
        </w:rPr>
      </w:pPr>
    </w:p>
    <w:p>
      <w:pPr>
        <w:ind w:left="3430" w:hanging="521"/>
        <w:spacing w:after="0"/>
        <w:tabs>
          <w:tab w:leader="none" w:pos="343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334-6000</w:t>
      </w:r>
    </w:p>
    <w:p>
      <w:pPr>
        <w:spacing w:after="0" w:line="5"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2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(Registrant's telephone number, including area code)</w:t>
      </w:r>
    </w:p>
    <w:p>
      <w:pPr>
        <w:spacing w:after="0" w:line="169" w:lineRule="exact"/>
        <w:rPr>
          <w:sz w:val="24"/>
          <w:szCs w:val="24"/>
          <w:color w:val="auto"/>
        </w:rPr>
      </w:pPr>
    </w:p>
    <w:p>
      <w:pPr>
        <w:ind w:left="610"/>
        <w:spacing w:after="0"/>
        <w:rPr>
          <w:sz w:val="20"/>
          <w:szCs w:val="20"/>
          <w:color w:val="auto"/>
        </w:rPr>
      </w:pPr>
      <w:r>
        <w:rPr>
          <w:rFonts w:ascii="Courier New" w:cs="Courier New" w:eastAsia="Courier New" w:hAnsi="Courier New"/>
          <w:sz w:val="15"/>
          <w:szCs w:val="15"/>
          <w:color w:val="auto"/>
        </w:rPr>
        <w:t>Indicate by check mark whether the registrant (1) has filed all reports</w:t>
      </w:r>
    </w:p>
    <w:tbl>
      <w:tblPr>
        <w:tblLayout w:type="fixed"/>
        <w:tblInd w:w="10"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required to</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be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filed by</w:t>
            </w:r>
          </w:p>
        </w:tc>
        <w:tc>
          <w:tcPr>
            <w:tcW w:w="33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Section 13 or 15(d) of the Securities</w:t>
            </w:r>
          </w:p>
        </w:tc>
        <w:tc>
          <w:tcPr>
            <w:tcW w:w="1600" w:type="dxa"/>
            <w:vAlign w:val="bottom"/>
          </w:tcPr>
          <w:p>
            <w:pPr>
              <w:ind w:left="100"/>
              <w:spacing w:after="0"/>
              <w:rPr>
                <w:sz w:val="20"/>
                <w:szCs w:val="20"/>
                <w:color w:val="auto"/>
              </w:rPr>
            </w:pPr>
            <w:r>
              <w:rPr>
                <w:rFonts w:ascii="Courier New" w:cs="Courier New" w:eastAsia="Courier New" w:hAnsi="Courier New"/>
                <w:sz w:val="15"/>
                <w:szCs w:val="15"/>
                <w:color w:val="auto"/>
              </w:rPr>
              <w:t>Exchange Act of</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1934 during</w:t>
            </w:r>
          </w:p>
        </w:tc>
        <w:tc>
          <w:tcPr>
            <w:tcW w:w="5960" w:type="dxa"/>
            <w:vAlign w:val="bottom"/>
            <w:gridSpan w:val="5"/>
          </w:tcPr>
          <w:p>
            <w:pPr>
              <w:jc w:val="right"/>
              <w:ind w:right="547"/>
              <w:spacing w:after="0"/>
              <w:rPr>
                <w:sz w:val="20"/>
                <w:szCs w:val="20"/>
                <w:color w:val="auto"/>
              </w:rPr>
            </w:pPr>
            <w:r>
              <w:rPr>
                <w:rFonts w:ascii="Courier New" w:cs="Courier New" w:eastAsia="Courier New" w:hAnsi="Courier New"/>
                <w:sz w:val="15"/>
                <w:szCs w:val="15"/>
                <w:color w:val="auto"/>
                <w:w w:val="98"/>
              </w:rPr>
              <w:t>the preceding 12 months (or for such shorter period that the</w:t>
            </w:r>
          </w:p>
        </w:tc>
      </w:t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registrant was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required</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w w:val="99"/>
              </w:rPr>
              <w:t>to file such reports), and</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(2) has been subject to such</w:t>
            </w:r>
          </w:p>
        </w:tc>
      </w:tr>
      <w:tr>
        <w:trPr>
          <w:trHeight w:val="170"/>
        </w:trPr>
        <w:tc>
          <w:tcPr>
            <w:tcW w:w="2060" w:type="dxa"/>
            <w:vAlign w:val="bottom"/>
            <w:gridSpan w:val="3"/>
          </w:tcPr>
          <w:p>
            <w:pPr>
              <w:spacing w:after="0"/>
              <w:rPr>
                <w:sz w:val="20"/>
                <w:szCs w:val="20"/>
                <w:color w:val="auto"/>
              </w:rPr>
            </w:pPr>
            <w:r>
              <w:rPr>
                <w:rFonts w:ascii="Courier New" w:cs="Courier New" w:eastAsia="Courier New" w:hAnsi="Courier New"/>
                <w:sz w:val="15"/>
                <w:szCs w:val="15"/>
                <w:color w:val="auto"/>
                <w:w w:val="98"/>
              </w:rPr>
              <w:t>filing requirements for</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the past 90 days. Yes X .</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No</w:t>
            </w:r>
          </w:p>
        </w:tc>
        <w:tc>
          <w:tcPr>
            <w:tcW w:w="160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80" w:type="dxa"/>
            <w:vAlign w:val="bottom"/>
          </w:tcPr>
          <w:p>
            <w:pPr>
              <w:ind w:left="19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r>
      <w:tr>
        <w:trPr>
          <w:trHeight w:val="339"/>
        </w:trPr>
        <w:tc>
          <w:tcPr>
            <w:tcW w:w="1000" w:type="dxa"/>
            <w:vAlign w:val="bottom"/>
          </w:tcPr>
          <w:p>
            <w:pPr>
              <w:ind w:left="440"/>
              <w:spacing w:after="0"/>
              <w:rPr>
                <w:sz w:val="20"/>
                <w:szCs w:val="20"/>
                <w:color w:val="auto"/>
              </w:rPr>
            </w:pPr>
            <w:r>
              <w:rPr>
                <w:rFonts w:ascii="Courier New" w:cs="Courier New" w:eastAsia="Courier New" w:hAnsi="Courier New"/>
                <w:sz w:val="15"/>
                <w:szCs w:val="15"/>
                <w:color w:val="auto"/>
                <w:w w:val="99"/>
              </w:rPr>
              <w:t>Shares</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outstanding</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at May 3, 2000:</w:t>
            </w: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9"/>
        </w:trPr>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Class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A Common</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1,739,250</w:t>
            </w:r>
          </w:p>
        </w:tc>
        <w:tc>
          <w:tcPr>
            <w:tcW w:w="1600" w:type="dxa"/>
            <w:vAlign w:val="bottom"/>
          </w:tcPr>
          <w:p>
            <w:pPr>
              <w:ind w:left="100"/>
              <w:spacing w:after="0"/>
              <w:rPr>
                <w:sz w:val="20"/>
                <w:szCs w:val="20"/>
                <w:color w:val="auto"/>
              </w:rPr>
            </w:pPr>
            <w:r>
              <w:rPr>
                <w:rFonts w:ascii="Courier New" w:cs="Courier New" w:eastAsia="Courier New" w:hAnsi="Courier New"/>
                <w:sz w:val="15"/>
                <w:szCs w:val="15"/>
                <w:color w:val="auto"/>
              </w:rPr>
              <w:t>Shares</w:t>
            </w:r>
          </w:p>
        </w:tc>
      </w:tr>
      <w:tr>
        <w:trPr>
          <w:trHeight w:val="170"/>
        </w:trPr>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Class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B Common</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7,701,160</w:t>
            </w:r>
          </w:p>
        </w:tc>
        <w:tc>
          <w:tcPr>
            <w:tcW w:w="1600" w:type="dxa"/>
            <w:vAlign w:val="bottom"/>
          </w:tcPr>
          <w:p>
            <w:pPr>
              <w:ind w:left="100"/>
              <w:spacing w:after="0"/>
              <w:rPr>
                <w:sz w:val="20"/>
                <w:szCs w:val="20"/>
                <w:color w:val="auto"/>
              </w:rPr>
            </w:pPr>
            <w:r>
              <w:rPr>
                <w:rFonts w:ascii="Courier New" w:cs="Courier New" w:eastAsia="Courier New" w:hAnsi="Courier New"/>
                <w:sz w:val="15"/>
                <w:szCs w:val="15"/>
                <w:color w:val="auto"/>
              </w:rPr>
              <w:t>Shares</w:t>
            </w:r>
          </w:p>
        </w:tc>
      </w:tr>
    </w:tbl>
    <w:p>
      <w:pPr>
        <w:sectPr>
          <w:pgSz w:w="11900" w:h="16838" w:orient="portrait"/>
          <w:cols w:equalWidth="0" w:num="1">
            <w:col w:w="10229"/>
          </w:cols>
          <w:pgMar w:left="230" w:top="226"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ind w:left="68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WASHINGTON POST COMPANY</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INDEX TO FORM 10-Q</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PAGE</w:t>
      </w:r>
    </w:p>
    <w:p>
      <w:pPr>
        <w:spacing w:after="0" w:line="169"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9"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33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Condensed Consolidated Statements of Income</w:t>
      </w:r>
    </w:p>
    <w:p>
      <w:pPr>
        <w:ind w:left="1840"/>
        <w:spacing w:after="0"/>
        <w:rPr>
          <w:sz w:val="20"/>
          <w:szCs w:val="20"/>
          <w:color w:val="auto"/>
        </w:rPr>
      </w:pPr>
      <w:r>
        <w:rPr>
          <w:rFonts w:ascii="Courier New" w:cs="Courier New" w:eastAsia="Courier New" w:hAnsi="Courier New"/>
          <w:sz w:val="15"/>
          <w:szCs w:val="15"/>
          <w:color w:val="auto"/>
        </w:rPr>
        <w:t>(Unaudited) for the Thirteen Weeks</w:t>
      </w:r>
    </w:p>
    <w:p>
      <w:pPr>
        <w:jc w:val="right"/>
        <w:spacing w:after="0"/>
        <w:tabs>
          <w:tab w:leader="dot" w:pos="60" w:val="left"/>
        </w:tabs>
        <w:rPr>
          <w:sz w:val="20"/>
          <w:szCs w:val="20"/>
          <w:color w:val="auto"/>
        </w:rPr>
      </w:pPr>
      <w:r>
        <w:rPr>
          <w:rFonts w:ascii="Courier New" w:cs="Courier New" w:eastAsia="Courier New" w:hAnsi="Courier New"/>
          <w:sz w:val="15"/>
          <w:szCs w:val="15"/>
          <w:color w:val="auto"/>
        </w:rPr>
        <w:t>Ended April 2, 2000 and April 4, 1999</w:t>
      </w:r>
      <w:r>
        <w:rPr>
          <w:sz w:val="20"/>
          <w:szCs w:val="20"/>
          <w:color w:val="auto"/>
        </w:rPr>
        <w:tab/>
      </w:r>
      <w:r>
        <w:rPr>
          <w:rFonts w:ascii="Courier New" w:cs="Courier New" w:eastAsia="Courier New" w:hAnsi="Courier New"/>
          <w:sz w:val="13"/>
          <w:szCs w:val="13"/>
          <w:color w:val="auto"/>
        </w:rPr>
        <w:t>3</w:t>
      </w:r>
    </w:p>
    <w:p>
      <w:pPr>
        <w:spacing w:after="0" w:line="168"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Condensed Consolidated Statements of Comprehensive</w:t>
      </w:r>
    </w:p>
    <w:p>
      <w:pPr>
        <w:ind w:left="1840"/>
        <w:spacing w:after="0"/>
        <w:rPr>
          <w:sz w:val="20"/>
          <w:szCs w:val="20"/>
          <w:color w:val="auto"/>
        </w:rPr>
      </w:pPr>
      <w:r>
        <w:rPr>
          <w:rFonts w:ascii="Courier New" w:cs="Courier New" w:eastAsia="Courier New" w:hAnsi="Courier New"/>
          <w:sz w:val="15"/>
          <w:szCs w:val="15"/>
          <w:color w:val="auto"/>
        </w:rPr>
        <w:t>Income (Unaudited) for the Thirteen Weeks</w:t>
      </w:r>
    </w:p>
    <w:p>
      <w:pPr>
        <w:jc w:val="right"/>
        <w:spacing w:after="0"/>
        <w:tabs>
          <w:tab w:leader="dot" w:pos="60" w:val="left"/>
        </w:tabs>
        <w:rPr>
          <w:sz w:val="20"/>
          <w:szCs w:val="20"/>
          <w:color w:val="auto"/>
        </w:rPr>
      </w:pPr>
      <w:r>
        <w:rPr>
          <w:rFonts w:ascii="Courier New" w:cs="Courier New" w:eastAsia="Courier New" w:hAnsi="Courier New"/>
          <w:sz w:val="15"/>
          <w:szCs w:val="15"/>
          <w:color w:val="auto"/>
        </w:rPr>
        <w:t>Ended April 2, 2000 and April 4, 1999</w:t>
      </w:r>
      <w:r>
        <w:rPr>
          <w:sz w:val="20"/>
          <w:szCs w:val="20"/>
          <w:color w:val="auto"/>
        </w:rPr>
        <w:tab/>
      </w:r>
      <w:r>
        <w:rPr>
          <w:rFonts w:ascii="Courier New" w:cs="Courier New" w:eastAsia="Courier New" w:hAnsi="Courier New"/>
          <w:sz w:val="13"/>
          <w:szCs w:val="13"/>
          <w:color w:val="auto"/>
        </w:rPr>
        <w:t>4</w:t>
      </w:r>
    </w:p>
    <w:p>
      <w:pPr>
        <w:spacing w:after="0" w:line="168"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Condensed Consolidated Balance Sheets at April 2, 2000</w:t>
      </w:r>
    </w:p>
    <w:p>
      <w:pPr>
        <w:jc w:val="right"/>
        <w:spacing w:after="0"/>
        <w:tabs>
          <w:tab w:leader="dot" w:pos="60" w:val="left"/>
        </w:tabs>
        <w:rPr>
          <w:sz w:val="20"/>
          <w:szCs w:val="20"/>
          <w:color w:val="auto"/>
        </w:rPr>
      </w:pPr>
      <w:r>
        <w:rPr>
          <w:rFonts w:ascii="Courier New" w:cs="Courier New" w:eastAsia="Courier New" w:hAnsi="Courier New"/>
          <w:sz w:val="15"/>
          <w:szCs w:val="15"/>
          <w:color w:val="auto"/>
        </w:rPr>
        <w:t>(Unaudited) and January 2, 2000</w:t>
      </w:r>
      <w:r>
        <w:rPr>
          <w:sz w:val="20"/>
          <w:szCs w:val="20"/>
          <w:color w:val="auto"/>
        </w:rPr>
        <w:tab/>
      </w:r>
      <w:r>
        <w:rPr>
          <w:rFonts w:ascii="Courier New" w:cs="Courier New" w:eastAsia="Courier New" w:hAnsi="Courier New"/>
          <w:sz w:val="13"/>
          <w:szCs w:val="13"/>
          <w:color w:val="auto"/>
        </w:rPr>
        <w:t>5</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Condensed Consolidated Statements of Cash Flows</w:t>
      </w:r>
    </w:p>
    <w:p>
      <w:pPr>
        <w:ind w:left="1840"/>
        <w:spacing w:after="0"/>
        <w:rPr>
          <w:sz w:val="20"/>
          <w:szCs w:val="20"/>
          <w:color w:val="auto"/>
        </w:rPr>
      </w:pPr>
      <w:r>
        <w:rPr>
          <w:rFonts w:ascii="Courier New" w:cs="Courier New" w:eastAsia="Courier New" w:hAnsi="Courier New"/>
          <w:sz w:val="15"/>
          <w:szCs w:val="15"/>
          <w:color w:val="auto"/>
        </w:rPr>
        <w:t>(Unaudited) for the Thirteen Weeks Ended</w:t>
      </w:r>
    </w:p>
    <w:p>
      <w:pPr>
        <w:jc w:val="right"/>
        <w:spacing w:after="0"/>
        <w:tabs>
          <w:tab w:leader="dot" w:pos="60" w:val="left"/>
        </w:tabs>
        <w:rPr>
          <w:sz w:val="20"/>
          <w:szCs w:val="20"/>
          <w:color w:val="auto"/>
        </w:rPr>
      </w:pPr>
      <w:r>
        <w:rPr>
          <w:rFonts w:ascii="Courier New" w:cs="Courier New" w:eastAsia="Courier New" w:hAnsi="Courier New"/>
          <w:sz w:val="15"/>
          <w:szCs w:val="15"/>
          <w:color w:val="auto"/>
        </w:rPr>
        <w:t>April 2, 2000 and April 4, 1999</w:t>
      </w:r>
      <w:r>
        <w:rPr>
          <w:sz w:val="20"/>
          <w:szCs w:val="20"/>
          <w:color w:val="auto"/>
        </w:rPr>
        <w:tab/>
      </w:r>
      <w:r>
        <w:rPr>
          <w:rFonts w:ascii="Courier New" w:cs="Courier New" w:eastAsia="Courier New" w:hAnsi="Courier New"/>
          <w:sz w:val="13"/>
          <w:szCs w:val="13"/>
          <w:color w:val="auto"/>
        </w:rPr>
        <w:t>6</w:t>
      </w:r>
    </w:p>
    <w:p>
      <w:pPr>
        <w:spacing w:after="0" w:line="168"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Notes to Condensed Consolidated Financial Statements</w:t>
      </w:r>
    </w:p>
    <w:p>
      <w:pPr>
        <w:jc w:val="right"/>
        <w:spacing w:after="0"/>
        <w:tabs>
          <w:tab w:leader="dot" w:pos="60" w:val="left"/>
        </w:tabs>
        <w:rPr>
          <w:sz w:val="20"/>
          <w:szCs w:val="20"/>
          <w:color w:val="auto"/>
        </w:rPr>
      </w:pPr>
      <w:r>
        <w:rPr>
          <w:rFonts w:ascii="Courier New" w:cs="Courier New" w:eastAsia="Courier New" w:hAnsi="Courier New"/>
          <w:sz w:val="15"/>
          <w:szCs w:val="15"/>
          <w:color w:val="auto"/>
        </w:rPr>
        <w:t>(Unaudited)</w:t>
      </w:r>
      <w:r>
        <w:rPr>
          <w:sz w:val="20"/>
          <w:szCs w:val="20"/>
          <w:color w:val="auto"/>
        </w:rPr>
        <w:tab/>
      </w:r>
      <w:r>
        <w:rPr>
          <w:rFonts w:ascii="Courier New" w:cs="Courier New" w:eastAsia="Courier New" w:hAnsi="Courier New"/>
          <w:sz w:val="13"/>
          <w:szCs w:val="13"/>
          <w:color w:val="auto"/>
        </w:rPr>
        <w:t>7</w:t>
      </w:r>
    </w:p>
    <w:p>
      <w:pPr>
        <w:spacing w:after="0" w:line="169"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 Results of</w:t>
      </w:r>
    </w:p>
    <w:p>
      <w:pPr>
        <w:jc w:val="right"/>
        <w:spacing w:after="0"/>
        <w:tabs>
          <w:tab w:leader="dot" w:pos="160" w:val="left"/>
        </w:tabs>
        <w:rPr>
          <w:sz w:val="20"/>
          <w:szCs w:val="20"/>
          <w:color w:val="auto"/>
        </w:rPr>
      </w:pPr>
      <w:r>
        <w:rPr>
          <w:rFonts w:ascii="Courier New" w:cs="Courier New" w:eastAsia="Courier New" w:hAnsi="Courier New"/>
          <w:sz w:val="15"/>
          <w:szCs w:val="15"/>
          <w:color w:val="auto"/>
        </w:rPr>
        <w:t>Operations and Financial Condition</w:t>
      </w:r>
      <w:r>
        <w:rPr>
          <w:sz w:val="20"/>
          <w:szCs w:val="20"/>
          <w:color w:val="auto"/>
        </w:rPr>
        <w:tab/>
      </w:r>
      <w:r>
        <w:rPr>
          <w:rFonts w:ascii="Courier New" w:cs="Courier New" w:eastAsia="Courier New" w:hAnsi="Courier New"/>
          <w:sz w:val="15"/>
          <w:szCs w:val="15"/>
          <w:color w:val="auto"/>
        </w:rPr>
        <w:t>10</w:t>
      </w:r>
    </w:p>
    <w:p>
      <w:pPr>
        <w:spacing w:after="0" w:line="169"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9" w:lineRule="exact"/>
        <w:rPr>
          <w:sz w:val="20"/>
          <w:szCs w:val="20"/>
          <w:color w:val="auto"/>
        </w:rPr>
      </w:pPr>
    </w:p>
    <w:p>
      <w:pPr>
        <w:spacing w:after="0"/>
        <w:tabs>
          <w:tab w:leader="none" w:pos="1020" w:val="left"/>
          <w:tab w:leader="dot" w:pos="1010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Exhibits and Reports on Form 8-K</w:t>
      </w:r>
      <w:r>
        <w:rPr>
          <w:sz w:val="20"/>
          <w:szCs w:val="20"/>
          <w:color w:val="auto"/>
        </w:rPr>
        <w:tab/>
      </w:r>
      <w:r>
        <w:rPr>
          <w:rFonts w:ascii="Courier New" w:cs="Courier New" w:eastAsia="Courier New" w:hAnsi="Courier New"/>
          <w:sz w:val="15"/>
          <w:szCs w:val="15"/>
          <w:color w:val="auto"/>
        </w:rPr>
        <w:t>15</w:t>
      </w:r>
    </w:p>
    <w:p>
      <w:pPr>
        <w:spacing w:after="0" w:line="169" w:lineRule="exact"/>
        <w:rPr>
          <w:sz w:val="20"/>
          <w:szCs w:val="20"/>
          <w:color w:val="auto"/>
        </w:rPr>
      </w:pPr>
    </w:p>
    <w:p>
      <w:pPr>
        <w:spacing w:after="0"/>
        <w:tabs>
          <w:tab w:leader="dot" w:pos="1010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16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27 (Electronic Filing Only)</w:t>
      </w:r>
    </w:p>
    <w:p>
      <w:pPr>
        <w:sectPr>
          <w:pgSz w:w="11900" w:h="16838" w:orient="portrait"/>
          <w:cols w:equalWidth="0" w:num="1">
            <w:col w:w="10300"/>
          </w:cols>
          <w:pgMar w:left="240" w:top="283" w:right="1359"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ind w:left="68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460" w:type="dxa"/>
            <w:vAlign w:val="bottom"/>
          </w:tcPr>
          <w:p>
            <w:pPr>
              <w:ind w:left="80"/>
              <w:spacing w:after="0"/>
              <w:rPr>
                <w:sz w:val="20"/>
                <w:szCs w:val="20"/>
                <w:color w:val="auto"/>
              </w:rPr>
            </w:pPr>
            <w:r>
              <w:rPr>
                <w:rFonts w:ascii="Courier New" w:cs="Courier New" w:eastAsia="Courier New" w:hAnsi="Courier New"/>
                <w:sz w:val="15"/>
                <w:szCs w:val="15"/>
                <w:color w:val="auto"/>
              </w:rPr>
              <w:t>FINANCIAL INFORMATION</w:t>
            </w: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46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w:t>
            </w: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39"/>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The Washington Post Company</w:t>
            </w: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Condensed Consolidated Statements of Income (Unaudited)</w:t>
            </w: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78"/>
        </w:trPr>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Thirteen Weeks Ended</w:t>
            </w:r>
          </w:p>
        </w:tc>
        <w:tc>
          <w:tcPr>
            <w:tcW w:w="720" w:type="dxa"/>
            <w:vAlign w:val="bottom"/>
          </w:tcPr>
          <w:p>
            <w:pPr>
              <w:spacing w:after="0"/>
              <w:rPr>
                <w:sz w:val="24"/>
                <w:szCs w:val="24"/>
                <w:color w:val="auto"/>
              </w:rPr>
            </w:pPr>
          </w:p>
        </w:tc>
      </w:tr>
      <w:tr>
        <w:trPr>
          <w:trHeight w:val="170"/>
        </w:trPr>
        <w:tc>
          <w:tcPr>
            <w:tcW w:w="7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240" w:type="dxa"/>
            <w:vAlign w:val="bottom"/>
            <w:gridSpan w:val="4"/>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8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April 2,</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April 4,</w:t>
            </w:r>
          </w:p>
        </w:tc>
      </w:tr>
      <w:tr>
        <w:trPr>
          <w:trHeight w:val="170"/>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2820" w:type="dxa"/>
            <w:vAlign w:val="bottom"/>
            <w:gridSpan w:val="2"/>
          </w:tcPr>
          <w:p>
            <w:pPr>
              <w:ind w:left="1500"/>
              <w:spacing w:after="0"/>
              <w:rPr>
                <w:sz w:val="20"/>
                <w:szCs w:val="20"/>
                <w:color w:val="auto"/>
              </w:rPr>
            </w:pPr>
            <w:r>
              <w:rPr>
                <w:rFonts w:ascii="Courier New" w:cs="Courier New" w:eastAsia="Courier New" w:hAnsi="Courier New"/>
                <w:sz w:val="15"/>
                <w:szCs w:val="15"/>
                <w:color w:val="auto"/>
              </w:rPr>
              <w:t>2000</w:t>
            </w:r>
          </w:p>
        </w:tc>
        <w:tc>
          <w:tcPr>
            <w:tcW w:w="14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7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820" w:type="dxa"/>
            <w:vAlign w:val="bottom"/>
            <w:gridSpan w:val="2"/>
          </w:tcPr>
          <w:p>
            <w:pPr>
              <w:ind w:left="150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w:t>
            </w:r>
          </w:p>
        </w:tc>
      </w:tr>
      <w:tr>
        <w:trPr>
          <w:trHeight w:val="339"/>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Operating revenues</w:t>
            </w: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6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Advertising</w:t>
            </w:r>
          </w:p>
        </w:tc>
        <w:tc>
          <w:tcPr>
            <w:tcW w:w="1580" w:type="dxa"/>
            <w:vAlign w:val="bottom"/>
          </w:tcPr>
          <w:p>
            <w:pPr>
              <w:ind w:left="15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318,865</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300,002</w:t>
            </w:r>
          </w:p>
        </w:tc>
      </w:tr>
      <w:tr>
        <w:trPr>
          <w:trHeight w:val="170"/>
        </w:trPr>
        <w:tc>
          <w:tcPr>
            <w:tcW w:w="6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Circulation and subscriber</w:t>
            </w:r>
          </w:p>
        </w:tc>
        <w:tc>
          <w:tcPr>
            <w:tcW w:w="15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147,589</w:t>
            </w:r>
          </w:p>
        </w:tc>
        <w:tc>
          <w:tcPr>
            <w:tcW w:w="7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141,431</w:t>
            </w:r>
          </w:p>
        </w:tc>
      </w:tr>
      <w:tr>
        <w:trPr>
          <w:trHeight w:val="170"/>
        </w:trPr>
        <w:tc>
          <w:tcPr>
            <w:tcW w:w="6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Education</w:t>
            </w:r>
          </w:p>
        </w:tc>
        <w:tc>
          <w:tcPr>
            <w:tcW w:w="15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71,450</w:t>
            </w:r>
          </w:p>
        </w:tc>
        <w:tc>
          <w:tcPr>
            <w:tcW w:w="7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52,018</w:t>
            </w:r>
          </w:p>
        </w:tc>
      </w:tr>
      <w:tr>
        <w:trPr>
          <w:trHeight w:val="170"/>
        </w:trPr>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5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8,867</w:t>
            </w:r>
          </w:p>
        </w:tc>
        <w:tc>
          <w:tcPr>
            <w:tcW w:w="7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26,946</w:t>
            </w:r>
          </w:p>
        </w:tc>
      </w:tr>
      <w:tr>
        <w:trPr>
          <w:trHeight w:val="170"/>
        </w:trPr>
        <w:tc>
          <w:tcPr>
            <w:tcW w:w="7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7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546,771</w:t>
            </w:r>
          </w:p>
        </w:tc>
        <w:tc>
          <w:tcPr>
            <w:tcW w:w="7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520,397</w:t>
            </w:r>
          </w:p>
        </w:tc>
      </w:tr>
      <w:tr>
        <w:trPr>
          <w:trHeight w:val="170"/>
        </w:trPr>
        <w:tc>
          <w:tcPr>
            <w:tcW w:w="7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6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Operating</w:t>
            </w:r>
          </w:p>
        </w:tc>
        <w:tc>
          <w:tcPr>
            <w:tcW w:w="15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296,072</w:t>
            </w:r>
          </w:p>
        </w:tc>
        <w:tc>
          <w:tcPr>
            <w:tcW w:w="7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286,583</w:t>
            </w:r>
          </w:p>
        </w:tc>
      </w:tr>
      <w:tr>
        <w:trPr>
          <w:trHeight w:val="170"/>
        </w:trPr>
        <w:tc>
          <w:tcPr>
            <w:tcW w:w="6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15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135,421</w:t>
            </w:r>
          </w:p>
        </w:tc>
        <w:tc>
          <w:tcPr>
            <w:tcW w:w="7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116,997</w:t>
            </w:r>
          </w:p>
        </w:tc>
      </w:tr>
      <w:tr>
        <w:trPr>
          <w:trHeight w:val="170"/>
        </w:trPr>
        <w:tc>
          <w:tcPr>
            <w:tcW w:w="6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Depreciation of property, plant and equipment</w:t>
            </w:r>
          </w:p>
        </w:tc>
        <w:tc>
          <w:tcPr>
            <w:tcW w:w="15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28,386</w:t>
            </w:r>
          </w:p>
        </w:tc>
        <w:tc>
          <w:tcPr>
            <w:tcW w:w="7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25,118</w:t>
            </w:r>
          </w:p>
        </w:tc>
      </w:tr>
      <w:tr>
        <w:trPr>
          <w:trHeight w:val="170"/>
        </w:trPr>
        <w:tc>
          <w:tcPr>
            <w:tcW w:w="6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15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14,738</w:t>
            </w:r>
          </w:p>
        </w:tc>
        <w:tc>
          <w:tcPr>
            <w:tcW w:w="7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14,425</w:t>
            </w:r>
          </w:p>
        </w:tc>
      </w:tr>
      <w:tr>
        <w:trPr>
          <w:trHeight w:val="170"/>
        </w:trPr>
        <w:tc>
          <w:tcPr>
            <w:tcW w:w="7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7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474,617</w:t>
            </w:r>
          </w:p>
        </w:tc>
        <w:tc>
          <w:tcPr>
            <w:tcW w:w="7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443,123</w:t>
            </w:r>
          </w:p>
        </w:tc>
      </w:tr>
      <w:tr>
        <w:trPr>
          <w:trHeight w:val="170"/>
        </w:trPr>
        <w:tc>
          <w:tcPr>
            <w:tcW w:w="7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Income from operations</w:t>
            </w:r>
          </w:p>
        </w:tc>
        <w:tc>
          <w:tcPr>
            <w:tcW w:w="1580" w:type="dxa"/>
            <w:vAlign w:val="bottom"/>
          </w:tcPr>
          <w:p>
            <w:pPr>
              <w:spacing w:after="0"/>
              <w:rPr>
                <w:sz w:val="24"/>
                <w:szCs w:val="2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72,154</w:t>
            </w:r>
          </w:p>
        </w:tc>
        <w:tc>
          <w:tcPr>
            <w:tcW w:w="700" w:type="dxa"/>
            <w:vAlign w:val="bottom"/>
          </w:tcPr>
          <w:p>
            <w:pPr>
              <w:spacing w:after="0"/>
              <w:rPr>
                <w:sz w:val="24"/>
                <w:szCs w:val="2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77,274</w:t>
            </w:r>
          </w:p>
        </w:tc>
      </w:tr>
      <w:tr>
        <w:trPr>
          <w:trHeight w:val="339"/>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6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Equity in losses of affiliates</w:t>
            </w:r>
          </w:p>
        </w:tc>
        <w:tc>
          <w:tcPr>
            <w:tcW w:w="1580" w:type="dxa"/>
            <w:vAlign w:val="bottom"/>
          </w:tcPr>
          <w:p>
            <w:pPr>
              <w:spacing w:after="0"/>
              <w:rPr>
                <w:sz w:val="14"/>
                <w:szCs w:val="14"/>
                <w:color w:val="auto"/>
              </w:rPr>
            </w:pP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7"/>
              </w:rPr>
              <w:t>(11,304)</w:t>
            </w:r>
          </w:p>
        </w:tc>
        <w:tc>
          <w:tcPr>
            <w:tcW w:w="7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(2,510)</w:t>
            </w:r>
          </w:p>
        </w:tc>
      </w:tr>
      <w:tr>
        <w:trPr>
          <w:trHeight w:val="170"/>
        </w:trPr>
        <w:tc>
          <w:tcPr>
            <w:tcW w:w="6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Interest income</w:t>
            </w:r>
          </w:p>
        </w:tc>
        <w:tc>
          <w:tcPr>
            <w:tcW w:w="15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224</w:t>
            </w:r>
          </w:p>
        </w:tc>
        <w:tc>
          <w:tcPr>
            <w:tcW w:w="7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246</w:t>
            </w:r>
          </w:p>
        </w:tc>
      </w:tr>
      <w:tr>
        <w:trPr>
          <w:trHeight w:val="170"/>
        </w:trPr>
        <w:tc>
          <w:tcPr>
            <w:tcW w:w="6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Interest expense</w:t>
            </w:r>
          </w:p>
        </w:tc>
        <w:tc>
          <w:tcPr>
            <w:tcW w:w="1580" w:type="dxa"/>
            <w:vAlign w:val="bottom"/>
          </w:tcPr>
          <w:p>
            <w:pPr>
              <w:spacing w:after="0"/>
              <w:rPr>
                <w:sz w:val="14"/>
                <w:szCs w:val="14"/>
                <w:color w:val="auto"/>
              </w:rPr>
            </w:pP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7"/>
              </w:rPr>
              <w:t>(12,567)</w:t>
            </w:r>
          </w:p>
        </w:tc>
        <w:tc>
          <w:tcPr>
            <w:tcW w:w="7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(6,813)</w:t>
            </w:r>
          </w:p>
        </w:tc>
      </w:tr>
      <w:tr>
        <w:trPr>
          <w:trHeight w:val="170"/>
        </w:trPr>
        <w:tc>
          <w:tcPr>
            <w:tcW w:w="61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Other, net</w:t>
            </w:r>
          </w:p>
        </w:tc>
        <w:tc>
          <w:tcPr>
            <w:tcW w:w="1580" w:type="dxa"/>
            <w:vAlign w:val="bottom"/>
          </w:tcPr>
          <w:p>
            <w:pPr>
              <w:spacing w:after="0"/>
              <w:rPr>
                <w:sz w:val="14"/>
                <w:szCs w:val="14"/>
                <w:color w:val="auto"/>
              </w:rPr>
            </w:pP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(6,938)</w:t>
            </w:r>
          </w:p>
        </w:tc>
        <w:tc>
          <w:tcPr>
            <w:tcW w:w="7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6,143</w:t>
            </w:r>
          </w:p>
        </w:tc>
      </w:tr>
      <w:tr>
        <w:trPr>
          <w:trHeight w:val="170"/>
        </w:trPr>
        <w:tc>
          <w:tcPr>
            <w:tcW w:w="7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income taxes</w:t>
            </w:r>
          </w:p>
        </w:tc>
        <w:tc>
          <w:tcPr>
            <w:tcW w:w="1580" w:type="dxa"/>
            <w:vAlign w:val="bottom"/>
          </w:tcPr>
          <w:p>
            <w:pPr>
              <w:spacing w:after="0"/>
              <w:rPr>
                <w:sz w:val="24"/>
                <w:szCs w:val="2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41,569</w:t>
            </w:r>
          </w:p>
        </w:tc>
        <w:tc>
          <w:tcPr>
            <w:tcW w:w="700" w:type="dxa"/>
            <w:vAlign w:val="bottom"/>
          </w:tcPr>
          <w:p>
            <w:pPr>
              <w:spacing w:after="0"/>
              <w:rPr>
                <w:sz w:val="24"/>
                <w:szCs w:val="2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74,340</w:t>
            </w:r>
          </w:p>
        </w:tc>
      </w:tr>
      <w:tr>
        <w:trPr>
          <w:trHeight w:val="339"/>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taxes</w:t>
            </w:r>
          </w:p>
        </w:tc>
        <w:tc>
          <w:tcPr>
            <w:tcW w:w="1580" w:type="dxa"/>
            <w:vAlign w:val="bottom"/>
          </w:tcPr>
          <w:p>
            <w:pPr>
              <w:spacing w:after="0"/>
              <w:rPr>
                <w:sz w:val="24"/>
                <w:szCs w:val="2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17,500</w:t>
            </w:r>
          </w:p>
        </w:tc>
        <w:tc>
          <w:tcPr>
            <w:tcW w:w="700" w:type="dxa"/>
            <w:vAlign w:val="bottom"/>
          </w:tcPr>
          <w:p>
            <w:pPr>
              <w:spacing w:after="0"/>
              <w:rPr>
                <w:sz w:val="24"/>
                <w:szCs w:val="2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29,150</w:t>
            </w:r>
          </w:p>
        </w:tc>
      </w:tr>
      <w:tr>
        <w:trPr>
          <w:trHeight w:val="170"/>
        </w:trPr>
        <w:tc>
          <w:tcPr>
            <w:tcW w:w="7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1580" w:type="dxa"/>
            <w:vAlign w:val="bottom"/>
          </w:tcPr>
          <w:p>
            <w:pPr>
              <w:spacing w:after="0"/>
              <w:rPr>
                <w:sz w:val="24"/>
                <w:szCs w:val="2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24,069</w:t>
            </w:r>
          </w:p>
        </w:tc>
        <w:tc>
          <w:tcPr>
            <w:tcW w:w="700" w:type="dxa"/>
            <w:vAlign w:val="bottom"/>
          </w:tcPr>
          <w:p>
            <w:pPr>
              <w:spacing w:after="0"/>
              <w:rPr>
                <w:sz w:val="24"/>
                <w:szCs w:val="2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45,190</w:t>
            </w:r>
          </w:p>
        </w:tc>
      </w:tr>
      <w:tr>
        <w:trPr>
          <w:trHeight w:val="339"/>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Redeemable preferred stock dividends</w:t>
            </w:r>
          </w:p>
        </w:tc>
        <w:tc>
          <w:tcPr>
            <w:tcW w:w="1580" w:type="dxa"/>
            <w:vAlign w:val="bottom"/>
          </w:tcPr>
          <w:p>
            <w:pPr>
              <w:spacing w:after="0"/>
              <w:rPr>
                <w:sz w:val="24"/>
                <w:szCs w:val="24"/>
                <w:color w:val="auto"/>
              </w:rPr>
            </w:pP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(500)</w:t>
            </w:r>
          </w:p>
        </w:tc>
        <w:tc>
          <w:tcPr>
            <w:tcW w:w="7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r>
      <w:tr>
        <w:trPr>
          <w:trHeight w:val="170"/>
        </w:trPr>
        <w:tc>
          <w:tcPr>
            <w:tcW w:w="7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Net income available for common shares</w:t>
            </w:r>
          </w:p>
        </w:tc>
        <w:tc>
          <w:tcPr>
            <w:tcW w:w="1580" w:type="dxa"/>
            <w:vAlign w:val="bottom"/>
          </w:tcPr>
          <w:p>
            <w:pPr>
              <w:ind w:left="15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23,569</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44,715</w:t>
            </w:r>
          </w:p>
        </w:tc>
      </w:tr>
      <w:tr>
        <w:trPr>
          <w:trHeight w:val="170"/>
        </w:trPr>
        <w:tc>
          <w:tcPr>
            <w:tcW w:w="7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1580" w:type="dxa"/>
            <w:vAlign w:val="bottom"/>
          </w:tcPr>
          <w:p>
            <w:pPr>
              <w:ind w:left="15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2.50</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4.43</w:t>
            </w:r>
          </w:p>
        </w:tc>
      </w:tr>
      <w:tr>
        <w:trPr>
          <w:trHeight w:val="170"/>
        </w:trPr>
        <w:tc>
          <w:tcPr>
            <w:tcW w:w="7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1580" w:type="dxa"/>
            <w:vAlign w:val="bottom"/>
          </w:tcPr>
          <w:p>
            <w:pPr>
              <w:ind w:left="15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2.49</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4.41</w:t>
            </w:r>
          </w:p>
        </w:tc>
      </w:tr>
      <w:tr>
        <w:trPr>
          <w:trHeight w:val="170"/>
        </w:trPr>
        <w:tc>
          <w:tcPr>
            <w:tcW w:w="7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Dividends declared per common share</w:t>
            </w:r>
          </w:p>
        </w:tc>
        <w:tc>
          <w:tcPr>
            <w:tcW w:w="1580" w:type="dxa"/>
            <w:vAlign w:val="bottom"/>
          </w:tcPr>
          <w:p>
            <w:pPr>
              <w:ind w:left="15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2.70</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2.60</w:t>
            </w:r>
          </w:p>
        </w:tc>
      </w:tr>
      <w:tr>
        <w:trPr>
          <w:trHeight w:val="170"/>
        </w:trPr>
        <w:tc>
          <w:tcPr>
            <w:tcW w:w="7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Basic average number of common shares outstanding</w:t>
            </w:r>
          </w:p>
        </w:tc>
        <w:tc>
          <w:tcPr>
            <w:tcW w:w="1580" w:type="dxa"/>
            <w:vAlign w:val="bottom"/>
          </w:tcPr>
          <w:p>
            <w:pPr>
              <w:spacing w:after="0"/>
              <w:rPr>
                <w:sz w:val="24"/>
                <w:szCs w:val="2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9,440</w:t>
            </w:r>
          </w:p>
        </w:tc>
        <w:tc>
          <w:tcPr>
            <w:tcW w:w="700" w:type="dxa"/>
            <w:vAlign w:val="bottom"/>
          </w:tcPr>
          <w:p>
            <w:pPr>
              <w:spacing w:after="0"/>
              <w:rPr>
                <w:sz w:val="24"/>
                <w:szCs w:val="2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10,098</w:t>
            </w:r>
          </w:p>
        </w:tc>
      </w:tr>
      <w:tr>
        <w:trPr>
          <w:trHeight w:val="339"/>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Diluted average number of common shares outstanding</w:t>
            </w:r>
          </w:p>
        </w:tc>
        <w:tc>
          <w:tcPr>
            <w:tcW w:w="1580" w:type="dxa"/>
            <w:vAlign w:val="bottom"/>
          </w:tcPr>
          <w:p>
            <w:pPr>
              <w:spacing w:after="0"/>
              <w:rPr>
                <w:sz w:val="24"/>
                <w:szCs w:val="2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9,458</w:t>
            </w:r>
          </w:p>
        </w:tc>
        <w:tc>
          <w:tcPr>
            <w:tcW w:w="700" w:type="dxa"/>
            <w:vAlign w:val="bottom"/>
          </w:tcPr>
          <w:p>
            <w:pPr>
              <w:spacing w:after="0"/>
              <w:rPr>
                <w:sz w:val="24"/>
                <w:szCs w:val="2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10,143</w:t>
            </w:r>
          </w:p>
        </w:tc>
      </w:tr>
    </w:tbl>
    <w:p>
      <w:pPr>
        <w:sectPr>
          <w:pgSz w:w="11900" w:h="16838" w:orient="portrait"/>
          <w:cols w:equalWidth="0" w:num="1">
            <w:col w:w="10400"/>
          </w:cols>
          <w:pgMar w:left="240" w:top="283" w:right="1259"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ind w:left="68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rPr>
          <w:sz w:val="20"/>
          <w:szCs w:val="20"/>
          <w:color w:val="auto"/>
        </w:rPr>
      </w:pPr>
      <w:r>
        <w:rPr>
          <w:rFonts w:ascii="Courier New" w:cs="Courier New" w:eastAsia="Courier New" w:hAnsi="Courier New"/>
          <w:sz w:val="15"/>
          <w:szCs w:val="15"/>
          <w:color w:val="auto"/>
        </w:rPr>
        <w:t>Condensed Consolidated Statements of Comprehensive Income (Unaudited)</w:t>
      </w:r>
    </w:p>
    <w:p>
      <w:pPr>
        <w:sectPr>
          <w:pgSz w:w="11900" w:h="16838" w:orient="portrait"/>
          <w:cols w:equalWidth="0" w:num="1">
            <w:col w:w="10400"/>
          </w:cols>
          <w:pgMar w:left="240" w:top="283"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Thirteen Weeks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60"/>
        <w:spacing w:after="0"/>
        <w:tabs>
          <w:tab w:leader="none" w:pos="2100" w:val="left"/>
        </w:tabs>
        <w:rPr>
          <w:sz w:val="20"/>
          <w:szCs w:val="20"/>
          <w:color w:val="auto"/>
        </w:rPr>
      </w:pPr>
      <w:r>
        <w:rPr>
          <w:rFonts w:ascii="Courier New" w:cs="Courier New" w:eastAsia="Courier New" w:hAnsi="Courier New"/>
          <w:sz w:val="15"/>
          <w:szCs w:val="15"/>
          <w:color w:val="auto"/>
        </w:rPr>
        <w:t>April 2,</w:t>
      </w:r>
      <w:r>
        <w:rPr>
          <w:sz w:val="20"/>
          <w:szCs w:val="20"/>
          <w:color w:val="auto"/>
        </w:rPr>
        <w:tab/>
      </w:r>
      <w:r>
        <w:rPr>
          <w:rFonts w:ascii="Courier New" w:cs="Courier New" w:eastAsia="Courier New" w:hAnsi="Courier New"/>
          <w:sz w:val="14"/>
          <w:szCs w:val="14"/>
          <w:color w:val="auto"/>
        </w:rPr>
        <w:t>April 4,</w:t>
      </w:r>
    </w:p>
    <w:p>
      <w:pPr>
        <w:ind w:left="360"/>
        <w:spacing w:after="0"/>
        <w:tabs>
          <w:tab w:leader="none" w:pos="228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ind w:left="360"/>
        <w:spacing w:after="0"/>
        <w:tabs>
          <w:tab w:leader="none" w:pos="22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6760" w:space="720"/>
            <w:col w:w="2920"/>
          </w:cols>
          <w:pgMar w:left="240" w:top="283" w:right="125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right"/>
        <w:ind w:right="520"/>
        <w:spacing w:after="0"/>
        <w:rPr>
          <w:sz w:val="20"/>
          <w:szCs w:val="20"/>
          <w:color w:val="auto"/>
        </w:rPr>
      </w:pPr>
      <w:r>
        <w:rPr>
          <w:rFonts w:ascii="Courier New" w:cs="Courier New" w:eastAsia="Courier New" w:hAnsi="Courier New"/>
          <w:sz w:val="14"/>
          <w:szCs w:val="14"/>
          <w:color w:val="auto"/>
        </w:rPr>
        <w:t>$ 24,069</w:t>
      </w:r>
    </w:p>
    <w:p>
      <w:pPr>
        <w:spacing w:after="0" w:line="5" w:lineRule="exact"/>
        <w:rPr>
          <w:sz w:val="20"/>
          <w:szCs w:val="20"/>
          <w:color w:val="auto"/>
        </w:rPr>
      </w:pPr>
    </w:p>
    <w:p>
      <w:pPr>
        <w:jc w:val="right"/>
        <w:ind w:right="5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4"/>
          <w:szCs w:val="14"/>
          <w:color w:val="auto"/>
        </w:rPr>
        <w:t>$ 45,190</w:t>
      </w:r>
    </w:p>
    <w:p>
      <w:pPr>
        <w:spacing w:after="0" w:line="5"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3">
            <w:col w:w="6940" w:space="720"/>
            <w:col w:w="1220" w:space="720"/>
            <w:col w:w="800"/>
          </w:cols>
          <w:pgMar w:left="240" w:top="283" w:right="12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comprehensive income (loss)</w:t>
      </w:r>
    </w:p>
    <w:p>
      <w:pPr>
        <w:sectPr>
          <w:pgSz w:w="11900" w:h="16838" w:orient="portrait"/>
          <w:cols w:equalWidth="0" w:num="1">
            <w:col w:w="10400"/>
          </w:cols>
          <w:pgMar w:left="240" w:top="283" w:right="1259"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Foreign currency translation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(3,109)</w:t>
      </w:r>
    </w:p>
    <w:p>
      <w:pPr>
        <w:spacing w:after="0" w:line="11" w:lineRule="exact"/>
        <w:rPr>
          <w:sz w:val="20"/>
          <w:szCs w:val="20"/>
          <w:color w:val="auto"/>
        </w:rPr>
      </w:pPr>
    </w:p>
    <w:p>
      <w:pPr>
        <w:sectPr>
          <w:pgSz w:w="11900" w:h="16838" w:orient="portrait"/>
          <w:cols w:equalWidth="0" w:num="3">
            <w:col w:w="7300" w:space="720"/>
            <w:col w:w="1040" w:space="720"/>
            <w:col w:w="620"/>
          </w:cols>
          <w:pgMar w:left="240" w:top="283" w:right="1259" w:bottom="144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Change in unrealized gain on available-for-sale</w:t>
      </w:r>
    </w:p>
    <w:p>
      <w:pPr>
        <w:sectPr>
          <w:pgSz w:w="11900" w:h="16838" w:orient="portrait"/>
          <w:cols w:equalWidth="0" w:num="1">
            <w:col w:w="10400"/>
          </w:cols>
          <w:pgMar w:left="240" w:top="283" w:right="1259" w:bottom="144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(3,932)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12,378</w:t>
      </w:r>
    </w:p>
    <w:p>
      <w:pPr>
        <w:spacing w:after="0" w:line="5" w:lineRule="exact"/>
        <w:rPr>
          <w:sz w:val="20"/>
          <w:szCs w:val="20"/>
          <w:color w:val="auto"/>
        </w:rPr>
      </w:pPr>
    </w:p>
    <w:p>
      <w:pPr>
        <w:sectPr>
          <w:pgSz w:w="11900" w:h="16838" w:orient="portrait"/>
          <w:cols w:equalWidth="0" w:num="3">
            <w:col w:w="7120" w:space="720"/>
            <w:col w:w="1220" w:space="720"/>
            <w:col w:w="620"/>
          </w:cols>
          <w:pgMar w:left="240" w:top="283" w:right="1259" w:bottom="1440" w:gutter="0" w:footer="0" w:header="0"/>
          <w:type w:val="continuous"/>
        </w:sectPr>
      </w:pPr>
    </w:p>
    <w:p>
      <w:pPr>
        <w:ind w:left="160"/>
        <w:spacing w:after="0"/>
        <w:tabs>
          <w:tab w:leader="none" w:pos="760" w:val="left"/>
        </w:tabs>
        <w:rPr>
          <w:sz w:val="20"/>
          <w:szCs w:val="20"/>
          <w:color w:val="auto"/>
        </w:rPr>
      </w:pPr>
      <w:r>
        <w:rPr>
          <w:rFonts w:ascii="Courier New" w:cs="Courier New" w:eastAsia="Courier New" w:hAnsi="Courier New"/>
          <w:sz w:val="15"/>
          <w:szCs w:val="15"/>
          <w:color w:val="auto"/>
        </w:rPr>
        <w:t>Less:</w:t>
      </w:r>
      <w:r>
        <w:rPr>
          <w:sz w:val="20"/>
          <w:szCs w:val="20"/>
          <w:color w:val="auto"/>
        </w:rPr>
        <w:tab/>
      </w:r>
      <w:r>
        <w:rPr>
          <w:rFonts w:ascii="Courier New" w:cs="Courier New" w:eastAsia="Courier New" w:hAnsi="Courier New"/>
          <w:sz w:val="14"/>
          <w:szCs w:val="14"/>
          <w:color w:val="auto"/>
        </w:rPr>
        <w:t>reclassification adjustment for realized</w:t>
      </w:r>
    </w:p>
    <w:p>
      <w:pPr>
        <w:sectPr>
          <w:pgSz w:w="11900" w:h="16838" w:orient="portrait"/>
          <w:cols w:equalWidth="0" w:num="1">
            <w:col w:w="10400"/>
          </w:cols>
          <w:pgMar w:left="240" w:top="283" w:right="1259" w:bottom="1440" w:gutter="0" w:footer="0" w:header="0"/>
          <w:type w:val="continuous"/>
        </w:sectPr>
      </w:pP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gains included in net income</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(4,373)</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(2,994)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ind w:left="260"/>
        <w:spacing w:after="0"/>
        <w:rPr>
          <w:sz w:val="20"/>
          <w:szCs w:val="20"/>
          <w:color w:val="auto"/>
        </w:rPr>
      </w:pPr>
      <w:r>
        <w:rPr>
          <w:rFonts w:ascii="Courier New" w:cs="Courier New" w:eastAsia="Courier New" w:hAnsi="Courier New"/>
          <w:sz w:val="15"/>
          <w:szCs w:val="15"/>
          <w:color w:val="auto"/>
        </w:rPr>
        <w:t>6,275</w:t>
      </w:r>
    </w:p>
    <w:p>
      <w:pPr>
        <w:spacing w:after="0" w:line="5" w:lineRule="exact"/>
        <w:rPr>
          <w:sz w:val="20"/>
          <w:szCs w:val="20"/>
          <w:color w:val="auto"/>
        </w:rPr>
      </w:pPr>
    </w:p>
    <w:p>
      <w:pPr>
        <w:sectPr>
          <w:pgSz w:w="11900" w:h="16838" w:orient="portrait"/>
          <w:cols w:equalWidth="0" w:num="3">
            <w:col w:w="7020" w:space="720"/>
            <w:col w:w="1140" w:space="720"/>
            <w:col w:w="800"/>
          </w:cols>
          <w:pgMar w:left="240" w:top="283" w:right="1259" w:bottom="144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Income tax benefit (expense) related to other</w:t>
      </w:r>
    </w:p>
    <w:p>
      <w:pPr>
        <w:sectPr>
          <w:pgSz w:w="11900" w:h="16838" w:orient="portrait"/>
          <w:cols w:equalWidth="0" w:num="1">
            <w:col w:w="10400"/>
          </w:cols>
          <w:pgMar w:left="240" w:top="283" w:right="1259" w:bottom="144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comprehensive income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1,456</w:t>
      </w:r>
    </w:p>
    <w:p>
      <w:pPr>
        <w:ind w:left="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(2,917)</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$ 21,152</w:t>
      </w:r>
    </w:p>
    <w:p>
      <w:pPr>
        <w:ind w:left="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(3,662)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ind w:left="260"/>
        <w:spacing w:after="0"/>
        <w:rPr>
          <w:sz w:val="20"/>
          <w:szCs w:val="20"/>
          <w:color w:val="auto"/>
        </w:rPr>
      </w:pPr>
      <w:r>
        <w:rPr>
          <w:rFonts w:ascii="Courier New" w:cs="Courier New" w:eastAsia="Courier New" w:hAnsi="Courier New"/>
          <w:sz w:val="15"/>
          <w:szCs w:val="15"/>
          <w:color w:val="auto"/>
        </w:rPr>
        <w:t>2,613</w:t>
      </w:r>
    </w:p>
    <w:p>
      <w:pPr>
        <w:spacing w:after="0"/>
        <w:rPr>
          <w:sz w:val="20"/>
          <w:szCs w:val="20"/>
          <w:color w:val="auto"/>
        </w:rPr>
      </w:pPr>
      <w:r>
        <w:rPr>
          <w:rFonts w:ascii="Courier New" w:cs="Courier New" w:eastAsia="Courier New" w:hAnsi="Courier New"/>
          <w:sz w:val="15"/>
          <w:szCs w:val="15"/>
          <w:color w:val="auto"/>
        </w:rPr>
        <w:t>--------</w:t>
      </w:r>
    </w:p>
    <w:p>
      <w:pPr>
        <w:ind w:left="180"/>
        <w:spacing w:after="0" w:line="238" w:lineRule="auto"/>
        <w:rPr>
          <w:sz w:val="20"/>
          <w:szCs w:val="20"/>
          <w:color w:val="auto"/>
        </w:rPr>
      </w:pPr>
      <w:r>
        <w:rPr>
          <w:rFonts w:ascii="Courier New" w:cs="Courier New" w:eastAsia="Courier New" w:hAnsi="Courier New"/>
          <w:sz w:val="15"/>
          <w:szCs w:val="15"/>
          <w:color w:val="auto"/>
        </w:rPr>
        <w:t>47,803</w:t>
      </w: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4">
            <w:col w:w="6940" w:space="720"/>
            <w:col w:w="1120" w:space="720"/>
            <w:col w:w="100" w:space="0"/>
            <w:col w:w="800"/>
          </w:cols>
          <w:pgMar w:left="240" w:top="283" w:right="1259"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tbl>
      <w:tblPr>
        <w:tblLayout w:type="fixed"/>
        <w:tblInd w:w="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w:t>
            </w: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78"/>
        </w:trPr>
        <w:tc>
          <w:tcPr>
            <w:tcW w:w="5640" w:type="dxa"/>
            <w:vAlign w:val="bottom"/>
          </w:tcPr>
          <w:p>
            <w:pPr>
              <w:spacing w:after="0"/>
              <w:rPr>
                <w:sz w:val="20"/>
                <w:szCs w:val="20"/>
                <w:color w:val="auto"/>
              </w:rPr>
            </w:pPr>
            <w:r>
              <w:rPr>
                <w:rFonts w:ascii="Courier New" w:cs="Courier New" w:eastAsia="Courier New" w:hAnsi="Courier New"/>
                <w:sz w:val="15"/>
                <w:szCs w:val="15"/>
                <w:color w:val="auto"/>
              </w:rPr>
              <w:t>The Washington Post Company</w:t>
            </w: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Condensed Consolidated Balance Sheets</w:t>
            </w:r>
          </w:p>
        </w:tc>
        <w:tc>
          <w:tcPr>
            <w:tcW w:w="1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78"/>
        </w:trPr>
        <w:tc>
          <w:tcPr>
            <w:tcW w:w="56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3300" w:type="dxa"/>
            <w:vAlign w:val="bottom"/>
            <w:gridSpan w:val="2"/>
          </w:tcPr>
          <w:p>
            <w:pPr>
              <w:jc w:val="center"/>
              <w:ind w:left="847"/>
              <w:spacing w:after="0"/>
              <w:rPr>
                <w:sz w:val="20"/>
                <w:szCs w:val="20"/>
                <w:color w:val="auto"/>
              </w:rPr>
            </w:pPr>
            <w:r>
              <w:rPr>
                <w:rFonts w:ascii="Courier New" w:cs="Courier New" w:eastAsia="Courier New" w:hAnsi="Courier New"/>
                <w:sz w:val="15"/>
                <w:szCs w:val="15"/>
                <w:color w:val="auto"/>
                <w:w w:val="97"/>
              </w:rPr>
              <w:t>April 2,</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center"/>
              <w:ind w:right="947"/>
              <w:spacing w:after="0"/>
              <w:rPr>
                <w:sz w:val="20"/>
                <w:szCs w:val="20"/>
                <w:color w:val="auto"/>
              </w:rPr>
            </w:pPr>
            <w:r>
              <w:rPr>
                <w:rFonts w:ascii="Courier New" w:cs="Courier New" w:eastAsia="Courier New" w:hAnsi="Courier New"/>
                <w:sz w:val="15"/>
                <w:szCs w:val="15"/>
                <w:color w:val="auto"/>
                <w:w w:val="94"/>
              </w:rPr>
              <w:t>2000</w:t>
            </w:r>
          </w:p>
        </w:tc>
        <w:tc>
          <w:tcPr>
            <w:tcW w:w="5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January 2,</w:t>
            </w:r>
          </w:p>
        </w:tc>
      </w:tr>
      <w:tr>
        <w:trPr>
          <w:trHeight w:val="170"/>
        </w:trPr>
        <w:tc>
          <w:tcPr>
            <w:tcW w:w="5640" w:type="dxa"/>
            <w:vAlign w:val="bottom"/>
          </w:tcPr>
          <w:p>
            <w:pPr>
              <w:spacing w:after="0"/>
              <w:rPr>
                <w:sz w:val="14"/>
                <w:szCs w:val="14"/>
                <w:color w:val="auto"/>
              </w:rPr>
            </w:pPr>
          </w:p>
        </w:tc>
        <w:tc>
          <w:tcPr>
            <w:tcW w:w="330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(unaudited)</w:t>
            </w:r>
          </w:p>
        </w:tc>
        <w:tc>
          <w:tcPr>
            <w:tcW w:w="56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640" w:type="dxa"/>
            <w:vAlign w:val="bottom"/>
          </w:tcPr>
          <w:p>
            <w:pPr>
              <w:spacing w:after="0"/>
              <w:rPr>
                <w:sz w:val="14"/>
                <w:szCs w:val="14"/>
                <w:color w:val="auto"/>
              </w:rPr>
            </w:pPr>
          </w:p>
        </w:tc>
        <w:tc>
          <w:tcPr>
            <w:tcW w:w="3300" w:type="dxa"/>
            <w:vAlign w:val="bottom"/>
            <w:gridSpan w:val="2"/>
          </w:tcPr>
          <w:p>
            <w:pPr>
              <w:jc w:val="center"/>
              <w:ind w:left="847"/>
              <w:spacing w:after="0"/>
              <w:rPr>
                <w:sz w:val="20"/>
                <w:szCs w:val="20"/>
                <w:color w:val="auto"/>
              </w:rPr>
            </w:pPr>
            <w:r>
              <w:rPr>
                <w:rFonts w:ascii="Courier New" w:cs="Courier New" w:eastAsia="Courier New" w:hAnsi="Courier New"/>
                <w:sz w:val="15"/>
                <w:szCs w:val="15"/>
                <w:color w:val="auto"/>
                <w:w w:val="98"/>
              </w:rPr>
              <w:t>------------</w:t>
            </w:r>
          </w:p>
        </w:tc>
        <w:tc>
          <w:tcPr>
            <w:tcW w:w="15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1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29,308</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75,479</w:t>
            </w: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marketable equity securities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36,425</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37,228</w:t>
            </w: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269,722</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270,264</w:t>
            </w: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Federal and state income taxes receivable</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48,597</w:t>
            </w: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25,189</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13,890</w:t>
            </w: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Other current assets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33,129</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30,701</w:t>
            </w: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393,773</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476,159</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9"/>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Buildings</w:t>
            </w:r>
          </w:p>
        </w:tc>
        <w:tc>
          <w:tcPr>
            <w:tcW w:w="1940" w:type="dxa"/>
            <w:vAlign w:val="bottom"/>
          </w:tcPr>
          <w:p>
            <w:pPr>
              <w:spacing w:after="0"/>
              <w:rPr>
                <w:sz w:val="24"/>
                <w:szCs w:val="2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249,655</w:t>
            </w:r>
          </w:p>
        </w:tc>
        <w:tc>
          <w:tcPr>
            <w:tcW w:w="56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249,957</w:t>
            </w: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Machinery, equipment and fixtures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1,101,866</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1,081,787</w:t>
            </w: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Leasehold improvements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54,162</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53,048</w:t>
            </w: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1,405,683</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1,384,792</w:t>
            </w: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Less accumulated depreciation</w:t>
            </w:r>
          </w:p>
        </w:tc>
        <w:tc>
          <w:tcPr>
            <w:tcW w:w="194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(655,892)</w:t>
            </w:r>
          </w:p>
        </w:tc>
        <w:tc>
          <w:tcPr>
            <w:tcW w:w="560" w:type="dxa"/>
            <w:vAlign w:val="bottom"/>
          </w:tcPr>
          <w:p>
            <w:pPr>
              <w:spacing w:after="0"/>
              <w:rPr>
                <w:sz w:val="14"/>
                <w:szCs w:val="14"/>
                <w:color w:val="auto"/>
              </w:rPr>
            </w:pP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(626,899)</w:t>
            </w: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749,791</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757,893</w:t>
            </w: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Land</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37,101</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37,301</w:t>
            </w: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Construction in progress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63,844</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59,712</w:t>
            </w: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850,736</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854,906</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Investments in marketable equity securities</w:t>
            </w:r>
          </w:p>
        </w:tc>
        <w:tc>
          <w:tcPr>
            <w:tcW w:w="1940" w:type="dxa"/>
            <w:vAlign w:val="bottom"/>
          </w:tcPr>
          <w:p>
            <w:pPr>
              <w:spacing w:after="0"/>
              <w:rPr>
                <w:sz w:val="24"/>
                <w:szCs w:val="2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168,583</w:t>
            </w:r>
          </w:p>
        </w:tc>
        <w:tc>
          <w:tcPr>
            <w:tcW w:w="56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165,784</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Investments in affiliates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146,043</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140,669</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intangibles,</w:t>
            </w:r>
          </w:p>
        </w:tc>
        <w:tc>
          <w:tcPr>
            <w:tcW w:w="1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less accumulated amortization</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876,974</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886,060</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Prepaid pension cost</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353,045</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337,818</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Deferred charges and other assets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134,682</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125,548</w:t>
            </w: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640" w:type="dxa"/>
            <w:vAlign w:val="bottom"/>
          </w:tcPr>
          <w:p>
            <w:pPr>
              <w:spacing w:after="0"/>
              <w:rPr>
                <w:sz w:val="14"/>
                <w:szCs w:val="14"/>
                <w:color w:val="auto"/>
              </w:rPr>
            </w:pPr>
          </w:p>
        </w:tc>
        <w:tc>
          <w:tcPr>
            <w:tcW w:w="33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$2,923,836</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$2,986,944</w:t>
            </w: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liabilities</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232,153</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254,105</w:t>
            </w: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Deferred subscription revenue</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87,733</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80,766</w:t>
            </w: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Dividends declared</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12,960</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Short-term borrowings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395,352</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487,677</w:t>
            </w: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728,198</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822,548</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940" w:type="dxa"/>
            <w:vAlign w:val="bottom"/>
          </w:tcPr>
          <w:p>
            <w:pPr>
              <w:spacing w:after="0"/>
              <w:rPr>
                <w:sz w:val="24"/>
                <w:szCs w:val="2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276,915</w:t>
            </w:r>
          </w:p>
        </w:tc>
        <w:tc>
          <w:tcPr>
            <w:tcW w:w="56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273,110</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131,862</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114,003</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397,685</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397,620</w:t>
            </w: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1,534,660</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1,607,281</w:t>
            </w: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1940" w:type="dxa"/>
            <w:vAlign w:val="bottom"/>
          </w:tcPr>
          <w:p>
            <w:pPr>
              <w:spacing w:after="0"/>
              <w:rPr>
                <w:sz w:val="24"/>
                <w:szCs w:val="2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13,148</w:t>
            </w:r>
          </w:p>
        </w:tc>
        <w:tc>
          <w:tcPr>
            <w:tcW w:w="56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11,873</w:t>
            </w: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1940" w:type="dxa"/>
            <w:vAlign w:val="bottom"/>
          </w:tcPr>
          <w:p>
            <w:pPr>
              <w:spacing w:after="0"/>
              <w:rPr>
                <w:sz w:val="24"/>
                <w:szCs w:val="2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Common shareholders' equity</w:t>
            </w:r>
          </w:p>
        </w:tc>
        <w:tc>
          <w:tcPr>
            <w:tcW w:w="1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Common stock</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20,000</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20,000</w:t>
            </w: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Capital in excess of par value</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121,924</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108,867</w:t>
            </w: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2,767,804</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2,769,676</w:t>
            </w: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income (losses)</w:t>
            </w:r>
          </w:p>
        </w:tc>
        <w:tc>
          <w:tcPr>
            <w:tcW w:w="1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640" w:type="dxa"/>
            <w:vAlign w:val="bottom"/>
          </w:tcPr>
          <w:p>
            <w:pPr>
              <w:ind w:left="520"/>
              <w:spacing w:after="0"/>
              <w:rPr>
                <w:sz w:val="20"/>
                <w:szCs w:val="20"/>
                <w:color w:val="auto"/>
              </w:rPr>
            </w:pPr>
            <w:r>
              <w:rPr>
                <w:rFonts w:ascii="Courier New" w:cs="Courier New" w:eastAsia="Courier New" w:hAnsi="Courier New"/>
                <w:sz w:val="15"/>
                <w:szCs w:val="15"/>
                <w:color w:val="auto"/>
              </w:rPr>
              <w:t>Cumulative foreign currency translation</w:t>
            </w:r>
          </w:p>
        </w:tc>
        <w:tc>
          <w:tcPr>
            <w:tcW w:w="1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640" w:type="dxa"/>
            <w:vAlign w:val="bottom"/>
          </w:tcPr>
          <w:p>
            <w:pPr>
              <w:ind w:left="780"/>
              <w:spacing w:after="0"/>
              <w:rPr>
                <w:sz w:val="20"/>
                <w:szCs w:val="20"/>
                <w:color w:val="auto"/>
              </w:rPr>
            </w:pPr>
            <w:r>
              <w:rPr>
                <w:rFonts w:ascii="Courier New" w:cs="Courier New" w:eastAsia="Courier New" w:hAnsi="Courier New"/>
                <w:sz w:val="15"/>
                <w:szCs w:val="15"/>
                <w:color w:val="auto"/>
              </w:rPr>
              <w:t>adjustment</w:t>
            </w:r>
          </w:p>
        </w:tc>
        <w:tc>
          <w:tcPr>
            <w:tcW w:w="194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(5,330)</w:t>
            </w:r>
          </w:p>
        </w:tc>
        <w:tc>
          <w:tcPr>
            <w:tcW w:w="560" w:type="dxa"/>
            <w:vAlign w:val="bottom"/>
          </w:tcPr>
          <w:p>
            <w:pPr>
              <w:spacing w:after="0"/>
              <w:rPr>
                <w:sz w:val="14"/>
                <w:szCs w:val="14"/>
                <w:color w:val="auto"/>
              </w:rPr>
            </w:pP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(4,889)</w:t>
            </w:r>
          </w:p>
        </w:tc>
      </w:tr>
      <w:tr>
        <w:trPr>
          <w:trHeight w:val="170"/>
        </w:trPr>
        <w:tc>
          <w:tcPr>
            <w:tcW w:w="5640" w:type="dxa"/>
            <w:vAlign w:val="bottom"/>
          </w:tcPr>
          <w:p>
            <w:pPr>
              <w:ind w:left="520"/>
              <w:spacing w:after="0"/>
              <w:rPr>
                <w:sz w:val="20"/>
                <w:szCs w:val="20"/>
                <w:color w:val="auto"/>
              </w:rPr>
            </w:pPr>
            <w:r>
              <w:rPr>
                <w:rFonts w:ascii="Courier New" w:cs="Courier New" w:eastAsia="Courier New" w:hAnsi="Courier New"/>
                <w:sz w:val="15"/>
                <w:szCs w:val="15"/>
                <w:color w:val="auto"/>
              </w:rPr>
              <w:t>Unrealized gain on available-for-sale</w:t>
            </w:r>
          </w:p>
        </w:tc>
        <w:tc>
          <w:tcPr>
            <w:tcW w:w="1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640" w:type="dxa"/>
            <w:vAlign w:val="bottom"/>
          </w:tcPr>
          <w:p>
            <w:pPr>
              <w:ind w:left="780"/>
              <w:spacing w:after="0"/>
              <w:rPr>
                <w:sz w:val="20"/>
                <w:szCs w:val="20"/>
                <w:color w:val="auto"/>
              </w:rPr>
            </w:pPr>
            <w:r>
              <w:rPr>
                <w:rFonts w:ascii="Courier New" w:cs="Courier New" w:eastAsia="Courier New" w:hAnsi="Courier New"/>
                <w:sz w:val="15"/>
                <w:szCs w:val="15"/>
                <w:color w:val="auto"/>
              </w:rPr>
              <w:t>securities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2,793</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5,269</w:t>
            </w: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Cost of Class B common stock held in treasury</w:t>
            </w:r>
          </w:p>
        </w:tc>
        <w:tc>
          <w:tcPr>
            <w:tcW w:w="33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(1,531,163)</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(1,531,133)</w:t>
            </w: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1,376,028</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1,367,790</w:t>
            </w: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5640" w:type="dxa"/>
            <w:vAlign w:val="bottom"/>
          </w:tcPr>
          <w:p>
            <w:pPr>
              <w:spacing w:after="0"/>
              <w:rPr>
                <w:sz w:val="14"/>
                <w:szCs w:val="14"/>
                <w:color w:val="auto"/>
              </w:rPr>
            </w:pPr>
          </w:p>
        </w:tc>
        <w:tc>
          <w:tcPr>
            <w:tcW w:w="33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$2,923,836</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$2,986,944</w:t>
            </w: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bl>
    <w:p>
      <w:pPr>
        <w:sectPr>
          <w:pgSz w:w="11900" w:h="16838" w:orient="portrait"/>
          <w:cols w:equalWidth="0" w:num="1">
            <w:col w:w="10480"/>
          </w:cols>
          <w:pgMar w:left="240" w:top="283" w:right="1179" w:bottom="904"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ind w:left="68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rPr>
          <w:sz w:val="20"/>
          <w:szCs w:val="20"/>
          <w:color w:val="auto"/>
        </w:rPr>
      </w:pPr>
      <w:r>
        <w:rPr>
          <w:rFonts w:ascii="Courier New" w:cs="Courier New" w:eastAsia="Courier New" w:hAnsi="Courier New"/>
          <w:sz w:val="15"/>
          <w:szCs w:val="15"/>
          <w:color w:val="auto"/>
        </w:rPr>
        <w:t>Condensed Consolidated Statements of Cash Flows (Unaudited)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74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Thirteen Weeks Ended</w:t>
            </w:r>
          </w:p>
        </w:tc>
      </w:tr>
      <w:tr>
        <w:trPr>
          <w:trHeight w:val="170"/>
        </w:trPr>
        <w:tc>
          <w:tcPr>
            <w:tcW w:w="6240" w:type="dxa"/>
            <w:vAlign w:val="bottom"/>
          </w:tcPr>
          <w:p>
            <w:pPr>
              <w:spacing w:after="0"/>
              <w:rPr>
                <w:sz w:val="14"/>
                <w:szCs w:val="14"/>
                <w:color w:val="auto"/>
              </w:rPr>
            </w:pPr>
          </w:p>
        </w:tc>
        <w:tc>
          <w:tcPr>
            <w:tcW w:w="416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14"/>
                <w:szCs w:val="14"/>
                <w:color w:val="auto"/>
              </w:rPr>
            </w:pPr>
          </w:p>
        </w:tc>
        <w:tc>
          <w:tcPr>
            <w:tcW w:w="2740" w:type="dxa"/>
            <w:vAlign w:val="bottom"/>
            <w:gridSpan w:val="2"/>
          </w:tcPr>
          <w:p>
            <w:pPr>
              <w:ind w:left="1340"/>
              <w:spacing w:after="0"/>
              <w:rPr>
                <w:sz w:val="20"/>
                <w:szCs w:val="20"/>
                <w:color w:val="auto"/>
              </w:rPr>
            </w:pPr>
            <w:r>
              <w:rPr>
                <w:rFonts w:ascii="Courier New" w:cs="Courier New" w:eastAsia="Courier New" w:hAnsi="Courier New"/>
                <w:sz w:val="15"/>
                <w:szCs w:val="15"/>
                <w:color w:val="auto"/>
              </w:rPr>
              <w:t>April 2,</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April 4,</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420" w:type="dxa"/>
            <w:vAlign w:val="bottom"/>
          </w:tcPr>
          <w:p>
            <w:pPr>
              <w:spacing w:after="0"/>
              <w:rPr>
                <w:sz w:val="14"/>
                <w:szCs w:val="14"/>
                <w:color w:val="auto"/>
              </w:rPr>
            </w:pPr>
          </w:p>
        </w:tc>
        <w:tc>
          <w:tcPr>
            <w:tcW w:w="13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2000</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6240" w:type="dxa"/>
            <w:vAlign w:val="bottom"/>
          </w:tcPr>
          <w:p>
            <w:pPr>
              <w:spacing w:after="0"/>
              <w:rPr>
                <w:sz w:val="14"/>
                <w:szCs w:val="14"/>
                <w:color w:val="auto"/>
              </w:rPr>
            </w:pPr>
          </w:p>
        </w:tc>
        <w:tc>
          <w:tcPr>
            <w:tcW w:w="27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2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0"/>
        </w:trPr>
        <w:tc>
          <w:tcPr>
            <w:tcW w:w="624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420" w:type="dxa"/>
            <w:vAlign w:val="bottom"/>
          </w:tcPr>
          <w:p>
            <w:pPr>
              <w:ind w:left="134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24,069</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$ 45,190</w:t>
            </w:r>
          </w:p>
        </w:tc>
      </w:tr>
      <w:tr>
        <w:trPr>
          <w:trHeight w:val="170"/>
        </w:trPr>
        <w:tc>
          <w:tcPr>
            <w:tcW w:w="624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240" w:type="dxa"/>
            <w:vAlign w:val="bottom"/>
          </w:tcPr>
          <w:p>
            <w:pPr>
              <w:ind w:left="520"/>
              <w:spacing w:after="0"/>
              <w:rPr>
                <w:sz w:val="20"/>
                <w:szCs w:val="20"/>
                <w:color w:val="auto"/>
              </w:rPr>
            </w:pPr>
            <w:r>
              <w:rPr>
                <w:rFonts w:ascii="Courier New" w:cs="Courier New" w:eastAsia="Courier New" w:hAnsi="Courier New"/>
                <w:sz w:val="15"/>
                <w:szCs w:val="15"/>
                <w:color w:val="auto"/>
              </w:rPr>
              <w:t>provided by operating activities:</w:t>
            </w: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240" w:type="dxa"/>
            <w:vAlign w:val="bottom"/>
          </w:tcPr>
          <w:p>
            <w:pPr>
              <w:ind w:left="780"/>
              <w:spacing w:after="0"/>
              <w:rPr>
                <w:sz w:val="20"/>
                <w:szCs w:val="20"/>
                <w:color w:val="auto"/>
              </w:rPr>
            </w:pPr>
            <w:r>
              <w:rPr>
                <w:rFonts w:ascii="Courier New" w:cs="Courier New" w:eastAsia="Courier New" w:hAnsi="Courier New"/>
                <w:sz w:val="15"/>
                <w:szCs w:val="15"/>
                <w:color w:val="auto"/>
              </w:rPr>
              <w:t>Depreciation of property, plant and equipment</w:t>
            </w:r>
          </w:p>
        </w:tc>
        <w:tc>
          <w:tcPr>
            <w:tcW w:w="14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28,386</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25,118</w:t>
            </w:r>
          </w:p>
        </w:tc>
      </w:tr>
      <w:tr>
        <w:trPr>
          <w:trHeight w:val="170"/>
        </w:trPr>
        <w:tc>
          <w:tcPr>
            <w:tcW w:w="6240" w:type="dxa"/>
            <w:vAlign w:val="bottom"/>
          </w:tcPr>
          <w:p>
            <w:pPr>
              <w:ind w:left="780"/>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14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14,738</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14,425</w:t>
            </w:r>
          </w:p>
        </w:tc>
      </w:tr>
      <w:tr>
        <w:trPr>
          <w:trHeight w:val="170"/>
        </w:trPr>
        <w:tc>
          <w:tcPr>
            <w:tcW w:w="6240" w:type="dxa"/>
            <w:vAlign w:val="bottom"/>
          </w:tcPr>
          <w:p>
            <w:pPr>
              <w:ind w:left="780"/>
              <w:spacing w:after="0"/>
              <w:rPr>
                <w:sz w:val="20"/>
                <w:szCs w:val="20"/>
                <w:color w:val="auto"/>
              </w:rPr>
            </w:pPr>
            <w:r>
              <w:rPr>
                <w:rFonts w:ascii="Courier New" w:cs="Courier New" w:eastAsia="Courier New" w:hAnsi="Courier New"/>
                <w:sz w:val="15"/>
                <w:szCs w:val="15"/>
                <w:color w:val="auto"/>
              </w:rPr>
              <w:t>Net pension benefit</w:t>
            </w:r>
          </w:p>
        </w:tc>
        <w:tc>
          <w:tcPr>
            <w:tcW w:w="1420" w:type="dxa"/>
            <w:vAlign w:val="bottom"/>
          </w:tcPr>
          <w:p>
            <w:pPr>
              <w:spacing w:after="0"/>
              <w:rPr>
                <w:sz w:val="14"/>
                <w:szCs w:val="1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(15,000)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(21,658)</w:t>
            </w:r>
          </w:p>
        </w:tc>
      </w:tr>
      <w:tr>
        <w:trPr>
          <w:trHeight w:val="170"/>
        </w:trPr>
        <w:tc>
          <w:tcPr>
            <w:tcW w:w="6240" w:type="dxa"/>
            <w:vAlign w:val="bottom"/>
          </w:tcPr>
          <w:p>
            <w:pPr>
              <w:ind w:left="780"/>
              <w:spacing w:after="0"/>
              <w:rPr>
                <w:sz w:val="20"/>
                <w:szCs w:val="20"/>
                <w:color w:val="auto"/>
              </w:rPr>
            </w:pPr>
            <w:r>
              <w:rPr>
                <w:rFonts w:ascii="Courier New" w:cs="Courier New" w:eastAsia="Courier New" w:hAnsi="Courier New"/>
                <w:sz w:val="15"/>
                <w:szCs w:val="15"/>
                <w:color w:val="auto"/>
              </w:rPr>
              <w:t>Gain on disposition of marketable equity</w:t>
            </w: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240" w:type="dxa"/>
            <w:vAlign w:val="bottom"/>
          </w:tcPr>
          <w:p>
            <w:pPr>
              <w:ind w:left="1140"/>
              <w:spacing w:after="0"/>
              <w:rPr>
                <w:sz w:val="20"/>
                <w:szCs w:val="20"/>
                <w:color w:val="auto"/>
              </w:rPr>
            </w:pPr>
            <w:r>
              <w:rPr>
                <w:rFonts w:ascii="Courier New" w:cs="Courier New" w:eastAsia="Courier New" w:hAnsi="Courier New"/>
                <w:sz w:val="15"/>
                <w:szCs w:val="15"/>
                <w:color w:val="auto"/>
              </w:rPr>
              <w:t>securities</w:t>
            </w:r>
          </w:p>
        </w:tc>
        <w:tc>
          <w:tcPr>
            <w:tcW w:w="14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(6,689)</w:t>
            </w:r>
          </w:p>
        </w:tc>
      </w:tr>
      <w:tr>
        <w:trPr>
          <w:trHeight w:val="170"/>
        </w:trPr>
        <w:tc>
          <w:tcPr>
            <w:tcW w:w="6240" w:type="dxa"/>
            <w:vAlign w:val="bottom"/>
          </w:tcPr>
          <w:p>
            <w:pPr>
              <w:ind w:left="780"/>
              <w:spacing w:after="0"/>
              <w:rPr>
                <w:sz w:val="20"/>
                <w:szCs w:val="20"/>
                <w:color w:val="auto"/>
              </w:rPr>
            </w:pPr>
            <w:r>
              <w:rPr>
                <w:rFonts w:ascii="Courier New" w:cs="Courier New" w:eastAsia="Courier New" w:hAnsi="Courier New"/>
                <w:sz w:val="15"/>
                <w:szCs w:val="15"/>
                <w:color w:val="auto"/>
              </w:rPr>
              <w:t>Equity in losses of affiliates, net of</w:t>
            </w: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240" w:type="dxa"/>
            <w:vAlign w:val="bottom"/>
          </w:tcPr>
          <w:p>
            <w:pPr>
              <w:ind w:left="1140"/>
              <w:spacing w:after="0"/>
              <w:rPr>
                <w:sz w:val="20"/>
                <w:szCs w:val="20"/>
                <w:color w:val="auto"/>
              </w:rPr>
            </w:pPr>
            <w:r>
              <w:rPr>
                <w:rFonts w:ascii="Courier New" w:cs="Courier New" w:eastAsia="Courier New" w:hAnsi="Courier New"/>
                <w:sz w:val="15"/>
                <w:szCs w:val="15"/>
                <w:color w:val="auto"/>
              </w:rPr>
              <w:t>distributions</w:t>
            </w:r>
          </w:p>
        </w:tc>
        <w:tc>
          <w:tcPr>
            <w:tcW w:w="14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11,304</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2,509</w:t>
            </w:r>
          </w:p>
        </w:tc>
      </w:tr>
      <w:tr>
        <w:trPr>
          <w:trHeight w:val="170"/>
        </w:trPr>
        <w:tc>
          <w:tcPr>
            <w:tcW w:w="6240" w:type="dxa"/>
            <w:vAlign w:val="bottom"/>
          </w:tcPr>
          <w:p>
            <w:pPr>
              <w:ind w:left="780"/>
              <w:spacing w:after="0"/>
              <w:rPr>
                <w:sz w:val="20"/>
                <w:szCs w:val="20"/>
                <w:color w:val="auto"/>
              </w:rPr>
            </w:pPr>
            <w:r>
              <w:rPr>
                <w:rFonts w:ascii="Courier New" w:cs="Courier New" w:eastAsia="Courier New" w:hAnsi="Courier New"/>
                <w:sz w:val="15"/>
                <w:szCs w:val="15"/>
                <w:color w:val="auto"/>
              </w:rPr>
              <w:t>Provision for deferred income taxes</w:t>
            </w:r>
          </w:p>
        </w:tc>
        <w:tc>
          <w:tcPr>
            <w:tcW w:w="14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10,403</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4,048</w:t>
            </w:r>
          </w:p>
        </w:tc>
      </w:tr>
      <w:tr>
        <w:trPr>
          <w:trHeight w:val="170"/>
        </w:trPr>
        <w:tc>
          <w:tcPr>
            <w:tcW w:w="6240" w:type="dxa"/>
            <w:vAlign w:val="bottom"/>
          </w:tcPr>
          <w:p>
            <w:pPr>
              <w:ind w:left="780"/>
              <w:spacing w:after="0"/>
              <w:rPr>
                <w:sz w:val="20"/>
                <w:szCs w:val="20"/>
                <w:color w:val="auto"/>
              </w:rPr>
            </w:pPr>
            <w:r>
              <w:rPr>
                <w:rFonts w:ascii="Courier New" w:cs="Courier New" w:eastAsia="Courier New" w:hAnsi="Courier New"/>
                <w:sz w:val="15"/>
                <w:szCs w:val="15"/>
                <w:color w:val="auto"/>
              </w:rPr>
              <w:t>Change in assets and liabilities:</w:t>
            </w: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240" w:type="dxa"/>
            <w:vAlign w:val="bottom"/>
          </w:tcPr>
          <w:p>
            <w:pPr>
              <w:ind w:left="1140"/>
              <w:spacing w:after="0"/>
              <w:rPr>
                <w:sz w:val="20"/>
                <w:szCs w:val="20"/>
                <w:color w:val="auto"/>
              </w:rPr>
            </w:pPr>
            <w:r>
              <w:rPr>
                <w:rFonts w:ascii="Courier New" w:cs="Courier New" w:eastAsia="Courier New" w:hAnsi="Courier New"/>
                <w:sz w:val="15"/>
                <w:szCs w:val="15"/>
                <w:color w:val="auto"/>
              </w:rPr>
              <w:t>Decrease in accounts receivable, net</w:t>
            </w:r>
          </w:p>
        </w:tc>
        <w:tc>
          <w:tcPr>
            <w:tcW w:w="14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542</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9,951</w:t>
            </w:r>
          </w:p>
        </w:tc>
      </w:tr>
      <w:tr>
        <w:trPr>
          <w:trHeight w:val="170"/>
        </w:trPr>
        <w:tc>
          <w:tcPr>
            <w:tcW w:w="6240" w:type="dxa"/>
            <w:vAlign w:val="bottom"/>
          </w:tcPr>
          <w:p>
            <w:pPr>
              <w:ind w:left="1140"/>
              <w:spacing w:after="0"/>
              <w:rPr>
                <w:sz w:val="20"/>
                <w:szCs w:val="20"/>
                <w:color w:val="auto"/>
              </w:rPr>
            </w:pPr>
            <w:r>
              <w:rPr>
                <w:rFonts w:ascii="Courier New" w:cs="Courier New" w:eastAsia="Courier New" w:hAnsi="Courier New"/>
                <w:sz w:val="15"/>
                <w:szCs w:val="15"/>
                <w:color w:val="auto"/>
              </w:rPr>
              <w:t>Increase in inventories</w:t>
            </w:r>
          </w:p>
        </w:tc>
        <w:tc>
          <w:tcPr>
            <w:tcW w:w="1420" w:type="dxa"/>
            <w:vAlign w:val="bottom"/>
          </w:tcPr>
          <w:p>
            <w:pPr>
              <w:spacing w:after="0"/>
              <w:rPr>
                <w:sz w:val="14"/>
                <w:szCs w:val="1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(11,299)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(4,334)</w:t>
            </w:r>
          </w:p>
        </w:tc>
      </w:tr>
      <w:tr>
        <w:trPr>
          <w:trHeight w:val="170"/>
        </w:trPr>
        <w:tc>
          <w:tcPr>
            <w:tcW w:w="6240" w:type="dxa"/>
            <w:vAlign w:val="bottom"/>
          </w:tcPr>
          <w:p>
            <w:pPr>
              <w:ind w:left="1140"/>
              <w:spacing w:after="0"/>
              <w:rPr>
                <w:sz w:val="20"/>
                <w:szCs w:val="20"/>
                <w:color w:val="auto"/>
              </w:rPr>
            </w:pPr>
            <w:r>
              <w:rPr>
                <w:rFonts w:ascii="Courier New" w:cs="Courier New" w:eastAsia="Courier New" w:hAnsi="Courier New"/>
                <w:sz w:val="15"/>
                <w:szCs w:val="15"/>
                <w:color w:val="auto"/>
              </w:rPr>
              <w:t>Decrease in accounts payable and</w:t>
            </w: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240" w:type="dxa"/>
            <w:vAlign w:val="bottom"/>
          </w:tcPr>
          <w:p>
            <w:pPr>
              <w:ind w:left="1400"/>
              <w:spacing w:after="0"/>
              <w:rPr>
                <w:sz w:val="20"/>
                <w:szCs w:val="20"/>
                <w:color w:val="auto"/>
              </w:rPr>
            </w:pPr>
            <w:r>
              <w:rPr>
                <w:rFonts w:ascii="Courier New" w:cs="Courier New" w:eastAsia="Courier New" w:hAnsi="Courier New"/>
                <w:sz w:val="15"/>
                <w:szCs w:val="15"/>
                <w:color w:val="auto"/>
              </w:rPr>
              <w:t>accrued liabilities</w:t>
            </w:r>
          </w:p>
        </w:tc>
        <w:tc>
          <w:tcPr>
            <w:tcW w:w="1420" w:type="dxa"/>
            <w:vAlign w:val="bottom"/>
          </w:tcPr>
          <w:p>
            <w:pPr>
              <w:spacing w:after="0"/>
              <w:rPr>
                <w:sz w:val="14"/>
                <w:szCs w:val="1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(21,952)</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(6,762)</w:t>
            </w:r>
          </w:p>
        </w:tc>
      </w:tr>
      <w:tr>
        <w:trPr>
          <w:trHeight w:val="170"/>
        </w:trPr>
        <w:tc>
          <w:tcPr>
            <w:tcW w:w="6240" w:type="dxa"/>
            <w:vAlign w:val="bottom"/>
          </w:tcPr>
          <w:p>
            <w:pPr>
              <w:ind w:left="1140"/>
              <w:spacing w:after="0"/>
              <w:rPr>
                <w:sz w:val="20"/>
                <w:szCs w:val="20"/>
                <w:color w:val="auto"/>
              </w:rPr>
            </w:pPr>
            <w:r>
              <w:rPr>
                <w:rFonts w:ascii="Courier New" w:cs="Courier New" w:eastAsia="Courier New" w:hAnsi="Courier New"/>
                <w:sz w:val="15"/>
                <w:szCs w:val="15"/>
                <w:color w:val="auto"/>
              </w:rPr>
              <w:t>Increase (decrease) in deferred subscription</w:t>
            </w: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240" w:type="dxa"/>
            <w:vAlign w:val="bottom"/>
          </w:tcPr>
          <w:p>
            <w:pPr>
              <w:ind w:left="1400"/>
              <w:spacing w:after="0"/>
              <w:rPr>
                <w:sz w:val="20"/>
                <w:szCs w:val="20"/>
                <w:color w:val="auto"/>
              </w:rPr>
            </w:pPr>
            <w:r>
              <w:rPr>
                <w:rFonts w:ascii="Courier New" w:cs="Courier New" w:eastAsia="Courier New" w:hAnsi="Courier New"/>
                <w:sz w:val="15"/>
                <w:szCs w:val="15"/>
                <w:color w:val="auto"/>
              </w:rPr>
              <w:t>revenue</w:t>
            </w:r>
          </w:p>
        </w:tc>
        <w:tc>
          <w:tcPr>
            <w:tcW w:w="14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6,967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(3,183)</w:t>
            </w:r>
          </w:p>
        </w:tc>
      </w:tr>
      <w:tr>
        <w:trPr>
          <w:trHeight w:val="170"/>
        </w:trPr>
        <w:tc>
          <w:tcPr>
            <w:tcW w:w="6240" w:type="dxa"/>
            <w:vAlign w:val="bottom"/>
          </w:tcPr>
          <w:p>
            <w:pPr>
              <w:ind w:left="1140"/>
              <w:spacing w:after="0"/>
              <w:rPr>
                <w:sz w:val="20"/>
                <w:szCs w:val="20"/>
                <w:color w:val="auto"/>
              </w:rPr>
            </w:pPr>
            <w:r>
              <w:rPr>
                <w:rFonts w:ascii="Courier New" w:cs="Courier New" w:eastAsia="Courier New" w:hAnsi="Courier New"/>
                <w:sz w:val="15"/>
                <w:szCs w:val="15"/>
                <w:color w:val="auto"/>
              </w:rPr>
              <w:t>Decrease in income taxes receivable</w:t>
            </w:r>
          </w:p>
        </w:tc>
        <w:tc>
          <w:tcPr>
            <w:tcW w:w="14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48,597</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22,131</w:t>
            </w:r>
          </w:p>
        </w:tc>
      </w:tr>
      <w:tr>
        <w:trPr>
          <w:trHeight w:val="170"/>
        </w:trPr>
        <w:tc>
          <w:tcPr>
            <w:tcW w:w="6240" w:type="dxa"/>
            <w:vAlign w:val="bottom"/>
          </w:tcPr>
          <w:p>
            <w:pPr>
              <w:ind w:left="1140"/>
              <w:spacing w:after="0"/>
              <w:rPr>
                <w:sz w:val="20"/>
                <w:szCs w:val="20"/>
                <w:color w:val="auto"/>
              </w:rPr>
            </w:pPr>
            <w:r>
              <w:rPr>
                <w:rFonts w:ascii="Courier New" w:cs="Courier New" w:eastAsia="Courier New" w:hAnsi="Courier New"/>
                <w:sz w:val="15"/>
                <w:szCs w:val="15"/>
                <w:color w:val="auto"/>
              </w:rPr>
              <w:t>Decrease (increase) in other assets and</w:t>
            </w: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240" w:type="dxa"/>
            <w:vAlign w:val="bottom"/>
          </w:tcPr>
          <w:p>
            <w:pPr>
              <w:ind w:left="1400"/>
              <w:spacing w:after="0"/>
              <w:rPr>
                <w:sz w:val="20"/>
                <w:szCs w:val="20"/>
                <w:color w:val="auto"/>
              </w:rPr>
            </w:pPr>
            <w:r>
              <w:rPr>
                <w:rFonts w:ascii="Courier New" w:cs="Courier New" w:eastAsia="Courier New" w:hAnsi="Courier New"/>
                <w:sz w:val="15"/>
                <w:szCs w:val="15"/>
                <w:color w:val="auto"/>
              </w:rPr>
              <w:t>other liabilities, net</w:t>
            </w:r>
          </w:p>
        </w:tc>
        <w:tc>
          <w:tcPr>
            <w:tcW w:w="14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3,686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(11,324)</w:t>
            </w:r>
          </w:p>
        </w:tc>
      </w:tr>
      <w:tr>
        <w:trPr>
          <w:trHeight w:val="170"/>
        </w:trPr>
        <w:tc>
          <w:tcPr>
            <w:tcW w:w="6240" w:type="dxa"/>
            <w:vAlign w:val="bottom"/>
          </w:tcPr>
          <w:p>
            <w:pPr>
              <w:ind w:left="780"/>
              <w:spacing w:after="0"/>
              <w:rPr>
                <w:sz w:val="20"/>
                <w:szCs w:val="20"/>
                <w:color w:val="auto"/>
              </w:rPr>
            </w:pPr>
            <w:r>
              <w:rPr>
                <w:rFonts w:ascii="Courier New" w:cs="Courier New" w:eastAsia="Courier New" w:hAnsi="Courier New"/>
                <w:sz w:val="15"/>
                <w:szCs w:val="15"/>
                <w:color w:val="auto"/>
              </w:rPr>
              <w:t>Other</w:t>
            </w:r>
          </w:p>
        </w:tc>
        <w:tc>
          <w:tcPr>
            <w:tcW w:w="14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6,093</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2,692</w:t>
            </w:r>
          </w:p>
        </w:tc>
      </w:tr>
      <w:tr>
        <w:trPr>
          <w:trHeight w:val="170"/>
        </w:trPr>
        <w:tc>
          <w:tcPr>
            <w:tcW w:w="6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240" w:type="dxa"/>
            <w:vAlign w:val="bottom"/>
          </w:tcPr>
          <w:p>
            <w:pPr>
              <w:ind w:left="52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420" w:type="dxa"/>
            <w:vAlign w:val="bottom"/>
          </w:tcPr>
          <w:p>
            <w:pPr>
              <w:spacing w:after="0"/>
              <w:rPr>
                <w:sz w:val="24"/>
                <w:szCs w:val="2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106,534</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72,114</w:t>
            </w:r>
          </w:p>
        </w:tc>
      </w:tr>
      <w:tr>
        <w:trPr>
          <w:trHeight w:val="170"/>
        </w:trPr>
        <w:tc>
          <w:tcPr>
            <w:tcW w:w="6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2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0"/>
        </w:trPr>
        <w:tc>
          <w:tcPr>
            <w:tcW w:w="624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sales of marketable equity securities</w:t>
            </w:r>
          </w:p>
        </w:tc>
        <w:tc>
          <w:tcPr>
            <w:tcW w:w="14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10,527</w:t>
            </w:r>
          </w:p>
        </w:tc>
      </w:tr>
      <w:tr>
        <w:trPr>
          <w:trHeight w:val="170"/>
        </w:trPr>
        <w:tc>
          <w:tcPr>
            <w:tcW w:w="6240" w:type="dxa"/>
            <w:vAlign w:val="bottom"/>
          </w:tcPr>
          <w:p>
            <w:pPr>
              <w:ind w:left="260"/>
              <w:spacing w:after="0"/>
              <w:rPr>
                <w:sz w:val="20"/>
                <w:szCs w:val="20"/>
                <w:color w:val="auto"/>
              </w:rPr>
            </w:pPr>
            <w:r>
              <w:rPr>
                <w:rFonts w:ascii="Courier New" w:cs="Courier New" w:eastAsia="Courier New" w:hAnsi="Courier New"/>
                <w:sz w:val="15"/>
                <w:szCs w:val="15"/>
                <w:color w:val="auto"/>
              </w:rPr>
              <w:t>Purchases of property, plant and equipment</w:t>
            </w:r>
          </w:p>
        </w:tc>
        <w:tc>
          <w:tcPr>
            <w:tcW w:w="1420" w:type="dxa"/>
            <w:vAlign w:val="bottom"/>
          </w:tcPr>
          <w:p>
            <w:pPr>
              <w:spacing w:after="0"/>
              <w:rPr>
                <w:sz w:val="14"/>
                <w:szCs w:val="1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(26,524)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(29,366)</w:t>
            </w:r>
          </w:p>
        </w:tc>
      </w:tr>
      <w:tr>
        <w:trPr>
          <w:trHeight w:val="170"/>
        </w:trPr>
        <w:tc>
          <w:tcPr>
            <w:tcW w:w="624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certain businesses</w:t>
            </w:r>
          </w:p>
        </w:tc>
        <w:tc>
          <w:tcPr>
            <w:tcW w:w="1420" w:type="dxa"/>
            <w:vAlign w:val="bottom"/>
          </w:tcPr>
          <w:p>
            <w:pPr>
              <w:spacing w:after="0"/>
              <w:rPr>
                <w:sz w:val="14"/>
                <w:szCs w:val="1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(4,284)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(16,284)</w:t>
            </w:r>
          </w:p>
        </w:tc>
      </w:tr>
      <w:tr>
        <w:trPr>
          <w:trHeight w:val="170"/>
        </w:trPr>
        <w:tc>
          <w:tcPr>
            <w:tcW w:w="6240" w:type="dxa"/>
            <w:vAlign w:val="bottom"/>
          </w:tcPr>
          <w:p>
            <w:pPr>
              <w:ind w:left="260"/>
              <w:spacing w:after="0"/>
              <w:rPr>
                <w:sz w:val="20"/>
                <w:szCs w:val="20"/>
                <w:color w:val="auto"/>
              </w:rPr>
            </w:pPr>
            <w:r>
              <w:rPr>
                <w:rFonts w:ascii="Courier New" w:cs="Courier New" w:eastAsia="Courier New" w:hAnsi="Courier New"/>
                <w:sz w:val="15"/>
                <w:szCs w:val="15"/>
                <w:color w:val="auto"/>
              </w:rPr>
              <w:t>Other investments</w:t>
            </w:r>
          </w:p>
        </w:tc>
        <w:tc>
          <w:tcPr>
            <w:tcW w:w="1420" w:type="dxa"/>
            <w:vAlign w:val="bottom"/>
          </w:tcPr>
          <w:p>
            <w:pPr>
              <w:spacing w:after="0"/>
              <w:rPr>
                <w:sz w:val="14"/>
                <w:szCs w:val="1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(16,919)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(3,360)</w:t>
            </w:r>
          </w:p>
        </w:tc>
      </w:tr>
      <w:tr>
        <w:trPr>
          <w:trHeight w:val="170"/>
        </w:trPr>
        <w:tc>
          <w:tcPr>
            <w:tcW w:w="6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240" w:type="dxa"/>
            <w:vAlign w:val="bottom"/>
          </w:tcPr>
          <w:p>
            <w:pPr>
              <w:ind w:left="520"/>
              <w:spacing w:after="0"/>
              <w:rPr>
                <w:sz w:val="20"/>
                <w:szCs w:val="20"/>
                <w:color w:val="auto"/>
              </w:rPr>
            </w:pPr>
            <w:r>
              <w:rPr>
                <w:rFonts w:ascii="Courier New" w:cs="Courier New" w:eastAsia="Courier New" w:hAnsi="Courier New"/>
                <w:sz w:val="15"/>
                <w:szCs w:val="15"/>
                <w:color w:val="auto"/>
              </w:rPr>
              <w:t>Net cash used in investing activities</w:t>
            </w:r>
          </w:p>
        </w:tc>
        <w:tc>
          <w:tcPr>
            <w:tcW w:w="1420" w:type="dxa"/>
            <w:vAlign w:val="bottom"/>
          </w:tcPr>
          <w:p>
            <w:pPr>
              <w:spacing w:after="0"/>
              <w:rPr>
                <w:sz w:val="24"/>
                <w:szCs w:val="2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(47,727)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(38,483)</w:t>
            </w:r>
          </w:p>
        </w:tc>
      </w:tr>
      <w:tr>
        <w:trPr>
          <w:trHeight w:val="170"/>
        </w:trPr>
        <w:tc>
          <w:tcPr>
            <w:tcW w:w="6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2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0"/>
        </w:trPr>
        <w:tc>
          <w:tcPr>
            <w:tcW w:w="6240" w:type="dxa"/>
            <w:vAlign w:val="bottom"/>
          </w:tcPr>
          <w:p>
            <w:pPr>
              <w:ind w:left="260"/>
              <w:spacing w:after="0"/>
              <w:rPr>
                <w:sz w:val="20"/>
                <w:szCs w:val="20"/>
                <w:color w:val="auto"/>
              </w:rPr>
            </w:pPr>
            <w:r>
              <w:rPr>
                <w:rFonts w:ascii="Courier New" w:cs="Courier New" w:eastAsia="Courier New" w:hAnsi="Courier New"/>
                <w:sz w:val="15"/>
                <w:szCs w:val="15"/>
                <w:color w:val="auto"/>
              </w:rPr>
              <w:t>Net repayment of short term borrowings</w:t>
            </w:r>
          </w:p>
        </w:tc>
        <w:tc>
          <w:tcPr>
            <w:tcW w:w="1420" w:type="dxa"/>
            <w:vAlign w:val="bottom"/>
          </w:tcPr>
          <w:p>
            <w:pPr>
              <w:spacing w:after="0"/>
              <w:rPr>
                <w:sz w:val="14"/>
                <w:szCs w:val="1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(92,325)</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(415,790)</w:t>
            </w:r>
          </w:p>
        </w:tc>
      </w:tr>
      <w:tr>
        <w:trPr>
          <w:trHeight w:val="170"/>
        </w:trPr>
        <w:tc>
          <w:tcPr>
            <w:tcW w:w="6240" w:type="dxa"/>
            <w:vAlign w:val="bottom"/>
          </w:tcPr>
          <w:p>
            <w:pPr>
              <w:ind w:left="260"/>
              <w:spacing w:after="0"/>
              <w:rPr>
                <w:sz w:val="20"/>
                <w:szCs w:val="20"/>
                <w:color w:val="auto"/>
              </w:rPr>
            </w:pPr>
            <w:r>
              <w:rPr>
                <w:rFonts w:ascii="Courier New" w:cs="Courier New" w:eastAsia="Courier New" w:hAnsi="Courier New"/>
                <w:sz w:val="15"/>
                <w:szCs w:val="15"/>
                <w:color w:val="auto"/>
              </w:rPr>
              <w:t>Issuance of long term debt</w:t>
            </w:r>
          </w:p>
        </w:tc>
        <w:tc>
          <w:tcPr>
            <w:tcW w:w="14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397,425</w:t>
            </w:r>
          </w:p>
        </w:tc>
      </w:tr>
      <w:tr>
        <w:trPr>
          <w:trHeight w:val="170"/>
        </w:trPr>
        <w:tc>
          <w:tcPr>
            <w:tcW w:w="6240" w:type="dxa"/>
            <w:vAlign w:val="bottom"/>
          </w:tcPr>
          <w:p>
            <w:pPr>
              <w:ind w:left="260"/>
              <w:spacing w:after="0"/>
              <w:rPr>
                <w:sz w:val="20"/>
                <w:szCs w:val="20"/>
                <w:color w:val="auto"/>
              </w:rPr>
            </w:pPr>
            <w:r>
              <w:rPr>
                <w:rFonts w:ascii="Courier New" w:cs="Courier New" w:eastAsia="Courier New" w:hAnsi="Courier New"/>
                <w:sz w:val="15"/>
                <w:szCs w:val="15"/>
                <w:color w:val="auto"/>
              </w:rPr>
              <w:t>Dividends paid</w:t>
            </w:r>
          </w:p>
        </w:tc>
        <w:tc>
          <w:tcPr>
            <w:tcW w:w="1420" w:type="dxa"/>
            <w:vAlign w:val="bottom"/>
          </w:tcPr>
          <w:p>
            <w:pPr>
              <w:spacing w:after="0"/>
              <w:rPr>
                <w:sz w:val="14"/>
                <w:szCs w:val="1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(12,981)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(13,364)</w:t>
            </w:r>
          </w:p>
        </w:tc>
      </w:tr>
      <w:tr>
        <w:trPr>
          <w:trHeight w:val="170"/>
        </w:trPr>
        <w:tc>
          <w:tcPr>
            <w:tcW w:w="6240" w:type="dxa"/>
            <w:vAlign w:val="bottom"/>
          </w:tcPr>
          <w:p>
            <w:pPr>
              <w:ind w:left="260"/>
              <w:spacing w:after="0"/>
              <w:rPr>
                <w:sz w:val="20"/>
                <w:szCs w:val="20"/>
                <w:color w:val="auto"/>
              </w:rPr>
            </w:pPr>
            <w:r>
              <w:rPr>
                <w:rFonts w:ascii="Courier New" w:cs="Courier New" w:eastAsia="Courier New" w:hAnsi="Courier New"/>
                <w:sz w:val="15"/>
                <w:szCs w:val="15"/>
                <w:color w:val="auto"/>
              </w:rPr>
              <w:t>Proceeds from exercise of stock options</w:t>
            </w:r>
          </w:p>
        </w:tc>
        <w:tc>
          <w:tcPr>
            <w:tcW w:w="14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547</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1,684</w:t>
            </w:r>
          </w:p>
        </w:tc>
      </w:tr>
      <w:tr>
        <w:trPr>
          <w:trHeight w:val="170"/>
        </w:trPr>
        <w:tc>
          <w:tcPr>
            <w:tcW w:w="6240" w:type="dxa"/>
            <w:vAlign w:val="bottom"/>
          </w:tcPr>
          <w:p>
            <w:pPr>
              <w:ind w:left="260"/>
              <w:spacing w:after="0"/>
              <w:rPr>
                <w:sz w:val="20"/>
                <w:szCs w:val="20"/>
                <w:color w:val="auto"/>
              </w:rPr>
            </w:pPr>
            <w:r>
              <w:rPr>
                <w:rFonts w:ascii="Courier New" w:cs="Courier New" w:eastAsia="Courier New" w:hAnsi="Courier New"/>
                <w:sz w:val="15"/>
                <w:szCs w:val="15"/>
                <w:color w:val="auto"/>
              </w:rPr>
              <w:t>Common shares repurchased</w:t>
            </w:r>
          </w:p>
        </w:tc>
        <w:tc>
          <w:tcPr>
            <w:tcW w:w="1420" w:type="dxa"/>
            <w:vAlign w:val="bottom"/>
          </w:tcPr>
          <w:p>
            <w:pPr>
              <w:spacing w:after="0"/>
              <w:rPr>
                <w:sz w:val="14"/>
                <w:szCs w:val="1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(770)</w:t>
            </w:r>
          </w:p>
        </w:tc>
      </w:tr>
      <w:tr>
        <w:trPr>
          <w:trHeight w:val="170"/>
        </w:trPr>
        <w:tc>
          <w:tcPr>
            <w:tcW w:w="6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240" w:type="dxa"/>
            <w:vAlign w:val="bottom"/>
          </w:tcPr>
          <w:p>
            <w:pPr>
              <w:ind w:left="520"/>
              <w:spacing w:after="0"/>
              <w:rPr>
                <w:sz w:val="20"/>
                <w:szCs w:val="20"/>
                <w:color w:val="auto"/>
              </w:rPr>
            </w:pPr>
            <w:r>
              <w:rPr>
                <w:rFonts w:ascii="Courier New" w:cs="Courier New" w:eastAsia="Courier New" w:hAnsi="Courier New"/>
                <w:sz w:val="15"/>
                <w:szCs w:val="15"/>
                <w:color w:val="auto"/>
              </w:rPr>
              <w:t>Net cash used in financing activities</w:t>
            </w:r>
          </w:p>
        </w:tc>
        <w:tc>
          <w:tcPr>
            <w:tcW w:w="1420" w:type="dxa"/>
            <w:vAlign w:val="bottom"/>
          </w:tcPr>
          <w:p>
            <w:pPr>
              <w:spacing w:after="0"/>
              <w:rPr>
                <w:sz w:val="24"/>
                <w:szCs w:val="2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(104,978)</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(30,815)</w:t>
            </w:r>
          </w:p>
        </w:tc>
      </w:tr>
      <w:tr>
        <w:trPr>
          <w:trHeight w:val="170"/>
        </w:trPr>
        <w:tc>
          <w:tcPr>
            <w:tcW w:w="6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24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1420" w:type="dxa"/>
            <w:vAlign w:val="bottom"/>
          </w:tcPr>
          <w:p>
            <w:pPr>
              <w:spacing w:after="0"/>
              <w:rPr>
                <w:sz w:val="24"/>
                <w:szCs w:val="2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(46,171)</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2,816</w:t>
            </w:r>
          </w:p>
        </w:tc>
      </w:tr>
      <w:tr>
        <w:trPr>
          <w:trHeight w:val="339"/>
        </w:trPr>
        <w:tc>
          <w:tcPr>
            <w:tcW w:w="6240" w:type="dxa"/>
            <w:vAlign w:val="bottom"/>
          </w:tcPr>
          <w:p>
            <w:pPr>
              <w:spacing w:after="0"/>
              <w:rPr>
                <w:sz w:val="20"/>
                <w:szCs w:val="20"/>
                <w:color w:val="auto"/>
              </w:rPr>
            </w:pPr>
            <w:r>
              <w:rPr>
                <w:rFonts w:ascii="Courier New" w:cs="Courier New" w:eastAsia="Courier New" w:hAnsi="Courier New"/>
                <w:sz w:val="15"/>
                <w:szCs w:val="15"/>
                <w:color w:val="auto"/>
              </w:rPr>
              <w:t>Beginning cash and cash equivalents</w:t>
            </w:r>
          </w:p>
        </w:tc>
        <w:tc>
          <w:tcPr>
            <w:tcW w:w="1420" w:type="dxa"/>
            <w:vAlign w:val="bottom"/>
          </w:tcPr>
          <w:p>
            <w:pPr>
              <w:spacing w:after="0"/>
              <w:rPr>
                <w:sz w:val="24"/>
                <w:szCs w:val="2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75,479</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15,190</w:t>
            </w:r>
          </w:p>
        </w:tc>
      </w:tr>
      <w:tr>
        <w:trPr>
          <w:trHeight w:val="170"/>
        </w:trPr>
        <w:tc>
          <w:tcPr>
            <w:tcW w:w="6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240" w:type="dxa"/>
            <w:vAlign w:val="bottom"/>
          </w:tcPr>
          <w:p>
            <w:pPr>
              <w:spacing w:after="0"/>
              <w:rPr>
                <w:sz w:val="20"/>
                <w:szCs w:val="20"/>
                <w:color w:val="auto"/>
              </w:rPr>
            </w:pPr>
            <w:r>
              <w:rPr>
                <w:rFonts w:ascii="Courier New" w:cs="Courier New" w:eastAsia="Courier New" w:hAnsi="Courier New"/>
                <w:sz w:val="15"/>
                <w:szCs w:val="15"/>
                <w:color w:val="auto"/>
              </w:rPr>
              <w:t>Ending cash and cash equivalents</w:t>
            </w:r>
          </w:p>
        </w:tc>
        <w:tc>
          <w:tcPr>
            <w:tcW w:w="1420" w:type="dxa"/>
            <w:vAlign w:val="bottom"/>
          </w:tcPr>
          <w:p>
            <w:pPr>
              <w:ind w:left="134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29,308</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18,006</w:t>
            </w:r>
          </w:p>
        </w:tc>
      </w:tr>
      <w:tr>
        <w:trPr>
          <w:trHeight w:val="170"/>
        </w:trPr>
        <w:tc>
          <w:tcPr>
            <w:tcW w:w="6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400"/>
          </w:cols>
          <w:pgMar w:left="240" w:top="283" w:right="1259"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jc w:val="right"/>
        <w:ind w:right="3179"/>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74"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Acquisitions and Dispositions.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There were no significant acquisitions in the first quarter of 2000. In</w:t>
      </w:r>
    </w:p>
    <w:p>
      <w:pPr>
        <w:spacing w:after="0"/>
        <w:rPr>
          <w:sz w:val="20"/>
          <w:szCs w:val="20"/>
          <w:color w:val="auto"/>
        </w:rPr>
      </w:pPr>
      <w:r>
        <w:rPr>
          <w:rFonts w:ascii="Courier New" w:cs="Courier New" w:eastAsia="Courier New" w:hAnsi="Courier New"/>
          <w:sz w:val="15"/>
          <w:szCs w:val="15"/>
          <w:color w:val="auto"/>
        </w:rPr>
        <w:t>the first quarter of 1999, the company acquired businesses for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$16.3 million, including an accredited distance education institute that offers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degrees in paralegal studies and legal nurse consulting.</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In March 2000, the company reached an agreement in principle to trade</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assets of certain of its cable television systems located in California for the assets of certain cable systems owned by AT&amp;T Broadband in Idaho. In a related transaction, the company reached an agreement in principle whereby Insight, a cable system operator 50 percent owned by AT&amp;T Broadband, agreed to purchase a cable system from the company serving 16,000 subscribers in Indiana. The company anticipates these transactions will be completed in the fourth quarter of 2000 and result in a net increase of approximately 20,000 subscribers.</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Investments in Marketable Securities.</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Investments in marketable equity securities at April 2, 2000 and January 2, 2000 consist of the following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122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April 2,</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January 2,</w:t>
            </w:r>
          </w:p>
        </w:tc>
      </w:tr>
      <w:tr>
        <w:trPr>
          <w:trHeight w:val="170"/>
        </w:trPr>
        <w:tc>
          <w:tcPr>
            <w:tcW w:w="2380" w:type="dxa"/>
            <w:vAlign w:val="bottom"/>
          </w:tcPr>
          <w:p>
            <w:pPr>
              <w:spacing w:after="0"/>
              <w:rPr>
                <w:sz w:val="14"/>
                <w:szCs w:val="14"/>
                <w:color w:val="auto"/>
              </w:rPr>
            </w:pP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2380" w:type="dxa"/>
            <w:vAlign w:val="bottom"/>
          </w:tcPr>
          <w:p>
            <w:pPr>
              <w:spacing w:after="0"/>
              <w:rPr>
                <w:sz w:val="14"/>
                <w:szCs w:val="14"/>
                <w:color w:val="auto"/>
              </w:rPr>
            </w:pP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Total cost</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$200,292</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$194,364</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Gross unrealized gains</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4,716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8,648</w:t>
            </w:r>
          </w:p>
        </w:tc>
      </w:tr>
      <w:tr>
        <w:trPr>
          <w:trHeight w:val="170"/>
        </w:trPr>
        <w:tc>
          <w:tcPr>
            <w:tcW w:w="2380" w:type="dxa"/>
            <w:vAlign w:val="bottom"/>
          </w:tcPr>
          <w:p>
            <w:pPr>
              <w:spacing w:after="0"/>
              <w:rPr>
                <w:sz w:val="14"/>
                <w:szCs w:val="14"/>
                <w:color w:val="auto"/>
              </w:rPr>
            </w:pP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Total fair value</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$205,008</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$203,012</w:t>
            </w:r>
          </w:p>
        </w:tc>
      </w:tr>
      <w:tr>
        <w:trPr>
          <w:trHeight w:val="170"/>
        </w:trPr>
        <w:tc>
          <w:tcPr>
            <w:tcW w:w="2380" w:type="dxa"/>
            <w:vAlign w:val="bottom"/>
          </w:tcPr>
          <w:p>
            <w:pPr>
              <w:spacing w:after="0"/>
              <w:rPr>
                <w:sz w:val="14"/>
                <w:szCs w:val="14"/>
                <w:color w:val="auto"/>
              </w:rPr>
            </w:pP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There were no sales of marketable equity securities during the first quarter of 2000. During the first quarter of 1999, proceeds from sales of marketable equity securities were $10.5 million and gross realized gains on such sales were $6.7 million. Gross realized gain or losses upon the sale of marketable equity securities are included in "Other, net" in the Condensed Consolidated Statements of Income.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Borrowings.</w:t>
      </w:r>
    </w:p>
    <w:p>
      <w:pPr>
        <w:spacing w:after="0" w:line="175" w:lineRule="exact"/>
        <w:rPr>
          <w:sz w:val="20"/>
          <w:szCs w:val="20"/>
          <w:color w:val="auto"/>
        </w:rPr>
      </w:pPr>
    </w:p>
    <w:p>
      <w:pPr>
        <w:ind w:right="3259" w:firstLine="441"/>
        <w:spacing w:after="0" w:line="260" w:lineRule="auto"/>
        <w:rPr>
          <w:sz w:val="20"/>
          <w:szCs w:val="20"/>
          <w:color w:val="auto"/>
        </w:rPr>
      </w:pPr>
      <w:r>
        <w:rPr>
          <w:rFonts w:ascii="Courier New" w:cs="Courier New" w:eastAsia="Courier New" w:hAnsi="Courier New"/>
          <w:sz w:val="14"/>
          <w:szCs w:val="14"/>
          <w:color w:val="auto"/>
        </w:rPr>
        <w:t>On February 15, 1999, the company completed the issuance of $400.0 million 5.5 percent unsecured notes due February 15, 2009. The company is required to pay interest related to these notes on February 15 and August 15 of each year.</w:t>
      </w:r>
    </w:p>
    <w:p>
      <w:pPr>
        <w:spacing w:after="0" w:line="163"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During the first quarter of 2000 and 1999, the company had average borrowings outstanding of approximately $830.0 million and $449.0 million, respectively, at average annual interest rates of approximately 5.8 percent and 5.5 percent. During the first quarter of 2000 and 1999, the company incurred interest expense on borrowings of $12.1 million and $6.2 million, respectively.</w:t>
      </w:r>
    </w:p>
    <w:p>
      <w:pPr>
        <w:sectPr>
          <w:pgSz w:w="11900" w:h="16838" w:orient="portrait"/>
          <w:cols w:equalWidth="0" w:num="1">
            <w:col w:w="10219"/>
          </w:cols>
          <w:pgMar w:left="240" w:top="28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ind w:left="686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Business Segments.</w:t>
      </w:r>
    </w:p>
    <w:p>
      <w:pPr>
        <w:spacing w:after="0" w:line="175" w:lineRule="exact"/>
        <w:rPr>
          <w:sz w:val="20"/>
          <w:szCs w:val="20"/>
          <w:color w:val="auto"/>
        </w:rPr>
      </w:pPr>
    </w:p>
    <w:p>
      <w:pPr>
        <w:jc w:val="both"/>
        <w:ind w:right="4480" w:firstLine="441"/>
        <w:spacing w:after="0" w:line="256" w:lineRule="auto"/>
        <w:rPr>
          <w:sz w:val="20"/>
          <w:szCs w:val="20"/>
          <w:color w:val="auto"/>
        </w:rPr>
      </w:pPr>
      <w:r>
        <w:rPr>
          <w:rFonts w:ascii="Courier New" w:cs="Courier New" w:eastAsia="Courier New" w:hAnsi="Courier New"/>
          <w:sz w:val="14"/>
          <w:szCs w:val="14"/>
          <w:color w:val="auto"/>
        </w:rPr>
        <w:t>The following table summarizes financial information related to each of the company's business segments. The 2000 and 1999 results of operations information is for the thirteen weeks ended April 2, 2000 and April 4, 1999, respectively.</w:t>
      </w:r>
    </w:p>
    <w:p>
      <w:pPr>
        <w:spacing w:after="0" w:line="1" w:lineRule="exact"/>
        <w:rPr>
          <w:sz w:val="20"/>
          <w:szCs w:val="20"/>
          <w:color w:val="auto"/>
        </w:rPr>
      </w:pPr>
    </w:p>
    <w:p>
      <w:pPr>
        <w:ind w:right="4560"/>
        <w:spacing w:after="0" w:line="235" w:lineRule="auto"/>
        <w:rPr>
          <w:sz w:val="20"/>
          <w:szCs w:val="20"/>
          <w:color w:val="auto"/>
        </w:rPr>
      </w:pPr>
      <w:r>
        <w:rPr>
          <w:rFonts w:ascii="Courier New" w:cs="Courier New" w:eastAsia="Courier New" w:hAnsi="Courier New"/>
          <w:sz w:val="15"/>
          <w:szCs w:val="15"/>
          <w:color w:val="auto"/>
        </w:rPr>
        <w:t>The 2000 and 1999 asset information is as of April 2, 2000 and January 2, 2000, respectively.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Education</w:t>
            </w:r>
          </w:p>
        </w:tc>
        <w:tc>
          <w:tcPr>
            <w:tcW w:w="520" w:type="dxa"/>
            <w:vAlign w:val="bottom"/>
          </w:tcPr>
          <w:p>
            <w:pPr>
              <w:spacing w:after="0"/>
              <w:rPr>
                <w:sz w:val="14"/>
                <w:szCs w:val="14"/>
                <w:color w:val="auto"/>
              </w:rPr>
            </w:pPr>
          </w:p>
        </w:tc>
        <w:tc>
          <w:tcPr>
            <w:tcW w:w="102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7"/>
              </w:rPr>
              <w:t>Other</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and</w:t>
            </w: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Businesses</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Newspaper</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Television</w:t>
            </w: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Magazine</w:t>
            </w:r>
          </w:p>
        </w:tc>
        <w:tc>
          <w:tcPr>
            <w:tcW w:w="44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Cable</w:t>
            </w: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Career</w:t>
            </w: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and Corporate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Publishing</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Broadcasting</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Publishing</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Television</w:t>
            </w: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Services</w:t>
            </w:r>
          </w:p>
        </w:tc>
        <w:tc>
          <w:tcPr>
            <w:tcW w:w="52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Office</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202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224,656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78,742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84,690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86,653</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72,030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546,771</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operations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36,251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32,349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2,684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14,645</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(9,627)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(4,148)</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72,154</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Equity in losses of</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affiliates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(11,304)</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(12,343)</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Other expense, net</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(6,938)</w:t>
            </w:r>
          </w:p>
        </w:tc>
      </w:tr>
      <w:tr>
        <w:trPr>
          <w:trHeight w:val="170"/>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Income before income</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taxes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41,569</w:t>
            </w:r>
          </w:p>
        </w:tc>
      </w:tr>
      <w:tr>
        <w:trPr>
          <w:trHeight w:val="170"/>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9,604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3,111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1,289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11,758</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2,624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28,386</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Amortization expense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3,534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1,697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7,414</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14,738</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Pension credit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4,636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1,346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9,018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15,000</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704,911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423,690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415,135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710,505</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271,506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47,038</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$2,572,785</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Investments in</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marketable equity</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securities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205,008</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Investments in</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affiliates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146,043</w:t>
            </w:r>
          </w:p>
        </w:tc>
      </w:tr>
      <w:tr>
        <w:trPr>
          <w:trHeight w:val="170"/>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$2,923,836</w:t>
            </w:r>
          </w:p>
        </w:tc>
      </w:tr>
      <w:tr>
        <w:trPr>
          <w:trHeight w:val="170"/>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Education</w:t>
            </w:r>
          </w:p>
        </w:tc>
        <w:tc>
          <w:tcPr>
            <w:tcW w:w="520" w:type="dxa"/>
            <w:vAlign w:val="bottom"/>
          </w:tcPr>
          <w:p>
            <w:pPr>
              <w:spacing w:after="0"/>
              <w:rPr>
                <w:sz w:val="14"/>
                <w:szCs w:val="14"/>
                <w:color w:val="auto"/>
              </w:rPr>
            </w:pPr>
          </w:p>
        </w:tc>
        <w:tc>
          <w:tcPr>
            <w:tcW w:w="102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7"/>
              </w:rPr>
              <w:t>Other</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and</w:t>
            </w: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Businesses</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Newspaper</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Television</w:t>
            </w: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Magazine</w:t>
            </w:r>
          </w:p>
        </w:tc>
        <w:tc>
          <w:tcPr>
            <w:tcW w:w="44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Cable</w:t>
            </w: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Career</w:t>
            </w: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and Corporate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Publishing</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Broadcasting</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Publishing</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Television</w:t>
            </w: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Services</w:t>
            </w:r>
          </w:p>
        </w:tc>
        <w:tc>
          <w:tcPr>
            <w:tcW w:w="52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Office</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202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209,210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80,297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90,716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80,799</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57,412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1,963</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520,397</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operations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33,690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34,428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8,970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14,818</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(7,378)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( 7,254)</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77,274</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Equity in losses of</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affiliates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(2,510)</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(6,567)</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6,143</w:t>
            </w:r>
          </w:p>
        </w:tc>
      </w:tr>
      <w:tr>
        <w:trPr>
          <w:trHeight w:val="170"/>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Income before income</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taxes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74,340</w:t>
            </w:r>
          </w:p>
        </w:tc>
      </w:tr>
      <w:tr>
        <w:trPr>
          <w:trHeight w:val="170"/>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8,214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2,788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1,263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10,754</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106</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25,118</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Amortization expense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3,560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1,478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7,446</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14,425</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Pension credit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7,200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2,246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12,212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21,658</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672,609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444,372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409,404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718,230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265,960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132,688</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$2,643,263</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Investments in</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marketable equity</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securities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203,012</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Investments in</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affiliates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140,669</w:t>
            </w:r>
          </w:p>
        </w:tc>
      </w:tr>
      <w:tr>
        <w:trPr>
          <w:trHeight w:val="170"/>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020" w:type="dxa"/>
            <w:vAlign w:val="bottom"/>
          </w:tcPr>
          <w:p>
            <w:pPr>
              <w:ind w:left="80"/>
              <w:spacing w:after="0"/>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$2,986,944</w:t>
            </w:r>
          </w:p>
        </w:tc>
      </w:tr>
      <w:tr>
        <w:trPr>
          <w:trHeight w:val="170"/>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4480" w:firstLine="441"/>
        <w:spacing w:after="0" w:line="237" w:lineRule="auto"/>
        <w:rPr>
          <w:sz w:val="20"/>
          <w:szCs w:val="20"/>
          <w:color w:val="auto"/>
        </w:rPr>
      </w:pPr>
      <w:r>
        <w:rPr>
          <w:rFonts w:ascii="Courier New" w:cs="Courier New" w:eastAsia="Courier New" w:hAnsi="Courier New"/>
          <w:sz w:val="15"/>
          <w:szCs w:val="15"/>
          <w:color w:val="auto"/>
        </w:rPr>
        <w:t>Newspaper publishing includes the publication of newspapers in the Washington, D.C. area (The Washington Post and the Gazette community newspapers) and Everett, Washington (The Everett Herald). This business division also includes newsprint warehousing, recycling operations and the company's electronic media publishing business (primarily washingtonpost.com).</w:t>
      </w:r>
    </w:p>
    <w:p>
      <w:pPr>
        <w:sectPr>
          <w:pgSz w:w="11900" w:h="16838" w:orient="portrait"/>
          <w:cols w:equalWidth="0" w:num="1">
            <w:col w:w="11520"/>
          </w:cols>
          <w:pgMar w:left="240" w:top="283" w:right="139" w:bottom="0" w:gutter="0" w:footer="0" w:header="0"/>
        </w:sectPr>
      </w:pPr>
    </w:p>
    <w:bookmarkStart w:id="8" w:name="page9"/>
    <w:bookmarkEnd w:id="8"/>
    <w:p>
      <w:pPr>
        <w:ind w:right="3259" w:firstLine="441"/>
        <w:spacing w:after="0" w:line="237" w:lineRule="auto"/>
        <w:rPr>
          <w:sz w:val="20"/>
          <w:szCs w:val="20"/>
          <w:color w:val="auto"/>
        </w:rPr>
      </w:pPr>
      <w:r>
        <w:rPr>
          <w:rFonts w:ascii="Courier New" w:cs="Courier New" w:eastAsia="Courier New" w:hAnsi="Courier New"/>
          <w:sz w:val="15"/>
          <w:szCs w:val="15"/>
          <w:color w:val="auto"/>
        </w:rPr>
        <w:t>Television broadcasting operations are conducted through six VHF, network-affiliated television stations serving the Detroit, Houston, Miami, San Antonio, Orlando and Jacksonville television markets.</w:t>
      </w:r>
    </w:p>
    <w:p>
      <w:pPr>
        <w:sectPr>
          <w:pgSz w:w="11900" w:h="16838" w:orient="portrait"/>
          <w:cols w:equalWidth="0" w:num="1">
            <w:col w:w="10219"/>
          </w:cols>
          <w:pgMar w:left="240" w:top="141"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jc w:val="right"/>
        <w:ind w:right="3179"/>
        <w:spacing w:after="0"/>
        <w:rPr>
          <w:sz w:val="20"/>
          <w:szCs w:val="20"/>
          <w:color w:val="auto"/>
        </w:rPr>
      </w:pPr>
      <w:r>
        <w:rPr>
          <w:rFonts w:ascii="Courier New" w:cs="Courier New" w:eastAsia="Courier New" w:hAnsi="Courier New"/>
          <w:sz w:val="15"/>
          <w:szCs w:val="15"/>
          <w:color w:val="auto"/>
        </w:rPr>
        <w:t>9.</w:t>
      </w:r>
    </w:p>
    <w:p>
      <w:pPr>
        <w:spacing w:after="0" w:line="3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magazine publishing division consists of the publication of a weekly news magazine, Newsweek, which has one domestic and three international editions, the publication of Arthur Frommer's Budget Travel, and the publication of business periodicals for the computer services industry and the Washington-area technology community.</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Cable television operations consist of over 50 cable systems offering basic cable and pay television services to approximately 740,000 subscribers in midwestern, western, and southern states.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Education and career services are provided through the company's wholly-owned subsidiary Kaplan, Inc. Kaplan's four major lines of businesses include Test Preparation and Admissions, providing test preparation services for college and graduate school entrance exams; Kaplan Professional, providing education and career services to business people and other professionals; SCORE!, offering multi-media learning and private tutoring to children in kindergarten through twelfth grade; and KaplanCollege.com, Kaplan's distance learning business, including Concord University School and Law, the country's first online Law School.</w:t>
      </w:r>
    </w:p>
    <w:p>
      <w:pPr>
        <w:spacing w:after="0" w:line="179"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Other businesses and corporate office for 2000 includes the expenses of the company's corporate office. Through the first half of 1999, the other businesses and corporate office segment also includes the result of Legi-Slate, Inc., which was sold in June 1999.</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maintains stock option and stock appreciation right plans at its Kaplan subsidiary that provide for the issuance of stock options representing 10 percent of Kaplan's stock and the issuance of stock appreciation rights to certain members of Kaplan's management. The options and appreciation rights vest ratably over five years from issuance. For the first quarter of 2000 and 1999, the education and career services operating results include a non-cash charge of $1.5 million and $2.0 million, respectively, related to these plans.</w:t>
      </w:r>
    </w:p>
    <w:p>
      <w:pPr>
        <w:sectPr>
          <w:pgSz w:w="11900" w:h="16838" w:orient="portrait"/>
          <w:cols w:equalWidth="0" w:num="1">
            <w:col w:w="10219"/>
          </w:cols>
          <w:pgMar w:left="240" w:top="28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jc w:val="right"/>
        <w:ind w:right="3179"/>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13" w:lineRule="exact"/>
        <w:rPr>
          <w:sz w:val="20"/>
          <w:szCs w:val="20"/>
          <w:color w:val="auto"/>
        </w:rPr>
      </w:pPr>
    </w:p>
    <w:p>
      <w:pPr>
        <w:ind w:right="5019"/>
        <w:spacing w:after="0" w:line="235" w:lineRule="auto"/>
        <w:rPr>
          <w:sz w:val="20"/>
          <w:szCs w:val="20"/>
          <w:color w:val="auto"/>
        </w:rPr>
      </w:pPr>
      <w:r>
        <w:rPr>
          <w:rFonts w:ascii="Courier New" w:cs="Courier New" w:eastAsia="Courier New" w:hAnsi="Courier New"/>
          <w:sz w:val="15"/>
          <w:szCs w:val="15"/>
          <w:color w:val="auto"/>
        </w:rPr>
        <w:t>ITEM 2. MANAGEMENT'S DISCUSSION AND ANALYSIS OF RESULTS OF OPERATIONS AND FINANCIAL CONDITION</w:t>
      </w:r>
    </w:p>
    <w:p>
      <w:pPr>
        <w:spacing w:after="0" w:line="176"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This analysis should be read in conjunction with the consolidated financial statements and the notes thereto.</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Revenues and expenses in the first and third quarters are customarily lower than those in the second and fourth quarters because of significant seasonal fluctuations in advertising volume. For that reason, the results of operations for each quarter are compared with those of the corresponding quarter in the preceding year.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Net income for the first quarter of 2000 was $24.1 million ($2.49 per share), a decrease of $21.1 million from net income of $45.2 ($4.41 per share) in the first quarter of last year. The decline in earnings is due to increased costs associated with the development of new businesses (impact of $12.8 million or $1.39 per share), the absence of marketable security sale gains recorded in the first quarter of 1999 which did not recur in 2000 (impact of $4.1 million or $.40 per share), higher interest expense (impact of $3.1 million or $.36 per share), and a reduced pension credit (impact of $4.3 million or $.41 per share). These declines were offset in part by improved operating results at the company's newspaper publishing division.</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Revenue for the first quarter of 2000 was $546.8 million, up 5 percent from $520.4 million in 1999. Advertising revenues and circulation and subscriber revenues increased 6 percent and 4 percent, respectively, over the prior year. Education revenues increased 38 percent and other operating revenues decreased 69 percent as compared to last year. The increase in advertising revenues is mostly due to a 9 percent increase in advertising revenue at The Washington Post. The increase in circulation and subscriber revenues is the result of a 6 percent improvement in subscriber revenues at Cable One, mainly due to rate increases established to offset the rising cost of programming. Growth at Kaplan, Inc., from acquisitions completed after March 1999 as well as growth at Kaplan's Score! and test preparation businesses, accounted for the majority of the increase in education revenues. The decrease in other revenues is attributable to the absence of revenues generated by Kaplan's career fair and HireSystems businesses (these businesses were contributed to BrassRing in the third quarter of 1999), as well as the absence of revenues from Legi-Slate (sold in June 1999).</w:t>
      </w:r>
    </w:p>
    <w:p>
      <w:pPr>
        <w:spacing w:after="0" w:line="18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Costs and expenses for the first quarter of 2000 increased 7 percent to $474.6 million from $443.1 million in 1999. The increase in costs and expenses is the result of increased spending for new business initiatives, increased depreciation expense and decreased pension credit. The increased spending for new business initiatives</w:t>
      </w:r>
    </w:p>
    <w:p>
      <w:pPr>
        <w:sectPr>
          <w:pgSz w:w="11900" w:h="16838" w:orient="portrait"/>
          <w:cols w:equalWidth="0" w:num="1">
            <w:col w:w="10219"/>
          </w:cols>
          <w:pgMar w:left="24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jc w:val="right"/>
        <w:ind w:right="3179"/>
        <w:spacing w:after="0"/>
        <w:rPr>
          <w:sz w:val="20"/>
          <w:szCs w:val="20"/>
          <w:color w:val="auto"/>
        </w:rPr>
      </w:pPr>
      <w:r>
        <w:rPr>
          <w:rFonts w:ascii="Courier New" w:cs="Courier New" w:eastAsia="Courier New" w:hAnsi="Courier New"/>
          <w:sz w:val="15"/>
          <w:szCs w:val="15"/>
          <w:color w:val="auto"/>
        </w:rPr>
        <w:t>11.</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occurred mainly at Kaplan, Inc., and Washingtonpost.Newsweek Interactive (WPNI).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Kaplan, additional spending was focused on the launch and build-out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various distance learning websites (including kaptest.com and kaplancollege.com)</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marketing and expansion of Score! learning centers. In addition, Kaplan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continued the development of eSCORE.com, an educational services website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designed to help parents with the educational development of their children.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Washingtonpost.Newsweek Interactive, increased spending was dedicated</w:t>
      </w:r>
    </w:p>
    <w:p>
      <w:pPr>
        <w:spacing w:after="0"/>
        <w:rPr>
          <w:sz w:val="20"/>
          <w:szCs w:val="20"/>
          <w:color w:val="auto"/>
        </w:rPr>
      </w:pPr>
      <w:r>
        <w:rPr>
          <w:rFonts w:ascii="Courier New" w:cs="Courier New" w:eastAsia="Courier New" w:hAnsi="Courier New"/>
          <w:sz w:val="15"/>
          <w:szCs w:val="15"/>
          <w:color w:val="auto"/>
        </w:rPr>
        <w:t>principally to marketing and sales initiatives as well as the further</w:t>
      </w:r>
    </w:p>
    <w:p>
      <w:pPr>
        <w:spacing w:after="0"/>
        <w:rPr>
          <w:sz w:val="20"/>
          <w:szCs w:val="20"/>
          <w:color w:val="auto"/>
        </w:rPr>
      </w:pPr>
      <w:r>
        <w:rPr>
          <w:rFonts w:ascii="Courier New" w:cs="Courier New" w:eastAsia="Courier New" w:hAnsi="Courier New"/>
          <w:sz w:val="15"/>
          <w:szCs w:val="15"/>
          <w:color w:val="auto"/>
        </w:rPr>
        <w:t>development of the website's features. The increase in depreciation expense is</w:t>
      </w:r>
    </w:p>
    <w:p>
      <w:pPr>
        <w:spacing w:after="0" w:line="238" w:lineRule="auto"/>
        <w:rPr>
          <w:sz w:val="20"/>
          <w:szCs w:val="20"/>
          <w:color w:val="auto"/>
        </w:rPr>
      </w:pPr>
      <w:r>
        <w:rPr>
          <w:rFonts w:ascii="Courier New" w:cs="Courier New" w:eastAsia="Courier New" w:hAnsi="Courier New"/>
          <w:sz w:val="15"/>
          <w:szCs w:val="15"/>
          <w:color w:val="auto"/>
        </w:rPr>
        <w:t>mainly due to capital spending at Cable One, The Washington Post, WPNI and</w:t>
      </w:r>
    </w:p>
    <w:p>
      <w:pPr>
        <w:spacing w:after="0"/>
        <w:rPr>
          <w:sz w:val="20"/>
          <w:szCs w:val="20"/>
          <w:color w:val="auto"/>
        </w:rPr>
      </w:pPr>
      <w:r>
        <w:rPr>
          <w:rFonts w:ascii="Courier New" w:cs="Courier New" w:eastAsia="Courier New" w:hAnsi="Courier New"/>
          <w:sz w:val="15"/>
          <w:szCs w:val="15"/>
          <w:color w:val="auto"/>
        </w:rPr>
        <w:t>Kaplan. The company's expenses for the first quarter of 2000 were reduced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 million of pension credits, compared to $21.0 million in the first quarter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1999. Management expects the 2000 annual pension credit will approximate</w:t>
      </w:r>
    </w:p>
    <w:p>
      <w:pPr>
        <w:spacing w:after="0"/>
        <w:rPr>
          <w:sz w:val="20"/>
          <w:szCs w:val="20"/>
          <w:color w:val="auto"/>
        </w:rPr>
      </w:pPr>
      <w:r>
        <w:rPr>
          <w:rFonts w:ascii="Courier New" w:cs="Courier New" w:eastAsia="Courier New" w:hAnsi="Courier New"/>
          <w:sz w:val="15"/>
          <w:szCs w:val="15"/>
          <w:color w:val="auto"/>
        </w:rPr>
        <w:t>$60.0 million, compared to $82.0 million in 1999.</w:t>
      </w:r>
    </w:p>
    <w:p>
      <w:pPr>
        <w:spacing w:after="0" w:line="174"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Operating income for the quarter decreased 7 percent to $72.2 million, from $77.3 million in 1999.</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NEWSPAPER PUBLISHING DIVISION. Newspaper publishing division revenue totaled</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$224.7 million for the first quarter of 2000, a 7 percent increase over revenue of $209.2 million in the first quarter of 1999. Division operating income for the first quarter increased 8 percent to $36.3 million, from $33.7 million in 1999. The improvement in division operating results is primarily attributable to a 25 percent increase in the operating income of The Washington Post newspaper, offset in part by increased spending for the marketing and advancement of washingtonpost.com.</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Post advertising revenue increased 9 percent to $166.4 million, from $153.1 million in 1999. Post daily circulation increased 1 percent; Sunday circulation for the first quarter of 2000 remained essentially unchanged.</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Net revenues at washingtonpost.com more than doubled in the first quarter of 2000 compared to the same period in 1999. Sale of online classified advertisements accounted for most of the increase.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TELEVISION BROADCASTING DIVISION. Revenue for the broadcast division declined 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 in the first quarter of 2000 to $78.7 million, from $80.3 million in</w:t>
      </w:r>
    </w:p>
    <w:p>
      <w:pPr>
        <w:spacing w:after="0"/>
        <w:rPr>
          <w:sz w:val="20"/>
          <w:szCs w:val="20"/>
          <w:color w:val="auto"/>
        </w:rPr>
      </w:pPr>
      <w:r>
        <w:rPr>
          <w:rFonts w:ascii="Courier New" w:cs="Courier New" w:eastAsia="Courier New" w:hAnsi="Courier New"/>
          <w:sz w:val="15"/>
          <w:szCs w:val="15"/>
          <w:color w:val="auto"/>
        </w:rPr>
        <w:t>1999. Operating income for the first quarter of 2000 decreased 6 percent to</w:t>
      </w:r>
    </w:p>
    <w:p>
      <w:pPr>
        <w:spacing w:after="0"/>
        <w:rPr>
          <w:sz w:val="20"/>
          <w:szCs w:val="20"/>
          <w:color w:val="auto"/>
        </w:rPr>
      </w:pPr>
      <w:r>
        <w:rPr>
          <w:rFonts w:ascii="Courier New" w:cs="Courier New" w:eastAsia="Courier New" w:hAnsi="Courier New"/>
          <w:sz w:val="15"/>
          <w:szCs w:val="15"/>
          <w:color w:val="auto"/>
        </w:rPr>
        <w:t>$32.3 million, compared to $34.4 million in the first quarter of 1999. General</w:t>
      </w:r>
    </w:p>
    <w:p>
      <w:pPr>
        <w:spacing w:after="0" w:line="238" w:lineRule="auto"/>
        <w:rPr>
          <w:sz w:val="20"/>
          <w:szCs w:val="20"/>
          <w:color w:val="auto"/>
        </w:rPr>
      </w:pPr>
      <w:r>
        <w:rPr>
          <w:rFonts w:ascii="Courier New" w:cs="Courier New" w:eastAsia="Courier New" w:hAnsi="Courier New"/>
          <w:sz w:val="15"/>
          <w:szCs w:val="15"/>
          <w:color w:val="auto"/>
        </w:rPr>
        <w:t>softness in advertising accounted for the decline in first quarter operating</w:t>
      </w:r>
    </w:p>
    <w:p>
      <w:pPr>
        <w:spacing w:after="0"/>
        <w:rPr>
          <w:sz w:val="20"/>
          <w:szCs w:val="20"/>
          <w:color w:val="auto"/>
        </w:rPr>
      </w:pPr>
      <w:r>
        <w:rPr>
          <w:rFonts w:ascii="Courier New" w:cs="Courier New" w:eastAsia="Courier New" w:hAnsi="Courier New"/>
          <w:sz w:val="15"/>
          <w:szCs w:val="15"/>
          <w:color w:val="auto"/>
        </w:rPr>
        <w:t>income.</w:t>
      </w:r>
    </w:p>
    <w:p>
      <w:pPr>
        <w:spacing w:after="0" w:line="17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MAGAZINE PUBLISHING DIVISION. Revenue for the magazine publishing division decreased 7 percent in the first quarter of 2000 to $84.7 million, from $90.7 million in the first quarter of 1999. Magazine division operating income totaled $2.7 million for the first quarter</w:t>
      </w:r>
    </w:p>
    <w:p>
      <w:pPr>
        <w:sectPr>
          <w:pgSz w:w="11900" w:h="16838" w:orient="portrait"/>
          <w:cols w:equalWidth="0" w:num="1">
            <w:col w:w="10219"/>
          </w:cols>
          <w:pgMar w:left="240" w:top="28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jc w:val="right"/>
        <w:ind w:right="3179"/>
        <w:spacing w:after="0"/>
        <w:rPr>
          <w:sz w:val="20"/>
          <w:szCs w:val="20"/>
          <w:color w:val="auto"/>
        </w:rPr>
      </w:pPr>
      <w:r>
        <w:rPr>
          <w:rFonts w:ascii="Courier New" w:cs="Courier New" w:eastAsia="Courier New" w:hAnsi="Courier New"/>
          <w:sz w:val="15"/>
          <w:szCs w:val="15"/>
          <w:color w:val="auto"/>
        </w:rPr>
        <w:t>12.</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of 2000, compared to $9.0 million for the same period in the prior year. The first quarter revenue and operating income was affected by the timing of a technology trade show conducted by the division's computer technology trade periodicals unit. The trade show will be conducted in the second quarter of 2000 versus the first quarter of 1999. Operating income was also adversely affected by a decline in pension credits.</w:t>
      </w:r>
    </w:p>
    <w:p>
      <w:pPr>
        <w:spacing w:after="0" w:line="176"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Revenue derived from publishing Newsweek, Arthur Frommer's Budget Travel and computer trade periodicals was up slightly for the quarter.</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CABLE TELEVISION DIVISION. Cable division revenue of $86.7 million for the first quarter of 2000 represents a 7 percent increase over 1999 first quarter revenue of $80.8 million. Cable division cash flow (operating income excluding depreciation and amortization expense) totaled $33.8 million for the first quarter of 2000, a 2 percent increase over the first quarter of 1999. Cable division operating income declined 1 percent. The decline in operating income is due mostly to an increase in programming expenses and higher depreciation expense. The increase in depreciation expense is due to capital spending for system rebuilds and upgrades which will enable the cable division to begin rolling-out new digital video and high-speed cable modem services to its subscribers in the second quarter of 2000.</w:t>
      </w:r>
    </w:p>
    <w:p>
      <w:pPr>
        <w:spacing w:after="0" w:line="181" w:lineRule="exact"/>
        <w:rPr>
          <w:sz w:val="20"/>
          <w:szCs w:val="20"/>
          <w:color w:val="auto"/>
        </w:rPr>
      </w:pPr>
    </w:p>
    <w:p>
      <w:pPr>
        <w:ind w:right="4059" w:firstLine="441"/>
        <w:spacing w:after="0" w:line="235" w:lineRule="auto"/>
        <w:rPr>
          <w:sz w:val="20"/>
          <w:szCs w:val="20"/>
          <w:color w:val="auto"/>
        </w:rPr>
      </w:pPr>
      <w:r>
        <w:rPr>
          <w:rFonts w:ascii="Courier New" w:cs="Courier New" w:eastAsia="Courier New" w:hAnsi="Courier New"/>
          <w:sz w:val="15"/>
          <w:szCs w:val="15"/>
          <w:color w:val="auto"/>
        </w:rPr>
        <w:t>At the end of the first quarter of 2000, there were 741,400 basic subscribers.</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EDUCATION AND CAREER SERVICES DIVISION. The company provides education and career services through its subsidiary, Kaplan, Inc. Kaplan's four major lines of businesses include Test Preparation and Admissions, providing test preparation services for college and graduate school entrance exams; Kaplan Professional, providing education and career services to business people and other professionals; SCORE!, offering multi-media learning and private tutoring to children in kindergarten through twelfth grade; and KaplanCollege.com, Kaplan's distance learning business, including Concord University School and Law, the country's first online Law School.</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Excluding the operating results of the career fair and HireSystems businesses from 1999 (these businesses were contributed to BrassRing in the third quarter of 1999), education and career services revenue increased 41 percent to $72.0 million in the first quarter of 2000, compared to $51.1 million in 1999. Operating losses for the quarter totaled $9.6 million, compared to $4.6 million in the first quarter of 1999. Approximately half of the 2000 revenue increase is attributable to businesses acquired after the first quarter of 1999. The remaining increase in revenue is due mostly to growth at the Score! and test preparation businesses. The decline in 2000 operating results is primarily attributable to marketing and expansion</w:t>
      </w:r>
    </w:p>
    <w:p>
      <w:pPr>
        <w:sectPr>
          <w:pgSz w:w="11900" w:h="16838" w:orient="portrait"/>
          <w:cols w:equalWidth="0" w:num="1">
            <w:col w:w="10219"/>
          </w:cols>
          <w:pgMar w:left="240" w:top="28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jc w:val="right"/>
        <w:ind w:right="3179"/>
        <w:spacing w:after="0"/>
        <w:rPr>
          <w:sz w:val="20"/>
          <w:szCs w:val="20"/>
          <w:color w:val="auto"/>
        </w:rPr>
      </w:pPr>
      <w:r>
        <w:rPr>
          <w:rFonts w:ascii="Courier New" w:cs="Courier New" w:eastAsia="Courier New" w:hAnsi="Courier New"/>
          <w:sz w:val="15"/>
          <w:szCs w:val="15"/>
          <w:color w:val="auto"/>
        </w:rPr>
        <w:t>13.</w:t>
      </w:r>
    </w:p>
    <w:p>
      <w:pPr>
        <w:spacing w:after="0" w:line="34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activities at Score!, start-up costs associated with eSCORE.com and the development of various distance learning initiatives (including kaptest.com and kaplancollege.com), offset in part by operating income generated by acquisitions completed after the first quarter of 1999.</w:t>
      </w:r>
    </w:p>
    <w:p>
      <w:pPr>
        <w:spacing w:after="0" w:line="176" w:lineRule="exact"/>
        <w:rPr>
          <w:sz w:val="20"/>
          <w:szCs w:val="20"/>
          <w:color w:val="auto"/>
        </w:rPr>
      </w:pPr>
    </w:p>
    <w:p>
      <w:pPr>
        <w:ind w:right="3699" w:firstLine="441"/>
        <w:spacing w:after="0" w:line="265" w:lineRule="auto"/>
        <w:rPr>
          <w:sz w:val="20"/>
          <w:szCs w:val="20"/>
          <w:color w:val="auto"/>
        </w:rPr>
      </w:pPr>
      <w:r>
        <w:rPr>
          <w:rFonts w:ascii="Courier New" w:cs="Courier New" w:eastAsia="Courier New" w:hAnsi="Courier New"/>
          <w:sz w:val="14"/>
          <w:szCs w:val="14"/>
          <w:color w:val="auto"/>
        </w:rPr>
        <w:t>At the end of the first quarter of 2000, Score! operated 100 learning centers, compared to 68 centers at the end of the first quarter of 1999.</w:t>
      </w:r>
    </w:p>
    <w:p>
      <w:pPr>
        <w:spacing w:after="0" w:line="15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Including the operating results of the career fair and HireSystems businesses in 1999, education and career services revenue increased 25 percent to $72.0 million in the first quarter of 2000, compared to $57.4 million in 1999. Operating losses for the quarter totaled $9.6 million, compared to operating losses of $7.4 million in the first quarter of 1999.</w:t>
      </w:r>
    </w:p>
    <w:p>
      <w:pPr>
        <w:spacing w:after="0" w:line="178"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OTHER BUSINESSES AND CORPORATE OFFICE. Operating losses for the first quarter of 2000 totaled $4.1 million, representing a 43 percent improvement compared to the first quarter of 1999. The reduction in losses for the first quarter 2000 is primarily attributable to the absence of losses generated by Legi-Slate (sold in June 1999) and reduced spending at the company's corporate office.</w:t>
      </w:r>
    </w:p>
    <w:p>
      <w:pPr>
        <w:spacing w:after="0" w:line="16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EQUITY IN LOSSES OF AFFILIATES. The company's equity in losses of affiliates in the first quarter of 2000 was $11.3 million, compared with losses of $2.5 million in the first quarter of 1999. The company's affiliate investments consist of a 42 percent interest in BrassRing, Inc. (formed in late September 1999), 50 percent interest in the International Herald Tribune, and a 49 percent interest in Bowater Mersey Paper Company Limited. The decline in 2000 affiliate results is primarily attributable to BrassRing, Inc., which is in the development and marketing phase of its operations; BrassRing accounted for approximately $9.0 million of the total first quarter equity in losses of affiliates.</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March 2000, BrassRing acquired the Westech Group of Companies, a provider of Internet recruiting services and high-tech career fairs, from Central Newspapers, Inc. in exchange for a 23 percent interest in BrassRing. As a result of this transaction, the company's equity interest in BrassRing declined from 54 percent to 42 percent. The company began recording its share of BrassRing losses at the reduced ownership percentage in March 2000.</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NET INTEREST EXPENSE. For the first quarter of 2000, the company incurred net interest expense of $12.3 million, compared to $6.6 million for the same period in the prior year. At April 2, 2000, the company had $793.1 million in borrowings outstanding.</w:t>
      </w:r>
    </w:p>
    <w:p>
      <w:pPr>
        <w:spacing w:after="0" w:line="176"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NON-OPERATING ITEMS. The company recorded other non-operating expense of $6.9 million for the first quarter of 2000, compared to $6.1</w:t>
      </w:r>
    </w:p>
    <w:p>
      <w:pPr>
        <w:sectPr>
          <w:pgSz w:w="11900" w:h="16838" w:orient="portrait"/>
          <w:cols w:equalWidth="0" w:num="1">
            <w:col w:w="10219"/>
          </w:cols>
          <w:pgMar w:left="240" w:top="28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jc w:val="right"/>
        <w:ind w:right="3179"/>
        <w:spacing w:after="0"/>
        <w:rPr>
          <w:sz w:val="20"/>
          <w:szCs w:val="20"/>
          <w:color w:val="auto"/>
        </w:rPr>
      </w:pPr>
      <w:r>
        <w:rPr>
          <w:rFonts w:ascii="Courier New" w:cs="Courier New" w:eastAsia="Courier New" w:hAnsi="Courier New"/>
          <w:sz w:val="15"/>
          <w:szCs w:val="15"/>
          <w:color w:val="auto"/>
        </w:rPr>
        <w:t>14.</w:t>
      </w:r>
    </w:p>
    <w:p>
      <w:pPr>
        <w:spacing w:after="0" w:line="34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million in non-operating income for the first quarter of 1999. The 1999 non-operating income was comprised mostly of non-recurring gains arising from the sale of marketable securities (mostly various Internet-related securities).</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INCOME TAXES. The effective tax rate during the first quarter of 2000 was 42.0 percent as compared to 39.2 percent in 1999. The increase in the effective tax rate is principally due to the non-recognition of benefits from state net operating loss carryforwards generated by certain of the company's new business start-up activities.</w:t>
      </w:r>
    </w:p>
    <w:p>
      <w:pPr>
        <w:spacing w:after="0" w:line="178"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EARNINGS PER SHARE. The calculation of diluted earnings per share for the first quarter of 2000 was based on 9,458,000 weighted average shares outstanding, compared to 10,143,000 for the first quarter of 1999. The company made no significant repurchases of its stock during the first quarter of 2000.</w:t>
      </w:r>
    </w:p>
    <w:p>
      <w:pPr>
        <w:spacing w:after="0" w:line="157"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5"/>
          <w:szCs w:val="15"/>
          <w:color w:val="auto"/>
        </w:rPr>
        <w:t>FINANCIAL CONDITION:</w:t>
      </w:r>
      <w:r>
        <w:rPr>
          <w:sz w:val="20"/>
          <w:szCs w:val="20"/>
          <w:color w:val="auto"/>
        </w:rPr>
        <w:tab/>
      </w:r>
      <w:r>
        <w:rPr>
          <w:rFonts w:ascii="Courier New" w:cs="Courier New" w:eastAsia="Courier New" w:hAnsi="Courier New"/>
          <w:sz w:val="14"/>
          <w:szCs w:val="14"/>
          <w:color w:val="auto"/>
        </w:rPr>
        <w:t>CAPITAL RESOURCES AND LIQUIDITY</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ACQUISITIONS. There were no significant acquisitions in the first quarter of 2000.</w:t>
      </w:r>
    </w:p>
    <w:p>
      <w:pPr>
        <w:spacing w:after="0" w:line="176"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INVESTMENTS IN MARKETABLE EQUITY SECURITIES. At April 2, 2000, the fair value of the company's investments in marketable equity securities was $205.0 million, of which $168.6 million consists of the company's investment in the common stock of Berkshire Hathaway, Inc. The remaining investments in marketable equity securities consist of common stock investments in various publicly traded companies, most of which have concentrations in Internet business activities.</w:t>
      </w:r>
    </w:p>
    <w:p>
      <w:pPr>
        <w:spacing w:after="0" w:line="164"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CAPITAL EXPENDITURES. During the first quarter of 2000, the company's capital expenditures totaled $26.5 million, the most significant portion of which related to plant upgrades at the company's cable subsidiary. The company anticipates it will spend approximately $145.0 million throughout 2000 for property and equipment, primarily for various projects at the newspaper and cable divisions.</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LIQUIDITY. Throughout the first quarter of 2000 the company repaid $92.3 million of commercial paper borrowings with cash generated from operations as well as from the receipt of a $45.0 million income tax refund.</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During the first quarter of 2000, the company had average borrowings outstanding of approximately $830.0 million at an average annual interest rate of 5.8 percent.</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expects to fund its estimated capital needs primarily through internally generated funds, and to a lesser extent, commercial paper borrowings. In management's opinion, the company will have ample liquidity to meet its various cash needs throughout 2000.</w:t>
      </w:r>
    </w:p>
    <w:p>
      <w:pPr>
        <w:sectPr>
          <w:pgSz w:w="11900" w:h="16838" w:orient="portrait"/>
          <w:cols w:equalWidth="0" w:num="1">
            <w:col w:w="10219"/>
          </w:cols>
          <w:pgMar w:left="240" w:top="28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jc w:val="right"/>
        <w:ind w:right="3179"/>
        <w:spacing w:after="0"/>
        <w:rPr>
          <w:sz w:val="20"/>
          <w:szCs w:val="20"/>
          <w:color w:val="auto"/>
        </w:rPr>
      </w:pPr>
      <w:r>
        <w:rPr>
          <w:rFonts w:ascii="Courier New" w:cs="Courier New" w:eastAsia="Courier New" w:hAnsi="Courier New"/>
          <w:sz w:val="15"/>
          <w:szCs w:val="15"/>
          <w:color w:val="auto"/>
        </w:rPr>
        <w:t>15.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5" w:lineRule="exact"/>
        <w:rPr>
          <w:sz w:val="20"/>
          <w:szCs w:val="20"/>
          <w:color w:val="auto"/>
        </w:rPr>
      </w:pPr>
    </w:p>
    <w:p>
      <w:pPr>
        <w:ind w:left="1580" w:hanging="796"/>
        <w:spacing w:after="0"/>
        <w:tabs>
          <w:tab w:leader="none" w:pos="15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documents are filed as exhibits to this report:</w:t>
      </w:r>
    </w:p>
    <w:p>
      <w:pPr>
        <w:sectPr>
          <w:pgSz w:w="11900" w:h="16838" w:orient="portrait"/>
          <w:cols w:equalWidth="0" w:num="1">
            <w:col w:w="10219"/>
          </w:cols>
          <w:pgMar w:left="240" w:top="283" w:right="1440" w:bottom="1440" w:gutter="0" w:footer="0" w:header="0"/>
        </w:sectPr>
      </w:pPr>
    </w:p>
    <w:p>
      <w:pPr>
        <w:spacing w:after="0" w:line="18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EXHIBIT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80" w:lineRule="exact"/>
        <w:rPr>
          <w:sz w:val="20"/>
          <w:szCs w:val="20"/>
          <w:color w:val="auto"/>
        </w:rPr>
      </w:pPr>
    </w:p>
    <w:p>
      <w:pPr>
        <w:sectPr>
          <w:pgSz w:w="11900" w:h="16838" w:orient="portrait"/>
          <w:cols w:equalWidth="0" w:num="2">
            <w:col w:w="3140" w:space="720"/>
            <w:col w:w="6359"/>
          </w:cols>
          <w:pgMar w:left="240" w:top="283" w:right="1440" w:bottom="1440" w:gutter="0" w:footer="0" w:header="0"/>
          <w:type w:val="continuous"/>
        </w:sectPr>
      </w:pPr>
    </w:p>
    <w:p>
      <w:pPr>
        <w:ind w:left="880" w:right="3179" w:hanging="440"/>
        <w:spacing w:after="0" w:line="237" w:lineRule="auto"/>
        <w:tabs>
          <w:tab w:leader="none" w:pos="860" w:val="left"/>
        </w:tabs>
        <w:rPr>
          <w:sz w:val="20"/>
          <w:szCs w:val="20"/>
          <w:color w:val="auto"/>
        </w:rPr>
      </w:pPr>
      <w:r>
        <w:rPr>
          <w:rFonts w:ascii="Courier New" w:cs="Courier New" w:eastAsia="Courier New" w:hAnsi="Courier New"/>
          <w:sz w:val="15"/>
          <w:szCs w:val="15"/>
          <w:color w:val="auto"/>
        </w:rPr>
        <w:t>3.1</w:t>
        <w:tab/>
        <w:t>Certificate of Incorporation of the Company as amended through May 12, 1998, and the Certificate of Designation for the Company's Series A Preferred Stock filed January 22, 1996 (incorporated by reference to Exhibit 3.1 to the Company's Annual Report on Form 10-K for the fiscal year ended December 31, 1995).</w:t>
      </w:r>
    </w:p>
    <w:p>
      <w:pPr>
        <w:spacing w:after="0" w:line="178" w:lineRule="exact"/>
        <w:rPr>
          <w:sz w:val="20"/>
          <w:szCs w:val="20"/>
          <w:color w:val="auto"/>
        </w:rPr>
      </w:pPr>
    </w:p>
    <w:p>
      <w:pPr>
        <w:ind w:left="880" w:right="3539" w:hanging="440"/>
        <w:spacing w:after="0" w:line="260" w:lineRule="auto"/>
        <w:tabs>
          <w:tab w:leader="none" w:pos="8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By-Laws of the Company as amended through September 9, 1993 (incorporated by reference to Exhibit 3 to the Company's Quarterly Report on Form 10-Q for the quarter ended October 3, 1993).</w:t>
      </w:r>
    </w:p>
    <w:p>
      <w:pPr>
        <w:spacing w:after="0" w:line="163" w:lineRule="exact"/>
        <w:rPr>
          <w:sz w:val="20"/>
          <w:szCs w:val="20"/>
          <w:color w:val="auto"/>
        </w:rPr>
      </w:pPr>
    </w:p>
    <w:p>
      <w:pPr>
        <w:ind w:left="880" w:right="3259" w:hanging="440"/>
        <w:spacing w:after="0" w:line="237" w:lineRule="auto"/>
        <w:tabs>
          <w:tab w:leader="none" w:pos="860" w:val="left"/>
        </w:tabs>
        <w:rPr>
          <w:sz w:val="20"/>
          <w:szCs w:val="20"/>
          <w:color w:val="auto"/>
        </w:rPr>
      </w:pPr>
      <w:r>
        <w:rPr>
          <w:rFonts w:ascii="Courier New" w:cs="Courier New" w:eastAsia="Courier New" w:hAnsi="Courier New"/>
          <w:sz w:val="15"/>
          <w:szCs w:val="15"/>
          <w:color w:val="auto"/>
        </w:rPr>
        <w:t>4.1</w:t>
        <w:tab/>
        <w:t>Credit Agreement dated as of March 17, 1998 among the Company, Citibank, N.A., Wachovia Bank of Georgia, N.A., and the other Lenders named therein (incorporated by reference to Exhibit 4.1 to the Company's Annual Report on Form 10-K for the fiscal year ended December 28, 1997).</w:t>
      </w:r>
    </w:p>
    <w:p>
      <w:pPr>
        <w:spacing w:after="0" w:line="178" w:lineRule="exact"/>
        <w:rPr>
          <w:sz w:val="20"/>
          <w:szCs w:val="20"/>
          <w:color w:val="auto"/>
        </w:rPr>
      </w:pPr>
    </w:p>
    <w:p>
      <w:pPr>
        <w:ind w:left="880" w:right="3259" w:hanging="440"/>
        <w:spacing w:after="0" w:line="237" w:lineRule="auto"/>
        <w:tabs>
          <w:tab w:leader="none" w:pos="860" w:val="left"/>
        </w:tabs>
        <w:rPr>
          <w:sz w:val="20"/>
          <w:szCs w:val="20"/>
          <w:color w:val="auto"/>
        </w:rPr>
      </w:pPr>
      <w:r>
        <w:rPr>
          <w:rFonts w:ascii="Courier New" w:cs="Courier New" w:eastAsia="Courier New" w:hAnsi="Courier New"/>
          <w:sz w:val="15"/>
          <w:szCs w:val="15"/>
          <w:color w:val="auto"/>
        </w:rPr>
        <w:t>4.2</w:t>
        <w:tab/>
        <w:t>Form of the Company's 5.50% Notes due February 15, 2009, issued under the Indenture dated as of February 17, 1999, between the Company and The First National Bank of Chicago, as Trustee (incorporate by reference to Exhibit 4.2 to the Company's Annual Report on Form 10-K for the fiscal year ended January 3, 1999).</w:t>
      </w:r>
    </w:p>
    <w:p>
      <w:pPr>
        <w:spacing w:after="0" w:line="178" w:lineRule="exact"/>
        <w:rPr>
          <w:sz w:val="20"/>
          <w:szCs w:val="20"/>
          <w:color w:val="auto"/>
        </w:rPr>
      </w:pPr>
    </w:p>
    <w:p>
      <w:pPr>
        <w:ind w:left="880" w:right="3259" w:hanging="440"/>
        <w:spacing w:after="0" w:line="237" w:lineRule="auto"/>
        <w:tabs>
          <w:tab w:leader="none" w:pos="860" w:val="left"/>
        </w:tabs>
        <w:rPr>
          <w:sz w:val="20"/>
          <w:szCs w:val="20"/>
          <w:color w:val="auto"/>
        </w:rPr>
      </w:pPr>
      <w:r>
        <w:rPr>
          <w:rFonts w:ascii="Courier New" w:cs="Courier New" w:eastAsia="Courier New" w:hAnsi="Courier New"/>
          <w:sz w:val="15"/>
          <w:szCs w:val="15"/>
          <w:color w:val="auto"/>
        </w:rPr>
        <w:t>4.3</w:t>
        <w:tab/>
        <w:t>Indenture dated as of February 17, 1999, between the Company and The First National Bank of Chicago, as Trustee (incorporated by reference to Exhibit 4.3 to the Company's Annual Report on Form 10-K for the fiscal year ended January 3, 1999).</w:t>
      </w:r>
    </w:p>
    <w:p>
      <w:pPr>
        <w:spacing w:after="0" w:line="171" w:lineRule="exact"/>
        <w:rPr>
          <w:sz w:val="20"/>
          <w:szCs w:val="20"/>
          <w:color w:val="auto"/>
        </w:rPr>
      </w:pPr>
    </w:p>
    <w:p>
      <w:pPr>
        <w:ind w:left="880" w:hanging="449"/>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 of Earnings per Share of Common Stock.</w:t>
      </w:r>
    </w:p>
    <w:p>
      <w:pPr>
        <w:spacing w:after="0" w:line="174" w:lineRule="exact"/>
        <w:rPr>
          <w:rFonts w:ascii="Courier New" w:cs="Courier New" w:eastAsia="Courier New" w:hAnsi="Courier New"/>
          <w:sz w:val="15"/>
          <w:szCs w:val="15"/>
          <w:color w:val="auto"/>
        </w:rPr>
      </w:pPr>
    </w:p>
    <w:p>
      <w:pPr>
        <w:ind w:left="440" w:right="5919" w:hanging="9"/>
        <w:spacing w:after="0" w:line="471" w:lineRule="auto"/>
        <w:tabs>
          <w:tab w:leader="none" w:pos="88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 April 2, 2000 (Electronic filing only).</w:t>
      </w:r>
    </w:p>
    <w:p>
      <w:pPr>
        <w:spacing w:after="0" w:line="11" w:lineRule="exact"/>
        <w:rPr>
          <w:sz w:val="20"/>
          <w:szCs w:val="20"/>
          <w:color w:val="auto"/>
        </w:rPr>
      </w:pPr>
    </w:p>
    <w:p>
      <w:pPr>
        <w:ind w:left="880" w:right="3439" w:hanging="449"/>
        <w:spacing w:after="0" w:line="235"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during the period covered by this report.</w:t>
      </w:r>
    </w:p>
    <w:p>
      <w:pPr>
        <w:sectPr>
          <w:pgSz w:w="11900" w:h="16838" w:orient="portrait"/>
          <w:cols w:equalWidth="0" w:num="1">
            <w:col w:w="10219"/>
          </w:cols>
          <w:pgMar w:left="240" w:top="283"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ind w:left="678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THE WASHINGTON POST</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COMPANY</w:t>
            </w:r>
          </w:p>
        </w:tc>
      </w:tr>
      <w:tr>
        <w:trPr>
          <w:trHeight w:val="170"/>
        </w:trPr>
        <w:tc>
          <w:tcPr>
            <w:tcW w:w="6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(Registrant)</w:t>
            </w:r>
          </w:p>
        </w:tc>
        <w:tc>
          <w:tcPr>
            <w:tcW w:w="1420" w:type="dxa"/>
            <w:vAlign w:val="bottom"/>
          </w:tcPr>
          <w:p>
            <w:pPr>
              <w:spacing w:after="0"/>
              <w:rPr>
                <w:sz w:val="14"/>
                <w:szCs w:val="14"/>
                <w:color w:val="auto"/>
              </w:rPr>
            </w:pP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1900" w:type="dxa"/>
            <w:vAlign w:val="bottom"/>
          </w:tcPr>
          <w:p>
            <w:pPr>
              <w:spacing w:after="0"/>
              <w:rPr>
                <w:sz w:val="20"/>
                <w:szCs w:val="20"/>
                <w:color w:val="auto"/>
              </w:rPr>
            </w:pPr>
            <w:r>
              <w:rPr>
                <w:rFonts w:ascii="Courier New" w:cs="Courier New" w:eastAsia="Courier New" w:hAnsi="Courier New"/>
                <w:sz w:val="15"/>
                <w:szCs w:val="15"/>
                <w:color w:val="auto"/>
              </w:rPr>
              <w:t>May 12, 2000</w:t>
            </w:r>
          </w:p>
        </w:tc>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/s/ DONALD E. GRAHAM</w:t>
            </w:r>
          </w:p>
        </w:tc>
        <w:tc>
          <w:tcPr>
            <w:tcW w:w="1420" w:type="dxa"/>
            <w:vAlign w:val="bottom"/>
          </w:tcPr>
          <w:p>
            <w:pPr>
              <w:spacing w:after="0"/>
              <w:rPr>
                <w:sz w:val="24"/>
                <w:szCs w:val="24"/>
                <w:color w:val="auto"/>
              </w:rPr>
            </w:pPr>
          </w:p>
        </w:tc>
      </w:tr>
      <w:tr>
        <w:trPr>
          <w:trHeight w:val="170"/>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7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Donald E. Graham, Chairman &amp;</w:t>
            </w:r>
          </w:p>
        </w:tc>
      </w:tr>
      <w:tr>
        <w:trPr>
          <w:trHeight w:val="170"/>
        </w:trPr>
        <w:tc>
          <w:tcPr>
            <w:tcW w:w="6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720" w:type="dxa"/>
            <w:vAlign w:val="bottom"/>
            <w:gridSpan w:val="2"/>
          </w:tcPr>
          <w:p>
            <w:pPr>
              <w:jc w:val="right"/>
              <w:ind w:right="907"/>
              <w:spacing w:after="0"/>
              <w:rPr>
                <w:sz w:val="20"/>
                <w:szCs w:val="20"/>
                <w:color w:val="auto"/>
              </w:rPr>
            </w:pPr>
            <w:r>
              <w:rPr>
                <w:rFonts w:ascii="Courier New" w:cs="Courier New" w:eastAsia="Courier New" w:hAnsi="Courier New"/>
                <w:sz w:val="15"/>
                <w:szCs w:val="15"/>
                <w:color w:val="auto"/>
              </w:rPr>
              <w:t>Chief Executive Officer</w:t>
            </w:r>
          </w:p>
        </w:tc>
      </w:tr>
      <w:tr>
        <w:trPr>
          <w:trHeight w:val="170"/>
        </w:trPr>
        <w:tc>
          <w:tcPr>
            <w:tcW w:w="6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(Principal Executive</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Officer)</w:t>
            </w:r>
          </w:p>
        </w:tc>
      </w:tr>
      <w:tr>
        <w:trPr>
          <w:trHeight w:val="509"/>
        </w:trPr>
        <w:tc>
          <w:tcPr>
            <w:tcW w:w="60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1900" w:type="dxa"/>
            <w:vAlign w:val="bottom"/>
          </w:tcPr>
          <w:p>
            <w:pPr>
              <w:spacing w:after="0"/>
              <w:rPr>
                <w:sz w:val="20"/>
                <w:szCs w:val="20"/>
                <w:color w:val="auto"/>
              </w:rPr>
            </w:pPr>
            <w:r>
              <w:rPr>
                <w:rFonts w:ascii="Courier New" w:cs="Courier New" w:eastAsia="Courier New" w:hAnsi="Courier New"/>
                <w:sz w:val="15"/>
                <w:szCs w:val="15"/>
                <w:color w:val="auto"/>
              </w:rPr>
              <w:t>May 12, 2000</w:t>
            </w:r>
          </w:p>
        </w:tc>
        <w:tc>
          <w:tcPr>
            <w:tcW w:w="3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/s/ JOHN B. MORSE, JR.</w:t>
            </w:r>
          </w:p>
        </w:tc>
        <w:tc>
          <w:tcPr>
            <w:tcW w:w="1420" w:type="dxa"/>
            <w:vAlign w:val="bottom"/>
          </w:tcPr>
          <w:p>
            <w:pPr>
              <w:spacing w:after="0"/>
              <w:rPr>
                <w:sz w:val="24"/>
                <w:szCs w:val="24"/>
                <w:color w:val="auto"/>
              </w:rPr>
            </w:pPr>
          </w:p>
        </w:tc>
      </w:tr>
      <w:tr>
        <w:trPr>
          <w:trHeight w:val="170"/>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John B. Morse, Jr., Vice President-Finance</w:t>
            </w:r>
          </w:p>
        </w:tc>
      </w:tr>
      <w:tr>
        <w:trPr>
          <w:trHeight w:val="170"/>
        </w:trPr>
        <w:tc>
          <w:tcPr>
            <w:tcW w:w="6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(Principal Financial</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Officer)</w:t>
            </w:r>
          </w:p>
        </w:tc>
      </w:tr>
    </w:tbl>
    <w:p>
      <w:pPr>
        <w:sectPr>
          <w:pgSz w:w="11900" w:h="16838" w:orient="portrait"/>
          <w:cols w:equalWidth="0" w:num="1">
            <w:col w:w="10219"/>
          </w:cols>
          <w:pgMar w:left="240" w:top="28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Exhibit 11</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2380" w:type="dxa"/>
            <w:vAlign w:val="bottom"/>
          </w:tcPr>
          <w:p>
            <w:pPr>
              <w:spacing w:after="0"/>
              <w:rPr>
                <w:sz w:val="24"/>
                <w:szCs w:val="24"/>
                <w:color w:val="auto"/>
              </w:rPr>
            </w:pPr>
          </w:p>
        </w:tc>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CALCULATION OF EARNINGS</w:t>
            </w: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380" w:type="dxa"/>
            <w:vAlign w:val="bottom"/>
          </w:tcPr>
          <w:p>
            <w:pPr>
              <w:spacing w:after="0"/>
              <w:rPr>
                <w:sz w:val="14"/>
                <w:szCs w:val="14"/>
                <w:color w:val="auto"/>
              </w:rPr>
            </w:pPr>
          </w:p>
        </w:tc>
        <w:tc>
          <w:tcPr>
            <w:tcW w:w="3600" w:type="dxa"/>
            <w:vAlign w:val="bottom"/>
          </w:tcPr>
          <w:p>
            <w:pPr>
              <w:ind w:left="80"/>
              <w:spacing w:after="0"/>
              <w:rPr>
                <w:sz w:val="20"/>
                <w:szCs w:val="20"/>
                <w:color w:val="auto"/>
              </w:rPr>
            </w:pPr>
            <w:r>
              <w:rPr>
                <w:rFonts w:ascii="Courier New" w:cs="Courier New" w:eastAsia="Courier New" w:hAnsi="Courier New"/>
                <w:sz w:val="15"/>
                <w:szCs w:val="15"/>
                <w:color w:val="auto"/>
              </w:rPr>
              <w:t>PER SHARE OF COMMON STOCK</w:t>
            </w: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3600" w:type="dxa"/>
            <w:vAlign w:val="bottom"/>
          </w:tcPr>
          <w:p>
            <w:pPr>
              <w:ind w:left="80"/>
              <w:spacing w:after="0"/>
              <w:rPr>
                <w:sz w:val="20"/>
                <w:szCs w:val="20"/>
                <w:color w:val="auto"/>
              </w:rPr>
            </w:pPr>
            <w:r>
              <w:rPr>
                <w:rFonts w:ascii="Courier New" w:cs="Courier New" w:eastAsia="Courier New" w:hAnsi="Courier New"/>
                <w:sz w:val="15"/>
                <w:szCs w:val="15"/>
                <w:color w:val="auto"/>
              </w:rPr>
              <w:t>(In thousands of shares)</w:t>
            </w: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8"/>
        </w:trPr>
        <w:tc>
          <w:tcPr>
            <w:tcW w:w="23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3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Thirteen Weeks Ended</w:t>
            </w:r>
          </w:p>
        </w:tc>
        <w:tc>
          <w:tcPr>
            <w:tcW w:w="780" w:type="dxa"/>
            <w:vAlign w:val="bottom"/>
          </w:tcPr>
          <w:p>
            <w:pPr>
              <w:spacing w:after="0"/>
              <w:rPr>
                <w:sz w:val="24"/>
                <w:szCs w:val="24"/>
                <w:color w:val="auto"/>
              </w:rPr>
            </w:pPr>
          </w:p>
        </w:tc>
      </w:tr>
      <w:tr>
        <w:trPr>
          <w:trHeight w:val="170"/>
        </w:trPr>
        <w:tc>
          <w:tcPr>
            <w:tcW w:w="2380" w:type="dxa"/>
            <w:vAlign w:val="bottom"/>
          </w:tcPr>
          <w:p>
            <w:pPr>
              <w:spacing w:after="0"/>
              <w:rPr>
                <w:sz w:val="14"/>
                <w:szCs w:val="14"/>
                <w:color w:val="auto"/>
              </w:rPr>
            </w:pPr>
          </w:p>
        </w:tc>
        <w:tc>
          <w:tcPr>
            <w:tcW w:w="6680" w:type="dxa"/>
            <w:vAlign w:val="bottom"/>
            <w:gridSpan w:val="4"/>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14"/>
                <w:szCs w:val="14"/>
                <w:color w:val="auto"/>
              </w:rPr>
            </w:pPr>
          </w:p>
        </w:tc>
        <w:tc>
          <w:tcPr>
            <w:tcW w:w="5200" w:type="dxa"/>
            <w:vAlign w:val="bottom"/>
            <w:gridSpan w:val="2"/>
          </w:tcPr>
          <w:p>
            <w:pPr>
              <w:ind w:left="3520"/>
              <w:spacing w:after="0"/>
              <w:rPr>
                <w:sz w:val="20"/>
                <w:szCs w:val="20"/>
                <w:color w:val="auto"/>
              </w:rPr>
            </w:pPr>
            <w:r>
              <w:rPr>
                <w:rFonts w:ascii="Courier New" w:cs="Courier New" w:eastAsia="Courier New" w:hAnsi="Courier New"/>
                <w:sz w:val="15"/>
                <w:szCs w:val="15"/>
                <w:color w:val="auto"/>
              </w:rPr>
              <w:t>April 2,</w:t>
            </w:r>
          </w:p>
        </w:tc>
        <w:tc>
          <w:tcPr>
            <w:tcW w:w="148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April 4,</w:t>
            </w:r>
          </w:p>
        </w:tc>
      </w:tr>
      <w:tr>
        <w:trPr>
          <w:trHeight w:val="170"/>
        </w:trPr>
        <w:tc>
          <w:tcPr>
            <w:tcW w:w="2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2000</w:t>
            </w:r>
          </w:p>
        </w:tc>
        <w:tc>
          <w:tcPr>
            <w:tcW w:w="70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2380" w:type="dxa"/>
            <w:vAlign w:val="bottom"/>
          </w:tcPr>
          <w:p>
            <w:pPr>
              <w:spacing w:after="0"/>
              <w:rPr>
                <w:sz w:val="14"/>
                <w:szCs w:val="14"/>
                <w:color w:val="auto"/>
              </w:rPr>
            </w:pPr>
          </w:p>
        </w:tc>
        <w:tc>
          <w:tcPr>
            <w:tcW w:w="5200" w:type="dxa"/>
            <w:vAlign w:val="bottom"/>
            <w:gridSpan w:val="2"/>
          </w:tcPr>
          <w:p>
            <w:pPr>
              <w:jc w:val="right"/>
              <w:ind w:right="82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Number of shares of</w:t>
            </w:r>
          </w:p>
        </w:tc>
        <w:tc>
          <w:tcPr>
            <w:tcW w:w="3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Class A and Class B</w:t>
            </w:r>
          </w:p>
        </w:tc>
        <w:tc>
          <w:tcPr>
            <w:tcW w:w="3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common stock outstanding</w:t>
            </w:r>
          </w:p>
        </w:tc>
        <w:tc>
          <w:tcPr>
            <w:tcW w:w="3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at beginning of</w:t>
            </w:r>
          </w:p>
        </w:tc>
        <w:tc>
          <w:tcPr>
            <w:tcW w:w="3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3600" w:type="dxa"/>
            <w:vAlign w:val="bottom"/>
          </w:tcPr>
          <w:p>
            <w:pPr>
              <w:spacing w:after="0"/>
              <w:rPr>
                <w:sz w:val="14"/>
                <w:szCs w:val="14"/>
                <w:color w:val="auto"/>
              </w:rPr>
            </w:pPr>
          </w:p>
        </w:tc>
        <w:tc>
          <w:tcPr>
            <w:tcW w:w="16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9,439</w:t>
            </w:r>
          </w:p>
        </w:tc>
        <w:tc>
          <w:tcPr>
            <w:tcW w:w="7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10,093</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Issuance of shares of</w:t>
            </w:r>
          </w:p>
        </w:tc>
        <w:tc>
          <w:tcPr>
            <w:tcW w:w="3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Class B common stock</w:t>
            </w:r>
          </w:p>
        </w:tc>
        <w:tc>
          <w:tcPr>
            <w:tcW w:w="3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(weighted), net of</w:t>
            </w:r>
          </w:p>
        </w:tc>
        <w:tc>
          <w:tcPr>
            <w:tcW w:w="3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forfeiture of restricted</w:t>
            </w:r>
          </w:p>
        </w:tc>
        <w:tc>
          <w:tcPr>
            <w:tcW w:w="3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stock awards</w:t>
            </w:r>
          </w:p>
        </w:tc>
        <w:tc>
          <w:tcPr>
            <w:tcW w:w="3600" w:type="dxa"/>
            <w:vAlign w:val="bottom"/>
          </w:tcPr>
          <w:p>
            <w:pPr>
              <w:spacing w:after="0"/>
              <w:rPr>
                <w:sz w:val="14"/>
                <w:szCs w:val="14"/>
                <w:color w:val="auto"/>
              </w:rPr>
            </w:pPr>
          </w:p>
        </w:tc>
        <w:tc>
          <w:tcPr>
            <w:tcW w:w="16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1</w:t>
            </w:r>
          </w:p>
        </w:tc>
        <w:tc>
          <w:tcPr>
            <w:tcW w:w="7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w:t>
            </w:r>
          </w:p>
        </w:tc>
      </w:tr>
      <w:tr>
        <w:trPr>
          <w:trHeight w:val="170"/>
        </w:trPr>
        <w:tc>
          <w:tcPr>
            <w:tcW w:w="2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Shares used in the</w:t>
            </w:r>
          </w:p>
        </w:tc>
        <w:tc>
          <w:tcPr>
            <w:tcW w:w="3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computation of basic</w:t>
            </w:r>
          </w:p>
        </w:tc>
        <w:tc>
          <w:tcPr>
            <w:tcW w:w="3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3600" w:type="dxa"/>
            <w:vAlign w:val="bottom"/>
          </w:tcPr>
          <w:p>
            <w:pPr>
              <w:spacing w:after="0"/>
              <w:rPr>
                <w:sz w:val="14"/>
                <w:szCs w:val="14"/>
                <w:color w:val="auto"/>
              </w:rPr>
            </w:pPr>
          </w:p>
        </w:tc>
        <w:tc>
          <w:tcPr>
            <w:tcW w:w="16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9,440</w:t>
            </w:r>
          </w:p>
        </w:tc>
        <w:tc>
          <w:tcPr>
            <w:tcW w:w="7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10,098</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Adjustment to reflect</w:t>
            </w:r>
          </w:p>
        </w:tc>
        <w:tc>
          <w:tcPr>
            <w:tcW w:w="3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dilution from common stock</w:t>
            </w:r>
          </w:p>
        </w:tc>
        <w:tc>
          <w:tcPr>
            <w:tcW w:w="3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equivalents</w:t>
            </w:r>
          </w:p>
        </w:tc>
        <w:tc>
          <w:tcPr>
            <w:tcW w:w="3600" w:type="dxa"/>
            <w:vAlign w:val="bottom"/>
          </w:tcPr>
          <w:p>
            <w:pPr>
              <w:spacing w:after="0"/>
              <w:rPr>
                <w:sz w:val="14"/>
                <w:szCs w:val="14"/>
                <w:color w:val="auto"/>
              </w:rPr>
            </w:pPr>
          </w:p>
        </w:tc>
        <w:tc>
          <w:tcPr>
            <w:tcW w:w="16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18</w:t>
            </w:r>
          </w:p>
        </w:tc>
        <w:tc>
          <w:tcPr>
            <w:tcW w:w="7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45</w:t>
            </w:r>
          </w:p>
        </w:tc>
      </w:tr>
      <w:tr>
        <w:trPr>
          <w:trHeight w:val="170"/>
        </w:trPr>
        <w:tc>
          <w:tcPr>
            <w:tcW w:w="2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23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9,458</w:t>
            </w:r>
          </w:p>
        </w:tc>
        <w:tc>
          <w:tcPr>
            <w:tcW w:w="70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10,143</w:t>
            </w:r>
          </w:p>
        </w:tc>
      </w:tr>
      <w:tr>
        <w:trPr>
          <w:trHeight w:val="170"/>
        </w:trPr>
        <w:tc>
          <w:tcPr>
            <w:tcW w:w="2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Net income available for</w:t>
            </w:r>
          </w:p>
        </w:tc>
        <w:tc>
          <w:tcPr>
            <w:tcW w:w="3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common shares</w:t>
            </w:r>
          </w:p>
        </w:tc>
        <w:tc>
          <w:tcPr>
            <w:tcW w:w="3600" w:type="dxa"/>
            <w:vAlign w:val="bottom"/>
          </w:tcPr>
          <w:p>
            <w:pPr>
              <w:ind w:left="3520"/>
              <w:spacing w:after="0"/>
              <w:rPr>
                <w:sz w:val="20"/>
                <w:szCs w:val="20"/>
                <w:color w:val="auto"/>
              </w:rPr>
            </w:pPr>
            <w:r>
              <w:rPr>
                <w:rFonts w:ascii="Courier New" w:cs="Courier New" w:eastAsia="Courier New" w:hAnsi="Courier New"/>
                <w:sz w:val="14"/>
                <w:szCs w:val="14"/>
                <w:color w:val="auto"/>
                <w:w w:val="70"/>
              </w:rPr>
              <w:t>$</w:t>
            </w:r>
          </w:p>
        </w:tc>
        <w:tc>
          <w:tcPr>
            <w:tcW w:w="16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23,569</w:t>
            </w:r>
          </w:p>
        </w:tc>
        <w:tc>
          <w:tcPr>
            <w:tcW w:w="700" w:type="dxa"/>
            <w:vAlign w:val="bottom"/>
          </w:tcPr>
          <w:p>
            <w:pPr>
              <w:ind w:left="60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44,715</w:t>
            </w:r>
          </w:p>
        </w:tc>
      </w:tr>
      <w:tr>
        <w:trPr>
          <w:trHeight w:val="170"/>
        </w:trPr>
        <w:tc>
          <w:tcPr>
            <w:tcW w:w="2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Basic earnings per common</w:t>
            </w:r>
          </w:p>
        </w:tc>
        <w:tc>
          <w:tcPr>
            <w:tcW w:w="3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share</w:t>
            </w:r>
          </w:p>
        </w:tc>
        <w:tc>
          <w:tcPr>
            <w:tcW w:w="3600" w:type="dxa"/>
            <w:vAlign w:val="bottom"/>
          </w:tcPr>
          <w:p>
            <w:pPr>
              <w:ind w:left="3520"/>
              <w:spacing w:after="0"/>
              <w:rPr>
                <w:sz w:val="20"/>
                <w:szCs w:val="20"/>
                <w:color w:val="auto"/>
              </w:rPr>
            </w:pPr>
            <w:r>
              <w:rPr>
                <w:rFonts w:ascii="Courier New" w:cs="Courier New" w:eastAsia="Courier New" w:hAnsi="Courier New"/>
                <w:sz w:val="14"/>
                <w:szCs w:val="14"/>
                <w:color w:val="auto"/>
                <w:w w:val="70"/>
              </w:rPr>
              <w:t>$</w:t>
            </w:r>
          </w:p>
        </w:tc>
        <w:tc>
          <w:tcPr>
            <w:tcW w:w="16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2.50</w:t>
            </w:r>
          </w:p>
        </w:tc>
        <w:tc>
          <w:tcPr>
            <w:tcW w:w="700" w:type="dxa"/>
            <w:vAlign w:val="bottom"/>
          </w:tcPr>
          <w:p>
            <w:pPr>
              <w:ind w:left="60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4.43</w:t>
            </w:r>
          </w:p>
        </w:tc>
      </w:tr>
      <w:tr>
        <w:trPr>
          <w:trHeight w:val="170"/>
        </w:trPr>
        <w:tc>
          <w:tcPr>
            <w:tcW w:w="2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Diluted earnings per</w:t>
            </w:r>
          </w:p>
        </w:tc>
        <w:tc>
          <w:tcPr>
            <w:tcW w:w="3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common share</w:t>
            </w:r>
          </w:p>
        </w:tc>
        <w:tc>
          <w:tcPr>
            <w:tcW w:w="3600" w:type="dxa"/>
            <w:vAlign w:val="bottom"/>
          </w:tcPr>
          <w:p>
            <w:pPr>
              <w:ind w:left="3520"/>
              <w:spacing w:after="0"/>
              <w:rPr>
                <w:sz w:val="20"/>
                <w:szCs w:val="20"/>
                <w:color w:val="auto"/>
              </w:rPr>
            </w:pPr>
            <w:r>
              <w:rPr>
                <w:rFonts w:ascii="Courier New" w:cs="Courier New" w:eastAsia="Courier New" w:hAnsi="Courier New"/>
                <w:sz w:val="14"/>
                <w:szCs w:val="14"/>
                <w:color w:val="auto"/>
                <w:w w:val="70"/>
              </w:rPr>
              <w:t>$</w:t>
            </w:r>
          </w:p>
        </w:tc>
        <w:tc>
          <w:tcPr>
            <w:tcW w:w="16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2.49</w:t>
            </w:r>
          </w:p>
        </w:tc>
        <w:tc>
          <w:tcPr>
            <w:tcW w:w="700" w:type="dxa"/>
            <w:vAlign w:val="bottom"/>
          </w:tcPr>
          <w:p>
            <w:pPr>
              <w:ind w:left="60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4.41</w:t>
            </w:r>
          </w:p>
        </w:tc>
      </w:tr>
      <w:tr>
        <w:trPr>
          <w:trHeight w:val="170"/>
        </w:trPr>
        <w:tc>
          <w:tcPr>
            <w:tcW w:w="2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w:t>
            </w:r>
          </w:p>
        </w:tc>
      </w:tr>
    </w:tbl>
    <w:p>
      <w:pPr>
        <w:sectPr>
          <w:pgSz w:w="11900" w:h="16838" w:orient="portrait"/>
          <w:cols w:equalWidth="0" w:num="1">
            <w:col w:w="10219"/>
          </w:cols>
          <w:pgMar w:left="240" w:top="136" w:right="1440" w:bottom="1440" w:gutter="0" w:footer="0" w:header="0"/>
        </w:sectPr>
      </w:pPr>
    </w:p>
    <w:bookmarkStart w:id="18" w:name="page19"/>
    <w:bookmarkEnd w:id="18"/>
    <w:p>
      <w:pPr>
        <w:ind w:left="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STATEMENT OF INCOME FOR THE THIRTEEN WEEKS ENDED APRIL 2, 2000 AND THE CONSOLIDATED BALANCE SHEET AS OF APRIL 2, 2000 AND IS QUILIFIED IN ITS ENTIRETY BY REFERENCE TO SUCH FINANCIAL STATEMENTS.</w:t>
      </w:r>
    </w:p>
    <w:p>
      <w:pPr>
        <w:spacing w:after="0" w:line="171"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39"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3-MOS</w:t>
      </w:r>
    </w:p>
    <w:p>
      <w:pPr>
        <w:ind w:left="2260"/>
        <w:spacing w:after="0"/>
        <w:rPr>
          <w:sz w:val="20"/>
          <w:szCs w:val="20"/>
          <w:color w:val="auto"/>
        </w:rPr>
      </w:pPr>
      <w:r>
        <w:rPr>
          <w:rFonts w:ascii="Courier New" w:cs="Courier New" w:eastAsia="Courier New" w:hAnsi="Courier New"/>
          <w:sz w:val="15"/>
          <w:szCs w:val="15"/>
          <w:color w:val="auto"/>
        </w:rPr>
        <w:t>DEC-31-1999</w:t>
      </w:r>
    </w:p>
    <w:p>
      <w:pPr>
        <w:ind w:left="2700"/>
        <w:spacing w:after="0"/>
        <w:rPr>
          <w:sz w:val="20"/>
          <w:szCs w:val="20"/>
          <w:color w:val="auto"/>
        </w:rPr>
      </w:pPr>
      <w:r>
        <w:rPr>
          <w:rFonts w:ascii="Courier New" w:cs="Courier New" w:eastAsia="Courier New" w:hAnsi="Courier New"/>
          <w:sz w:val="15"/>
          <w:szCs w:val="15"/>
          <w:color w:val="auto"/>
        </w:rPr>
        <w:t>APR-02-2000</w:t>
      </w:r>
    </w:p>
    <w:p>
      <w:pPr>
        <w:ind w:left="3680"/>
        <w:spacing w:after="0" w:line="238" w:lineRule="auto"/>
        <w:rPr>
          <w:sz w:val="20"/>
          <w:szCs w:val="20"/>
          <w:color w:val="auto"/>
        </w:rPr>
      </w:pPr>
      <w:r>
        <w:rPr>
          <w:rFonts w:ascii="Courier New" w:cs="Courier New" w:eastAsia="Courier New" w:hAnsi="Courier New"/>
          <w:sz w:val="15"/>
          <w:szCs w:val="15"/>
          <w:color w:val="auto"/>
        </w:rPr>
        <w:t>29,308</w:t>
      </w:r>
    </w:p>
    <w:p>
      <w:pPr>
        <w:ind w:left="3060"/>
        <w:spacing w:after="0"/>
        <w:rPr>
          <w:sz w:val="20"/>
          <w:szCs w:val="20"/>
          <w:color w:val="auto"/>
        </w:rPr>
      </w:pPr>
      <w:r>
        <w:rPr>
          <w:rFonts w:ascii="Courier New" w:cs="Courier New" w:eastAsia="Courier New" w:hAnsi="Courier New"/>
          <w:sz w:val="15"/>
          <w:szCs w:val="15"/>
          <w:color w:val="auto"/>
        </w:rPr>
        <w:t>205,008</w:t>
      </w:r>
    </w:p>
    <w:p>
      <w:pPr>
        <w:ind w:left="2960"/>
        <w:spacing w:after="0"/>
        <w:rPr>
          <w:sz w:val="20"/>
          <w:szCs w:val="20"/>
          <w:color w:val="auto"/>
        </w:rPr>
      </w:pPr>
      <w:r>
        <w:rPr>
          <w:rFonts w:ascii="Courier New" w:cs="Courier New" w:eastAsia="Courier New" w:hAnsi="Courier New"/>
          <w:sz w:val="15"/>
          <w:szCs w:val="15"/>
          <w:color w:val="auto"/>
        </w:rPr>
        <w:t>338,745</w:t>
      </w:r>
    </w:p>
    <w:p>
      <w:pPr>
        <w:ind w:left="3140"/>
        <w:spacing w:after="0" w:line="238" w:lineRule="auto"/>
        <w:rPr>
          <w:sz w:val="20"/>
          <w:szCs w:val="20"/>
          <w:color w:val="auto"/>
        </w:rPr>
      </w:pPr>
      <w:r>
        <w:rPr>
          <w:rFonts w:ascii="Courier New" w:cs="Courier New" w:eastAsia="Courier New" w:hAnsi="Courier New"/>
          <w:sz w:val="15"/>
          <w:szCs w:val="15"/>
          <w:color w:val="auto"/>
        </w:rPr>
        <w:t>69,023</w:t>
      </w:r>
    </w:p>
    <w:p>
      <w:pPr>
        <w:ind w:left="3240"/>
        <w:spacing w:after="0"/>
        <w:rPr>
          <w:sz w:val="20"/>
          <w:szCs w:val="20"/>
          <w:color w:val="auto"/>
        </w:rPr>
      </w:pPr>
      <w:r>
        <w:rPr>
          <w:rFonts w:ascii="Courier New" w:cs="Courier New" w:eastAsia="Courier New" w:hAnsi="Courier New"/>
          <w:sz w:val="15"/>
          <w:szCs w:val="15"/>
          <w:color w:val="auto"/>
        </w:rPr>
        <w:t>25,189</w:t>
      </w:r>
    </w:p>
    <w:p>
      <w:pPr>
        <w:ind w:left="2700"/>
        <w:spacing w:after="0"/>
        <w:rPr>
          <w:sz w:val="20"/>
          <w:szCs w:val="20"/>
          <w:color w:val="auto"/>
        </w:rPr>
      </w:pPr>
      <w:r>
        <w:rPr>
          <w:rFonts w:ascii="Courier New" w:cs="Courier New" w:eastAsia="Courier New" w:hAnsi="Courier New"/>
          <w:sz w:val="15"/>
          <w:szCs w:val="15"/>
          <w:color w:val="auto"/>
        </w:rPr>
        <w:t>393,773</w:t>
      </w:r>
    </w:p>
    <w:p>
      <w:pPr>
        <w:ind w:left="3400"/>
        <w:spacing w:after="0"/>
        <w:rPr>
          <w:sz w:val="20"/>
          <w:szCs w:val="20"/>
          <w:color w:val="auto"/>
        </w:rPr>
      </w:pPr>
      <w:r>
        <w:rPr>
          <w:rFonts w:ascii="Courier New" w:cs="Courier New" w:eastAsia="Courier New" w:hAnsi="Courier New"/>
          <w:sz w:val="15"/>
          <w:szCs w:val="15"/>
          <w:color w:val="auto"/>
        </w:rPr>
        <w:t>1,506,628</w:t>
      </w:r>
    </w:p>
    <w:p>
      <w:pPr>
        <w:ind w:left="2880"/>
        <w:spacing w:after="0" w:line="238" w:lineRule="auto"/>
        <w:rPr>
          <w:sz w:val="20"/>
          <w:szCs w:val="20"/>
          <w:color w:val="auto"/>
        </w:rPr>
      </w:pPr>
      <w:r>
        <w:rPr>
          <w:rFonts w:ascii="Courier New" w:cs="Courier New" w:eastAsia="Courier New" w:hAnsi="Courier New"/>
          <w:sz w:val="15"/>
          <w:szCs w:val="15"/>
          <w:color w:val="auto"/>
        </w:rPr>
        <w:t>655,892</w:t>
      </w:r>
    </w:p>
    <w:p>
      <w:pPr>
        <w:ind w:left="2700"/>
        <w:spacing w:after="0"/>
        <w:rPr>
          <w:sz w:val="20"/>
          <w:szCs w:val="20"/>
          <w:color w:val="auto"/>
        </w:rPr>
      </w:pPr>
      <w:r>
        <w:rPr>
          <w:rFonts w:ascii="Courier New" w:cs="Courier New" w:eastAsia="Courier New" w:hAnsi="Courier New"/>
          <w:sz w:val="15"/>
          <w:szCs w:val="15"/>
          <w:color w:val="auto"/>
        </w:rPr>
        <w:t>2,923,836</w:t>
      </w:r>
    </w:p>
    <w:p>
      <w:pPr>
        <w:ind w:left="2260"/>
        <w:spacing w:after="0"/>
        <w:rPr>
          <w:sz w:val="20"/>
          <w:szCs w:val="20"/>
          <w:color w:val="auto"/>
        </w:rPr>
      </w:pPr>
      <w:r>
        <w:rPr>
          <w:rFonts w:ascii="Courier New" w:cs="Courier New" w:eastAsia="Courier New" w:hAnsi="Courier New"/>
          <w:sz w:val="15"/>
          <w:szCs w:val="15"/>
          <w:color w:val="auto"/>
        </w:rPr>
        <w:t>728,198</w:t>
      </w:r>
    </w:p>
    <w:p>
      <w:pPr>
        <w:ind w:left="3500"/>
        <w:spacing w:after="0" w:line="238" w:lineRule="auto"/>
        <w:rPr>
          <w:sz w:val="20"/>
          <w:szCs w:val="20"/>
          <w:color w:val="auto"/>
        </w:rPr>
      </w:pPr>
      <w:r>
        <w:rPr>
          <w:rFonts w:ascii="Courier New" w:cs="Courier New" w:eastAsia="Courier New" w:hAnsi="Courier New"/>
          <w:sz w:val="15"/>
          <w:szCs w:val="15"/>
          <w:color w:val="auto"/>
        </w:rPr>
        <w:t>397,685</w:t>
      </w:r>
    </w:p>
    <w:p>
      <w:pPr>
        <w:ind w:left="2800"/>
        <w:spacing w:after="0"/>
        <w:rPr>
          <w:sz w:val="20"/>
          <w:szCs w:val="20"/>
          <w:color w:val="auto"/>
        </w:rPr>
      </w:pPr>
      <w:r>
        <w:rPr>
          <w:rFonts w:ascii="Courier New" w:cs="Courier New" w:eastAsia="Courier New" w:hAnsi="Courier New"/>
          <w:sz w:val="15"/>
          <w:szCs w:val="15"/>
          <w:color w:val="auto"/>
        </w:rPr>
        <w:t>0</w:t>
      </w:r>
    </w:p>
    <w:p>
      <w:pPr>
        <w:ind w:left="3240"/>
        <w:spacing w:after="0"/>
        <w:rPr>
          <w:sz w:val="20"/>
          <w:szCs w:val="20"/>
          <w:color w:val="auto"/>
        </w:rPr>
      </w:pPr>
      <w:r>
        <w:rPr>
          <w:rFonts w:ascii="Courier New" w:cs="Courier New" w:eastAsia="Courier New" w:hAnsi="Courier New"/>
          <w:sz w:val="15"/>
          <w:szCs w:val="15"/>
          <w:color w:val="auto"/>
        </w:rPr>
        <w:t>13,148</w:t>
      </w:r>
    </w:p>
    <w:p>
      <w:pPr>
        <w:ind w:left="3500"/>
        <w:spacing w:after="0"/>
        <w:rPr>
          <w:sz w:val="20"/>
          <w:szCs w:val="20"/>
          <w:color w:val="auto"/>
        </w:rPr>
      </w:pPr>
      <w:r>
        <w:rPr>
          <w:rFonts w:ascii="Courier New" w:cs="Courier New" w:eastAsia="Courier New" w:hAnsi="Courier New"/>
          <w:sz w:val="15"/>
          <w:szCs w:val="15"/>
          <w:color w:val="auto"/>
        </w:rPr>
        <w:t>20,000</w:t>
      </w:r>
    </w:p>
    <w:p>
      <w:pPr>
        <w:ind w:left="3060"/>
        <w:spacing w:after="0" w:line="238" w:lineRule="auto"/>
        <w:rPr>
          <w:sz w:val="20"/>
          <w:szCs w:val="20"/>
          <w:color w:val="auto"/>
        </w:rPr>
      </w:pPr>
      <w:r>
        <w:rPr>
          <w:rFonts w:ascii="Courier New" w:cs="Courier New" w:eastAsia="Courier New" w:hAnsi="Courier New"/>
          <w:sz w:val="15"/>
          <w:szCs w:val="15"/>
          <w:color w:val="auto"/>
        </w:rPr>
        <w:t>1,356,028</w:t>
      </w:r>
    </w:p>
    <w:p>
      <w:pPr>
        <w:ind w:left="1460"/>
        <w:spacing w:after="0"/>
        <w:rPr>
          <w:sz w:val="20"/>
          <w:szCs w:val="20"/>
          <w:color w:val="auto"/>
        </w:rPr>
      </w:pPr>
      <w:r>
        <w:rPr>
          <w:rFonts w:ascii="Courier New" w:cs="Courier New" w:eastAsia="Courier New" w:hAnsi="Courier New"/>
          <w:sz w:val="15"/>
          <w:szCs w:val="15"/>
          <w:color w:val="auto"/>
        </w:rPr>
        <w:t>2,923,836</w:t>
      </w:r>
    </w:p>
    <w:p>
      <w:pPr>
        <w:ind w:left="4020"/>
        <w:spacing w:after="0"/>
        <w:rPr>
          <w:sz w:val="20"/>
          <w:szCs w:val="20"/>
          <w:color w:val="auto"/>
        </w:rPr>
      </w:pPr>
      <w:r>
        <w:rPr>
          <w:rFonts w:ascii="Courier New" w:cs="Courier New" w:eastAsia="Courier New" w:hAnsi="Courier New"/>
          <w:sz w:val="15"/>
          <w:szCs w:val="15"/>
          <w:color w:val="auto"/>
        </w:rPr>
        <w:t>0</w:t>
      </w:r>
    </w:p>
    <w:p>
      <w:pPr>
        <w:ind w:left="2700"/>
        <w:spacing w:after="0" w:line="238" w:lineRule="auto"/>
        <w:rPr>
          <w:sz w:val="20"/>
          <w:szCs w:val="20"/>
          <w:color w:val="auto"/>
        </w:rPr>
      </w:pPr>
      <w:r>
        <w:rPr>
          <w:rFonts w:ascii="Courier New" w:cs="Courier New" w:eastAsia="Courier New" w:hAnsi="Courier New"/>
          <w:sz w:val="15"/>
          <w:szCs w:val="15"/>
          <w:color w:val="auto"/>
        </w:rPr>
        <w:t>546,771</w:t>
      </w:r>
    </w:p>
    <w:p>
      <w:pPr>
        <w:ind w:left="4200"/>
        <w:spacing w:after="0"/>
        <w:rPr>
          <w:sz w:val="20"/>
          <w:szCs w:val="20"/>
          <w:color w:val="auto"/>
        </w:rPr>
      </w:pPr>
      <w:r>
        <w:rPr>
          <w:rFonts w:ascii="Courier New" w:cs="Courier New" w:eastAsia="Courier New" w:hAnsi="Courier New"/>
          <w:sz w:val="15"/>
          <w:szCs w:val="15"/>
          <w:color w:val="auto"/>
        </w:rPr>
        <w:t>0</w:t>
      </w:r>
    </w:p>
    <w:p>
      <w:pPr>
        <w:ind w:left="2960"/>
        <w:spacing w:after="0"/>
        <w:rPr>
          <w:sz w:val="20"/>
          <w:szCs w:val="20"/>
          <w:color w:val="auto"/>
        </w:rPr>
      </w:pPr>
      <w:r>
        <w:rPr>
          <w:rFonts w:ascii="Courier New" w:cs="Courier New" w:eastAsia="Courier New" w:hAnsi="Courier New"/>
          <w:sz w:val="15"/>
          <w:szCs w:val="15"/>
          <w:color w:val="auto"/>
        </w:rPr>
        <w:t>296,072</w:t>
      </w:r>
    </w:p>
    <w:p>
      <w:pPr>
        <w:ind w:left="3240"/>
        <w:spacing w:after="0"/>
        <w:rPr>
          <w:sz w:val="20"/>
          <w:szCs w:val="20"/>
          <w:color w:val="auto"/>
        </w:rPr>
      </w:pPr>
      <w:r>
        <w:rPr>
          <w:rFonts w:ascii="Courier New" w:cs="Courier New" w:eastAsia="Courier New" w:hAnsi="Courier New"/>
          <w:sz w:val="15"/>
          <w:szCs w:val="15"/>
          <w:color w:val="auto"/>
        </w:rPr>
        <w:t>0</w:t>
      </w:r>
    </w:p>
    <w:p>
      <w:pPr>
        <w:ind w:left="2800"/>
        <w:spacing w:after="0" w:line="238" w:lineRule="auto"/>
        <w:rPr>
          <w:sz w:val="20"/>
          <w:szCs w:val="20"/>
          <w:color w:val="auto"/>
        </w:rPr>
      </w:pPr>
      <w:r>
        <w:rPr>
          <w:rFonts w:ascii="Courier New" w:cs="Courier New" w:eastAsia="Courier New" w:hAnsi="Courier New"/>
          <w:sz w:val="15"/>
          <w:szCs w:val="15"/>
          <w:color w:val="auto"/>
        </w:rPr>
        <w:t>14,157</w:t>
      </w:r>
    </w:p>
    <w:p>
      <w:pPr>
        <w:ind w:left="2620"/>
        <w:spacing w:after="0"/>
        <w:rPr>
          <w:sz w:val="20"/>
          <w:szCs w:val="20"/>
          <w:color w:val="auto"/>
        </w:rPr>
      </w:pPr>
      <w:r>
        <w:rPr>
          <w:rFonts w:ascii="Courier New" w:cs="Courier New" w:eastAsia="Courier New" w:hAnsi="Courier New"/>
          <w:sz w:val="15"/>
          <w:szCs w:val="15"/>
          <w:color w:val="auto"/>
        </w:rPr>
        <w:t>12,567</w:t>
      </w:r>
    </w:p>
    <w:p>
      <w:pPr>
        <w:ind w:left="2880"/>
        <w:spacing w:after="0"/>
        <w:rPr>
          <w:sz w:val="20"/>
          <w:szCs w:val="20"/>
          <w:color w:val="auto"/>
        </w:rPr>
      </w:pPr>
      <w:r>
        <w:rPr>
          <w:rFonts w:ascii="Courier New" w:cs="Courier New" w:eastAsia="Courier New" w:hAnsi="Courier New"/>
          <w:sz w:val="15"/>
          <w:szCs w:val="15"/>
          <w:color w:val="auto"/>
        </w:rPr>
        <w:t>41,569</w:t>
      </w:r>
    </w:p>
    <w:p>
      <w:pPr>
        <w:ind w:left="3140"/>
        <w:spacing w:after="0" w:line="238" w:lineRule="auto"/>
        <w:rPr>
          <w:sz w:val="20"/>
          <w:szCs w:val="20"/>
          <w:color w:val="auto"/>
        </w:rPr>
      </w:pPr>
      <w:r>
        <w:rPr>
          <w:rFonts w:ascii="Courier New" w:cs="Courier New" w:eastAsia="Courier New" w:hAnsi="Courier New"/>
          <w:sz w:val="15"/>
          <w:szCs w:val="15"/>
          <w:color w:val="auto"/>
        </w:rPr>
        <w:t>17,500</w:t>
      </w:r>
    </w:p>
    <w:p>
      <w:pPr>
        <w:ind w:left="2520"/>
        <w:spacing w:after="0"/>
        <w:rPr>
          <w:sz w:val="20"/>
          <w:szCs w:val="20"/>
          <w:color w:val="auto"/>
        </w:rPr>
      </w:pPr>
      <w:r>
        <w:rPr>
          <w:rFonts w:ascii="Courier New" w:cs="Courier New" w:eastAsia="Courier New" w:hAnsi="Courier New"/>
          <w:sz w:val="15"/>
          <w:szCs w:val="15"/>
          <w:color w:val="auto"/>
        </w:rPr>
        <w:t>24,069</w:t>
      </w:r>
    </w:p>
    <w:p>
      <w:pPr>
        <w:ind w:left="3400"/>
        <w:spacing w:after="0"/>
        <w:rPr>
          <w:sz w:val="20"/>
          <w:szCs w:val="20"/>
          <w:color w:val="auto"/>
        </w:rPr>
      </w:pPr>
      <w:r>
        <w:rPr>
          <w:rFonts w:ascii="Courier New" w:cs="Courier New" w:eastAsia="Courier New" w:hAnsi="Courier New"/>
          <w:sz w:val="15"/>
          <w:szCs w:val="15"/>
          <w:color w:val="auto"/>
        </w:rPr>
        <w:t>0</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840"/>
        <w:spacing w:after="0"/>
        <w:rPr>
          <w:sz w:val="20"/>
          <w:szCs w:val="20"/>
          <w:color w:val="auto"/>
        </w:rPr>
      </w:pPr>
      <w:r>
        <w:rPr>
          <w:rFonts w:ascii="Courier New" w:cs="Courier New" w:eastAsia="Courier New" w:hAnsi="Courier New"/>
          <w:sz w:val="15"/>
          <w:szCs w:val="15"/>
          <w:color w:val="auto"/>
        </w:rPr>
        <w:t>0</w:t>
      </w:r>
    </w:p>
    <w:p>
      <w:pPr>
        <w:ind w:left="3140"/>
        <w:spacing w:after="0"/>
        <w:rPr>
          <w:sz w:val="20"/>
          <w:szCs w:val="20"/>
          <w:color w:val="auto"/>
        </w:rPr>
      </w:pPr>
      <w:r>
        <w:rPr>
          <w:rFonts w:ascii="Courier New" w:cs="Courier New" w:eastAsia="Courier New" w:hAnsi="Courier New"/>
          <w:sz w:val="15"/>
          <w:szCs w:val="15"/>
          <w:color w:val="auto"/>
        </w:rPr>
        <w:t>24,069</w:t>
      </w:r>
    </w:p>
    <w:p>
      <w:pPr>
        <w:ind w:left="3320"/>
        <w:spacing w:after="0"/>
        <w:rPr>
          <w:sz w:val="20"/>
          <w:szCs w:val="20"/>
          <w:color w:val="auto"/>
        </w:rPr>
      </w:pPr>
      <w:r>
        <w:rPr>
          <w:rFonts w:ascii="Courier New" w:cs="Courier New" w:eastAsia="Courier New" w:hAnsi="Courier New"/>
          <w:sz w:val="15"/>
          <w:szCs w:val="15"/>
          <w:color w:val="auto"/>
        </w:rPr>
        <w:t>$2.50</w:t>
      </w:r>
    </w:p>
    <w:p>
      <w:pPr>
        <w:ind w:left="3140"/>
        <w:spacing w:after="0" w:line="238" w:lineRule="auto"/>
        <w:rPr>
          <w:sz w:val="20"/>
          <w:szCs w:val="20"/>
          <w:color w:val="auto"/>
        </w:rPr>
      </w:pPr>
      <w:r>
        <w:rPr>
          <w:rFonts w:ascii="Courier New" w:cs="Courier New" w:eastAsia="Courier New" w:hAnsi="Courier New"/>
          <w:sz w:val="15"/>
          <w:szCs w:val="15"/>
          <w:color w:val="auto"/>
        </w:rPr>
        <w:t>$2.49</w:t>
      </w:r>
    </w:p>
    <w:sectPr>
      <w:pgSz w:w="11900" w:h="16838" w:orient="portrait"/>
      <w:cols w:equalWidth="0" w:num="1">
        <w:col w:w="10199"/>
      </w:cols>
      <w:pgMar w:left="26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decimal"/>
      <w:start w:val="202"/>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decimal"/>
      <w:start w:val="27"/>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2019-12-11T18:09:58Z</dcterms:created>
  <dcterms:modified xsi:type="dcterms:W3CDTF">2019-12-11T18:09:58Z</dcterms:modified>
</cp:coreProperties>
</file>