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160020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209550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June 14, 2021</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39"/>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498"/>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04"/>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7"/>
                <w:szCs w:val="17"/>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128905</wp:posOffset>
            </wp:positionV>
            <wp:extent cx="4869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right="280"/>
        <w:spacing w:after="0" w:line="24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71"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6"/>
                <w:szCs w:val="16"/>
                <w:color w:val="auto"/>
              </w:rPr>
            </w:pPr>
          </w:p>
        </w:tc>
        <w:tc>
          <w:tcPr>
            <w:tcW w:w="4340" w:type="dxa"/>
            <w:vAlign w:val="bottom"/>
          </w:tcPr>
          <w:p>
            <w:pPr>
              <w:spacing w:after="0"/>
              <w:rPr>
                <w:sz w:val="16"/>
                <w:szCs w:val="16"/>
                <w:color w:val="auto"/>
              </w:rPr>
            </w:pPr>
          </w:p>
        </w:tc>
      </w:tr>
      <w:tr>
        <w:trPr>
          <w:trHeight w:val="41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24" w:lineRule="exact"/>
        <w:rPr>
          <w:sz w:val="24"/>
          <w:szCs w:val="24"/>
          <w:color w:val="auto"/>
        </w:rPr>
      </w:pPr>
    </w:p>
    <w:p>
      <w:pPr>
        <w:ind w:right="580"/>
        <w:spacing w:after="0" w:line="2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49"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6" w:lineRule="exact"/>
        <w:rPr>
          <w:sz w:val="24"/>
          <w:szCs w:val="24"/>
          <w:color w:val="auto"/>
        </w:rPr>
      </w:pPr>
    </w:p>
    <w:p>
      <w:pPr>
        <w:ind w:right="12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8.01</w:t>
      </w:r>
      <w:r>
        <w:rPr>
          <w:sz w:val="20"/>
          <w:szCs w:val="20"/>
          <w:color w:val="auto"/>
        </w:rPr>
        <w:tab/>
      </w:r>
      <w:r>
        <w:rPr>
          <w:rFonts w:ascii="Arial" w:cs="Arial" w:eastAsia="Arial" w:hAnsi="Arial"/>
          <w:sz w:val="17"/>
          <w:szCs w:val="17"/>
          <w:b w:val="1"/>
          <w:bCs w:val="1"/>
          <w:color w:val="auto"/>
        </w:rPr>
        <w:t>Other Events.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On June 14, 2021, the Company issued the press release attached hereto as Exhibit 99.1.</w:t>
      </w:r>
    </w:p>
    <w:p>
      <w:pPr>
        <w:spacing w:after="0" w:line="200" w:lineRule="exact"/>
        <w:rPr>
          <w:sz w:val="20"/>
          <w:szCs w:val="20"/>
          <w:color w:val="auto"/>
        </w:rPr>
      </w:pPr>
    </w:p>
    <w:p>
      <w:pPr>
        <w:spacing w:after="0" w:line="33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6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Press release of Graham Holdings Company dated June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683260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75" w:right="1440" w:bottom="1440" w:gutter="0" w:footer="0" w:header="0"/>
        </w:sectPr>
      </w:pPr>
    </w:p>
    <w:bookmarkStart w:id="2" w:name="page3"/>
    <w:bookmarkEnd w:id="2"/>
    <w:p>
      <w:pPr>
        <w:ind w:lef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301" w:lineRule="exact"/>
        <w:rPr>
          <w:sz w:val="20"/>
          <w:szCs w:val="20"/>
          <w:color w:val="auto"/>
        </w:rPr>
      </w:pPr>
    </w:p>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Press Release dated June 14, 2021</w:t>
        </w:r>
      </w:hyperlink>
    </w:p>
    <w:p>
      <w:pPr>
        <w:spacing w:after="0" w:line="225" w:lineRule="exact"/>
        <w:rPr>
          <w:sz w:val="20"/>
          <w:szCs w:val="20"/>
          <w:color w:val="auto"/>
        </w:rPr>
      </w:pPr>
    </w:p>
    <w:p>
      <w:pPr>
        <w:jc w:val="right"/>
        <w:ind w:right="2019"/>
        <w:spacing w:after="0"/>
        <w:rPr>
          <w:sz w:val="20"/>
          <w:szCs w:val="20"/>
          <w:color w:val="auto"/>
        </w:rPr>
      </w:pPr>
      <w:r>
        <w:rPr>
          <w:rFonts w:ascii="Arial" w:cs="Arial" w:eastAsia="Arial" w:hAnsi="Arial"/>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563245</wp:posOffset>
            </wp:positionV>
            <wp:extent cx="7089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156210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39"/>
          </w:cols>
          <w:pgMar w:left="220" w:top="1089"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8300" w:val="left"/>
        </w:tabs>
        <w:rPr>
          <w:sz w:val="20"/>
          <w:szCs w:val="20"/>
          <w:color w:val="auto"/>
        </w:rPr>
      </w:pPr>
      <w:r>
        <w:rPr>
          <w:rFonts w:ascii="Arial" w:cs="Arial" w:eastAsia="Arial" w:hAnsi="Arial"/>
          <w:sz w:val="18"/>
          <w:szCs w:val="18"/>
          <w:color w:val="auto"/>
        </w:rPr>
        <w:t>Date: June 14, 2021</w:t>
      </w:r>
      <w:r>
        <w:rPr>
          <w:sz w:val="20"/>
          <w:szCs w:val="20"/>
          <w:color w:val="auto"/>
        </w:rPr>
        <w:tab/>
      </w:r>
      <w:r>
        <w:rPr>
          <w:rFonts w:ascii="Arial" w:cs="Arial" w:eastAsia="Arial" w:hAnsi="Arial"/>
          <w:sz w:val="17"/>
          <w:szCs w:val="17"/>
          <w:color w:val="auto"/>
        </w:rPr>
        <w:t>/s/ Nicole M.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2"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Nicole M. Maddrey,</w:t>
      </w:r>
    </w:p>
    <w:p>
      <w:pPr>
        <w:jc w:val="center"/>
        <w:ind w:left="7120"/>
        <w:spacing w:after="0" w:line="219" w:lineRule="auto"/>
        <w:rPr>
          <w:sz w:val="20"/>
          <w:szCs w:val="20"/>
          <w:color w:val="auto"/>
        </w:rPr>
      </w:pPr>
      <w:r>
        <w:rPr>
          <w:rFonts w:ascii="Arial" w:cs="Arial" w:eastAsia="Arial" w:hAnsi="Arial"/>
          <w:sz w:val="18"/>
          <w:szCs w:val="18"/>
          <w:color w:val="auto"/>
        </w:rPr>
        <w:t>Senior Vice President, General Counsel,</w:t>
      </w:r>
    </w:p>
    <w:p>
      <w:pPr>
        <w:jc w:val="center"/>
        <w:ind w:left="71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89"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Completes Acquisition of Leaf Group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ARLINGTON, VA – June 14, 2021 – Graham Holdings Company (NYSE: GHC) reported today that it has closed on the previously</w:t>
      </w:r>
    </w:p>
    <w:p>
      <w:pPr>
        <w:spacing w:after="0"/>
        <w:rPr>
          <w:sz w:val="20"/>
          <w:szCs w:val="20"/>
          <w:color w:val="auto"/>
        </w:rPr>
      </w:pPr>
      <w:r>
        <w:rPr>
          <w:rFonts w:ascii="Arial" w:cs="Arial" w:eastAsia="Arial" w:hAnsi="Arial"/>
          <w:sz w:val="18"/>
          <w:szCs w:val="18"/>
          <w:color w:val="auto"/>
        </w:rPr>
        <w:t>announced acquisition of Leaf Group Ltd. (NYSE: LEAF) for $8.50 per share in an all cash transaction valued at approximately $323 million.</w:t>
      </w:r>
    </w:p>
    <w:p>
      <w:pPr>
        <w:spacing w:after="0" w:line="144" w:lineRule="exact"/>
        <w:rPr>
          <w:sz w:val="20"/>
          <w:szCs w:val="20"/>
          <w:color w:val="auto"/>
        </w:rPr>
      </w:pPr>
    </w:p>
    <w:p>
      <w:pPr>
        <w:jc w:val="both"/>
        <w:ind w:right="440"/>
        <w:spacing w:after="0" w:line="229" w:lineRule="auto"/>
        <w:rPr>
          <w:sz w:val="20"/>
          <w:szCs w:val="20"/>
          <w:color w:val="auto"/>
        </w:rPr>
      </w:pPr>
      <w:r>
        <w:rPr>
          <w:rFonts w:ascii="Arial" w:cs="Arial" w:eastAsia="Arial" w:hAnsi="Arial"/>
          <w:sz w:val="18"/>
          <w:szCs w:val="18"/>
          <w:color w:val="auto"/>
        </w:rPr>
        <w:t>Headquartered in Santa Monica, CA, Leaf Group is a consumer internet company that builds enduring, creator-driven brands that reach passionate audiences in large and growing lifestyle categories, including fitness and wellness (Well+Good, Livestrong.com and MyPlate App), and home, art and design (Saatchi Art, Society6 and Hunker).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79" w:lineRule="exact"/>
        <w:rPr>
          <w:sz w:val="20"/>
          <w:szCs w:val="20"/>
          <w:color w:val="auto"/>
        </w:rPr>
      </w:pPr>
    </w:p>
    <w:p>
      <w:pPr>
        <w:ind w:left="20"/>
        <w:spacing w:after="0"/>
        <w:tabs>
          <w:tab w:leader="none" w:pos="146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Pinkie Mayfield</w:t>
      </w:r>
    </w:p>
    <w:p>
      <w:pPr>
        <w:spacing w:after="0" w:line="36" w:lineRule="exact"/>
        <w:rPr>
          <w:sz w:val="20"/>
          <w:szCs w:val="20"/>
          <w:color w:val="auto"/>
        </w:rPr>
      </w:pPr>
    </w:p>
    <w:p>
      <w:pPr>
        <w:ind w:left="1480" w:right="7600" w:hanging="10"/>
        <w:spacing w:after="0" w:line="324" w:lineRule="auto"/>
        <w:tabs>
          <w:tab w:leader="none" w:pos="1950" w:val="left"/>
        </w:tabs>
        <w:numPr>
          <w:ilvl w:val="0"/>
          <w:numId w:val="2"/>
        </w:numPr>
        <w:rPr>
          <w:rFonts w:ascii="Arial" w:cs="Arial" w:eastAsia="Arial" w:hAnsi="Arial"/>
          <w:sz w:val="17"/>
          <w:szCs w:val="17"/>
          <w:color w:val="auto"/>
        </w:rPr>
      </w:pPr>
      <w:r>
        <w:rPr>
          <w:rFonts w:ascii="Arial" w:cs="Arial" w:eastAsia="Arial" w:hAnsi="Arial"/>
          <w:sz w:val="17"/>
          <w:szCs w:val="17"/>
          <w:color w:val="auto"/>
        </w:rPr>
        <w:t>345-6450 Pinkie.Mayfield@ghco.com</w:t>
      </w:r>
    </w:p>
    <w:sectPr>
      <w:pgSz w:w="11900" w:h="16838" w:orient="portrait"/>
      <w:cols w:equalWidth="0" w:num="1">
        <w:col w:w="11240"/>
      </w:cols>
      <w:pgMar w:left="320" w:top="10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70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2021-06-14T08:49:40Z</dcterms:created>
  <dcterms:modified xsi:type="dcterms:W3CDTF">2021-06-14T08:49:40Z</dcterms:modified>
</cp:coreProperties>
</file>